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jc w:val="center"/>
        <w:rPr>
          <w:rFonts w:hint="eastAsia"/>
          <w:color w:val="333333"/>
        </w:rPr>
      </w:pPr>
      <w:r>
        <w:rPr>
          <w:rFonts w:hint="eastAsia"/>
          <w:b/>
          <w:color w:val="333333"/>
          <w:sz w:val="36"/>
          <w:szCs w:val="36"/>
          <w:shd w:val="clear" w:color="auto" w:fill="FFFFFF"/>
          <w:lang w:eastAsia="zh-CN"/>
        </w:rPr>
        <w:t>乌龙沟乡人民政府</w:t>
      </w:r>
      <w:r>
        <w:rPr>
          <w:rFonts w:hint="eastAsia"/>
          <w:b/>
          <w:color w:val="333333"/>
          <w:sz w:val="36"/>
          <w:szCs w:val="36"/>
          <w:shd w:val="clear" w:color="auto" w:fill="FFFFFF"/>
        </w:rPr>
        <w:t>信息公开工作年度报告</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2022年，乌龙沟乡人民政府坚持以习近平新时代中国特色社会主义思想为指引，深入学习党的二十大和和习近平总书记对河北工作的重要指示批示精神，全面贯彻落实</w:t>
      </w:r>
      <w:r>
        <w:rPr>
          <w:rFonts w:hint="eastAsia"/>
          <w:color w:val="333333"/>
          <w:shd w:val="clear" w:color="auto" w:fill="FFFFFF"/>
          <w:lang w:eastAsia="zh-CN"/>
        </w:rPr>
        <w:t>县</w:t>
      </w:r>
      <w:r>
        <w:rPr>
          <w:rFonts w:hint="eastAsia"/>
          <w:color w:val="333333"/>
          <w:shd w:val="clear" w:color="auto" w:fill="FFFFFF"/>
        </w:rPr>
        <w:t>委、</w:t>
      </w:r>
      <w:r>
        <w:rPr>
          <w:rFonts w:hint="eastAsia"/>
          <w:color w:val="333333"/>
          <w:shd w:val="clear" w:color="auto" w:fill="FFFFFF"/>
          <w:lang w:eastAsia="zh-CN"/>
        </w:rPr>
        <w:t>县</w:t>
      </w:r>
      <w:r>
        <w:rPr>
          <w:rFonts w:hint="eastAsia"/>
          <w:color w:val="333333"/>
          <w:shd w:val="clear" w:color="auto" w:fill="FFFFFF"/>
        </w:rPr>
        <w:t>政府工作部署，坚持以人民为中心的思想，深化信息公开工作，严格执行《中华人民共和国政府信息公开条例》和有关政府信息公开的要求，编写了2022年政府信息公开工作年度报告。本年度报告中所列数据的统计期限自2022年1月1日起至2022年12月31日止。</w:t>
      </w:r>
    </w:p>
    <w:p>
      <w:pPr>
        <w:pStyle w:val="2"/>
        <w:shd w:val="clear" w:color="auto" w:fill="FFFFFF"/>
        <w:spacing w:before="0" w:beforeAutospacing="0" w:after="0" w:afterAutospacing="0"/>
        <w:ind w:firstLine="420"/>
        <w:jc w:val="both"/>
        <w:rPr>
          <w:rFonts w:hint="eastAsia"/>
          <w:color w:val="333333"/>
        </w:rPr>
      </w:pPr>
      <w:r>
        <w:rPr>
          <w:rFonts w:hint="eastAsia"/>
          <w:b/>
          <w:color w:val="333333"/>
          <w:shd w:val="clear" w:color="auto" w:fill="FFFFFF"/>
        </w:rPr>
        <w:t>一、总体情况</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1</w:t>
      </w:r>
      <w:r>
        <w:rPr>
          <w:rFonts w:hint="eastAsia"/>
          <w:color w:val="333333"/>
          <w:shd w:val="clear" w:color="auto" w:fill="FFFFFF"/>
          <w:lang w:val="en-US" w:eastAsia="zh-CN"/>
        </w:rPr>
        <w:t>.</w:t>
      </w:r>
      <w:r>
        <w:rPr>
          <w:rFonts w:hint="eastAsia"/>
          <w:color w:val="333333"/>
          <w:shd w:val="clear" w:color="auto" w:fill="FFFFFF"/>
        </w:rPr>
        <w:t>加强领导，强化组织协调</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把政府信息公开工作列入重要议事日程，成立了由政府</w:t>
      </w:r>
      <w:r>
        <w:rPr>
          <w:rFonts w:hint="eastAsia"/>
          <w:color w:val="333333"/>
          <w:shd w:val="clear" w:color="auto" w:fill="FFFFFF"/>
          <w:lang w:eastAsia="zh-CN"/>
        </w:rPr>
        <w:t>主要领导</w:t>
      </w:r>
      <w:r>
        <w:rPr>
          <w:rFonts w:hint="eastAsia"/>
          <w:color w:val="333333"/>
          <w:shd w:val="clear" w:color="auto" w:fill="FFFFFF"/>
        </w:rPr>
        <w:t>任组长的领导小组，明确副职分管，增设信息员专门负责，推动此项工作顺利开展。</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2</w:t>
      </w:r>
      <w:r>
        <w:rPr>
          <w:rFonts w:hint="eastAsia"/>
          <w:color w:val="333333"/>
          <w:shd w:val="clear" w:color="auto" w:fill="FFFFFF"/>
          <w:lang w:val="en-US" w:eastAsia="zh-CN"/>
        </w:rPr>
        <w:t>.</w:t>
      </w:r>
      <w:r>
        <w:rPr>
          <w:rFonts w:hint="eastAsia"/>
          <w:color w:val="333333"/>
          <w:shd w:val="clear" w:color="auto" w:fill="FFFFFF"/>
        </w:rPr>
        <w:t>严抓落实，提高公开效率</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对领导分工、涉及人民群众切实利益的重大事项、工作动态等信息进行公开，全年未发生针对政府信息公开事务的行政复议申请、申诉和行政诉讼案件</w:t>
      </w:r>
      <w:r>
        <w:rPr>
          <w:rFonts w:hint="eastAsia"/>
          <w:color w:val="333333"/>
          <w:shd w:val="clear" w:color="auto" w:fill="FFFFFF"/>
          <w:lang w:eastAsia="zh-CN"/>
        </w:rPr>
        <w:t>。</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lang w:val="en-US" w:eastAsia="zh-CN"/>
        </w:rPr>
        <w:t>3.</w:t>
      </w:r>
      <w:r>
        <w:rPr>
          <w:rFonts w:hint="eastAsia"/>
          <w:color w:val="333333"/>
          <w:shd w:val="clear" w:color="auto" w:fill="FFFFFF"/>
        </w:rPr>
        <w:t>丰富载体，公开形式多样</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利用网络、报刊广播等多种形式广泛深入地做好政府信息的公开工作。同时，在乡政府显著位置设立公开栏，详细公开工作任务、办事流程、服务承诺等。</w:t>
      </w: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二、主动公开政府信息情况</w:t>
      </w:r>
    </w:p>
    <w:tbl>
      <w:tblPr>
        <w:tblStyle w:val="3"/>
        <w:tblW w:w="0" w:type="auto"/>
        <w:jc w:val="center"/>
        <w:tblLayout w:type="fixed"/>
        <w:tblCellMar>
          <w:top w:w="0" w:type="dxa"/>
          <w:left w:w="0" w:type="dxa"/>
          <w:bottom w:w="0" w:type="dxa"/>
          <w:right w:w="0" w:type="dxa"/>
        </w:tblCellMar>
      </w:tblPr>
      <w:tblGrid>
        <w:gridCol w:w="3113"/>
        <w:gridCol w:w="1875"/>
        <w:gridCol w:w="6"/>
        <w:gridCol w:w="1265"/>
        <w:gridCol w:w="1881"/>
      </w:tblGrid>
      <w:tr>
        <w:tblPrEx>
          <w:tblCellMar>
            <w:top w:w="0" w:type="dxa"/>
            <w:left w:w="0" w:type="dxa"/>
            <w:bottom w:w="0" w:type="dxa"/>
            <w:right w:w="0" w:type="dxa"/>
          </w:tblCellMar>
        </w:tblPrEx>
        <w:trPr>
          <w:trHeight w:val="495" w:hRule="atLeast"/>
          <w:jc w:val="center"/>
        </w:trPr>
        <w:tc>
          <w:tcPr>
            <w:tcW w:w="8140" w:type="dxa"/>
            <w:gridSpan w:val="5"/>
            <w:tcBorders>
              <w:top w:val="single" w:color="auto" w:sz="8" w:space="0"/>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第二十条第（一）项</w:t>
            </w:r>
          </w:p>
        </w:tc>
      </w:tr>
      <w:tr>
        <w:tblPrEx>
          <w:tblCellMar>
            <w:top w:w="0" w:type="dxa"/>
            <w:left w:w="0" w:type="dxa"/>
            <w:bottom w:w="0" w:type="dxa"/>
            <w:right w:w="0" w:type="dxa"/>
          </w:tblCellMar>
        </w:tblPrEx>
        <w:trPr>
          <w:trHeight w:val="527"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制作数量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公开数量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对外公开总数量</w:t>
            </w:r>
          </w:p>
        </w:tc>
      </w:tr>
      <w:tr>
        <w:tblPrEx>
          <w:tblCellMar>
            <w:top w:w="0" w:type="dxa"/>
            <w:left w:w="0" w:type="dxa"/>
            <w:bottom w:w="0" w:type="dxa"/>
            <w:right w:w="0" w:type="dxa"/>
          </w:tblCellMar>
        </w:tblPrEx>
        <w:trPr>
          <w:trHeight w:val="413"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规章</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0</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0</w:t>
            </w:r>
          </w:p>
        </w:tc>
      </w:tr>
      <w:tr>
        <w:tblPrEx>
          <w:tblCellMar>
            <w:top w:w="0" w:type="dxa"/>
            <w:left w:w="0" w:type="dxa"/>
            <w:bottom w:w="0" w:type="dxa"/>
            <w:right w:w="0" w:type="dxa"/>
          </w:tblCellMar>
        </w:tblPrEx>
        <w:trPr>
          <w:trHeight w:val="90"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规范性文件</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0</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eastAsia="宋体"/>
                <w:lang w:val="en-US" w:eastAsia="zh-CN"/>
              </w:rPr>
            </w:pPr>
            <w:r>
              <w:rPr>
                <w:rFonts w:hint="eastAsia" w:eastAsia="宋体"/>
                <w:lang w:val="en-US" w:eastAsia="zh-CN"/>
              </w:rPr>
              <w:t>0</w:t>
            </w:r>
          </w:p>
        </w:tc>
      </w:tr>
      <w:tr>
        <w:tblPrEx>
          <w:tblCellMar>
            <w:top w:w="0" w:type="dxa"/>
            <w:left w:w="0" w:type="dxa"/>
            <w:bottom w:w="0" w:type="dxa"/>
            <w:right w:w="0" w:type="dxa"/>
          </w:tblCellMar>
        </w:tblPrEx>
        <w:trPr>
          <w:trHeight w:val="480"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第二十条第（五）项</w:t>
            </w:r>
          </w:p>
        </w:tc>
      </w:tr>
      <w:tr>
        <w:tblPrEx>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行政许可</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ascii="仿宋_GB2312" w:hAnsi="Times New Roman" w:eastAsia="宋体" w:cs="Times New Roman"/>
                <w:kern w:val="2"/>
                <w:sz w:val="32"/>
                <w:szCs w:val="24"/>
                <w:lang w:val="en-US" w:eastAsia="zh-CN" w:bidi="ar-SA"/>
              </w:rPr>
            </w:pPr>
            <w:r>
              <w:rPr>
                <w:rFonts w:hint="eastAsia" w:eastAsia="宋体"/>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ascii="仿宋_GB2312" w:hAnsi="Times New Roman" w:eastAsia="宋体" w:cs="Times New Roman"/>
                <w:kern w:val="2"/>
                <w:sz w:val="32"/>
                <w:szCs w:val="24"/>
                <w:lang w:val="en-US" w:eastAsia="zh-CN" w:bidi="ar-SA"/>
              </w:rP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default" w:ascii="仿宋_GB2312" w:hAnsi="Times New Roman" w:eastAsia="宋体" w:cs="Times New Roman"/>
                <w:kern w:val="2"/>
                <w:sz w:val="32"/>
                <w:szCs w:val="24"/>
                <w:lang w:val="en-US" w:eastAsia="zh-CN" w:bidi="ar-SA"/>
              </w:rPr>
            </w:pPr>
            <w:r>
              <w:rPr>
                <w:rFonts w:hint="eastAsia" w:eastAsia="宋体"/>
                <w:lang w:val="en-US" w:eastAsia="zh-CN"/>
              </w:rPr>
              <w:t>0</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其他对外管理服务事项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宋体" w:cs="Times New Roman"/>
                <w:kern w:val="2"/>
                <w:sz w:val="32"/>
                <w:szCs w:val="24"/>
                <w:lang w:val="en-US" w:eastAsia="zh-CN" w:bidi="ar-SA"/>
              </w:rPr>
            </w:pPr>
            <w:r>
              <w:rPr>
                <w:rFonts w:hint="eastAsia" w:eastAsia="宋体"/>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宋体" w:cs="Times New Roman"/>
                <w:kern w:val="2"/>
                <w:sz w:val="32"/>
                <w:szCs w:val="24"/>
                <w:lang w:val="en-US" w:eastAsia="zh-CN" w:bidi="ar-SA"/>
              </w:rP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宋体" w:cs="Times New Roman"/>
                <w:kern w:val="2"/>
                <w:sz w:val="32"/>
                <w:szCs w:val="24"/>
                <w:lang w:val="en-US" w:eastAsia="zh-CN" w:bidi="ar-SA"/>
              </w:rPr>
            </w:pPr>
            <w:r>
              <w:rPr>
                <w:rFonts w:hint="eastAsia" w:eastAsia="宋体"/>
                <w:lang w:val="en-US" w:eastAsia="zh-CN"/>
              </w:rPr>
              <w:t>0</w:t>
            </w:r>
          </w:p>
        </w:tc>
      </w:tr>
      <w:tr>
        <w:tblPrEx>
          <w:tblCellMar>
            <w:top w:w="0" w:type="dxa"/>
            <w:left w:w="0" w:type="dxa"/>
            <w:bottom w:w="0" w:type="dxa"/>
            <w:right w:w="0" w:type="dxa"/>
          </w:tblCellMar>
        </w:tblPrEx>
        <w:trPr>
          <w:trHeight w:val="40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第二十条第（六）项</w:t>
            </w:r>
          </w:p>
        </w:tc>
      </w:tr>
      <w:tr>
        <w:tblPrEx>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行政处罚</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2</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2</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行政强制</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eastAsia="宋体"/>
                <w:lang w:val="en-US" w:eastAsia="zh-CN"/>
              </w:rPr>
              <w:t>0</w:t>
            </w:r>
          </w:p>
        </w:tc>
      </w:tr>
      <w:tr>
        <w:tblPrEx>
          <w:tblCellMar>
            <w:top w:w="0" w:type="dxa"/>
            <w:left w:w="0" w:type="dxa"/>
            <w:bottom w:w="0" w:type="dxa"/>
            <w:right w:w="0" w:type="dxa"/>
          </w:tblCellMar>
        </w:tblPrEx>
        <w:trPr>
          <w:trHeight w:val="474"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第二十条第（八）项</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上一年项目数量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行政事业性收费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2</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0</w:t>
            </w:r>
          </w:p>
        </w:tc>
      </w:tr>
      <w:tr>
        <w:tblPrEx>
          <w:tblCellMar>
            <w:top w:w="0" w:type="dxa"/>
            <w:left w:w="0" w:type="dxa"/>
            <w:bottom w:w="0" w:type="dxa"/>
            <w:right w:w="0" w:type="dxa"/>
          </w:tblCellMar>
        </w:tblPrEx>
        <w:trPr>
          <w:trHeight w:val="47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第二十条第（九）项</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采购总金额</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bookmarkStart w:id="0" w:name="_GoBack" w:colFirst="1" w:colLast="3"/>
            <w:r>
              <w:rPr>
                <w:rFonts w:hint="eastAsia" w:ascii="宋体" w:hAnsi="宋体" w:eastAsia="宋体" w:cs="宋体"/>
                <w:color w:val="000000"/>
                <w:kern w:val="0"/>
                <w:sz w:val="20"/>
                <w:szCs w:val="20"/>
              </w:rPr>
              <w:t>政府集中采购</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0</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eastAsia="宋体"/>
                <w:lang w:val="en-US" w:eastAsia="zh-CN"/>
              </w:rPr>
              <w:t>0</w:t>
            </w:r>
          </w:p>
        </w:tc>
      </w:tr>
      <w:bookmarkEnd w:id="0"/>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240" w:afterAutospacing="0"/>
        <w:ind w:firstLine="420"/>
        <w:jc w:val="both"/>
        <w:outlineLvl w:val="0"/>
        <w:rPr>
          <w:rFonts w:hint="eastAsia"/>
          <w:color w:val="333333"/>
        </w:rPr>
      </w:pPr>
      <w:r>
        <w:rPr>
          <w:rFonts w:hint="eastAsia"/>
          <w:b/>
          <w:color w:val="333333"/>
          <w:shd w:val="clear" w:color="auto" w:fill="FFFFFF"/>
        </w:rPr>
        <w:t>三、收到和处理政府信息公开申请情况</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四、政府信息公开行政复议、行政诉讼情况</w:t>
      </w:r>
    </w:p>
    <w:p>
      <w:pPr>
        <w:pStyle w:val="2"/>
        <w:shd w:val="clear" w:color="auto" w:fill="FFFFFF"/>
        <w:spacing w:before="0" w:beforeAutospacing="0" w:after="0" w:afterAutospacing="0"/>
        <w:ind w:firstLine="420"/>
        <w:jc w:val="both"/>
        <w:rPr>
          <w:rFonts w:hint="eastAsia"/>
          <w:color w:val="333333"/>
        </w:rPr>
      </w:pPr>
    </w:p>
    <w:tbl>
      <w:tblPr>
        <w:tblStyle w:val="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widowControl/>
        <w:shd w:val="clear" w:color="auto" w:fill="FFFFFF"/>
        <w:rPr>
          <w:rFonts w:hint="eastAsia" w:ascii="宋体" w:hAnsi="宋体" w:eastAsia="宋体" w:cs="宋体"/>
          <w:color w:val="333333"/>
          <w:sz w:val="24"/>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五、存在的主要问题及改进情况</w:t>
      </w:r>
    </w:p>
    <w:p>
      <w:pPr>
        <w:pStyle w:val="2"/>
        <w:shd w:val="clear" w:color="auto" w:fill="FFFFFF"/>
        <w:spacing w:before="0" w:beforeAutospacing="0" w:after="0" w:afterAutospacing="0"/>
        <w:ind w:firstLine="420"/>
        <w:jc w:val="both"/>
        <w:outlineLvl w:val="0"/>
        <w:rPr>
          <w:rFonts w:hint="eastAsia"/>
          <w:color w:val="333333"/>
          <w:shd w:val="clear" w:color="auto" w:fill="FFFFFF"/>
        </w:rPr>
      </w:pPr>
      <w:r>
        <w:rPr>
          <w:rFonts w:hint="eastAsia"/>
          <w:color w:val="333333"/>
          <w:shd w:val="clear" w:color="auto" w:fill="FFFFFF"/>
        </w:rPr>
        <w:t>2022年政务公开工作虽然取得了一定的成绩，但也还存在政策解读形式不够</w:t>
      </w:r>
      <w:r>
        <w:rPr>
          <w:rFonts w:hint="eastAsia"/>
          <w:color w:val="333333"/>
          <w:shd w:val="clear" w:color="auto" w:fill="FFFFFF"/>
          <w:lang w:eastAsia="zh-CN"/>
        </w:rPr>
        <w:t>全面、</w:t>
      </w:r>
      <w:r>
        <w:rPr>
          <w:rFonts w:hint="eastAsia"/>
          <w:color w:val="333333"/>
          <w:shd w:val="clear" w:color="auto" w:fill="FFFFFF"/>
        </w:rPr>
        <w:t>精准等问题，信息公开平台相关栏目和内容分类仍需进一步优化。下一步，我</w:t>
      </w:r>
      <w:r>
        <w:rPr>
          <w:rFonts w:hint="eastAsia"/>
          <w:color w:val="333333"/>
          <w:shd w:val="clear" w:color="auto" w:fill="FFFFFF"/>
          <w:lang w:eastAsia="zh-CN"/>
        </w:rPr>
        <w:t>乡</w:t>
      </w:r>
      <w:r>
        <w:rPr>
          <w:rFonts w:hint="eastAsia"/>
          <w:color w:val="333333"/>
          <w:shd w:val="clear" w:color="auto" w:fill="FFFFFF"/>
        </w:rPr>
        <w:t>将按照关于全面推进政务公开工作的部署要求，做好民政重点领域信息公开，加强政策解读发布，提高依申请公开案件办理质量，强化制度保障，以高质量的信息公开工作促进民政政策落地和服务水平提升。</w:t>
      </w:r>
    </w:p>
    <w:p>
      <w:pPr>
        <w:pStyle w:val="2"/>
        <w:shd w:val="clear" w:color="auto" w:fill="FFFFFF"/>
        <w:spacing w:before="0" w:beforeAutospacing="0" w:after="0" w:afterAutospacing="0"/>
        <w:ind w:firstLine="420"/>
        <w:jc w:val="both"/>
        <w:outlineLvl w:val="0"/>
        <w:rPr>
          <w:rFonts w:hint="eastAsia"/>
          <w:b/>
          <w:color w:val="333333"/>
          <w:shd w:val="clear" w:color="auto" w:fill="FFFFFF"/>
        </w:rPr>
      </w:pPr>
      <w:r>
        <w:rPr>
          <w:rFonts w:hint="eastAsia"/>
          <w:b/>
          <w:color w:val="333333"/>
          <w:shd w:val="clear" w:color="auto" w:fill="FFFFFF"/>
        </w:rPr>
        <w:t>六、其他需要报告的事项</w:t>
      </w:r>
    </w:p>
    <w:p>
      <w:pPr>
        <w:pStyle w:val="2"/>
        <w:shd w:val="clear" w:color="auto" w:fill="FFFFFF"/>
        <w:spacing w:before="0" w:beforeAutospacing="0" w:after="0" w:afterAutospacing="0"/>
        <w:ind w:firstLine="420"/>
        <w:jc w:val="both"/>
        <w:outlineLvl w:val="0"/>
        <w:rPr>
          <w:rFonts w:hint="eastAsia" w:eastAsia="仿宋_GB2312"/>
          <w:color w:val="333333"/>
          <w:shd w:val="clear" w:color="auto" w:fill="FFFFFF"/>
          <w:lang w:eastAsia="zh-CN"/>
        </w:rPr>
      </w:pPr>
      <w:r>
        <w:rPr>
          <w:rFonts w:hint="eastAsia"/>
          <w:color w:val="333333"/>
          <w:shd w:val="clear" w:color="auto" w:fill="FFFFFF"/>
          <w:lang w:eastAsia="zh-CN"/>
        </w:rPr>
        <w:t>无其他需要报告的事项。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xYzMxYTI1OGM1YTg2ZGM2YTc5MzMyMTg3Njg5MDcifQ=="/>
  </w:docVars>
  <w:rsids>
    <w:rsidRoot w:val="3E5B229F"/>
    <w:rsid w:val="17214184"/>
    <w:rsid w:val="23AB4641"/>
    <w:rsid w:val="2A253FCE"/>
    <w:rsid w:val="3E5B229F"/>
    <w:rsid w:val="6B1B42E7"/>
    <w:rsid w:val="6BAE218A"/>
    <w:rsid w:val="728264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1347</Words>
  <Characters>1383</Characters>
  <Lines>0</Lines>
  <Paragraphs>0</Paragraphs>
  <TotalTime>1</TotalTime>
  <ScaleCrop>false</ScaleCrop>
  <LinksUpToDate>false</LinksUpToDate>
  <CharactersWithSpaces>1562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cp:lastModifiedBy>
  <cp:lastPrinted>2019-12-29T11:40:00Z</cp:lastPrinted>
  <dcterms:modified xsi:type="dcterms:W3CDTF">2023-01-29T10:08:53Z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BD16EC4C09824009B17171BD15AFFFAD</vt:lpwstr>
  </property>
</Properties>
</file>