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hd w:val="clear" w:color="auto" w:fill="FFFFFF"/>
        <w:spacing w:before="0" w:beforeAutospacing="0" w:after="0" w:afterAutospacing="0"/>
        <w:jc w:val="center"/>
        <w:rPr>
          <w:rFonts w:hint="eastAsia"/>
          <w:b/>
          <w:color w:val="333333"/>
          <w:sz w:val="36"/>
          <w:szCs w:val="36"/>
          <w:shd w:val="clear" w:color="auto" w:fill="FFFFFF"/>
          <w:lang w:eastAsia="zh-CN"/>
        </w:rPr>
      </w:pPr>
      <w:bookmarkStart w:id="0" w:name="_GoBack"/>
      <w:r>
        <w:rPr>
          <w:rFonts w:hint="eastAsia"/>
          <w:b/>
          <w:color w:val="333333"/>
          <w:sz w:val="36"/>
          <w:szCs w:val="36"/>
          <w:shd w:val="clear" w:color="auto" w:fill="FFFFFF"/>
          <w:lang w:eastAsia="zh-CN"/>
        </w:rPr>
        <w:t>涞源县人力资源和社会保障局</w:t>
      </w:r>
    </w:p>
    <w:p>
      <w:pPr>
        <w:pStyle w:val="2"/>
        <w:shd w:val="clear" w:color="auto" w:fill="FFFFFF"/>
        <w:spacing w:before="0" w:beforeAutospacing="0" w:after="0" w:afterAutospacing="0"/>
        <w:jc w:val="center"/>
        <w:rPr>
          <w:rFonts w:hint="eastAsia"/>
          <w:color w:val="333333"/>
        </w:rPr>
      </w:pPr>
      <w:r>
        <w:rPr>
          <w:rFonts w:hint="eastAsia"/>
          <w:b/>
          <w:color w:val="333333"/>
          <w:sz w:val="36"/>
          <w:szCs w:val="36"/>
          <w:shd w:val="clear" w:color="auto" w:fill="FFFFFF"/>
        </w:rPr>
        <w:t>政府信息公开工作年度报告</w:t>
      </w:r>
    </w:p>
    <w:bookmarkEnd w:id="0"/>
    <w:p>
      <w:pPr>
        <w:pStyle w:val="2"/>
        <w:shd w:val="clear" w:color="auto" w:fill="FFFFFF"/>
        <w:spacing w:before="0" w:beforeAutospacing="0" w:after="0" w:afterAutospacing="0"/>
        <w:ind w:firstLine="420"/>
        <w:jc w:val="both"/>
        <w:rPr>
          <w:rFonts w:hint="eastAsia"/>
          <w:color w:val="333333"/>
        </w:rPr>
      </w:pPr>
      <w:r>
        <w:rPr>
          <w:rFonts w:hint="eastAsia"/>
          <w:b/>
          <w:color w:val="333333"/>
          <w:shd w:val="clear" w:color="auto" w:fill="FFFFFF"/>
        </w:rPr>
        <w:t>一、总体情况</w:t>
      </w:r>
    </w:p>
    <w:p>
      <w:pPr>
        <w:pStyle w:val="2"/>
        <w:shd w:val="clear" w:color="auto" w:fill="FFFFFF"/>
        <w:spacing w:before="0" w:beforeAutospacing="0" w:after="0" w:afterAutospacing="0"/>
        <w:ind w:firstLine="420"/>
        <w:jc w:val="both"/>
        <w:outlineLvl w:val="0"/>
        <w:rPr>
          <w:rFonts w:hint="eastAsia"/>
          <w:color w:val="333333"/>
        </w:rPr>
      </w:pPr>
      <w:r>
        <w:rPr>
          <w:rFonts w:hint="eastAsia"/>
          <w:color w:val="333333"/>
          <w:shd w:val="clear" w:color="auto" w:fill="FFFFFF"/>
        </w:rPr>
        <w:t>根据《中华人民共和国信息公开条例》，结合2020年涞源县</w:t>
      </w:r>
      <w:r>
        <w:rPr>
          <w:rFonts w:hint="eastAsia"/>
          <w:color w:val="333333"/>
          <w:shd w:val="clear" w:color="auto" w:fill="FFFFFF"/>
          <w:lang w:eastAsia="zh-CN"/>
        </w:rPr>
        <w:t>人力资源和社会保障局</w:t>
      </w:r>
      <w:r>
        <w:rPr>
          <w:rFonts w:hint="eastAsia"/>
          <w:color w:val="333333"/>
          <w:shd w:val="clear" w:color="auto" w:fill="FFFFFF"/>
        </w:rPr>
        <w:t>政府信息公开工作的实际情况编制本报告。2020年民政政务公开工作坚持以习近平新时代中国特色社会主义思想为指导，深入学习贯彻党的十九届五中全会精神，紧紧围绕县委、县政府工作部署和总体要求，大力推进政务公开工作，加大公开力度，拓宽公开渠道，积极回应社会关切，始终牢记全心全意为人民服务的宗旨，及时公开和处置人民群众关注的各类热点、难点问题，努力为涞源经济社会发展和社会稳定做出积极贡献。</w:t>
      </w:r>
    </w:p>
    <w:p>
      <w:pPr>
        <w:pStyle w:val="2"/>
        <w:shd w:val="clear" w:color="auto" w:fill="FFFFFF"/>
        <w:spacing w:before="0" w:beforeAutospacing="0" w:after="240" w:afterAutospacing="0"/>
        <w:ind w:firstLine="420"/>
        <w:jc w:val="both"/>
        <w:rPr>
          <w:rFonts w:hint="eastAsia"/>
          <w:color w:val="333333"/>
        </w:rPr>
      </w:pPr>
      <w:r>
        <w:rPr>
          <w:rFonts w:hint="eastAsia"/>
          <w:b/>
          <w:color w:val="333333"/>
          <w:shd w:val="clear" w:color="auto" w:fill="FFFFFF"/>
        </w:rPr>
        <w:t>二、主动公开政府信息情况</w:t>
      </w:r>
    </w:p>
    <w:tbl>
      <w:tblPr>
        <w:tblStyle w:val="4"/>
        <w:tblW w:w="8140" w:type="dxa"/>
        <w:jc w:val="center"/>
        <w:tblInd w:w="0" w:type="dxa"/>
        <w:tblLayout w:type="fixed"/>
        <w:tblCellMar>
          <w:top w:w="0" w:type="dxa"/>
          <w:left w:w="0" w:type="dxa"/>
          <w:bottom w:w="0" w:type="dxa"/>
          <w:right w:w="0" w:type="dxa"/>
        </w:tblCellMar>
      </w:tblPr>
      <w:tblGrid>
        <w:gridCol w:w="3113"/>
        <w:gridCol w:w="1875"/>
        <w:gridCol w:w="6"/>
        <w:gridCol w:w="1265"/>
        <w:gridCol w:w="1881"/>
      </w:tblGrid>
      <w:tr>
        <w:tblPrEx>
          <w:tblLayout w:type="fixed"/>
          <w:tblCellMar>
            <w:top w:w="0" w:type="dxa"/>
            <w:left w:w="0" w:type="dxa"/>
            <w:bottom w:w="0" w:type="dxa"/>
            <w:right w:w="0" w:type="dxa"/>
          </w:tblCellMar>
        </w:tblPrEx>
        <w:trPr>
          <w:trHeight w:val="495" w:hRule="atLeast"/>
          <w:jc w:val="center"/>
        </w:trPr>
        <w:tc>
          <w:tcPr>
            <w:tcW w:w="8140" w:type="dxa"/>
            <w:gridSpan w:val="5"/>
            <w:tcBorders>
              <w:top w:val="single" w:color="auto" w:sz="8" w:space="0"/>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第二十条第（一）项</w:t>
            </w:r>
          </w:p>
        </w:tc>
      </w:tr>
      <w:tr>
        <w:tblPrEx>
          <w:tblLayout w:type="fixed"/>
          <w:tblCellMar>
            <w:top w:w="0" w:type="dxa"/>
            <w:left w:w="0" w:type="dxa"/>
            <w:bottom w:w="0" w:type="dxa"/>
            <w:right w:w="0" w:type="dxa"/>
          </w:tblCellMar>
        </w:tblPrEx>
        <w:trPr>
          <w:trHeight w:val="527"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7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本年新</w:t>
            </w:r>
            <w:r>
              <w:rPr>
                <w:rFonts w:hint="eastAsia" w:ascii="宋体" w:hAnsi="宋体" w:eastAsia="宋体" w:cs="宋体"/>
                <w:color w:val="000000"/>
                <w:kern w:val="0"/>
                <w:sz w:val="20"/>
                <w:szCs w:val="20"/>
              </w:rPr>
              <w:br w:type="textWrapping"/>
            </w:r>
            <w:r>
              <w:rPr>
                <w:rFonts w:ascii="宋体" w:hAnsi="宋体" w:eastAsia="宋体" w:cs="宋体"/>
                <w:kern w:val="0"/>
                <w:sz w:val="20"/>
                <w:szCs w:val="20"/>
              </w:rPr>
              <w:t>制作数量</w:t>
            </w:r>
          </w:p>
        </w:tc>
        <w:tc>
          <w:tcPr>
            <w:tcW w:w="1271" w:type="dxa"/>
            <w:gridSpan w:val="2"/>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本年新</w:t>
            </w:r>
            <w:r>
              <w:rPr>
                <w:rFonts w:hint="eastAsia" w:ascii="宋体" w:hAnsi="宋体" w:eastAsia="宋体" w:cs="宋体"/>
                <w:color w:val="000000"/>
                <w:kern w:val="0"/>
                <w:sz w:val="20"/>
                <w:szCs w:val="20"/>
              </w:rPr>
              <w:br w:type="textWrapping"/>
            </w:r>
            <w:r>
              <w:rPr>
                <w:rFonts w:ascii="宋体" w:hAnsi="宋体" w:eastAsia="宋体" w:cs="宋体"/>
                <w:kern w:val="0"/>
                <w:sz w:val="20"/>
                <w:szCs w:val="20"/>
              </w:rPr>
              <w:t>公开数量</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对外公开总数量</w:t>
            </w:r>
          </w:p>
        </w:tc>
      </w:tr>
      <w:tr>
        <w:tblPrEx>
          <w:tblLayout w:type="fixed"/>
          <w:tblCellMar>
            <w:top w:w="0" w:type="dxa"/>
            <w:left w:w="0" w:type="dxa"/>
            <w:bottom w:w="0" w:type="dxa"/>
            <w:right w:w="0" w:type="dxa"/>
          </w:tblCellMar>
        </w:tblPrEx>
        <w:trPr>
          <w:trHeight w:val="413"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规章</w:t>
            </w:r>
          </w:p>
        </w:tc>
        <w:tc>
          <w:tcPr>
            <w:tcW w:w="187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127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r>
      <w:tr>
        <w:tblPrEx>
          <w:tblLayout w:type="fixed"/>
          <w:tblCellMar>
            <w:top w:w="0" w:type="dxa"/>
            <w:left w:w="0" w:type="dxa"/>
            <w:bottom w:w="0" w:type="dxa"/>
            <w:right w:w="0" w:type="dxa"/>
          </w:tblCellMar>
        </w:tblPrEx>
        <w:trPr>
          <w:trHeight w:val="90"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规范性文件</w:t>
            </w:r>
          </w:p>
        </w:tc>
        <w:tc>
          <w:tcPr>
            <w:tcW w:w="187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2</w:t>
            </w:r>
          </w:p>
        </w:tc>
        <w:tc>
          <w:tcPr>
            <w:tcW w:w="127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tabs>
                <w:tab w:val="center" w:pos="527"/>
              </w:tabs>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2</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2</w:t>
            </w:r>
          </w:p>
        </w:tc>
      </w:tr>
      <w:tr>
        <w:tblPrEx>
          <w:tblLayout w:type="fixed"/>
          <w:tblCellMar>
            <w:top w:w="0" w:type="dxa"/>
            <w:left w:w="0" w:type="dxa"/>
            <w:bottom w:w="0" w:type="dxa"/>
            <w:right w:w="0" w:type="dxa"/>
          </w:tblCellMar>
        </w:tblPrEx>
        <w:trPr>
          <w:trHeight w:val="480"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第二十条第（五）项</w:t>
            </w:r>
          </w:p>
        </w:tc>
      </w:tr>
      <w:tr>
        <w:tblPrEx>
          <w:tblLayout w:type="fixed"/>
          <w:tblCellMar>
            <w:top w:w="0" w:type="dxa"/>
            <w:left w:w="0" w:type="dxa"/>
            <w:bottom w:w="0" w:type="dxa"/>
            <w:right w:w="0" w:type="dxa"/>
          </w:tblCellMar>
        </w:tblPrEx>
        <w:trPr>
          <w:trHeight w:val="634"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7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上一年项目数量</w:t>
            </w:r>
          </w:p>
        </w:tc>
        <w:tc>
          <w:tcPr>
            <w:tcW w:w="1271" w:type="dxa"/>
            <w:gridSpan w:val="2"/>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本年增/减</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处理决定数量</w:t>
            </w:r>
          </w:p>
        </w:tc>
      </w:tr>
      <w:tr>
        <w:tblPrEx>
          <w:tblLayout w:type="fixed"/>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行政许可</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r>
      <w:tr>
        <w:tblPrEx>
          <w:tblLayout w:type="fixed"/>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其他对外管理服务事项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r>
      <w:tr>
        <w:tblPrEx>
          <w:tblLayout w:type="fixed"/>
          <w:tblCellMar>
            <w:top w:w="0" w:type="dxa"/>
            <w:left w:w="0" w:type="dxa"/>
            <w:bottom w:w="0" w:type="dxa"/>
            <w:right w:w="0" w:type="dxa"/>
          </w:tblCellMar>
        </w:tblPrEx>
        <w:trPr>
          <w:trHeight w:val="406"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第二十条第（六）项</w:t>
            </w:r>
          </w:p>
        </w:tc>
      </w:tr>
      <w:tr>
        <w:tblPrEx>
          <w:tblLayout w:type="fixed"/>
          <w:tblCellMar>
            <w:top w:w="0" w:type="dxa"/>
            <w:left w:w="0" w:type="dxa"/>
            <w:bottom w:w="0" w:type="dxa"/>
            <w:right w:w="0" w:type="dxa"/>
          </w:tblCellMar>
        </w:tblPrEx>
        <w:trPr>
          <w:trHeight w:val="634"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7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上一年项目数量</w:t>
            </w:r>
          </w:p>
        </w:tc>
        <w:tc>
          <w:tcPr>
            <w:tcW w:w="1271" w:type="dxa"/>
            <w:gridSpan w:val="2"/>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本年增/减</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处理决定数量</w:t>
            </w:r>
          </w:p>
        </w:tc>
      </w:tr>
      <w:tr>
        <w:tblPrEx>
          <w:tblLayout w:type="fixed"/>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行政处罚</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仿宋_GB2312"/>
                <w:sz w:val="20"/>
                <w:szCs w:val="20"/>
                <w:lang w:val="en-US" w:eastAsia="zh-CN"/>
              </w:rPr>
            </w:pPr>
            <w:r>
              <w:rPr>
                <w:rFonts w:hint="eastAsia"/>
                <w:sz w:val="20"/>
                <w:szCs w:val="20"/>
                <w:lang w:val="en-US" w:eastAsia="zh-CN"/>
              </w:rPr>
              <w:t>105</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仿宋_GB2312"/>
                <w:sz w:val="20"/>
                <w:szCs w:val="20"/>
                <w:lang w:val="en-US" w:eastAsia="zh-CN"/>
              </w:rPr>
            </w:pPr>
            <w:r>
              <w:rPr>
                <w:rFonts w:hint="eastAsia"/>
                <w:sz w:val="20"/>
                <w:szCs w:val="20"/>
                <w:lang w:eastAsia="zh-CN"/>
              </w:rPr>
              <w:t>减</w:t>
            </w:r>
            <w:r>
              <w:rPr>
                <w:rFonts w:hint="eastAsia"/>
                <w:sz w:val="20"/>
                <w:szCs w:val="20"/>
                <w:lang w:val="en-US" w:eastAsia="zh-CN"/>
              </w:rPr>
              <w:t>105</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仿宋_GB2312"/>
                <w:sz w:val="20"/>
                <w:szCs w:val="20"/>
                <w:lang w:val="en-US" w:eastAsia="zh-CN"/>
              </w:rPr>
            </w:pPr>
            <w:r>
              <w:rPr>
                <w:rFonts w:hint="eastAsia"/>
                <w:sz w:val="20"/>
                <w:szCs w:val="20"/>
                <w:lang w:val="en-US" w:eastAsia="zh-CN"/>
              </w:rPr>
              <w:t>0</w:t>
            </w:r>
          </w:p>
        </w:tc>
      </w:tr>
      <w:tr>
        <w:tblPrEx>
          <w:tblLayout w:type="fixed"/>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行政强制</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仿宋_GB2312"/>
                <w:sz w:val="20"/>
                <w:szCs w:val="20"/>
                <w:lang w:val="en-US" w:eastAsia="zh-CN"/>
              </w:rPr>
            </w:pPr>
            <w:r>
              <w:rPr>
                <w:rFonts w:hint="eastAsia"/>
                <w:sz w:val="20"/>
                <w:szCs w:val="20"/>
                <w:lang w:val="en-US" w:eastAsia="zh-CN"/>
              </w:rPr>
              <w:t>0</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仿宋_GB2312"/>
                <w:sz w:val="20"/>
                <w:szCs w:val="20"/>
                <w:lang w:val="en-US" w:eastAsia="zh-CN"/>
              </w:rPr>
            </w:pPr>
            <w:r>
              <w:rPr>
                <w:rFonts w:hint="eastAsia"/>
                <w:sz w:val="20"/>
                <w:szCs w:val="20"/>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仿宋_GB2312"/>
                <w:sz w:val="20"/>
                <w:szCs w:val="20"/>
                <w:lang w:val="en-US" w:eastAsia="zh-CN"/>
              </w:rPr>
            </w:pPr>
            <w:r>
              <w:rPr>
                <w:rFonts w:hint="eastAsia"/>
                <w:sz w:val="20"/>
                <w:szCs w:val="20"/>
                <w:lang w:val="en-US" w:eastAsia="zh-CN"/>
              </w:rPr>
              <w:t>0</w:t>
            </w:r>
          </w:p>
        </w:tc>
      </w:tr>
      <w:tr>
        <w:tblPrEx>
          <w:tblLayout w:type="fixed"/>
          <w:tblCellMar>
            <w:top w:w="0" w:type="dxa"/>
            <w:left w:w="0" w:type="dxa"/>
            <w:bottom w:w="0" w:type="dxa"/>
            <w:right w:w="0" w:type="dxa"/>
          </w:tblCellMar>
        </w:tblPrEx>
        <w:trPr>
          <w:trHeight w:val="474"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第二十条第（八）项</w:t>
            </w:r>
          </w:p>
        </w:tc>
      </w:tr>
      <w:tr>
        <w:tblPrEx>
          <w:tblLayout w:type="fixed"/>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上一年项目数量</w:t>
            </w:r>
          </w:p>
        </w:tc>
        <w:tc>
          <w:tcPr>
            <w:tcW w:w="3146" w:type="dxa"/>
            <w:gridSpan w:val="2"/>
            <w:tcBorders>
              <w:top w:val="single" w:color="auto" w:sz="8" w:space="0"/>
              <w:left w:val="nil"/>
              <w:bottom w:val="single" w:color="auto" w:sz="8" w:space="0"/>
              <w:right w:val="single" w:color="000000"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本年增/减</w:t>
            </w:r>
          </w:p>
        </w:tc>
      </w:tr>
      <w:tr>
        <w:tblPrEx>
          <w:tblLayout w:type="fixed"/>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rPr>
                <w:sz w:val="20"/>
                <w:szCs w:val="20"/>
              </w:rPr>
            </w:pPr>
            <w:r>
              <w:rPr>
                <w:rFonts w:hint="eastAsia" w:ascii="宋体" w:hAnsi="宋体" w:eastAsia="宋体" w:cs="宋体"/>
                <w:color w:val="000000"/>
                <w:kern w:val="0"/>
                <w:sz w:val="20"/>
                <w:szCs w:val="20"/>
              </w:rPr>
              <w:t>行政事业性收费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仿宋_GB2312"/>
                <w:sz w:val="20"/>
                <w:szCs w:val="20"/>
                <w:lang w:val="en-US" w:eastAsia="zh-CN"/>
              </w:rPr>
            </w:pPr>
            <w:r>
              <w:rPr>
                <w:rFonts w:hint="eastAsia"/>
                <w:sz w:val="20"/>
                <w:szCs w:val="20"/>
                <w:lang w:val="en-US" w:eastAsia="zh-CN"/>
              </w:rPr>
              <w:t>166770</w:t>
            </w:r>
          </w:p>
        </w:tc>
        <w:tc>
          <w:tcPr>
            <w:tcW w:w="3146" w:type="dxa"/>
            <w:gridSpan w:val="2"/>
            <w:tcBorders>
              <w:top w:val="nil"/>
              <w:left w:val="nil"/>
              <w:bottom w:val="single" w:color="auto" w:sz="8" w:space="0"/>
              <w:right w:val="single" w:color="000000"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96770</w:t>
            </w:r>
          </w:p>
        </w:tc>
      </w:tr>
      <w:tr>
        <w:tblPrEx>
          <w:tblLayout w:type="fixed"/>
          <w:tblCellMar>
            <w:top w:w="0" w:type="dxa"/>
            <w:left w:w="0" w:type="dxa"/>
            <w:bottom w:w="0" w:type="dxa"/>
            <w:right w:w="0" w:type="dxa"/>
          </w:tblCellMar>
        </w:tblPrEx>
        <w:trPr>
          <w:trHeight w:val="476"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第二十条第（九）项</w:t>
            </w:r>
          </w:p>
        </w:tc>
      </w:tr>
      <w:tr>
        <w:tblPrEx>
          <w:tblLayout w:type="fixed"/>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采购项目数量</w:t>
            </w:r>
          </w:p>
        </w:tc>
        <w:tc>
          <w:tcPr>
            <w:tcW w:w="3146" w:type="dxa"/>
            <w:gridSpan w:val="2"/>
            <w:tcBorders>
              <w:top w:val="single" w:color="auto" w:sz="8" w:space="0"/>
              <w:left w:val="nil"/>
              <w:bottom w:val="single" w:color="auto" w:sz="8" w:space="0"/>
              <w:right w:val="single" w:color="000000"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采购总金额</w:t>
            </w:r>
          </w:p>
        </w:tc>
      </w:tr>
      <w:tr>
        <w:tblPrEx>
          <w:tblLayout w:type="fixed"/>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政府集中采购</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3146" w:type="dxa"/>
            <w:gridSpan w:val="2"/>
            <w:tcBorders>
              <w:top w:val="nil"/>
              <w:left w:val="nil"/>
              <w:bottom w:val="single" w:color="auto" w:sz="8" w:space="0"/>
              <w:right w:val="single" w:color="000000" w:sz="8" w:space="0"/>
            </w:tcBorders>
            <w:noWrap w:val="0"/>
            <w:tcMar>
              <w:left w:w="108" w:type="dxa"/>
              <w:right w:w="108" w:type="dxa"/>
            </w:tcMar>
            <w:vAlign w:val="center"/>
          </w:tcPr>
          <w:p>
            <w:pPr>
              <w:rPr>
                <w:rFonts w:hint="eastAsia" w:ascii="宋体" w:eastAsia="仿宋_GB2312"/>
                <w:sz w:val="24"/>
                <w:lang w:val="en-US" w:eastAsia="zh-CN"/>
              </w:rPr>
            </w:pPr>
            <w:r>
              <w:rPr>
                <w:rFonts w:hint="eastAsia" w:ascii="宋体"/>
                <w:sz w:val="20"/>
                <w:szCs w:val="20"/>
                <w:lang w:val="en-US" w:eastAsia="zh-CN"/>
              </w:rPr>
              <w:t>0</w:t>
            </w:r>
          </w:p>
        </w:tc>
      </w:tr>
    </w:tbl>
    <w:p>
      <w:pPr>
        <w:pStyle w:val="2"/>
        <w:shd w:val="clear" w:color="auto" w:fill="FFFFFF"/>
        <w:spacing w:before="0" w:beforeAutospacing="0" w:after="0" w:afterAutospacing="0"/>
        <w:ind w:firstLine="420"/>
        <w:jc w:val="both"/>
        <w:rPr>
          <w:rFonts w:hint="eastAsia"/>
          <w:color w:val="333333"/>
        </w:rPr>
      </w:pPr>
    </w:p>
    <w:p>
      <w:pPr>
        <w:pStyle w:val="2"/>
        <w:shd w:val="clear" w:color="auto" w:fill="FFFFFF"/>
        <w:spacing w:before="0" w:beforeAutospacing="0" w:after="240" w:afterAutospacing="0"/>
        <w:ind w:firstLine="420"/>
        <w:jc w:val="both"/>
        <w:outlineLvl w:val="0"/>
        <w:rPr>
          <w:rFonts w:hint="eastAsia"/>
          <w:color w:val="333333"/>
        </w:rPr>
      </w:pPr>
      <w:r>
        <w:rPr>
          <w:rFonts w:hint="eastAsia"/>
          <w:b/>
          <w:color w:val="333333"/>
          <w:shd w:val="clear" w:color="auto" w:fill="FFFFFF"/>
        </w:rPr>
        <w:t>三、收到和处理政府信息公开申请情况</w:t>
      </w:r>
    </w:p>
    <w:tbl>
      <w:tblPr>
        <w:tblStyle w:val="4"/>
        <w:tblW w:w="9071" w:type="dxa"/>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3558" w:type="dxa"/>
            <w:gridSpan w:val="3"/>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（本列数据的勾稽关系为：第一项加第二项之和，等于第三项加第四项之和）</w:t>
            </w:r>
          </w:p>
        </w:tc>
        <w:tc>
          <w:tcPr>
            <w:tcW w:w="5513" w:type="dxa"/>
            <w:gridSpan w:val="7"/>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申请人情况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自然人</w:t>
            </w:r>
          </w:p>
        </w:tc>
        <w:tc>
          <w:tcPr>
            <w:tcW w:w="4010" w:type="dxa"/>
            <w:gridSpan w:val="5"/>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法人或其他组织</w:t>
            </w:r>
          </w:p>
        </w:tc>
        <w:tc>
          <w:tcPr>
            <w:tcW w:w="689"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continue"/>
            <w:tcBorders>
              <w:tl2br w:val="nil"/>
              <w:tr2bl w:val="nil"/>
            </w:tcBorders>
            <w:noWrap w:val="0"/>
            <w:tcMar>
              <w:left w:w="108" w:type="dxa"/>
              <w:right w:w="108" w:type="dxa"/>
            </w:tcMar>
            <w:vAlign w:val="center"/>
          </w:tcPr>
          <w:p>
            <w:pPr>
              <w:rPr>
                <w:rFonts w:hint="eastAsia" w:ascii="宋体"/>
                <w:sz w:val="24"/>
              </w:rPr>
            </w:pP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商业企业</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科研机构</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社会公益组织</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法律服务机构</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w:t>
            </w:r>
          </w:p>
        </w:tc>
        <w:tc>
          <w:tcPr>
            <w:tcW w:w="689" w:type="dxa"/>
            <w:vMerge w:val="continue"/>
            <w:tcBorders>
              <w:tl2br w:val="nil"/>
              <w:tr2bl w:val="nil"/>
            </w:tcBorders>
            <w:noWrap w:val="0"/>
            <w:tcMar>
              <w:left w:w="108" w:type="dxa"/>
              <w:right w:w="108" w:type="dxa"/>
            </w:tcMar>
            <w:vAlign w:val="center"/>
          </w:tcPr>
          <w:p>
            <w:pPr>
              <w:rPr>
                <w:rFonts w:hint="eastAsia" w:asci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一、本年新收政府信息公开申请数量</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二、上年结转政府信息公开申请数量</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三、本年度办理结果</w:t>
            </w: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（一）予以公开</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（二）部分公开（区分处理的，只计这一情形，不计其他情形）</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（三）不予公开</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1.属于国家秘密</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2.其他法律行政法规禁止公开</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3.危及“三安全一稳定”</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4.保护第三方合法权益</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5.属于三类内部事务信息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6.属于四类过程性信息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7.属于行政执法案卷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8.属于行政查询事项</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（四）无法提供</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1.本机关不掌握相关政府信息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2.没有现成信息需要另行制作</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3.补正后申请内容仍不明确</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（五）不予处理</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1.信访举报投诉类申请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2.重复申请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3.要求提供公开出版物</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4.无正当理由大量反复申请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5.要求行政机关确认或重新出具已获取信息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（六）其他处理</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（七）总计</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四、结转下年度继续办理</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rPr>
                <w:rFonts w:hint="eastAsia" w:ascii="宋体"/>
                <w:sz w:val="24"/>
              </w:rPr>
            </w:pPr>
          </w:p>
        </w:tc>
      </w:tr>
    </w:tbl>
    <w:p>
      <w:pPr>
        <w:pStyle w:val="2"/>
        <w:shd w:val="clear" w:color="auto" w:fill="FFFFFF"/>
        <w:spacing w:before="0" w:beforeAutospacing="0" w:after="0" w:afterAutospacing="0"/>
        <w:ind w:firstLine="420"/>
        <w:jc w:val="both"/>
        <w:rPr>
          <w:rFonts w:hint="eastAsia"/>
          <w:color w:val="333333"/>
        </w:rPr>
      </w:pP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四、政府信息公开行政复议、行政诉讼情况</w:t>
      </w:r>
    </w:p>
    <w:p>
      <w:pPr>
        <w:pStyle w:val="2"/>
        <w:shd w:val="clear" w:color="auto" w:fill="FFFFFF"/>
        <w:spacing w:before="0" w:beforeAutospacing="0" w:after="0" w:afterAutospacing="0"/>
        <w:ind w:firstLine="420"/>
        <w:jc w:val="both"/>
        <w:rPr>
          <w:rFonts w:hint="eastAsia"/>
          <w:color w:val="333333"/>
        </w:rPr>
      </w:pPr>
    </w:p>
    <w:tbl>
      <w:tblPr>
        <w:tblStyle w:val="4"/>
        <w:tblW w:w="9071" w:type="dxa"/>
        <w:jc w:val="center"/>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604" w:type="dxa"/>
            <w:vMerge w:val="restart"/>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4" w:type="dxa"/>
            <w:vMerge w:val="restart"/>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58"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c>
          <w:tcPr>
            <w:tcW w:w="2970"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604" w:type="dxa"/>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58"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其他结果</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604"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58"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 </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r>
    </w:tbl>
    <w:p>
      <w:pPr>
        <w:widowControl/>
        <w:shd w:val="clear" w:color="auto" w:fill="FFFFFF"/>
        <w:rPr>
          <w:rFonts w:hint="eastAsia" w:ascii="宋体" w:hAnsi="宋体" w:eastAsia="宋体" w:cs="宋体"/>
          <w:color w:val="333333"/>
          <w:sz w:val="24"/>
        </w:rPr>
      </w:pP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五、存在的主要问题及改进情况</w:t>
      </w:r>
    </w:p>
    <w:p>
      <w:pPr>
        <w:pStyle w:val="2"/>
        <w:shd w:val="clear" w:color="auto" w:fill="FFFFFF"/>
        <w:spacing w:before="0" w:beforeAutospacing="0" w:after="0" w:afterAutospacing="0"/>
        <w:ind w:firstLine="420"/>
        <w:jc w:val="both"/>
        <w:rPr>
          <w:rFonts w:hint="eastAsia" w:ascii="宋体" w:hAnsi="宋体" w:eastAsia="宋体" w:cs="宋体"/>
          <w:i w:val="0"/>
          <w:caps w:val="0"/>
          <w:color w:val="484747"/>
          <w:spacing w:val="0"/>
          <w:sz w:val="24"/>
          <w:szCs w:val="24"/>
          <w:shd w:val="clear" w:fill="FFFFFF"/>
        </w:rPr>
      </w:pPr>
      <w:r>
        <w:rPr>
          <w:rFonts w:hint="eastAsia" w:ascii="宋体" w:hAnsi="宋体" w:eastAsia="宋体" w:cs="宋体"/>
          <w:i w:val="0"/>
          <w:caps w:val="0"/>
          <w:color w:val="484747"/>
          <w:spacing w:val="0"/>
          <w:sz w:val="24"/>
          <w:szCs w:val="24"/>
          <w:shd w:val="clear" w:fill="FFFFFF"/>
        </w:rPr>
        <w:t>2020年，我局政府信息公开工作虽然取得一定</w:t>
      </w:r>
      <w:r>
        <w:rPr>
          <w:rFonts w:hint="eastAsia" w:cs="宋体"/>
          <w:i w:val="0"/>
          <w:caps w:val="0"/>
          <w:color w:val="484747"/>
          <w:spacing w:val="0"/>
          <w:sz w:val="24"/>
          <w:szCs w:val="24"/>
          <w:shd w:val="clear" w:fill="FFFFFF"/>
          <w:lang w:eastAsia="zh-CN"/>
        </w:rPr>
        <w:t>成效</w:t>
      </w:r>
      <w:r>
        <w:rPr>
          <w:rFonts w:hint="eastAsia" w:ascii="宋体" w:hAnsi="宋体" w:eastAsia="宋体" w:cs="宋体"/>
          <w:i w:val="0"/>
          <w:caps w:val="0"/>
          <w:color w:val="484747"/>
          <w:spacing w:val="0"/>
          <w:sz w:val="24"/>
          <w:szCs w:val="24"/>
          <w:shd w:val="clear" w:fill="FFFFFF"/>
        </w:rPr>
        <w:t>，但仍存在一些问题和不足。</w:t>
      </w:r>
      <w:r>
        <w:rPr>
          <w:rFonts w:hint="eastAsia" w:ascii="宋体" w:hAnsi="宋体" w:eastAsia="宋体" w:cs="宋体"/>
          <w:i w:val="0"/>
          <w:caps w:val="0"/>
          <w:color w:val="484747"/>
          <w:spacing w:val="0"/>
          <w:sz w:val="24"/>
          <w:szCs w:val="24"/>
          <w:shd w:val="clear" w:fill="FFFFFF"/>
        </w:rPr>
        <w:t>主要问题是专业性人才缺乏，虽有专业人员负责政务公开工作，但未经过专业化的培训</w:t>
      </w:r>
      <w:r>
        <w:rPr>
          <w:rFonts w:hint="eastAsia" w:ascii="宋体" w:hAnsi="宋体" w:eastAsia="宋体" w:cs="宋体"/>
          <w:i w:val="0"/>
          <w:caps w:val="0"/>
          <w:color w:val="484747"/>
          <w:spacing w:val="0"/>
          <w:sz w:val="24"/>
          <w:szCs w:val="24"/>
          <w:shd w:val="clear" w:fill="FFFFFF"/>
        </w:rPr>
        <w:t>。</w:t>
      </w:r>
    </w:p>
    <w:p>
      <w:pPr>
        <w:pStyle w:val="2"/>
        <w:shd w:val="clear" w:color="auto" w:fill="FFFFFF"/>
        <w:spacing w:before="0" w:beforeAutospacing="0" w:after="0" w:afterAutospacing="0"/>
        <w:ind w:firstLine="420"/>
        <w:jc w:val="both"/>
        <w:rPr>
          <w:rFonts w:hint="eastAsia"/>
          <w:color w:val="333333"/>
        </w:rPr>
      </w:pPr>
      <w:r>
        <w:rPr>
          <w:rFonts w:hint="eastAsia" w:ascii="宋体" w:hAnsi="宋体" w:eastAsia="宋体" w:cs="宋体"/>
          <w:i w:val="0"/>
          <w:caps w:val="0"/>
          <w:color w:val="484747"/>
          <w:spacing w:val="0"/>
          <w:sz w:val="24"/>
          <w:szCs w:val="24"/>
          <w:shd w:val="clear" w:fill="FFFFFF"/>
        </w:rPr>
        <w:t>2021年，我局继续加大信息公开力度，拓宽公开渠道。针对</w:t>
      </w:r>
      <w:r>
        <w:rPr>
          <w:rFonts w:hint="eastAsia" w:cs="宋体"/>
          <w:i w:val="0"/>
          <w:caps w:val="0"/>
          <w:color w:val="484747"/>
          <w:spacing w:val="0"/>
          <w:sz w:val="24"/>
          <w:szCs w:val="24"/>
          <w:shd w:val="clear" w:fill="FFFFFF"/>
          <w:lang w:eastAsia="zh-CN"/>
        </w:rPr>
        <w:t>工作中的问题</w:t>
      </w:r>
      <w:r>
        <w:rPr>
          <w:rFonts w:hint="eastAsia" w:ascii="宋体" w:hAnsi="宋体" w:eastAsia="宋体" w:cs="宋体"/>
          <w:i w:val="0"/>
          <w:caps w:val="0"/>
          <w:color w:val="484747"/>
          <w:spacing w:val="0"/>
          <w:sz w:val="24"/>
          <w:szCs w:val="24"/>
          <w:shd w:val="clear" w:fill="FFFFFF"/>
        </w:rPr>
        <w:t>，一是健全和完善政府信息公开工作考核机制；二是进一步拓展公开信息的深度和广度，加大公开力度；三是扩大公开范围，充分利用新媒体等信息平台，推动政务公开工作深入发展。</w:t>
      </w: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六、其他需要报告的事项</w:t>
      </w:r>
    </w:p>
    <w:p>
      <w:pPr>
        <w:pStyle w:val="2"/>
        <w:shd w:val="clear" w:color="auto" w:fill="FFFFFF"/>
        <w:spacing w:before="0" w:beforeAutospacing="0" w:after="0" w:afterAutospacing="0"/>
        <w:ind w:firstLine="420"/>
        <w:jc w:val="both"/>
      </w:pPr>
      <w:r>
        <w:rPr>
          <w:rFonts w:hint="eastAsia"/>
          <w:color w:val="333333"/>
          <w:shd w:val="clear" w:color="auto" w:fill="FFFFFF"/>
        </w:rPr>
        <w:t>我局无其他需要报告的事项。</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1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5B229F"/>
    <w:rsid w:val="3DF4405C"/>
    <w:rsid w:val="3E5B229F"/>
    <w:rsid w:val="6051453F"/>
    <w:rsid w:val="728264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石_头01</cp:lastModifiedBy>
  <cp:lastPrinted>2021-01-28T06:02:47Z</cp:lastPrinted>
  <dcterms:modified xsi:type="dcterms:W3CDTF">2021-01-28T06:08:30Z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