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方正小标宋简体" w:eastAsia="方正小标宋简体" w:cs="方正小标宋简体" w:hint="eastAsia"/>
          <w:sz w:val="44"/>
          <w:szCs w:val="44"/>
        </w:rPr>
      </w:pPr>
      <w:r>
        <w:rPr>
          <w:rFonts w:ascii="方正小标宋简体" w:eastAsia="方正小标宋简体" w:cs="方正小标宋简体" w:hint="eastAsia"/>
          <w:sz w:val="44"/>
          <w:szCs w:val="44"/>
        </w:rPr>
        <w:t>推进农业经济发展政策措施六条</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方正黑体_GBK" w:eastAsia="方正黑体_GBK" w:cs="方正黑体_GBK" w:hint="eastAsia"/>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方正黑体_GBK" w:eastAsia="方正黑体_GBK" w:cs="方正黑体_GBK" w:hint="eastAsia"/>
          <w:sz w:val="32"/>
          <w:szCs w:val="32"/>
          <w:lang w:val="en-US" w:eastAsia="zh-CN"/>
        </w:rPr>
      </w:pPr>
      <w:r>
        <w:rPr>
          <w:rFonts w:ascii="方正黑体_GBK" w:eastAsia="方正黑体_GBK" w:cs="方正黑体_GBK" w:hint="eastAsia"/>
          <w:sz w:val="32"/>
          <w:szCs w:val="32"/>
          <w:lang w:val="en-US" w:eastAsia="zh-CN"/>
        </w:rPr>
        <w:t>01.</w:t>
      </w:r>
      <w:r>
        <w:rPr>
          <w:rFonts w:ascii="方正黑体_GBK" w:eastAsia="方正黑体_GBK" w:cs="方正黑体_GBK" w:hint="eastAsia"/>
          <w:sz w:val="32"/>
          <w:szCs w:val="32"/>
        </w:rPr>
        <w:t>推进农业经济发展政策措施</w:t>
      </w:r>
      <w:r>
        <w:rPr>
          <w:rFonts w:ascii="方正黑体_GBK" w:eastAsia="方正黑体_GBK" w:cs="方正黑体_GBK"/>
          <w:sz w:val="32"/>
          <w:szCs w:val="32"/>
        </w:rPr>
        <w:t>第一条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rPr>
      </w:pPr>
      <w:r>
        <w:rPr>
          <w:rFonts w:ascii="方正黑体_GBK" w:eastAsia="方正黑体_GBK" w:cs="方正黑体_GBK" w:hint="eastAsia"/>
          <w:sz w:val="32"/>
          <w:szCs w:val="32"/>
          <w:lang w:eastAsia="zh-CN"/>
        </w:rPr>
        <w:t>一、</w:t>
      </w:r>
      <w:r>
        <w:rPr>
          <w:rFonts w:ascii="方正黑体_GBK" w:eastAsia="方正黑体_GBK" w:cs="方正黑体_GBK" w:hint="eastAsia"/>
          <w:sz w:val="32"/>
          <w:szCs w:val="32"/>
        </w:rPr>
        <w:t>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支持新建高标准农田1万亩，每亩补助1500元左右，实施土地平整、灌溉排水和节水、田间机耕道路、农田防护与生态环境保持、农田输配电和损毁工程修复等基础设施建设。</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高标准农田建设项目项目区</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省级下达农田建设任务和资金规模后，县（市、区）农业农村部门根据建设任务及资金规模，组织开展项目初步设计编制，市级农业农村部门组织或委托第三方机构对所辖县（市、区）项目初步设计进行评审，对评审通过且公示无异议的项目，要及时批复。县级农业农村部门应按照批复的初步设计组织实施农田建设项目。</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2022年12月底前</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五、职责分工</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涞源县农业农村局</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联系人：马少华                电话：0312-7333672</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方正黑体_GBK" w:eastAsia="方正黑体_GBK" w:cs="方正黑体_GBK" w:hint="eastAsia"/>
          <w:sz w:val="32"/>
          <w:szCs w:val="32"/>
          <w:lang w:val="en-US" w:eastAsia="zh-CN"/>
        </w:rPr>
      </w:pPr>
      <w:r>
        <w:rPr>
          <w:rFonts w:ascii="方正黑体_GBK" w:eastAsia="方正黑体_GBK" w:cs="方正黑体_GBK" w:hint="eastAsia"/>
          <w:sz w:val="32"/>
          <w:szCs w:val="32"/>
          <w:lang w:val="en-US" w:eastAsia="zh-CN"/>
        </w:rPr>
        <w:t>02.</w:t>
      </w:r>
      <w:r>
        <w:rPr>
          <w:rFonts w:ascii="方正黑体_GBK" w:eastAsia="方正黑体_GBK" w:cs="方正黑体_GBK" w:hint="eastAsia"/>
          <w:sz w:val="32"/>
          <w:szCs w:val="32"/>
        </w:rPr>
        <w:t>推进农业经济发展政策措施</w:t>
      </w:r>
      <w:r>
        <w:rPr>
          <w:rFonts w:ascii="方正黑体_GBK" w:eastAsia="方正黑体_GBK" w:cs="方正黑体_GBK"/>
          <w:sz w:val="32"/>
          <w:szCs w:val="32"/>
        </w:rPr>
        <w:t>第二条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发展中央厨房预制菜产业，做强产业链，优化价值链，提升创新链，推动产业一体化发展。发展壮大农业产业化龙头企业，加快投资8亿元的宏福现代农业产业园项目一期建设。</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 xml:space="preserve">二、适用对象 </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市级以上农业产业化龙头企业</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按照县级申报、市级遴选推荐的方式组织实施，省级根据实际情况按照初审、综合评审等程序最终确定项目实施单位。</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2022年12月底前</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五、职责分工</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涞源县农业农村局</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联系人：闫向军           电话：0312-7321776</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方正黑体_GBK" w:eastAsia="方正黑体_GBK" w:cs="方正黑体_GBK" w:hint="eastAsia"/>
          <w:sz w:val="32"/>
          <w:szCs w:val="32"/>
          <w:lang w:val="en-US" w:eastAsia="zh-CN"/>
        </w:rPr>
      </w:pPr>
      <w:r>
        <w:rPr>
          <w:rFonts w:ascii="方正黑体_GBK" w:eastAsia="方正黑体_GBK" w:cs="方正黑体_GBK" w:hint="eastAsia"/>
          <w:sz w:val="32"/>
          <w:szCs w:val="32"/>
          <w:lang w:val="en-US" w:eastAsia="zh-CN"/>
        </w:rPr>
        <w:t>03.</w:t>
      </w:r>
      <w:r>
        <w:rPr>
          <w:rFonts w:ascii="方正黑体_GBK" w:eastAsia="方正黑体_GBK" w:cs="方正黑体_GBK" w:hint="eastAsia"/>
          <w:sz w:val="32"/>
          <w:szCs w:val="32"/>
        </w:rPr>
        <w:t>推进农业经济发展政策措施</w:t>
      </w:r>
      <w:r>
        <w:rPr>
          <w:rFonts w:ascii="方正黑体_GBK" w:eastAsia="方正黑体_GBK" w:cs="方正黑体_GBK"/>
          <w:sz w:val="32"/>
          <w:szCs w:val="32"/>
        </w:rPr>
        <w:t>第三条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根据《中共保定市委办公室 保定市人民政府办公室印发&lt;关于建设“博士农场”实施方案&gt;的通知》（保办〔2022〕13号）要求，聚焦新品种、新技术、新工艺、新产品，打造农业科技创新要素聚集地、科技成果转化示范园和特色产业发展引领区，组织符合条件的企业申报博士农场。积极争取金融支持和上级奖补资金。</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符合条件的农业企业</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企业申报，县农业农村局审核后推荐市农业农村局审核</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2022年12月底前</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方正黑体_GBK" w:eastAsia="方正黑体_GBK" w:cs="方正黑体_GBK" w:hint="eastAsia"/>
          <w:sz w:val="32"/>
          <w:szCs w:val="32"/>
          <w:lang w:eastAsia="zh-CN"/>
        </w:rPr>
        <w:t>五、职责分工</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涞源县农业农村局</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联系人：周艳勇               电话：0312-7321776</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CESI仿宋-GB2312" w:eastAsia="CESI仿宋-GB2312" w:cs="CESI仿宋-GB2312" w:hint="eastAsia"/>
          <w:sz w:val="32"/>
          <w:szCs w:val="32"/>
        </w:rPr>
      </w:pPr>
      <w:r>
        <w:rPr>
          <w:rFonts w:ascii="方正黑体_GBK" w:eastAsia="方正黑体_GBK" w:cs="方正黑体_GBK" w:hint="eastAsia"/>
          <w:sz w:val="32"/>
          <w:szCs w:val="32"/>
          <w:lang w:val="en-US" w:eastAsia="zh-CN"/>
        </w:rPr>
        <w:t>04.</w:t>
      </w:r>
      <w:r>
        <w:rPr>
          <w:rFonts w:ascii="方正黑体_GBK" w:eastAsia="方正黑体_GBK" w:cs="方正黑体_GBK" w:hint="eastAsia"/>
          <w:sz w:val="32"/>
          <w:szCs w:val="32"/>
        </w:rPr>
        <w:t>推进农业经济发展政策措施</w:t>
      </w:r>
      <w:r>
        <w:rPr>
          <w:rFonts w:ascii="方正黑体_GBK" w:eastAsia="方正黑体_GBK" w:cs="方正黑体_GBK"/>
          <w:sz w:val="32"/>
          <w:szCs w:val="32"/>
        </w:rPr>
        <w:t>第四条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一、政策内容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积极搭建产业发展和科技创新平台，以园区提质增效、拉动产业提档升级、带动农民增收为目标，夯实项目支撑、科技创新等措施，着力促进园区产业升级、规模扩张、提质增效，不断提升全县现代农业园区建设水平。支持区域内农业园区申报创建市级现代农业园区和市级精品农业园区。</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方正黑体_GBK" w:eastAsia="方正黑体_GBK" w:cs="方正黑体_GBK" w:hint="eastAsia"/>
          <w:sz w:val="32"/>
          <w:szCs w:val="32"/>
          <w:lang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 xml:space="preserve"> </w:t>
      </w:r>
      <w:r>
        <w:rPr>
          <w:rFonts w:ascii="CESI仿宋-GB2312" w:eastAsia="CESI仿宋-GB2312" w:cs="CESI仿宋-GB2312" w:hint="eastAsia"/>
          <w:sz w:val="32"/>
          <w:szCs w:val="32"/>
          <w:lang w:val="en-US" w:eastAsia="zh-CN"/>
        </w:rPr>
        <w:t xml:space="preserve">  </w:t>
      </w:r>
      <w:r>
        <w:rPr>
          <w:rFonts w:ascii="CESI仿宋-GB2312" w:eastAsia="CESI仿宋-GB2312" w:cs="CESI仿宋-GB2312" w:hint="eastAsia"/>
          <w:sz w:val="32"/>
          <w:szCs w:val="32"/>
        </w:rPr>
        <w:t>县级以上现代农业园区</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符合条件的农业园区自主申报，县农业农村局审核后，对符合市级以上园区保市局审核认定。</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2022年12月底前</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五、职责分工</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涞源县农业农村局</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联系人：周利              电话：0312-7321776</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方正黑体_GBK" w:eastAsia="方正黑体_GBK" w:cs="方正黑体_GBK" w:hint="eastAsia"/>
          <w:sz w:val="32"/>
          <w:szCs w:val="32"/>
        </w:rPr>
      </w:pPr>
      <w:r>
        <w:rPr>
          <w:rFonts w:ascii="方正黑体_GBK" w:eastAsia="方正黑体_GBK" w:cs="方正黑体_GBK" w:hint="eastAsia"/>
          <w:sz w:val="32"/>
          <w:szCs w:val="32"/>
          <w:lang w:val="en-US" w:eastAsia="zh-CN"/>
        </w:rPr>
        <w:t>05.</w:t>
      </w:r>
      <w:r>
        <w:rPr>
          <w:rFonts w:ascii="方正黑体_GBK" w:eastAsia="方正黑体_GBK" w:cs="方正黑体_GBK" w:hint="eastAsia"/>
          <w:sz w:val="32"/>
          <w:szCs w:val="32"/>
        </w:rPr>
        <w:t>推进农业经济发展政策措施</w:t>
      </w:r>
      <w:r>
        <w:rPr>
          <w:rFonts w:ascii="方正黑体_GBK" w:eastAsia="方正黑体_GBK" w:cs="方正黑体_GBK"/>
          <w:sz w:val="32"/>
          <w:szCs w:val="32"/>
        </w:rPr>
        <w:t>第五条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rPr>
      </w:pPr>
      <w:r>
        <w:rPr>
          <w:rFonts w:ascii="方正黑体_GBK" w:eastAsia="方正黑体_GBK" w:cs="方正黑体_GBK" w:hint="eastAsia"/>
          <w:sz w:val="32"/>
          <w:szCs w:val="32"/>
          <w:lang w:eastAsia="zh-CN"/>
        </w:rPr>
        <w:t>一、</w:t>
      </w:r>
      <w:r>
        <w:rPr>
          <w:rFonts w:ascii="方正黑体_GBK" w:eastAsia="方正黑体_GBK" w:cs="方正黑体_GBK" w:hint="eastAsia"/>
          <w:sz w:val="32"/>
          <w:szCs w:val="32"/>
        </w:rPr>
        <w:t>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积极推进绿色食品和有机农产品认证工作，督促获证主体落实全程管控措施，维护“两品一标”品牌公信力。争取上级资金，支持新型农业经营主体和村集体经济组织建设农产品产地冷藏保鲜设施。</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新型农业经营主体、农业公司等</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企业申报，县局审核后报市局审核认定。</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2022年12月底前</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五、职责分工</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涞源县农业农村局</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联系人：李占环         电话：0312-7321776</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方正黑体_GBK" w:eastAsia="方正黑体_GBK" w:cs="方正黑体_GBK" w:hint="eastAsia"/>
          <w:sz w:val="32"/>
          <w:szCs w:val="32"/>
        </w:rPr>
      </w:pPr>
      <w:r>
        <w:rPr>
          <w:rFonts w:ascii="方正黑体_GBK" w:eastAsia="方正黑体_GBK" w:cs="方正黑体_GBK" w:hint="eastAsia"/>
          <w:sz w:val="32"/>
          <w:szCs w:val="32"/>
          <w:lang w:val="en-US" w:eastAsia="zh-CN"/>
        </w:rPr>
        <w:t>06.</w:t>
      </w:r>
      <w:r>
        <w:rPr>
          <w:rFonts w:ascii="方正黑体_GBK" w:eastAsia="方正黑体_GBK" w:cs="方正黑体_GBK" w:hint="eastAsia"/>
          <w:sz w:val="32"/>
          <w:szCs w:val="32"/>
        </w:rPr>
        <w:t>推进农业经济发展政策措施</w:t>
      </w:r>
      <w:r>
        <w:rPr>
          <w:rFonts w:ascii="方正黑体_GBK" w:eastAsia="方正黑体_GBK" w:cs="方正黑体_GBK"/>
          <w:sz w:val="32"/>
          <w:szCs w:val="32"/>
        </w:rPr>
        <w:t>第六条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rPr>
      </w:pPr>
      <w:r>
        <w:rPr>
          <w:rFonts w:ascii="方正黑体_GBK" w:eastAsia="方正黑体_GBK" w:cs="方正黑体_GBK" w:hint="eastAsia"/>
          <w:sz w:val="32"/>
          <w:szCs w:val="32"/>
          <w:lang w:eastAsia="zh-CN"/>
        </w:rPr>
        <w:t>一、</w:t>
      </w:r>
      <w:r>
        <w:rPr>
          <w:rFonts w:ascii="方正黑体_GBK" w:eastAsia="方正黑体_GBK" w:cs="方正黑体_GBK" w:hint="eastAsia"/>
          <w:sz w:val="32"/>
          <w:szCs w:val="32"/>
        </w:rPr>
        <w:t>政策内容</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梳理农业企业融资需求，组织线上线下银企对接活动，协调解决融资难问题。推行农业农村金融服务专员制度，提供“一站式”、便携式、综合性服务，有效打通金融支农“最后一公里”。配合市局做好大豆“保险+期货”模式，运用农产品价格指数保险，保障农产品价格平稳。适时开展设施农业保险，减少农户因自然灾害或意外事故造成的损失。</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二、适用对象</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农业产业化龙头企业、农民合作社、家庭农场、种养大户、农业社会化服务组织等各类农业经营主体，农业产业重点项目。</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三、操作流程</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举办系列专项银企对接活动，协调省金融局等金融主管部门解读相关金融支农政策，组织金融机构与农业经营主体进行深入对接沟通，促进产业政策与金融政策有机结合。在全省509个乡镇开展“农村金融服务</w:t>
      </w:r>
      <w:bookmarkStart w:id="0" w:name="_GoBack"/>
      <w:bookmarkEnd w:id="0"/>
      <w:r>
        <w:rPr>
          <w:rFonts w:ascii="CESI仿宋-GB2312" w:eastAsia="CESI仿宋-GB2312" w:cs="CESI仿宋-GB2312" w:hint="eastAsia"/>
          <w:sz w:val="32"/>
          <w:szCs w:val="32"/>
        </w:rPr>
        <w:t>专员”试点工作，摸排金融需求、优化信贷服务、创新金融服务模式，推动各类农业经营主体与金融机构的有效对接和务实合作。</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四、兑现时间</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2022年12月底前</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方正黑体_GBK" w:eastAsia="方正黑体_GBK" w:cs="方正黑体_GBK" w:hint="eastAsia"/>
          <w:sz w:val="32"/>
          <w:szCs w:val="32"/>
          <w:lang w:eastAsia="zh-CN"/>
        </w:rPr>
      </w:pPr>
      <w:r>
        <w:rPr>
          <w:rFonts w:ascii="方正黑体_GBK" w:eastAsia="方正黑体_GBK" w:cs="方正黑体_GBK" w:hint="eastAsia"/>
          <w:sz w:val="32"/>
          <w:szCs w:val="32"/>
          <w:lang w:eastAsia="zh-CN"/>
        </w:rPr>
        <w:t>五、职责分工</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涞源县农业农村局</w:t>
      </w:r>
    </w:p>
    <w:p>
      <w:pPr>
        <w:keepNext w:val="0"/>
        <w:keepLines w:val="0"/>
        <w:pageBreakBefore w:val="0"/>
        <w:widowControl w:val="0"/>
        <w:kinsoku/>
        <w:wordWrap/>
        <w:overflowPunct/>
        <w:topLinePunct w:val="0"/>
        <w:autoSpaceDE/>
        <w:autoSpaceDN/>
        <w:bidi w:val="0"/>
        <w:adjustRightInd w:val="0"/>
        <w:snapToGrid w:val="0"/>
        <w:spacing w:line="560" w:lineRule="exact"/>
        <w:ind w:firstLineChars="200" w:firstLine="640"/>
        <w:textAlignment w:val="auto"/>
        <w:rPr>
          <w:rFonts w:ascii="CESI仿宋-GB2312" w:eastAsia="CESI仿宋-GB2312" w:cs="CESI仿宋-GB2312" w:hint="eastAsia"/>
          <w:sz w:val="32"/>
          <w:szCs w:val="32"/>
        </w:rPr>
      </w:pPr>
      <w:r>
        <w:rPr>
          <w:rFonts w:ascii="CESI仿宋-GB2312" w:eastAsia="CESI仿宋-GB2312" w:cs="CESI仿宋-GB2312" w:hint="eastAsia"/>
          <w:sz w:val="32"/>
          <w:szCs w:val="32"/>
        </w:rPr>
        <w:t>联系人：周利              电话：0312-7321776</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pPr>
    </w:p>
    <w:sectPr>
      <w:footerReference w:type="default" r:id="rId2"/>
      <w:pgSz w:w="11907" w:h="16839"/>
      <w:pgMar w:top="2098" w:right="1531" w:bottom="2098" w:left="1531" w:header="851" w:footer="992" w:gutter="0"/>
      <w:pgNumType w:fmt="numberInDash"/>
      <w:docGrid w:type="lines" w:linePitch="312" w:charSpace="0"/>
    </w:sectPr>
  </w:body>
</w:document>
</file>

<file path=word/fontTable.xml><?xml version="1.0" encoding="utf-8"?>
<w:fonts xmlns:w="http://schemas.openxmlformats.org/wordprocessingml/2006/main" xmlns:r="http://schemas.openxmlformats.org/officeDocument/2006/relationships">
  <w:font w:name="方正小标宋简体">
    <w:altName w:val="微软雅黑"/>
    <w:panose1 w:val="02000000000000000000"/>
    <w:charset w:val="86"/>
    <w:family w:val="auto"/>
    <w:pitch w:val="variable"/>
    <w:sig w:usb0="A00002BF" w:usb1="184F6CFA" w:usb2="00000012" w:usb3="00000000" w:csb0="00040001" w:csb1="00000000"/>
  </w:font>
  <w:font w:name="方正黑体_GBK">
    <w:altName w:val="微软雅黑"/>
    <w:panose1 w:val="02000000000000000000"/>
    <w:charset w:val="86"/>
    <w:family w:val="auto"/>
    <w:pitch w:val="variable"/>
    <w:sig w:usb0="00000001" w:usb1="08000000" w:usb2="00000000" w:usb3="00000000" w:csb0="00040000" w:csb1="00000000"/>
  </w:font>
  <w:font w:name="CESI仿宋-GB2312">
    <w:altName w:val="微软雅黑"/>
    <w:panose1 w:val="02000500000000000000"/>
    <w:charset w:val="86"/>
    <w:family w:val="auto"/>
    <w:pitch w:val="variable"/>
    <w:sig w:usb0="800002AF" w:usb1="084F6CF8" w:usb2="00000010" w:usb3="00000000" w:csb0="0004000F" w:csb1="00000000"/>
  </w:font>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variable"/>
    <w:sig w:usb0="00000000" w:usb1="00000000" w:usb2="00000000" w:usb3="00000000" w:csb0="00000000" w:csb1="00000000"/>
  </w:font>
  <w:font w:name="Calibri">
    <w:altName w:val="DejaVu Sans"/>
    <w:panose1 w:val="020F0502020204030204"/>
    <w:charset w:val="00"/>
    <w:family w:val="swiss"/>
    <w:pitch w:val="variable"/>
    <w:sig w:usb0="00000000" w:usb1="00000000" w:usb2="00000001" w:usb3="00000000" w:csb0="0000019F" w:csb1="00000000"/>
  </w:font>
  <w:font w:name="Arial">
    <w:altName w:val="DejaVu Sans"/>
    <w:panose1 w:val="020B0604020202020204"/>
    <w:charset w:val="01"/>
    <w:family w:val="swiss"/>
    <w:pitch w:val="variable"/>
    <w:sig w:usb0="E0002AFF" w:usb1="C0007843" w:usb2="00000009" w:usb3="00000000" w:csb0="400001FF" w:csb1="FFFF0000"/>
  </w:font>
  <w:font w:name="黑体">
    <w:altName w:val="方正黑体_GBK"/>
    <w:panose1 w:val="02010609060101010101"/>
    <w:charset w:val="86"/>
    <w:family w:val="auto"/>
    <w:pitch w:val="variable"/>
    <w:sig w:usb0="800002BF" w:usb1="38CF7CFA" w:usb2="00000016"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6"/>
      <w:tabs>
        <w:tab w:val="center" w:pos="4153"/>
        <w:tab w:val="right" w:pos="8306"/>
      </w:tabs>
    </w:pPr>
    <w:r>
      <w:rPr>
        <w:sz w:val="18"/>
      </w:rPr>
      <mc:AlternateContent>
        <mc:Choice Requires="wps">
          <w:drawing>
            <wp:anchor distT="0" distB="0" distL="114298" distR="114298" simplePos="0" relativeHeight="12" behindDoc="0" locked="0" layoutInCell="1" hidden="0" allowOverlap="1">
              <wp:simplePos x="0" y="0"/>
              <wp:positionH relativeFrom="margin">
                <wp:align>outside</wp:align>
              </wp:positionH>
              <wp:positionV relativeFrom="paragraph">
                <wp:posOffset>0</wp:posOffset>
              </wp:positionV>
              <wp:extent cx="179565" cy="139560"/>
              <wp:effectExtent l="0" t="0" r="0" b="0"/>
              <wp:wrapNone/>
              <wp:docPr id="1" name="文本框 1"/>
              <wp:cNvGraphicFramePr>
                <a:graphicFrameLocks noChangeAspect="0"/>
              </wp:cNvGraphicFramePr>
              <a:graphic>
                <a:graphicData uri="http://schemas.microsoft.com/office/word/2010/wordprocessingShape">
                  <wps:wsp>
                    <wps:cNvSpPr/>
                    <wps:spPr>
                      <a:xfrm rot="0">
                        <a:off x="0" y="0"/>
                        <a:ext cx="179565" cy="139560"/>
                      </a:xfrm>
                      <a:prstGeom prst="rect"/>
                      <a:noFill/>
                      <a:ln w="6350" cmpd="sng" cap="flat">
                        <a:noFill/>
                        <a:prstDash val="solid"/>
                        <a:round/>
                      </a:ln>
                    </wps:spPr>
                    <wps:txbx id="2">
                      <w:txbxContent>
                        <w:p>
                          <w:pPr>
                            <w:pStyle w:val="16"/>
                            <w:tabs>
                              <w:tab w:val="center" w:pos="4153"/>
                              <w:tab w:val="right" w:pos="8306"/>
                            </w:tabs>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type="#_x0000_t202" id="文本框 1 3" o:spid="_x0000_s3" filled="f" stroked="f" strokeweight="0.5pt" style="position:absolute;margin-left:0.0pt;margin-top:0.0pt;width:14.139006pt;height:10.988999pt;z-index:12;mso-position-horizontal:outside;mso-position-horizontal-relative:margin;mso-position-vertical:absolute;mso-wrap-distance-left:8.999863pt;mso-wrap-distance-right:8.999863pt;mso-wrap-style:none;">
              <v:stroke color="#000000"/>
              <v:textbox id="848" inset="0mm,0mm,0mm,0mm" o:insetmode="custom" style="layout-flow:horizontal;v-text-anchor:top;mso-fit-shape-to-text:t;">
                <w:txbxContent>
                  <w:p>
                    <w:pPr>
                      <w:pStyle w:val="16"/>
                      <w:tabs>
                        <w:tab w:val="center" w:pos="4153"/>
                        <w:tab w:val="right"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isplayBackgroundShape/>
  <w:bordersDoNotSurroundHeader/>
  <w:bordersDoNotSurroundFooter/>
  <w:documentProtection w:edit="readOnly" w:enforcement="0"/>
  <w:defaultTabStop w:val="420"/>
  <w:drawingGridHorizontalSpacing w:val="105"/>
  <w:drawingGridVerticalSpacing w:val="156"/>
  <w:displayHorizontalDrawingGridEvery w:val="0"/>
  <w:displayVerticalDrawingGridEvery w:val="1"/>
  <w:characterSpacingControl w:val="compressPunctuation"/>
  <w:compat>
    <w:spaceForUL/>
    <w:balanceSingleByteDoubleByteWidth/>
    <w:ulTrailSpace/>
    <w:doNotExpandShiftReturn/>
    <w:adjustLineHeightInTable/>
    <w:useAltKinsokuLineBreakRules/>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Body Text"/>
    <w:basedOn w:val="0"/>
    <w:pPr>
      <w:widowControl w:val="0"/>
      <w:jc w:val="left"/>
    </w:pPr>
    <w:rPr>
      <w:rFonts w:ascii="Calibri" w:eastAsia="宋体" w:cs="Arial" w:hAnsi="Calibri"/>
      <w:kern w:val="0"/>
      <w:sz w:val="24"/>
      <w:szCs w:val="24"/>
      <w:lang w:val="en-US" w:eastAsia="zh-CN" w:bidi="ar-SA"/>
    </w:rPr>
  </w:style>
  <w:style w:type="paragraph" w:styleId="16">
    <w:name w:val="footer"/>
    <w:basedOn w:val="0"/>
    <w:pPr>
      <w:tabs>
        <w:tab w:val="center" w:pos="4153"/>
        <w:tab w:val="right" w:pos="8306"/>
      </w:tabs>
      <w:snapToGrid w:val="0"/>
      <w:jc w:val="left"/>
    </w:pPr>
    <w:rPr>
      <w:sz w:val="18"/>
    </w:rPr>
  </w:style>
  <w:style w:type="paragraph" w:styleId="17">
    <w:name w:val="header"/>
    <w:basedOn w:val="0"/>
    <w:pPr>
      <w:pBdr>
        <w:top w:val="none" w:sz="0" w:space="0" w:color="auto"/>
        <w:left w:val="none" w:sz="0" w:space="0" w:color="auto"/>
        <w:bottom w:val="none" w:sz="0" w:space="0" w:color="auto"/>
        <w:right w:val="none" w:sz="0" w:space="0" w:color="auto"/>
      </w:pBdr>
      <w:tabs>
        <w:tab w:val="center" w:pos="4153"/>
        <w:tab w:val="right" w:pos="8306"/>
      </w:tabs>
      <w:snapToGrid w:val="0"/>
      <w:spacing w:line="240" w:lineRule="auto"/>
      <w:jc w:val="both"/>
      <w:outlineLvl w:val="9"/>
    </w:pPr>
    <w:rPr>
      <w:sz w:val="18"/>
    </w:rPr>
  </w:style>
  <w:style w:type="paragraph" w:styleId="18">
    <w:name w:val="Normal (Web)"/>
    <w:basedOn w:val="0"/>
    <w:pPr>
      <w:widowControl/>
      <w:spacing w:before="100" w:beforeAutospacing="1" w:after="100" w:afterAutospacing="1"/>
      <w:jc w:val="left"/>
    </w:pPr>
    <w:rPr>
      <w:rFonts w:ascii="宋体" w:eastAsia="宋体" w:cs="宋体"/>
      <w:kern w:val="0"/>
      <w:sz w:val="24"/>
      <w:szCs w:val="24"/>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10</TotalTime>
  <Application>Yozo_Office27021597764231179</Application>
  <Pages>5</Pages>
  <Words>1637</Words>
  <Characters>1748</Characters>
  <Lines>108</Lines>
  <Paragraphs>73</Paragraphs>
  <CharactersWithSpaces>1832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JCDZ</dc:creator>
  <cp:lastModifiedBy>Administrator</cp:lastModifiedBy>
  <cp:revision>1</cp:revision>
  <cp:lastPrinted>2022-08-10T07:55:00Z</cp:lastPrinted>
  <dcterms:created xsi:type="dcterms:W3CDTF">2022-08-10T07:55:00Z</dcterms:created>
  <dcterms:modified xsi:type="dcterms:W3CDTF">2022-08-10T07:40:56Z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2052-11.8.2.10386</vt:lpwstr>
  </property>
</Properties>
</file>