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1</w:t>
      </w:r>
      <w:r>
        <w:rPr>
          <w:rFonts w:ascii="黑体" w:hAnsi="黑体" w:eastAsia="黑体" w:cs="黑体"/>
          <w:b/>
          <w:color w:val="000000"/>
          <w:sz w:val="44"/>
        </w:rPr>
        <w:t>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center"/>
        <w:outlineLvl w:val="9"/>
      </w:pPr>
    </w:p>
    <w:p>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rPr>
          <w:rFonts w:hint="eastAsia"/>
          <w:lang w:val="en-US" w:eastAsia="zh-CN"/>
        </w:rPr>
        <w:t xml:space="preserve">3 </w:t>
      </w:r>
      <w:r>
        <w:fldChar w:fldCharType="end"/>
      </w:r>
    </w:p>
    <w:p>
      <w:pPr>
        <w:pStyle w:val="3"/>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fldChar w:fldCharType="begin"/>
      </w:r>
      <w:r>
        <w:instrText xml:space="preserve">PAGEREF _Toc_2_2_0000000002 \h</w:instrText>
      </w:r>
      <w:r>
        <w:fldChar w:fldCharType="separate"/>
      </w:r>
      <w:r>
        <w:rPr>
          <w:rFonts w:hint="eastAsia"/>
          <w:lang w:val="en-US" w:eastAsia="zh-CN"/>
        </w:rPr>
        <w:t>5</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rPr>
          <w:rFonts w:hint="eastAsia"/>
          <w:lang w:eastAsia="zh-CN"/>
        </w:rPr>
        <w:t>单位</w:t>
      </w:r>
      <w:r>
        <w:t>预算支出总表</w:t>
      </w:r>
      <w:r>
        <w:tab/>
      </w:r>
      <w:r>
        <w:rPr>
          <w:rFonts w:hint="eastAsia"/>
          <w:lang w:val="en-US" w:eastAsia="zh-CN"/>
        </w:rPr>
        <w:t>7</w:t>
      </w:r>
      <w:r>
        <w:fldChar w:fldCharType="end"/>
      </w:r>
    </w:p>
    <w:p>
      <w:pPr>
        <w:pStyle w:val="3"/>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rPr>
          <w:rFonts w:hint="eastAsia"/>
          <w:lang w:eastAsia="zh-CN"/>
        </w:rPr>
        <w:t>单位</w:t>
      </w:r>
      <w:r>
        <w:t>预算财政拨款收支总表</w:t>
      </w:r>
      <w:r>
        <w:tab/>
      </w:r>
      <w:r>
        <w:rPr>
          <w:rFonts w:hint="eastAsia"/>
          <w:lang w:val="en-US" w:eastAsia="zh-CN"/>
        </w:rPr>
        <w:t>8</w:t>
      </w:r>
      <w:r>
        <w:fldChar w:fldCharType="end"/>
      </w:r>
    </w:p>
    <w:p>
      <w:pPr>
        <w:pStyle w:val="3"/>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rPr>
          <w:rFonts w:hint="eastAsia"/>
          <w:lang w:val="en-US" w:eastAsia="zh-CN"/>
        </w:rPr>
        <w:t>1</w:t>
      </w:r>
      <w:r>
        <w:fldChar w:fldCharType="end"/>
      </w:r>
      <w:r>
        <w:rPr>
          <w:rFonts w:hint="eastAsia"/>
          <w:lang w:val="en-US" w:eastAsia="zh-CN"/>
        </w:rPr>
        <w:t>0</w:t>
      </w:r>
    </w:p>
    <w:p>
      <w:pPr>
        <w:pStyle w:val="3"/>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rPr>
          <w:rFonts w:hint="eastAsia"/>
          <w:lang w:val="en-US" w:eastAsia="zh-CN"/>
        </w:rPr>
        <w:t>1</w:t>
      </w:r>
      <w:r>
        <w:fldChar w:fldCharType="end"/>
      </w:r>
      <w:r>
        <w:rPr>
          <w:rFonts w:hint="eastAsia"/>
          <w:lang w:val="en-US" w:eastAsia="zh-CN"/>
        </w:rPr>
        <w:t>1</w:t>
      </w:r>
    </w:p>
    <w:p>
      <w:pPr>
        <w:pStyle w:val="3"/>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rPr>
          <w:rFonts w:hint="eastAsia"/>
          <w:lang w:eastAsia="zh-CN"/>
        </w:rPr>
        <w:t>单位</w:t>
      </w:r>
      <w:r>
        <w:t>预算政府基金预算财政拨款支出表</w:t>
      </w:r>
      <w:r>
        <w:tab/>
      </w:r>
      <w:r>
        <w:rPr>
          <w:rFonts w:hint="eastAsia"/>
          <w:lang w:val="en-US" w:eastAsia="zh-CN"/>
        </w:rPr>
        <w:t>1</w:t>
      </w:r>
      <w:r>
        <w:fldChar w:fldCharType="end"/>
      </w:r>
      <w:r>
        <w:rPr>
          <w:rFonts w:hint="eastAsia"/>
          <w:lang w:val="en-US" w:eastAsia="zh-CN"/>
        </w:rPr>
        <w:t>2</w:t>
      </w:r>
    </w:p>
    <w:p>
      <w:pPr>
        <w:pStyle w:val="3"/>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rPr>
          <w:rFonts w:hint="eastAsia"/>
          <w:lang w:val="en-US" w:eastAsia="zh-CN"/>
        </w:rPr>
        <w:t>1</w:t>
      </w:r>
      <w:r>
        <w:fldChar w:fldCharType="end"/>
      </w:r>
      <w:r>
        <w:rPr>
          <w:rFonts w:hint="eastAsia"/>
          <w:lang w:val="en-US" w:eastAsia="zh-CN"/>
        </w:rPr>
        <w:t>3</w:t>
      </w:r>
    </w:p>
    <w:p>
      <w:pPr>
        <w:pStyle w:val="3"/>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rPr>
          <w:rFonts w:hint="eastAsia"/>
          <w:lang w:val="en-US" w:eastAsia="zh-CN"/>
        </w:rPr>
        <w:t>1</w:t>
      </w:r>
      <w:r>
        <w:fldChar w:fldCharType="end"/>
      </w:r>
      <w:r>
        <w:rPr>
          <w:rFonts w:hint="eastAsia"/>
          <w:lang w:val="en-US" w:eastAsia="zh-CN"/>
        </w:rPr>
        <w:t>4</w:t>
      </w:r>
    </w:p>
    <w:p>
      <w:r>
        <w:fldChar w:fldCharType="end"/>
      </w:r>
    </w:p>
    <w:p>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pPr>
        <w:pStyle w:val="3"/>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rPr>
          <w:rFonts w:hint="eastAsia"/>
          <w:lang w:val="en-US" w:eastAsia="zh-CN"/>
        </w:rPr>
        <w:t>1</w:t>
      </w:r>
      <w:r>
        <w:fldChar w:fldCharType="end"/>
      </w:r>
      <w:r>
        <w:rPr>
          <w:rFonts w:hint="eastAsia"/>
          <w:lang w:val="en-US" w:eastAsia="zh-CN"/>
        </w:rPr>
        <w:t>5</w:t>
      </w:r>
    </w:p>
    <w:p>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rPr>
          <w:rFonts w:hint="eastAsia"/>
          <w:lang w:val="en-US" w:eastAsia="zh-CN"/>
        </w:rPr>
        <w:t>1</w:t>
      </w:r>
      <w:r>
        <w:fldChar w:fldCharType="end"/>
      </w:r>
      <w:r>
        <w:rPr>
          <w:rFonts w:hint="eastAsia"/>
          <w:lang w:val="en-US" w:eastAsia="zh-CN"/>
        </w:rPr>
        <w:t>7</w:t>
      </w:r>
    </w:p>
    <w:p>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1</w:t>
      </w:r>
      <w:r>
        <w:fldChar w:fldCharType="end"/>
      </w:r>
      <w:r>
        <w:rPr>
          <w:rFonts w:hint="eastAsia"/>
          <w:lang w:val="en-US" w:eastAsia="zh-CN"/>
        </w:rPr>
        <w:t>8</w:t>
      </w:r>
    </w:p>
    <w:p>
      <w:pPr>
        <w:pStyle w:val="3"/>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1</w:t>
      </w:r>
      <w:r>
        <w:fldChar w:fldCharType="end"/>
      </w:r>
      <w:r>
        <w:rPr>
          <w:rFonts w:hint="eastAsia"/>
          <w:lang w:val="en-US" w:eastAsia="zh-CN"/>
        </w:rPr>
        <w:t>8</w:t>
      </w:r>
    </w:p>
    <w:p>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1</w:t>
      </w:r>
      <w:r>
        <w:fldChar w:fldCharType="end"/>
      </w:r>
      <w:r>
        <w:rPr>
          <w:rFonts w:hint="eastAsia"/>
          <w:lang w:val="en-US" w:eastAsia="zh-CN"/>
        </w:rPr>
        <w:t>8</w:t>
      </w:r>
    </w:p>
    <w:p>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4</w:t>
      </w:r>
      <w:r>
        <w:fldChar w:fldCharType="end"/>
      </w:r>
      <w:r>
        <w:rPr>
          <w:rFonts w:hint="eastAsia"/>
          <w:lang w:val="en-US" w:eastAsia="zh-CN"/>
        </w:rPr>
        <w:t>6</w:t>
      </w:r>
    </w:p>
    <w:p>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4</w:t>
      </w:r>
      <w:r>
        <w:fldChar w:fldCharType="end"/>
      </w:r>
      <w:r>
        <w:rPr>
          <w:rFonts w:hint="eastAsia"/>
          <w:lang w:val="en-US" w:eastAsia="zh-CN"/>
        </w:rPr>
        <w:t>6</w:t>
      </w:r>
    </w:p>
    <w:p>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4</w:t>
      </w:r>
      <w:r>
        <w:fldChar w:fldCharType="end"/>
      </w:r>
      <w:r>
        <w:rPr>
          <w:rFonts w:hint="eastAsia"/>
          <w:lang w:val="en-US" w:eastAsia="zh-CN"/>
        </w:rPr>
        <w:t>7</w:t>
      </w:r>
    </w:p>
    <w:p>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4</w:t>
      </w:r>
      <w:r>
        <w:fldChar w:fldCharType="end"/>
      </w:r>
      <w:r>
        <w:rPr>
          <w:rFonts w:hint="eastAsia"/>
          <w:lang w:val="en-US" w:eastAsia="zh-CN"/>
        </w:rPr>
        <w:t>8</w:t>
      </w:r>
    </w:p>
    <w:p>
      <w:r>
        <w:fldChar w:fldCharType="end"/>
      </w:r>
    </w:p>
    <w:p>
      <w:pPr>
        <w:spacing w:before="0" w:after="0" w:line="240" w:lineRule="auto"/>
        <w:ind w:firstLine="0"/>
        <w:jc w:val="center"/>
        <w:outlineLvl w:val="9"/>
        <w:rPr>
          <w:rFonts w:ascii="方正小标宋_GBK" w:hAnsi="方正小标宋_GBK" w:eastAsia="方正小标宋_GBK" w:cs="方正小标宋_GBK"/>
          <w:b w:val="0"/>
          <w:color w:val="000000"/>
          <w:sz w:val="44"/>
        </w:rPr>
      </w:pPr>
      <w:bookmarkStart w:id="0" w:name="_Toc_4_4_0000000019"/>
    </w:p>
    <w:p>
      <w:pPr>
        <w:spacing w:before="0" w:after="0" w:line="240" w:lineRule="auto"/>
        <w:ind w:firstLine="0"/>
        <w:jc w:val="center"/>
        <w:outlineLvl w:val="9"/>
        <w:rPr>
          <w:rFonts w:ascii="方正小标宋_GBK" w:hAnsi="方正小标宋_GBK" w:eastAsia="方正小标宋_GBK" w:cs="方正小标宋_GBK"/>
          <w:b w:val="0"/>
          <w:color w:val="000000"/>
          <w:sz w:val="44"/>
        </w:rPr>
      </w:pPr>
    </w:p>
    <w:p>
      <w:pPr>
        <w:spacing w:before="0" w:after="0" w:line="240" w:lineRule="auto"/>
        <w:ind w:firstLine="0"/>
        <w:jc w:val="center"/>
        <w:outlineLvl w:val="9"/>
        <w:rPr>
          <w:rFonts w:ascii="方正小标宋_GBK" w:hAnsi="方正小标宋_GBK" w:eastAsia="方正小标宋_GBK" w:cs="方正小标宋_GBK"/>
          <w:b w:val="0"/>
          <w:color w:val="000000"/>
          <w:sz w:val="44"/>
        </w:rPr>
      </w:pPr>
    </w:p>
    <w:p>
      <w:pPr>
        <w:spacing w:before="0" w:after="0" w:line="240" w:lineRule="auto"/>
        <w:ind w:firstLine="0"/>
        <w:jc w:val="center"/>
        <w:outlineLvl w:val="9"/>
        <w:rPr>
          <w:rFonts w:ascii="方正小标宋_GBK" w:hAnsi="方正小标宋_GBK" w:eastAsia="方正小标宋_GBK" w:cs="方正小标宋_GBK"/>
          <w:b w:val="0"/>
          <w:color w:val="000000"/>
          <w:sz w:val="44"/>
        </w:rPr>
      </w:pPr>
    </w:p>
    <w:p>
      <w:pPr>
        <w:spacing w:before="0" w:after="0" w:line="240" w:lineRule="auto"/>
        <w:ind w:firstLine="0"/>
        <w:jc w:val="center"/>
        <w:outlineLvl w:val="9"/>
        <w:rPr>
          <w:rFonts w:ascii="方正小标宋_GBK" w:hAnsi="方正小标宋_GBK" w:eastAsia="方正小标宋_GBK" w:cs="方正小标宋_GBK"/>
          <w:b w:val="0"/>
          <w:color w:val="000000"/>
          <w:sz w:val="44"/>
        </w:rPr>
      </w:pPr>
    </w:p>
    <w:p>
      <w:pPr>
        <w:spacing w:before="0" w:after="0" w:line="240" w:lineRule="auto"/>
        <w:ind w:firstLine="0"/>
        <w:jc w:val="center"/>
        <w:outlineLvl w:val="9"/>
        <w:rPr>
          <w:rFonts w:ascii="方正小标宋_GBK" w:hAnsi="方正小标宋_GBK" w:eastAsia="方正小标宋_GBK" w:cs="方正小标宋_GBK"/>
          <w:b w:val="0"/>
          <w:color w:val="000000"/>
          <w:sz w:val="44"/>
        </w:rPr>
      </w:pPr>
    </w:p>
    <w:p>
      <w:pPr>
        <w:spacing w:before="0" w:after="0" w:line="240" w:lineRule="auto"/>
        <w:ind w:firstLine="0"/>
        <w:jc w:val="center"/>
        <w:outlineLvl w:val="9"/>
      </w:pPr>
      <w:r>
        <w:rPr>
          <w:rFonts w:ascii="方正小标宋_GBK" w:hAnsi="方正小标宋_GBK" w:eastAsia="方正小标宋_GBK" w:cs="方正小标宋_GBK"/>
          <w:b w:val="0"/>
          <w:color w:val="000000"/>
          <w:sz w:val="44"/>
        </w:rPr>
        <w:t>涞源县住房和城乡建设局本级</w:t>
      </w:r>
      <w:r>
        <w:rPr>
          <w:rFonts w:hint="eastAsia" w:ascii="方正小标宋_GBK" w:hAnsi="方正小标宋_GBK" w:eastAsia="方正小标宋_GBK" w:cs="方正小标宋_GBK"/>
          <w:b w:val="0"/>
          <w:color w:val="000000"/>
          <w:sz w:val="44"/>
          <w:lang w:eastAsia="zh-CN"/>
        </w:rPr>
        <w:t>单位预算公开表</w:t>
      </w:r>
      <w:bookmarkEnd w:id="0"/>
    </w:p>
    <w:p/>
    <w:tbl>
      <w:tblPr>
        <w:tblStyle w:val="6"/>
        <w:tblW w:w="147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12"/>
        <w:gridCol w:w="4196"/>
        <w:gridCol w:w="2700"/>
        <w:gridCol w:w="4950"/>
        <w:gridCol w:w="24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14758" w:type="dxa"/>
            <w:gridSpan w:val="5"/>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3"/>
                <w:szCs w:val="43"/>
                <w:u w:val="none"/>
              </w:rPr>
            </w:pPr>
            <w:r>
              <w:rPr>
                <w:rFonts w:hint="eastAsia" w:ascii="宋体" w:hAnsi="宋体" w:eastAsia="宋体" w:cs="宋体"/>
                <w:b/>
                <w:bCs/>
                <w:i w:val="0"/>
                <w:iCs w:val="0"/>
                <w:color w:val="000000"/>
                <w:kern w:val="0"/>
                <w:sz w:val="43"/>
                <w:szCs w:val="43"/>
                <w:u w:val="none"/>
                <w:lang w:val="en-US" w:eastAsia="zh-CN" w:bidi="ar"/>
              </w:rPr>
              <w:t>单位预算收支总表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408" w:type="dxa"/>
            <w:gridSpan w:val="3"/>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预算单位编码及名称：[333001]涞源县住房和城乡建设局本级</w:t>
            </w:r>
          </w:p>
        </w:tc>
        <w:tc>
          <w:tcPr>
            <w:tcW w:w="4950" w:type="dxa"/>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2400" w:type="dxa"/>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68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收入</w:t>
            </w:r>
          </w:p>
        </w:tc>
        <w:tc>
          <w:tcPr>
            <w:tcW w:w="73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1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    目</w:t>
            </w:r>
          </w:p>
        </w:tc>
        <w:tc>
          <w:tcPr>
            <w:tcW w:w="2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预算数</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    目</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41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一、一般公共预算拨款收入</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18768.40</w:t>
            </w: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一、一般公共服务支出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二、政府性基金预算拨款收入</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二、外交支出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三、国有资本经营预算拨款收入</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三、国防支出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四、财政专户管理资金收入</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四、公共安全支出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五、事业收入</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五、教育支出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六、事业单位经营收入</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六、科学技术支出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七、上级补助收入</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七、文化旅游体育与传媒支出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八、附属单位上缴收入</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八、社会保障和就业支出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九、其他收入</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九、社会保险基金支出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十、卫生健康支出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十一、节能环保支出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5388.50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十二、城乡社区支出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6304.61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十三、农林水支出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十四、交通运输支出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十五、资源勘探工业信息等支出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十六、商业服务业等支出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十七、金融支出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十八、援助其他地区支出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十九、自然资源海洋气象等支出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二十、住房保障支出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8885.22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二十一、粮油物资储备支出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二十二、国有资本经营预算支出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二十三、灾害防治及应急管理支出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二十四、预备费</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二十五、其他支出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二十六、转移性支出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二十七、债务还本支出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二十八、债务付息支出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二十九、债务发行费用支出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三十、抗疫特别国债安排的支出</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本年收入合计</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20768.40</w:t>
            </w: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本年支出合计</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20768.40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上年结转结余</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年终结转结余</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4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收入总计</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20768.40</w:t>
            </w:r>
          </w:p>
        </w:tc>
        <w:tc>
          <w:tcPr>
            <w:tcW w:w="4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支出总计</w:t>
            </w:r>
          </w:p>
        </w:tc>
        <w:tc>
          <w:tcPr>
            <w:tcW w:w="2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20768.40</w:t>
            </w:r>
          </w:p>
        </w:tc>
      </w:tr>
    </w:tbl>
    <w:p>
      <w:pPr>
        <w:sectPr>
          <w:footerReference r:id="rId3" w:type="default"/>
          <w:footerReference r:id="rId4" w:type="even"/>
          <w:pgSz w:w="16840" w:h="11900" w:orient="landscape"/>
          <w:pgMar w:top="1361" w:right="1020" w:bottom="1134" w:left="1020" w:header="720" w:footer="720" w:gutter="0"/>
          <w:cols w:space="720" w:num="1"/>
        </w:sectPr>
      </w:pPr>
    </w:p>
    <w:p/>
    <w:tbl>
      <w:tblPr>
        <w:tblStyle w:val="6"/>
        <w:tblW w:w="151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3"/>
        <w:gridCol w:w="1282"/>
        <w:gridCol w:w="3096"/>
        <w:gridCol w:w="1254"/>
        <w:gridCol w:w="1254"/>
        <w:gridCol w:w="1254"/>
        <w:gridCol w:w="891"/>
        <w:gridCol w:w="891"/>
        <w:gridCol w:w="891"/>
        <w:gridCol w:w="891"/>
        <w:gridCol w:w="891"/>
        <w:gridCol w:w="891"/>
        <w:gridCol w:w="8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15120" w:type="dxa"/>
            <w:gridSpan w:val="13"/>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3"/>
                <w:szCs w:val="43"/>
                <w:u w:val="none"/>
              </w:rPr>
            </w:pPr>
            <w:r>
              <w:rPr>
                <w:rFonts w:hint="eastAsia" w:ascii="宋体" w:hAnsi="宋体" w:eastAsia="宋体" w:cs="宋体"/>
                <w:b/>
                <w:bCs/>
                <w:i w:val="0"/>
                <w:iCs w:val="0"/>
                <w:color w:val="000000"/>
                <w:kern w:val="0"/>
                <w:sz w:val="43"/>
                <w:szCs w:val="43"/>
                <w:u w:val="none"/>
                <w:lang w:val="en-US" w:eastAsia="zh-CN" w:bidi="ar"/>
              </w:rPr>
              <w:t>单位预算收入总表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20" w:type="dxa"/>
            <w:gridSpan w:val="9"/>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预算单位编码及名称：[333001]涞源县住房和城乡建设局本级</w:t>
            </w:r>
          </w:p>
        </w:tc>
        <w:tc>
          <w:tcPr>
            <w:tcW w:w="1800" w:type="dxa"/>
            <w:gridSpan w:val="2"/>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1800" w:type="dxa"/>
            <w:gridSpan w:val="2"/>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42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功能分类科目</w:t>
            </w:r>
          </w:p>
        </w:tc>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792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本年收入</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上年结转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科目编码</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科目名称</w:t>
            </w: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小计</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财政拨款收入</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财政专户收入</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事业收入</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经营收入</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上级补助收入</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附属单位上缴收入</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其他收入</w:t>
            </w: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20768.40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20768.40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20768.40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5388.50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5388.50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5388.50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污染防治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5388.50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5388.50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5388.50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2110301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610.70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610.70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610.70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2110302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2110304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固体废弃物与化学品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3277.80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3277.80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3277.80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城乡社区支出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6304.61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6304.61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6304.61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城乡社区管理事务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1881.12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1881.12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1881.12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2120101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1877.32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1877.32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1877.32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2120199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其他城乡社区管理事务支出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城乡社区公共设施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2423.49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2423.49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2423.49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2120303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小城镇基础设施建设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1923.49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1923.49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1923.49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2120399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其他城乡社区公共设施支出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城市基础设施配套费安排的支出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2121301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城市公共设施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8885.22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8885.22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8885.22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保障性安居工程支出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8877.00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8877.00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8877.00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2210105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农村危房改造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老旧小区改造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其他保障性安居工程支出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bl>
    <w:p>
      <w:pPr>
        <w:sectPr>
          <w:pgSz w:w="16840" w:h="11900" w:orient="landscape"/>
          <w:pgMar w:top="1361" w:right="1020" w:bottom="1134" w:left="1020" w:header="720" w:footer="720" w:gutter="0"/>
          <w:cols w:space="720" w:num="1"/>
        </w:sectPr>
      </w:pPr>
    </w:p>
    <w:p/>
    <w:tbl>
      <w:tblPr>
        <w:tblStyle w:val="6"/>
        <w:tblW w:w="1478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0"/>
        <w:gridCol w:w="1350"/>
        <w:gridCol w:w="3180"/>
        <w:gridCol w:w="1768"/>
        <w:gridCol w:w="1545"/>
        <w:gridCol w:w="1545"/>
        <w:gridCol w:w="1215"/>
        <w:gridCol w:w="1365"/>
        <w:gridCol w:w="20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4788" w:type="dxa"/>
            <w:gridSpan w:val="9"/>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3"/>
                <w:szCs w:val="43"/>
                <w:u w:val="none"/>
              </w:rPr>
            </w:pPr>
            <w:r>
              <w:rPr>
                <w:rFonts w:hint="eastAsia" w:ascii="宋体" w:hAnsi="宋体" w:eastAsia="宋体" w:cs="宋体"/>
                <w:b/>
                <w:bCs/>
                <w:i w:val="0"/>
                <w:iCs w:val="0"/>
                <w:color w:val="000000"/>
                <w:kern w:val="0"/>
                <w:sz w:val="43"/>
                <w:szCs w:val="43"/>
                <w:u w:val="none"/>
                <w:lang w:val="en-US" w:eastAsia="zh-CN" w:bidi="ar"/>
              </w:rPr>
              <w:t>单位预算支出总表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653" w:type="dxa"/>
            <w:gridSpan w:val="5"/>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预算单位编码及名称：[333001]涞源县住房和城乡建设局本级</w:t>
            </w:r>
          </w:p>
        </w:tc>
        <w:tc>
          <w:tcPr>
            <w:tcW w:w="2760" w:type="dxa"/>
            <w:gridSpan w:val="2"/>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3375" w:type="dxa"/>
            <w:gridSpan w:val="2"/>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8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45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支出功能分类科目</w:t>
            </w:r>
          </w:p>
        </w:tc>
        <w:tc>
          <w:tcPr>
            <w:tcW w:w="17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本年支出合计</w:t>
            </w:r>
          </w:p>
        </w:tc>
        <w:tc>
          <w:tcPr>
            <w:tcW w:w="15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基本支出</w:t>
            </w:r>
          </w:p>
        </w:tc>
        <w:tc>
          <w:tcPr>
            <w:tcW w:w="15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项目支出</w:t>
            </w:r>
          </w:p>
        </w:tc>
        <w:tc>
          <w:tcPr>
            <w:tcW w:w="12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经营支出</w:t>
            </w:r>
          </w:p>
        </w:tc>
        <w:tc>
          <w:tcPr>
            <w:tcW w:w="13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上缴上级支出</w:t>
            </w:r>
          </w:p>
        </w:tc>
        <w:tc>
          <w:tcPr>
            <w:tcW w:w="2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对附属单位补助支出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科目编码</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科目名称</w:t>
            </w:r>
          </w:p>
        </w:tc>
        <w:tc>
          <w:tcPr>
            <w:tcW w:w="1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5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5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3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7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20768.40</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972.09</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19796.31</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7"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社会保障和就业支出</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190.07</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190.07</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7"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行政事业单位养老支出</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190.07</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190.07</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7"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2080501</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行政单位离退休</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6.36</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6.36</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7"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2080505</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机关事业单位基本养老保险缴费支出</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122.47</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122.47</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2080506</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机关事业单位职业年金缴费支出</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61.24</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61.24</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节能环保支出</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5388.50</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5388.50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7"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21103</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污染防治</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5388.50</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5388.50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2110301</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大气</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610.70</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610.70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2110302</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水体</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1500.00</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2110304</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固体废弃物与化学品</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3277.80</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3277.80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城乡社区支出</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6304.61</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773.80</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5530.81</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21201</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城乡社区管理事务</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1881.12</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773.80</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1107.32</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2120101</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行政运行</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1877.32</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773.80</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1103.52</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7"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2120199</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其他城乡社区管理事务支出</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3.80</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7"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21203</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城乡社区公共设施</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2423.49</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2423.49</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7"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2120303</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小城镇基础设施建设</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1923.49</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1923.49</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2120399</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其他城乡社区公共设施支出</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500.00</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21213</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城市基础设施配套费安排的支出</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2121301</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城市公共设施</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住房保障支出</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8885.22</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8877.00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22101</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保障性安居工程支出</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8877.00</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8877.00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2210105</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农村危房改造</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5000.00</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2210108</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老旧小区改造</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292.00</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292.00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2210199</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其他保障性安居工程支出</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3585.00</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3585.00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22102</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住房改革支出</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2210201</w:t>
            </w:r>
          </w:p>
        </w:tc>
        <w:tc>
          <w:tcPr>
            <w:tcW w:w="3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住房公积金</w:t>
            </w:r>
          </w:p>
        </w:tc>
        <w:tc>
          <w:tcPr>
            <w:tcW w:w="1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bl>
    <w:p>
      <w:pPr>
        <w:sectPr>
          <w:pgSz w:w="16840" w:h="11900" w:orient="landscape"/>
          <w:pgMar w:top="1361" w:right="1020" w:bottom="1134" w:left="1020" w:header="720" w:footer="720" w:gutter="0"/>
          <w:cols w:space="720" w:num="1"/>
        </w:sectPr>
      </w:pPr>
    </w:p>
    <w:p/>
    <w:tbl>
      <w:tblPr>
        <w:tblStyle w:val="6"/>
        <w:tblW w:w="148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0"/>
        <w:gridCol w:w="2430"/>
        <w:gridCol w:w="1680"/>
        <w:gridCol w:w="3240"/>
        <w:gridCol w:w="1680"/>
        <w:gridCol w:w="1680"/>
        <w:gridCol w:w="1680"/>
        <w:gridCol w:w="16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4820" w:type="dxa"/>
            <w:gridSpan w:val="8"/>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3"/>
                <w:szCs w:val="43"/>
                <w:u w:val="none"/>
              </w:rPr>
            </w:pPr>
            <w:r>
              <w:rPr>
                <w:rFonts w:hint="eastAsia" w:ascii="宋体" w:hAnsi="宋体" w:eastAsia="宋体" w:cs="宋体"/>
                <w:b/>
                <w:bCs/>
                <w:i w:val="0"/>
                <w:iCs w:val="0"/>
                <w:color w:val="000000"/>
                <w:kern w:val="0"/>
                <w:sz w:val="43"/>
                <w:szCs w:val="43"/>
                <w:u w:val="none"/>
                <w:lang w:val="en-US" w:eastAsia="zh-CN" w:bidi="ar"/>
              </w:rPr>
              <w:t>单位预算财政拨款收支总表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100" w:type="dxa"/>
            <w:gridSpan w:val="4"/>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预算单位编码及名称：[333001]涞源县住房和城乡建设局本级</w:t>
            </w:r>
          </w:p>
        </w:tc>
        <w:tc>
          <w:tcPr>
            <w:tcW w:w="3360" w:type="dxa"/>
            <w:gridSpan w:val="2"/>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3360" w:type="dxa"/>
            <w:gridSpan w:val="2"/>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4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收入</w:t>
            </w:r>
          </w:p>
        </w:tc>
        <w:tc>
          <w:tcPr>
            <w:tcW w:w="996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    目</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    目</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一般公共预算财政拨款</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政府性基金预算财政拨款</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国有资本经营预算财政拨款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2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一、一般公共预算拨款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18768.40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二、政府性基金预算拨款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二、外交支出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三、国有资本经营预算拨款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三、国防支出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五、教育支出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六、科学技术支出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七、文化旅游体育与传媒支出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八、社会保障和就业支出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九、社会保险基金支出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十一、节能环保支出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5388.50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5388.50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十二、城乡社区支出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6304.61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4304.61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十三、农林水支出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十四、交通运输支出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十五、资源勘探工业信息等支出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十六、商业服务业等支出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十七、金融支出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十八、援助其他地区支出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十九、自然资源海洋气象等支出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8885.22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8885.22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二十一、粮油物资储备支出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二十二、国有资本经营预算支出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二十三、灾害防治及应急管理支出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二十四、预备费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二十五、其他支出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二十六、转移性支出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二十七、债务还本支出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二十八、债务付息支出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二十九、债务发行费用支出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三十、抗疫特别国债安排的支出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本年收入合计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20768.40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本年支出合计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20768.40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18768.40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年初财政拨款结转和结余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年末财政拨款结转和结余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一、一般公共预算拨款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二、政府性基金预算拨款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三、国有资本经营预算拨款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收入总计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20768.40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20768.40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18768.40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bl>
    <w:p>
      <w:pPr>
        <w:sectPr>
          <w:pgSz w:w="16840" w:h="11900" w:orient="landscape"/>
          <w:pgMar w:top="1361" w:right="1020" w:bottom="1134" w:left="1020" w:header="720" w:footer="720" w:gutter="0"/>
          <w:cols w:space="720" w:num="1"/>
        </w:sectPr>
      </w:pPr>
    </w:p>
    <w:p/>
    <w:tbl>
      <w:tblPr>
        <w:tblStyle w:val="6"/>
        <w:tblW w:w="1474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2"/>
        <w:gridCol w:w="1704"/>
        <w:gridCol w:w="3096"/>
        <w:gridCol w:w="2121"/>
        <w:gridCol w:w="1515"/>
        <w:gridCol w:w="1860"/>
        <w:gridCol w:w="1665"/>
        <w:gridCol w:w="2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14743" w:type="dxa"/>
            <w:gridSpan w:val="8"/>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3"/>
                <w:szCs w:val="43"/>
                <w:u w:val="none"/>
              </w:rPr>
            </w:pPr>
            <w:r>
              <w:rPr>
                <w:rFonts w:hint="eastAsia" w:ascii="宋体" w:hAnsi="宋体" w:eastAsia="宋体" w:cs="宋体"/>
                <w:b/>
                <w:bCs/>
                <w:i w:val="0"/>
                <w:iCs w:val="0"/>
                <w:color w:val="000000"/>
                <w:kern w:val="0"/>
                <w:sz w:val="43"/>
                <w:szCs w:val="43"/>
                <w:u w:val="none"/>
                <w:lang w:val="en-US" w:eastAsia="zh-CN" w:bidi="ar"/>
              </w:rPr>
              <w:t>单位预算一般公共预算财政拨款支出表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178" w:type="dxa"/>
            <w:gridSpan w:val="5"/>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预算单位编码及名称：[333001]涞源县住房和城乡建设局本级</w:t>
            </w:r>
          </w:p>
        </w:tc>
        <w:tc>
          <w:tcPr>
            <w:tcW w:w="3525" w:type="dxa"/>
            <w:gridSpan w:val="2"/>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2040" w:type="dxa"/>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4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支出功能分类科目</w:t>
            </w:r>
          </w:p>
        </w:tc>
        <w:tc>
          <w:tcPr>
            <w:tcW w:w="21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50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基本支出</w:t>
            </w:r>
          </w:p>
        </w:tc>
        <w:tc>
          <w:tcPr>
            <w:tcW w:w="20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科目编码</w:t>
            </w:r>
          </w:p>
        </w:tc>
        <w:tc>
          <w:tcPr>
            <w:tcW w:w="3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科目名称</w:t>
            </w:r>
          </w:p>
        </w:tc>
        <w:tc>
          <w:tcPr>
            <w:tcW w:w="21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小计</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人员经费</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公用经费</w:t>
            </w:r>
          </w:p>
        </w:tc>
        <w:tc>
          <w:tcPr>
            <w:tcW w:w="20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1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18768.40</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972.09</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840.57</w:t>
            </w: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131.52</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17796.31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社会保障和就业支出</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190.07</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190.07</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190.07</w:t>
            </w: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行政事业单位养老支出</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190.07</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190.07</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190.07</w:t>
            </w: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2080501</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行政单位离退休</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6.36</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6.36</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6.36</w:t>
            </w: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2080505</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机关事业单位基本养老保险缴费支出</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122.47</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122.47</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122.47</w:t>
            </w: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2080506</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机关事业单位职业年金缴费支出</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61.24</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61.24</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61.24</w:t>
            </w: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节能环保支出</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5388.50</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5388.50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21103</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污染防治</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5388.50</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5388.50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2110301</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大气</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610.70</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610.70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2110302</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水体</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1500.00</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2110304</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固体废弃物与化学品</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3277.80</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3277.80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城乡社区支出</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4304.61</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773.80</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642.28</w:t>
            </w: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131.52</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3530.81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21201</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城乡社区管理事务</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1881.12</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773.80</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642.28</w:t>
            </w: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131.52</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1107.32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2120101</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行政运行</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1877.32</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773.80</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642.28</w:t>
            </w: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131.52</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1103.52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2120199</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其他城乡社区管理事务支出</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3.80</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21203</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城乡社区公共设施</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2423.49</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2423.49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2120303</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小城镇基础设施建设</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1923.49</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1923.49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2120399</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其他城乡社区公共设施支出</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500.00</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住房保障支出</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8885.22</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8877.00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22101</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保障性安居工程支出</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8877.00</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8877.00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2210105</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农村危房改造</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5000.00</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2210108</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老旧小区改造</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292.00</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2210199</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其他保障性安居工程支出</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3585.00</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22102</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住房改革支出</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2210201</w:t>
            </w:r>
          </w:p>
        </w:tc>
        <w:tc>
          <w:tcPr>
            <w:tcW w:w="3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住房公积金</w:t>
            </w:r>
          </w:p>
        </w:tc>
        <w:tc>
          <w:tcPr>
            <w:tcW w:w="2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bl>
    <w:p>
      <w:pPr>
        <w:sectPr>
          <w:pgSz w:w="16840" w:h="11900" w:orient="landscape"/>
          <w:pgMar w:top="1361" w:right="1020" w:bottom="1134" w:left="1020" w:header="720" w:footer="720" w:gutter="0"/>
          <w:cols w:space="720" w:num="1"/>
        </w:sectPr>
      </w:pPr>
    </w:p>
    <w:tbl>
      <w:tblPr>
        <w:tblStyle w:val="6"/>
        <w:tblW w:w="1478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0"/>
        <w:gridCol w:w="1530"/>
        <w:gridCol w:w="3643"/>
        <w:gridCol w:w="2850"/>
        <w:gridCol w:w="3030"/>
        <w:gridCol w:w="29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14788" w:type="dxa"/>
            <w:gridSpan w:val="6"/>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3"/>
                <w:szCs w:val="43"/>
                <w:u w:val="none"/>
              </w:rPr>
            </w:pPr>
            <w:r>
              <w:rPr>
                <w:rFonts w:hint="eastAsia" w:ascii="宋体" w:hAnsi="宋体" w:eastAsia="宋体" w:cs="宋体"/>
                <w:b/>
                <w:bCs/>
                <w:i w:val="0"/>
                <w:iCs w:val="0"/>
                <w:color w:val="000000"/>
                <w:kern w:val="0"/>
                <w:sz w:val="43"/>
                <w:szCs w:val="43"/>
                <w:u w:val="none"/>
                <w:lang w:val="en-US" w:eastAsia="zh-CN" w:bidi="ar"/>
              </w:rPr>
              <w:t>单位预算一般公共预算财政拨款基本支出表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773" w:type="dxa"/>
            <w:gridSpan w:val="4"/>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预算单位编码及名称：[333001]涞源县住房和城乡建设局本级</w:t>
            </w:r>
          </w:p>
        </w:tc>
        <w:tc>
          <w:tcPr>
            <w:tcW w:w="3030" w:type="dxa"/>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2985" w:type="dxa"/>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51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支出部门经济分类科目</w:t>
            </w:r>
          </w:p>
        </w:tc>
        <w:tc>
          <w:tcPr>
            <w:tcW w:w="886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一般公共预算基本支出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科目编码</w:t>
            </w:r>
          </w:p>
        </w:tc>
        <w:tc>
          <w:tcPr>
            <w:tcW w:w="36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科目名称</w:t>
            </w:r>
          </w:p>
        </w:tc>
        <w:tc>
          <w:tcPr>
            <w:tcW w:w="2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人员经费</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公用经费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6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972.09</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840.57</w:t>
            </w: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工资福利支出</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819.21</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819.21</w:t>
            </w: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30101</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基本工资</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65.87</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65.87</w:t>
            </w: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30102</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津贴补贴</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54.37</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54.37</w:t>
            </w: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30103</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奖金</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83.38</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83.38</w:t>
            </w: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30107</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绩效工资</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1.75</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1.75</w:t>
            </w: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30108</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机关事业单位基本养老保险缴费</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122.47</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122.47</w:t>
            </w: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30109</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职业年金缴费</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61.24</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61.24</w:t>
            </w: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30110</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城镇职工基本医疗保险缴费</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42.98</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42.98</w:t>
            </w: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30112</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其他社会保障缴费</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8.51</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8.51</w:t>
            </w: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30113</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住房公积金</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30199</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其他工资福利支出</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370.42</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370.42</w:t>
            </w: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商品和服务支出</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139.92</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8.40</w:t>
            </w: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30201</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办公费</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76.90</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30205</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水费</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30206</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电费</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4.30</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30207</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邮电费</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5.16</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30211</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差旅费</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30217</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公务接待费</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8.00</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30226</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劳务费</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30231</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公务用车运行维护费</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30239</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其他交通费用</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8.40</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8.40</w:t>
            </w: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30299</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其他商品和服务支出</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303</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对个人和家庭的补助</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12.96</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12.96</w:t>
            </w: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30302</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退休费</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6.36</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6.36</w:t>
            </w: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30305</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生活补助</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0.80</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0.80</w:t>
            </w: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30399</w:t>
            </w:r>
          </w:p>
        </w:tc>
        <w:tc>
          <w:tcPr>
            <w:tcW w:w="3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其他对个人和家庭的补助</w:t>
            </w:r>
          </w:p>
        </w:tc>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5.80</w:t>
            </w:r>
          </w:p>
        </w:tc>
        <w:tc>
          <w:tcPr>
            <w:tcW w:w="30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5.80</w:t>
            </w: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bl>
    <w:p>
      <w:pPr>
        <w:sectPr>
          <w:pgSz w:w="16840" w:h="11900" w:orient="landscape"/>
          <w:pgMar w:top="1361" w:right="1020" w:bottom="1134" w:left="1020" w:header="720" w:footer="720" w:gutter="0"/>
          <w:cols w:space="720" w:num="1"/>
        </w:sectPr>
      </w:pPr>
    </w:p>
    <w:tbl>
      <w:tblPr>
        <w:tblStyle w:val="6"/>
        <w:tblW w:w="1480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0"/>
        <w:gridCol w:w="1725"/>
        <w:gridCol w:w="3000"/>
        <w:gridCol w:w="3223"/>
        <w:gridCol w:w="3150"/>
        <w:gridCol w:w="29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14803" w:type="dxa"/>
            <w:gridSpan w:val="6"/>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3"/>
                <w:szCs w:val="43"/>
                <w:u w:val="none"/>
              </w:rPr>
            </w:pPr>
            <w:r>
              <w:rPr>
                <w:rFonts w:hint="eastAsia" w:ascii="宋体" w:hAnsi="宋体" w:eastAsia="宋体" w:cs="宋体"/>
                <w:b/>
                <w:bCs/>
                <w:i w:val="0"/>
                <w:iCs w:val="0"/>
                <w:color w:val="000000"/>
                <w:kern w:val="0"/>
                <w:sz w:val="43"/>
                <w:szCs w:val="43"/>
                <w:u w:val="none"/>
                <w:lang w:val="en-US" w:eastAsia="zh-CN" w:bidi="ar"/>
              </w:rPr>
              <w:t>单位预算政府基金预算财政拨款支出表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698" w:type="dxa"/>
            <w:gridSpan w:val="4"/>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预算单位编码及名称：[333001]涞源县住房和城乡建设局本级</w:t>
            </w:r>
          </w:p>
        </w:tc>
        <w:tc>
          <w:tcPr>
            <w:tcW w:w="3150" w:type="dxa"/>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2955" w:type="dxa"/>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47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支出功能分类科目</w:t>
            </w:r>
          </w:p>
        </w:tc>
        <w:tc>
          <w:tcPr>
            <w:tcW w:w="32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31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基本支出</w:t>
            </w:r>
          </w:p>
        </w:tc>
        <w:tc>
          <w:tcPr>
            <w:tcW w:w="29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科目编码</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科目名称</w:t>
            </w:r>
          </w:p>
        </w:tc>
        <w:tc>
          <w:tcPr>
            <w:tcW w:w="32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1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2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32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城乡社区支出</w:t>
            </w:r>
          </w:p>
        </w:tc>
        <w:tc>
          <w:tcPr>
            <w:tcW w:w="32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21213</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城市基础设施配套费安排的支出</w:t>
            </w:r>
          </w:p>
        </w:tc>
        <w:tc>
          <w:tcPr>
            <w:tcW w:w="32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2121301</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城市公共设施</w:t>
            </w:r>
          </w:p>
        </w:tc>
        <w:tc>
          <w:tcPr>
            <w:tcW w:w="32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c>
          <w:tcPr>
            <w:tcW w:w="3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2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2000.00</w:t>
            </w:r>
          </w:p>
        </w:tc>
      </w:tr>
    </w:tbl>
    <w:p>
      <w:pPr>
        <w:spacing w:before="0" w:after="0" w:line="240" w:lineRule="auto"/>
        <w:ind w:firstLine="420"/>
        <w:jc w:val="left"/>
        <w:outlineLvl w:val="9"/>
        <w:rPr>
          <w:rFonts w:ascii="方正书宋_GBK" w:hAnsi="方正书宋_GBK" w:eastAsia="方正书宋_GBK" w:cs="方正书宋_GBK"/>
          <w:color w:val="000000"/>
          <w:sz w:val="21"/>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tbl>
      <w:tblPr>
        <w:tblStyle w:val="6"/>
        <w:tblW w:w="144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0"/>
        <w:gridCol w:w="1725"/>
        <w:gridCol w:w="3000"/>
        <w:gridCol w:w="3000"/>
        <w:gridCol w:w="3000"/>
        <w:gridCol w:w="3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14475" w:type="dxa"/>
            <w:gridSpan w:val="6"/>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3"/>
                <w:szCs w:val="43"/>
                <w:u w:val="none"/>
              </w:rPr>
            </w:pPr>
            <w:r>
              <w:rPr>
                <w:rFonts w:hint="eastAsia" w:ascii="宋体" w:hAnsi="宋体" w:eastAsia="宋体" w:cs="宋体"/>
                <w:b/>
                <w:bCs/>
                <w:i w:val="0"/>
                <w:iCs w:val="0"/>
                <w:color w:val="000000"/>
                <w:kern w:val="0"/>
                <w:sz w:val="43"/>
                <w:szCs w:val="43"/>
                <w:u w:val="none"/>
                <w:lang w:val="en-US" w:eastAsia="zh-CN" w:bidi="ar"/>
              </w:rPr>
              <w:t>单位预算国有资本经营预算财政拨款支出表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75" w:type="dxa"/>
            <w:gridSpan w:val="4"/>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预算单位编码及名称：[333001]涞源县住房和城乡建设局本级</w:t>
            </w:r>
          </w:p>
        </w:tc>
        <w:tc>
          <w:tcPr>
            <w:tcW w:w="3000" w:type="dxa"/>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3000" w:type="dxa"/>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47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支出功能分类科目</w:t>
            </w:r>
          </w:p>
        </w:tc>
        <w:tc>
          <w:tcPr>
            <w:tcW w:w="30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30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基本支出</w:t>
            </w:r>
          </w:p>
        </w:tc>
        <w:tc>
          <w:tcPr>
            <w:tcW w:w="30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科目编码</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科目名称</w:t>
            </w:r>
          </w:p>
        </w:tc>
        <w:tc>
          <w:tcPr>
            <w:tcW w:w="30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0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0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0" w:type="auto"/>
            <w:gridSpan w:val="6"/>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注：无国有资本经营预算，空表列示。</w:t>
            </w: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p>
    <w:tbl>
      <w:tblPr>
        <w:tblStyle w:val="6"/>
        <w:tblW w:w="142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0"/>
        <w:gridCol w:w="3900"/>
        <w:gridCol w:w="2400"/>
        <w:gridCol w:w="2400"/>
        <w:gridCol w:w="2400"/>
        <w:gridCol w:w="24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14250" w:type="dxa"/>
            <w:gridSpan w:val="6"/>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3"/>
                <w:szCs w:val="43"/>
                <w:u w:val="none"/>
              </w:rPr>
            </w:pPr>
            <w:r>
              <w:rPr>
                <w:rFonts w:hint="eastAsia" w:ascii="宋体" w:hAnsi="宋体" w:eastAsia="宋体" w:cs="宋体"/>
                <w:b/>
                <w:bCs/>
                <w:i w:val="0"/>
                <w:iCs w:val="0"/>
                <w:color w:val="000000"/>
                <w:kern w:val="0"/>
                <w:sz w:val="43"/>
                <w:szCs w:val="43"/>
                <w:u w:val="none"/>
                <w:lang w:val="en-US" w:eastAsia="zh-CN" w:bidi="ar"/>
              </w:rPr>
              <w:t>单位预算财政拨款“三公”经费支出表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450" w:type="dxa"/>
            <w:gridSpan w:val="4"/>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预算单位编码及名称：[333001]涞源县住房和城乡建设局本级</w:t>
            </w:r>
          </w:p>
        </w:tc>
        <w:tc>
          <w:tcPr>
            <w:tcW w:w="2400" w:type="dxa"/>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2400" w:type="dxa"/>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3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  目</w:t>
            </w:r>
          </w:p>
        </w:tc>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资金性质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一般公共预算财政拨款</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政府性基金财政拨款</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国有资本经营预算财政拨款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一、因公出国（境）费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二、公务用车购置及运维费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其中：公务用车购置费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公务用车运行维护费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三、公务接待费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000000"/>
                <w:sz w:val="18"/>
                <w:szCs w:val="18"/>
                <w:u w:val="none"/>
              </w:rPr>
            </w:pPr>
          </w:p>
        </w:tc>
      </w:tr>
    </w:tbl>
    <w:p>
      <w:pPr>
        <w:spacing w:before="0" w:after="0" w:line="240" w:lineRule="auto"/>
        <w:ind w:firstLine="0"/>
        <w:jc w:val="both"/>
        <w:outlineLvl w:val="4"/>
        <w:rPr>
          <w:rFonts w:ascii="方正小标宋_GBK" w:hAnsi="方正小标宋_GBK" w:eastAsia="方正小标宋_GBK" w:cs="方正小标宋_GBK"/>
          <w:b w:val="0"/>
          <w:color w:val="000000"/>
          <w:sz w:val="44"/>
        </w:rPr>
      </w:pPr>
    </w:p>
    <w:p>
      <w:pPr>
        <w:spacing w:before="0" w:after="0" w:line="240" w:lineRule="auto"/>
        <w:ind w:firstLine="0"/>
        <w:jc w:val="both"/>
        <w:outlineLvl w:val="4"/>
        <w:rPr>
          <w:rFonts w:ascii="方正小标宋_GBK" w:hAnsi="方正小标宋_GBK" w:eastAsia="方正小标宋_GBK" w:cs="方正小标宋_GBK"/>
          <w:b w:val="0"/>
          <w:color w:val="000000"/>
          <w:sz w:val="44"/>
        </w:rPr>
      </w:pPr>
    </w:p>
    <w:p>
      <w:pPr>
        <w:spacing w:before="0" w:after="0" w:line="240" w:lineRule="auto"/>
        <w:ind w:firstLine="0"/>
        <w:jc w:val="center"/>
        <w:outlineLvl w:val="4"/>
        <w:rPr>
          <w:rFonts w:ascii="方正小标宋_GBK" w:hAnsi="方正小标宋_GBK" w:eastAsia="方正小标宋_GBK" w:cs="方正小标宋_GBK"/>
          <w:b w:val="0"/>
          <w:color w:val="000000"/>
          <w:sz w:val="44"/>
        </w:rPr>
      </w:pPr>
    </w:p>
    <w:p>
      <w:pPr>
        <w:spacing w:before="0" w:after="0" w:line="240" w:lineRule="auto"/>
        <w:ind w:firstLine="0"/>
        <w:jc w:val="center"/>
        <w:outlineLvl w:val="4"/>
        <w:rPr>
          <w:rFonts w:ascii="方正小标宋_GBK" w:hAnsi="方正小标宋_GBK" w:eastAsia="方正小标宋_GBK" w:cs="方正小标宋_GBK"/>
          <w:b w:val="0"/>
          <w:color w:val="000000"/>
          <w:sz w:val="44"/>
        </w:rPr>
      </w:pPr>
    </w:p>
    <w:p>
      <w:pPr>
        <w:spacing w:before="0" w:after="0" w:line="240" w:lineRule="auto"/>
        <w:ind w:firstLine="0"/>
        <w:jc w:val="center"/>
        <w:outlineLvl w:val="4"/>
        <w:rPr>
          <w:rFonts w:ascii="方正小标宋_GBK" w:hAnsi="方正小标宋_GBK" w:eastAsia="方正小标宋_GBK" w:cs="方正小标宋_GBK"/>
          <w:b w:val="0"/>
          <w:color w:val="000000"/>
          <w:sz w:val="44"/>
        </w:rPr>
      </w:pPr>
    </w:p>
    <w:p>
      <w:pPr>
        <w:spacing w:before="0" w:after="0" w:line="240" w:lineRule="auto"/>
        <w:ind w:firstLine="0"/>
        <w:jc w:val="center"/>
        <w:outlineLvl w:val="4"/>
        <w:rPr>
          <w:rFonts w:ascii="方正小标宋_GBK" w:hAnsi="方正小标宋_GBK" w:eastAsia="方正小标宋_GBK" w:cs="方正小标宋_GBK"/>
          <w:b w:val="0"/>
          <w:color w:val="000000"/>
          <w:sz w:val="44"/>
        </w:rPr>
      </w:pPr>
    </w:p>
    <w:p>
      <w:pPr>
        <w:spacing w:before="0" w:after="0" w:line="240" w:lineRule="auto"/>
        <w:ind w:firstLine="0"/>
        <w:jc w:val="center"/>
        <w:outlineLvl w:val="4"/>
        <w:rPr>
          <w:rFonts w:ascii="方正小标宋_GBK" w:hAnsi="方正小标宋_GBK" w:eastAsia="方正小标宋_GBK" w:cs="方正小标宋_GBK"/>
          <w:b w:val="0"/>
          <w:color w:val="000000"/>
          <w:sz w:val="44"/>
        </w:r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涞源县住房和城乡建设局本级202</w:t>
      </w:r>
      <w:r>
        <w:rPr>
          <w:rFonts w:hint="eastAsia" w:ascii="方正小标宋_GBK" w:hAnsi="方正小标宋_GBK" w:eastAsia="方正小标宋_GBK" w:cs="方正小标宋_GBK"/>
          <w:b w:val="0"/>
          <w:color w:val="000000"/>
          <w:sz w:val="44"/>
          <w:lang w:val="en-US" w:eastAsia="zh-CN"/>
        </w:rPr>
        <w:t>1</w:t>
      </w:r>
      <w:r>
        <w:rPr>
          <w:rFonts w:ascii="方正小标宋_GBK" w:hAnsi="方正小标宋_GBK" w:eastAsia="方正小标宋_GBK" w:cs="方正小标宋_GBK"/>
          <w:b w:val="0"/>
          <w:color w:val="000000"/>
          <w:sz w:val="44"/>
        </w:rPr>
        <w:t>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eastAsia="zh-CN"/>
        </w:rPr>
        <w:t>中华人民共和国预算法</w:t>
      </w:r>
      <w:r>
        <w:rPr>
          <w:rFonts w:ascii="Times New Roman" w:hAnsi="Times New Roman" w:eastAsia="方正仿宋_GBK" w:cs="Times New Roman"/>
          <w:b w:val="0"/>
          <w:color w:val="000000"/>
          <w:sz w:val="28"/>
        </w:rPr>
        <w:t>》、《地方预决算公开操作规程》和《关于进一步推进预算公开工作的实施意见》规定，现将涞源县住房和城乡建设局本级202</w:t>
      </w:r>
      <w:r>
        <w:rPr>
          <w:rFonts w:hint="eastAsia" w:eastAsia="方正仿宋_GBK" w:cs="Times New Roman"/>
          <w:b w:val="0"/>
          <w:color w:val="000000"/>
          <w:sz w:val="28"/>
          <w:lang w:val="en-US" w:eastAsia="zh-CN"/>
        </w:rPr>
        <w:t>1</w:t>
      </w:r>
      <w:r>
        <w:rPr>
          <w:rFonts w:ascii="Times New Roman" w:hAnsi="Times New Roman" w:eastAsia="方正仿宋_GBK" w:cs="Times New Roman"/>
          <w:b w:val="0"/>
          <w:color w:val="000000"/>
          <w:sz w:val="28"/>
        </w:rPr>
        <w:t>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27"/>
      </w:pPr>
      <w:r>
        <w:t>（一）贯彻执行国家、省、市、县有关城乡建设、城市管理的法律、法规、方针、政策，并负责监督实施，研究制定本县有关城市建设和城市管理的规章和发展规划；拟定全县城中村（棚户区）、危旧住房、农村危房的改造计划并指导实施；负责住房城乡建设行业安全生产和工程质量监督。</w:t>
      </w:r>
    </w:p>
    <w:p>
      <w:pPr>
        <w:pStyle w:val="27"/>
      </w:pPr>
      <w:r>
        <w:t>（二）承担城镇低收入家庭住房保障。执行住房保障相关办法并指导实施；会同有关部门做好中央、省、市经济适用住房、廉租、公租住房资金安排并监督实施；制定年度计划并监督实施。</w:t>
      </w:r>
    </w:p>
    <w:p>
      <w:pPr>
        <w:pStyle w:val="27"/>
      </w:pPr>
      <w:r>
        <w:t>（三）负责房地产市场的监督管理。会同有关部门拟定房地产市场调控政策并监督执行；提出房地产行业的发展规划、产业政策，贯彻执行房地产开发、房地产市场管理、房屋交易、房屋租赁有关规章制度并监督实施；指导全县物业管理、规划区内国有土地上房屋征收与补偿工作。</w:t>
      </w:r>
    </w:p>
    <w:p>
      <w:pPr>
        <w:pStyle w:val="27"/>
      </w:pPr>
      <w:r>
        <w:t>（四）负责建筑市场的监督管理。负责国家规定必须招标的房屋建筑和市政基础设施工程招标投标活动的监督工作；制定规范建筑市场各方主体行为的规章制度并监督执行；负责建筑工程质量安全监管，监督执行建筑工程质量、施工安全有关政策、规章制度，组织或参与工程重大质量、安全事故的调查处理；负责推进建筑节能减排，监督执行建筑节能有关政策、规划并指导实施。负责建设工程消防设计审查、消防验收、备案工作。</w:t>
      </w:r>
    </w:p>
    <w:p>
      <w:pPr>
        <w:pStyle w:val="27"/>
      </w:pPr>
      <w:r>
        <w:t>（五）负责城市建设和管理工作。拟订城市建设和管理的政策、规章制度并指导实施；指导城市市政公用设施的建设和安全运行；负责城市公园和城区内园林绿化建设养护及古树名木管理工作。</w:t>
      </w:r>
    </w:p>
    <w:p>
      <w:pPr>
        <w:pStyle w:val="27"/>
      </w:pPr>
      <w:r>
        <w:t>（六）公安交通管理方面侵占城市行车道路、违法停放车辆，在人行横道、广场等公共场所内违反机动车停放、临时停车规定行为法律、法规、规章规定的行政处罚权。</w:t>
      </w:r>
    </w:p>
    <w:p>
      <w:pPr>
        <w:pStyle w:val="27"/>
        <w:keepNext w:val="0"/>
        <w:keepLines w:val="0"/>
        <w:pageBreakBefore w:val="0"/>
        <w:widowControl/>
        <w:kinsoku/>
        <w:wordWrap/>
        <w:overflowPunct/>
        <w:topLinePunct w:val="0"/>
        <w:autoSpaceDE/>
        <w:autoSpaceDN/>
        <w:bidi w:val="0"/>
        <w:adjustRightInd/>
        <w:snapToGrid/>
        <w:spacing w:line="460" w:lineRule="exact"/>
        <w:ind w:firstLine="561"/>
        <w:textAlignment w:val="auto"/>
      </w:pPr>
      <w:r>
        <w:t>（七）负责城市道路、桥梁、照明、排水、燃气、污水、垃圾处理等市政设施运行管理、城市容貌和环境卫生管理、城市园林绿化管理等方面工作，推进数字城管智慧化。</w:t>
      </w:r>
    </w:p>
    <w:p>
      <w:pPr>
        <w:pStyle w:val="27"/>
        <w:keepNext w:val="0"/>
        <w:keepLines w:val="0"/>
        <w:pageBreakBefore w:val="0"/>
        <w:widowControl/>
        <w:kinsoku/>
        <w:wordWrap/>
        <w:overflowPunct/>
        <w:topLinePunct w:val="0"/>
        <w:autoSpaceDE/>
        <w:autoSpaceDN/>
        <w:bidi w:val="0"/>
        <w:adjustRightInd/>
        <w:snapToGrid/>
        <w:spacing w:line="460" w:lineRule="exact"/>
        <w:ind w:firstLine="561"/>
        <w:textAlignment w:val="auto"/>
      </w:pPr>
      <w:r>
        <w:t>（八）负责城市公共管理秩序管理方面的户外广告设置，门头牌匾外立面装修、“街道家具”管理工作。</w:t>
      </w:r>
    </w:p>
    <w:p>
      <w:pPr>
        <w:pStyle w:val="27"/>
        <w:keepNext w:val="0"/>
        <w:keepLines w:val="0"/>
        <w:pageBreakBefore w:val="0"/>
        <w:widowControl/>
        <w:kinsoku/>
        <w:wordWrap/>
        <w:overflowPunct/>
        <w:topLinePunct w:val="0"/>
        <w:autoSpaceDE/>
        <w:autoSpaceDN/>
        <w:bidi w:val="0"/>
        <w:adjustRightInd/>
        <w:snapToGrid/>
        <w:spacing w:line="460" w:lineRule="exact"/>
        <w:ind w:firstLine="561"/>
        <w:textAlignment w:val="auto"/>
      </w:pPr>
      <w:r>
        <w:t>（九）负责城市应急管理等方面的城区道路清融雪以及城市道路、桥梁、照明应急保障，燃气、供热、污水处理等应急工作的指导工作。</w:t>
      </w:r>
    </w:p>
    <w:p>
      <w:pPr>
        <w:pStyle w:val="27"/>
        <w:keepNext w:val="0"/>
        <w:keepLines w:val="0"/>
        <w:pageBreakBefore w:val="0"/>
        <w:widowControl/>
        <w:kinsoku/>
        <w:wordWrap/>
        <w:overflowPunct/>
        <w:topLinePunct w:val="0"/>
        <w:autoSpaceDE/>
        <w:autoSpaceDN/>
        <w:bidi w:val="0"/>
        <w:adjustRightInd/>
        <w:snapToGrid/>
        <w:spacing w:line="460" w:lineRule="exact"/>
        <w:ind w:firstLine="561"/>
        <w:textAlignment w:val="auto"/>
      </w:pPr>
      <w:r>
        <w:t>（十）集中行使“与群众生产生活密切相关、执法频率高、多头执法扰民问题突出、专业技术要求适宜、与城市管理密切相关”的行政处罚，具体包括：</w:t>
      </w:r>
    </w:p>
    <w:p>
      <w:pPr>
        <w:pStyle w:val="27"/>
        <w:keepNext w:val="0"/>
        <w:keepLines w:val="0"/>
        <w:pageBreakBefore w:val="0"/>
        <w:widowControl/>
        <w:kinsoku/>
        <w:wordWrap/>
        <w:overflowPunct/>
        <w:topLinePunct w:val="0"/>
        <w:autoSpaceDE/>
        <w:autoSpaceDN/>
        <w:bidi w:val="0"/>
        <w:adjustRightInd/>
        <w:snapToGrid/>
        <w:spacing w:line="460" w:lineRule="exact"/>
        <w:ind w:firstLine="561"/>
        <w:textAlignment w:val="auto"/>
      </w:pPr>
      <w:r>
        <w:t>1.城市道路、桥梁、照明、排水、燃气、供热、污水等市政公用设施运行方面法律、法规、规章规定的行政处罚权；</w:t>
      </w:r>
    </w:p>
    <w:p>
      <w:pPr>
        <w:pStyle w:val="27"/>
        <w:keepNext w:val="0"/>
        <w:keepLines w:val="0"/>
        <w:pageBreakBefore w:val="0"/>
        <w:widowControl/>
        <w:kinsoku/>
        <w:wordWrap/>
        <w:overflowPunct/>
        <w:topLinePunct w:val="0"/>
        <w:autoSpaceDE/>
        <w:autoSpaceDN/>
        <w:bidi w:val="0"/>
        <w:adjustRightInd/>
        <w:snapToGrid/>
        <w:spacing w:line="460" w:lineRule="exact"/>
        <w:ind w:firstLine="561"/>
        <w:textAlignment w:val="auto"/>
      </w:pPr>
      <w:r>
        <w:t>2.市容环境卫生管理方面法律、法规、规章规定的行政处罚权；</w:t>
      </w:r>
    </w:p>
    <w:p>
      <w:pPr>
        <w:pStyle w:val="27"/>
        <w:keepNext w:val="0"/>
        <w:keepLines w:val="0"/>
        <w:pageBreakBefore w:val="0"/>
        <w:widowControl/>
        <w:kinsoku/>
        <w:wordWrap/>
        <w:overflowPunct/>
        <w:topLinePunct w:val="0"/>
        <w:autoSpaceDE/>
        <w:autoSpaceDN/>
        <w:bidi w:val="0"/>
        <w:adjustRightInd/>
        <w:snapToGrid/>
        <w:spacing w:line="460" w:lineRule="exact"/>
        <w:ind w:firstLine="561"/>
        <w:textAlignment w:val="auto"/>
      </w:pPr>
      <w:r>
        <w:t>3.城市绿化管理方面法律、法规、规章规定的行政处罚权；</w:t>
      </w:r>
    </w:p>
    <w:p>
      <w:pPr>
        <w:pStyle w:val="27"/>
        <w:keepNext w:val="0"/>
        <w:keepLines w:val="0"/>
        <w:pageBreakBefore w:val="0"/>
        <w:widowControl/>
        <w:kinsoku/>
        <w:wordWrap/>
        <w:overflowPunct/>
        <w:topLinePunct w:val="0"/>
        <w:autoSpaceDE/>
        <w:autoSpaceDN/>
        <w:bidi w:val="0"/>
        <w:adjustRightInd/>
        <w:snapToGrid/>
        <w:spacing w:line="460" w:lineRule="exact"/>
        <w:ind w:firstLine="561"/>
        <w:textAlignment w:val="auto"/>
      </w:pPr>
      <w:r>
        <w:t>4.住房和城乡建设管理方面未取得施工许可证或者开工报告未经批准擅自施工的法律、法规、规章规定的行政处罚权和未取得预售许可证进行违法预售或销售的行政处罚权；</w:t>
      </w:r>
    </w:p>
    <w:p>
      <w:pPr>
        <w:pStyle w:val="27"/>
        <w:keepNext w:val="0"/>
        <w:keepLines w:val="0"/>
        <w:pageBreakBefore w:val="0"/>
        <w:widowControl/>
        <w:kinsoku/>
        <w:wordWrap/>
        <w:overflowPunct/>
        <w:topLinePunct w:val="0"/>
        <w:autoSpaceDE/>
        <w:autoSpaceDN/>
        <w:bidi w:val="0"/>
        <w:adjustRightInd/>
        <w:snapToGrid/>
        <w:spacing w:line="460" w:lineRule="exact"/>
        <w:ind w:firstLine="561"/>
        <w:textAlignment w:val="auto"/>
      </w:pPr>
      <w:r>
        <w:t>5.环境保护管理方面建筑施工扬尘污染等行为法律、法规、规章规定的行政处罚权；</w:t>
      </w:r>
    </w:p>
    <w:p>
      <w:pPr>
        <w:pStyle w:val="27"/>
        <w:keepNext w:val="0"/>
        <w:keepLines w:val="0"/>
        <w:pageBreakBefore w:val="0"/>
        <w:widowControl/>
        <w:kinsoku/>
        <w:wordWrap/>
        <w:overflowPunct/>
        <w:topLinePunct w:val="0"/>
        <w:autoSpaceDE/>
        <w:autoSpaceDN/>
        <w:bidi w:val="0"/>
        <w:adjustRightInd/>
        <w:snapToGrid/>
        <w:spacing w:line="460" w:lineRule="exact"/>
        <w:ind w:firstLine="561"/>
        <w:textAlignment w:val="auto"/>
      </w:pPr>
      <w:r>
        <w:t>6.市场监管管理方面城区范围内违规设置户外广告等法律、法规、规章规定的行政处罚权；</w:t>
      </w:r>
    </w:p>
    <w:p>
      <w:pPr>
        <w:pStyle w:val="27"/>
        <w:keepNext w:val="0"/>
        <w:keepLines w:val="0"/>
        <w:pageBreakBefore w:val="0"/>
        <w:widowControl/>
        <w:kinsoku/>
        <w:wordWrap/>
        <w:overflowPunct/>
        <w:topLinePunct w:val="0"/>
        <w:autoSpaceDE/>
        <w:autoSpaceDN/>
        <w:bidi w:val="0"/>
        <w:adjustRightInd/>
        <w:snapToGrid/>
        <w:spacing w:line="460" w:lineRule="exact"/>
        <w:ind w:firstLine="561"/>
        <w:textAlignment w:val="auto"/>
      </w:pPr>
      <w:r>
        <w:t>7.上述规定未涉及的住房和城乡建设领域法律、法规、规章规定的全部行政处罚权，并实施与上述范围内法律、法规、规章规定的行政处罚权有关的行政强制措施。</w:t>
      </w:r>
    </w:p>
    <w:p>
      <w:pPr>
        <w:pStyle w:val="27"/>
        <w:keepNext w:val="0"/>
        <w:keepLines w:val="0"/>
        <w:pageBreakBefore w:val="0"/>
        <w:widowControl/>
        <w:kinsoku/>
        <w:wordWrap/>
        <w:overflowPunct/>
        <w:topLinePunct w:val="0"/>
        <w:autoSpaceDE/>
        <w:autoSpaceDN/>
        <w:bidi w:val="0"/>
        <w:adjustRightInd/>
        <w:snapToGrid/>
        <w:spacing w:line="460" w:lineRule="exact"/>
        <w:ind w:firstLine="561"/>
        <w:textAlignment w:val="auto"/>
      </w:pPr>
      <w:r>
        <w:t>（十一）完成县委、县政府交办的其他任务。</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580"/>
        <w:gridCol w:w="3580"/>
        <w:gridCol w:w="3580"/>
        <w:gridCol w:w="358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3" w:hRule="atLeast"/>
          <w:tblHeader/>
          <w:jc w:val="center"/>
        </w:trPr>
        <w:tc>
          <w:tcPr>
            <w:tcW w:w="3580" w:type="dxa"/>
            <w:vAlign w:val="center"/>
          </w:tcPr>
          <w:p>
            <w:pPr>
              <w:pStyle w:val="12"/>
            </w:pPr>
            <w:r>
              <w:t>单位名称</w:t>
            </w:r>
          </w:p>
        </w:tc>
        <w:tc>
          <w:tcPr>
            <w:tcW w:w="3580" w:type="dxa"/>
            <w:vAlign w:val="center"/>
          </w:tcPr>
          <w:p>
            <w:pPr>
              <w:pStyle w:val="12"/>
            </w:pPr>
            <w:r>
              <w:t>单位性质</w:t>
            </w:r>
          </w:p>
        </w:tc>
        <w:tc>
          <w:tcPr>
            <w:tcW w:w="3580" w:type="dxa"/>
            <w:vAlign w:val="center"/>
          </w:tcPr>
          <w:p>
            <w:pPr>
              <w:pStyle w:val="12"/>
            </w:pPr>
            <w:r>
              <w:t>单位规格</w:t>
            </w:r>
          </w:p>
        </w:tc>
        <w:tc>
          <w:tcPr>
            <w:tcW w:w="3580"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5" w:hRule="atLeast"/>
          <w:jc w:val="center"/>
        </w:trPr>
        <w:tc>
          <w:tcPr>
            <w:tcW w:w="3580" w:type="dxa"/>
            <w:vAlign w:val="center"/>
          </w:tcPr>
          <w:p>
            <w:pPr>
              <w:pStyle w:val="14"/>
              <w:jc w:val="center"/>
            </w:pPr>
            <w:r>
              <w:t>涞源县住房和城乡建设局本级</w:t>
            </w:r>
          </w:p>
        </w:tc>
        <w:tc>
          <w:tcPr>
            <w:tcW w:w="3580" w:type="dxa"/>
            <w:vAlign w:val="center"/>
          </w:tcPr>
          <w:p>
            <w:pPr>
              <w:pStyle w:val="14"/>
              <w:jc w:val="center"/>
            </w:pPr>
            <w:r>
              <w:t>行政</w:t>
            </w:r>
          </w:p>
        </w:tc>
        <w:tc>
          <w:tcPr>
            <w:tcW w:w="3580" w:type="dxa"/>
            <w:vAlign w:val="center"/>
          </w:tcPr>
          <w:p>
            <w:pPr>
              <w:pStyle w:val="14"/>
              <w:jc w:val="center"/>
            </w:pPr>
            <w:r>
              <w:t>正科级</w:t>
            </w:r>
          </w:p>
        </w:tc>
        <w:tc>
          <w:tcPr>
            <w:tcW w:w="3580" w:type="dxa"/>
            <w:vAlign w:val="center"/>
          </w:tcPr>
          <w:p>
            <w:pPr>
              <w:pStyle w:val="14"/>
              <w:jc w:val="center"/>
            </w:pPr>
            <w: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5" w:hRule="atLeast"/>
          <w:jc w:val="center"/>
        </w:trPr>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综合股</w:t>
            </w:r>
          </w:p>
        </w:tc>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行政</w:t>
            </w:r>
          </w:p>
        </w:tc>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股级</w:t>
            </w:r>
          </w:p>
        </w:tc>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5" w:hRule="atLeast"/>
          <w:jc w:val="center"/>
        </w:trPr>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工程股</w:t>
            </w:r>
          </w:p>
        </w:tc>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行政</w:t>
            </w:r>
          </w:p>
        </w:tc>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股级</w:t>
            </w:r>
          </w:p>
        </w:tc>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5" w:hRule="atLeast"/>
          <w:jc w:val="center"/>
        </w:trPr>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城市管理股</w:t>
            </w:r>
          </w:p>
        </w:tc>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行政</w:t>
            </w:r>
          </w:p>
        </w:tc>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股级</w:t>
            </w:r>
          </w:p>
        </w:tc>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5" w:hRule="atLeast"/>
          <w:jc w:val="center"/>
        </w:trPr>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公用事业管理股</w:t>
            </w:r>
          </w:p>
        </w:tc>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行政</w:t>
            </w:r>
          </w:p>
        </w:tc>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股级</w:t>
            </w:r>
          </w:p>
        </w:tc>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5" w:hRule="atLeast"/>
          <w:jc w:val="center"/>
        </w:trPr>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住房保障股</w:t>
            </w:r>
          </w:p>
        </w:tc>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行政</w:t>
            </w:r>
          </w:p>
        </w:tc>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股级</w:t>
            </w:r>
          </w:p>
        </w:tc>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5" w:hRule="atLeast"/>
          <w:jc w:val="center"/>
        </w:trPr>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涞源县园林绿化管理局</w:t>
            </w:r>
          </w:p>
        </w:tc>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事业</w:t>
            </w:r>
          </w:p>
        </w:tc>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股级</w:t>
            </w:r>
          </w:p>
        </w:tc>
        <w:tc>
          <w:tcPr>
            <w:tcW w:w="3580" w:type="dxa"/>
            <w:vAlign w:val="center"/>
          </w:tcPr>
          <w:p>
            <w:pPr>
              <w:spacing w:line="600" w:lineRule="exact"/>
              <w:jc w:val="center"/>
              <w:rPr>
                <w:rFonts w:hint="eastAsia" w:ascii="方正书宋_GBK" w:hAnsi="方正书宋_GBK" w:eastAsia="方正书宋_GBK" w:cs="方正书宋_GBK"/>
                <w:sz w:val="21"/>
                <w:szCs w:val="24"/>
                <w:lang w:val="en-US" w:eastAsia="uk-UA" w:bidi="ar-SA"/>
              </w:rPr>
            </w:pPr>
            <w:r>
              <w:rPr>
                <w:rFonts w:hint="eastAsia" w:ascii="方正书宋_GBK" w:hAnsi="方正书宋_GBK" w:eastAsia="方正书宋_GBK" w:cs="方正书宋_GBK"/>
                <w:sz w:val="21"/>
                <w:szCs w:val="24"/>
                <w:lang w:val="en-US" w:eastAsia="uk-UA" w:bidi="ar-SA"/>
              </w:rP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keepNext w:val="0"/>
        <w:keepLines w:val="0"/>
        <w:pageBreakBefore w:val="0"/>
        <w:widowControl/>
        <w:kinsoku/>
        <w:wordWrap/>
        <w:overflowPunct/>
        <w:topLinePunct w:val="0"/>
        <w:autoSpaceDE/>
        <w:autoSpaceDN/>
        <w:bidi w:val="0"/>
        <w:adjustRightInd/>
        <w:snapToGrid/>
        <w:spacing w:before="0" w:after="0" w:line="480" w:lineRule="exact"/>
        <w:ind w:firstLine="560"/>
        <w:jc w:val="left"/>
        <w:textAlignment w:val="auto"/>
        <w:outlineLvl w:val="9"/>
      </w:pPr>
      <w:r>
        <w:rPr>
          <w:rFonts w:ascii="Times New Roman" w:hAnsi="Times New Roman" w:eastAsia="方正仿宋_GBK" w:cs="Times New Roman"/>
          <w:b w:val="0"/>
          <w:color w:val="000000"/>
          <w:sz w:val="28"/>
        </w:rPr>
        <w:t>按照预算管理有关规定，目前我单位预算的编制实行综合预算管理，即全部收入和支出都反映在预算中。</w:t>
      </w:r>
    </w:p>
    <w:p>
      <w:pPr>
        <w:pStyle w:val="28"/>
        <w:keepNext w:val="0"/>
        <w:keepLines w:val="0"/>
        <w:pageBreakBefore w:val="0"/>
        <w:widowControl/>
        <w:kinsoku/>
        <w:wordWrap/>
        <w:overflowPunct/>
        <w:topLinePunct w:val="0"/>
        <w:autoSpaceDE/>
        <w:autoSpaceDN/>
        <w:bidi w:val="0"/>
        <w:adjustRightInd/>
        <w:snapToGrid/>
        <w:spacing w:line="460" w:lineRule="exact"/>
        <w:textAlignment w:val="auto"/>
      </w:pPr>
      <w:r>
        <w:t>1、收入说明</w:t>
      </w:r>
    </w:p>
    <w:p>
      <w:pPr>
        <w:pStyle w:val="28"/>
        <w:keepNext w:val="0"/>
        <w:keepLines w:val="0"/>
        <w:pageBreakBefore w:val="0"/>
        <w:widowControl/>
        <w:kinsoku/>
        <w:wordWrap/>
        <w:overflowPunct/>
        <w:topLinePunct w:val="0"/>
        <w:autoSpaceDE/>
        <w:autoSpaceDN/>
        <w:bidi w:val="0"/>
        <w:adjustRightInd/>
        <w:snapToGrid/>
        <w:spacing w:line="460" w:lineRule="exact"/>
        <w:textAlignment w:val="auto"/>
      </w:pPr>
      <w:r>
        <w:t>反映本单位当年全部收入。</w:t>
      </w:r>
      <w:r>
        <w:rPr>
          <w:rFonts w:hint="eastAsia"/>
          <w:lang w:eastAsia="zh-CN"/>
        </w:rPr>
        <w:t>2021</w:t>
      </w:r>
      <w:r>
        <w:t>年预算收入</w:t>
      </w:r>
      <w:r>
        <w:rPr>
          <w:rFonts w:hint="eastAsia"/>
        </w:rPr>
        <w:t>20768.40</w:t>
      </w:r>
      <w:r>
        <w:t>万元，其中：一般公共预算拨款收入</w:t>
      </w:r>
      <w:r>
        <w:rPr>
          <w:rFonts w:hint="eastAsia"/>
        </w:rPr>
        <w:t>18768.40</w:t>
      </w:r>
      <w:r>
        <w:t>万元，政府性基金预算拨款收入</w:t>
      </w:r>
      <w:r>
        <w:rPr>
          <w:rFonts w:hint="eastAsia"/>
          <w:lang w:val="en-US" w:eastAsia="zh-CN"/>
        </w:rPr>
        <w:t>2000.00</w:t>
      </w:r>
      <w:r>
        <w:t>万元。</w:t>
      </w:r>
    </w:p>
    <w:p>
      <w:pPr>
        <w:pStyle w:val="28"/>
        <w:keepNext w:val="0"/>
        <w:keepLines w:val="0"/>
        <w:pageBreakBefore w:val="0"/>
        <w:widowControl/>
        <w:kinsoku/>
        <w:wordWrap/>
        <w:overflowPunct/>
        <w:topLinePunct w:val="0"/>
        <w:autoSpaceDE/>
        <w:autoSpaceDN/>
        <w:bidi w:val="0"/>
        <w:adjustRightInd/>
        <w:snapToGrid/>
        <w:spacing w:line="460" w:lineRule="exact"/>
        <w:textAlignment w:val="auto"/>
      </w:pPr>
      <w:r>
        <w:t>2、支出说明</w:t>
      </w:r>
    </w:p>
    <w:p>
      <w:pPr>
        <w:pStyle w:val="28"/>
        <w:keepNext w:val="0"/>
        <w:keepLines w:val="0"/>
        <w:pageBreakBefore w:val="0"/>
        <w:widowControl/>
        <w:kinsoku/>
        <w:wordWrap/>
        <w:overflowPunct/>
        <w:topLinePunct w:val="0"/>
        <w:autoSpaceDE/>
        <w:autoSpaceDN/>
        <w:bidi w:val="0"/>
        <w:adjustRightInd/>
        <w:snapToGrid/>
        <w:spacing w:line="440" w:lineRule="exact"/>
        <w:textAlignment w:val="auto"/>
      </w:pPr>
      <w:r>
        <w:t>收支预算总表支出栏、基本支出表、项目支出表按经济分类和支出功能分类科目编制，反映涞源县住房和城乡建设局本级年度单位预算中支出预算的总体情况。</w:t>
      </w:r>
      <w:r>
        <w:rPr>
          <w:rFonts w:hint="eastAsia"/>
          <w:lang w:eastAsia="zh-CN"/>
        </w:rPr>
        <w:t>2021</w:t>
      </w:r>
      <w:r>
        <w:t>年支出预算</w:t>
      </w:r>
      <w:r>
        <w:rPr>
          <w:rFonts w:hint="eastAsia"/>
        </w:rPr>
        <w:t>20768.40</w:t>
      </w:r>
      <w:r>
        <w:t>万元，其中基本支出</w:t>
      </w:r>
      <w:r>
        <w:rPr>
          <w:rFonts w:hint="eastAsia"/>
        </w:rPr>
        <w:t>972.09</w:t>
      </w:r>
      <w:r>
        <w:t>万元，包括人员经费</w:t>
      </w:r>
      <w:r>
        <w:rPr>
          <w:rFonts w:hint="eastAsia"/>
        </w:rPr>
        <w:t>840.57</w:t>
      </w:r>
      <w:r>
        <w:t>万元和日常公用经费</w:t>
      </w:r>
      <w:r>
        <w:rPr>
          <w:rFonts w:hint="eastAsia"/>
        </w:rPr>
        <w:t>131.52</w:t>
      </w:r>
      <w:r>
        <w:t>万元；项目支出</w:t>
      </w:r>
      <w:r>
        <w:rPr>
          <w:rFonts w:hint="eastAsia"/>
        </w:rPr>
        <w:t>19796.31</w:t>
      </w:r>
      <w:r>
        <w:t>万元，主要为污水</w:t>
      </w:r>
      <w:r>
        <w:rPr>
          <w:rFonts w:hint="eastAsia"/>
          <w:lang w:eastAsia="zh-CN"/>
        </w:rPr>
        <w:t>处理</w:t>
      </w:r>
      <w:r>
        <w:t>厂、垃圾</w:t>
      </w:r>
      <w:r>
        <w:rPr>
          <w:rFonts w:hint="eastAsia"/>
          <w:lang w:eastAsia="zh-CN"/>
        </w:rPr>
        <w:t>填埋场</w:t>
      </w:r>
      <w:r>
        <w:t>运营费、市政园林城市建设工程款、暖心房工程欠款、老旧小区改造、住房保障费</w:t>
      </w:r>
      <w:bookmarkStart w:id="28" w:name="_GoBack"/>
      <w:bookmarkEnd w:id="28"/>
      <w:r>
        <w:t>用等。</w:t>
      </w:r>
    </w:p>
    <w:p>
      <w:pPr>
        <w:pStyle w:val="28"/>
        <w:keepNext w:val="0"/>
        <w:keepLines w:val="0"/>
        <w:pageBreakBefore w:val="0"/>
        <w:widowControl/>
        <w:kinsoku/>
        <w:wordWrap/>
        <w:overflowPunct/>
        <w:topLinePunct w:val="0"/>
        <w:autoSpaceDE/>
        <w:autoSpaceDN/>
        <w:bidi w:val="0"/>
        <w:adjustRightInd/>
        <w:snapToGrid/>
        <w:spacing w:line="440" w:lineRule="exact"/>
        <w:textAlignment w:val="auto"/>
      </w:pPr>
      <w:r>
        <w:t>3、比上年增减情况</w:t>
      </w:r>
    </w:p>
    <w:p>
      <w:pPr>
        <w:pStyle w:val="28"/>
        <w:keepNext w:val="0"/>
        <w:keepLines w:val="0"/>
        <w:pageBreakBefore w:val="0"/>
        <w:widowControl/>
        <w:kinsoku/>
        <w:wordWrap/>
        <w:overflowPunct/>
        <w:topLinePunct w:val="0"/>
        <w:autoSpaceDE/>
        <w:autoSpaceDN/>
        <w:bidi w:val="0"/>
        <w:adjustRightInd/>
        <w:snapToGrid/>
        <w:spacing w:line="440" w:lineRule="exact"/>
        <w:textAlignment w:val="auto"/>
      </w:pPr>
      <w:r>
        <w:rPr>
          <w:rFonts w:hint="eastAsia"/>
          <w:lang w:eastAsia="zh-CN"/>
        </w:rPr>
        <w:t>2021</w:t>
      </w:r>
      <w:r>
        <w:t>年预算收支安排</w:t>
      </w:r>
      <w:r>
        <w:rPr>
          <w:rFonts w:hint="eastAsia"/>
        </w:rPr>
        <w:t>20768.40</w:t>
      </w:r>
      <w:r>
        <w:t>万元，较202</w:t>
      </w:r>
      <w:r>
        <w:rPr>
          <w:rFonts w:hint="eastAsia"/>
          <w:lang w:val="en-US" w:eastAsia="zh-CN"/>
        </w:rPr>
        <w:t>0</w:t>
      </w:r>
      <w:r>
        <w:t>年预算减少</w:t>
      </w:r>
      <w:r>
        <w:rPr>
          <w:rFonts w:hint="eastAsia"/>
        </w:rPr>
        <w:t>2347.75</w:t>
      </w:r>
      <w:r>
        <w:t>万元，</w:t>
      </w:r>
      <w:r>
        <w:rPr>
          <w:rFonts w:hint="eastAsia"/>
          <w:lang w:eastAsia="zh-CN"/>
        </w:rPr>
        <w:t>主要为</w:t>
      </w:r>
      <w:r>
        <w:rPr>
          <w:rFonts w:hint="eastAsia"/>
        </w:rPr>
        <w:t>去年执法局年初预算在我单位公开，今年执法局预算单独公开</w:t>
      </w:r>
      <w:r>
        <w:t>。</w:t>
      </w:r>
    </w:p>
    <w:p>
      <w:pPr>
        <w:keepNext w:val="0"/>
        <w:keepLines w:val="0"/>
        <w:pageBreakBefore w:val="0"/>
        <w:widowControl/>
        <w:kinsoku/>
        <w:wordWrap/>
        <w:overflowPunct/>
        <w:topLinePunct w:val="0"/>
        <w:autoSpaceDE/>
        <w:autoSpaceDN/>
        <w:bidi w:val="0"/>
        <w:adjustRightInd/>
        <w:snapToGrid/>
        <w:spacing w:before="10" w:after="10" w:line="440" w:lineRule="exact"/>
        <w:ind w:firstLine="640"/>
        <w:jc w:val="left"/>
        <w:textAlignment w:val="auto"/>
        <w:outlineLvl w:val="5"/>
      </w:pPr>
      <w:r>
        <w:rPr>
          <w:rFonts w:ascii="黑体" w:hAnsi="黑体" w:eastAsia="黑体" w:cs="黑体"/>
          <w:color w:val="000000"/>
          <w:sz w:val="32"/>
        </w:rPr>
        <w:t>三、机关运行经费安排情况</w:t>
      </w:r>
    </w:p>
    <w:p>
      <w:pPr>
        <w:pStyle w:val="29"/>
        <w:keepNext w:val="0"/>
        <w:keepLines w:val="0"/>
        <w:pageBreakBefore w:val="0"/>
        <w:widowControl/>
        <w:kinsoku/>
        <w:wordWrap/>
        <w:overflowPunct/>
        <w:topLinePunct w:val="0"/>
        <w:autoSpaceDE/>
        <w:autoSpaceDN/>
        <w:bidi w:val="0"/>
        <w:adjustRightInd/>
        <w:snapToGrid/>
        <w:spacing w:line="440" w:lineRule="exact"/>
        <w:textAlignment w:val="auto"/>
      </w:pPr>
      <w:r>
        <w:rPr>
          <w:rFonts w:hint="eastAsia"/>
          <w:lang w:eastAsia="zh-CN"/>
        </w:rPr>
        <w:t>2021</w:t>
      </w:r>
      <w:r>
        <w:t>年，我单位运行经费共计安排</w:t>
      </w:r>
      <w:r>
        <w:rPr>
          <w:rFonts w:hint="eastAsia"/>
        </w:rPr>
        <w:t>131.52</w:t>
      </w:r>
      <w:r>
        <w:t>万元，主要用于单位日常办公运转、维修、办公用房水电费等日常运行支出。</w:t>
      </w:r>
    </w:p>
    <w:p>
      <w:pPr>
        <w:keepNext w:val="0"/>
        <w:keepLines w:val="0"/>
        <w:pageBreakBefore w:val="0"/>
        <w:widowControl/>
        <w:kinsoku/>
        <w:wordWrap/>
        <w:overflowPunct/>
        <w:topLinePunct w:val="0"/>
        <w:autoSpaceDE/>
        <w:autoSpaceDN/>
        <w:bidi w:val="0"/>
        <w:adjustRightInd/>
        <w:snapToGrid/>
        <w:spacing w:before="10" w:after="10" w:line="440" w:lineRule="exact"/>
        <w:ind w:firstLine="640"/>
        <w:jc w:val="left"/>
        <w:textAlignment w:val="auto"/>
        <w:outlineLvl w:val="5"/>
      </w:pPr>
      <w:r>
        <w:rPr>
          <w:rFonts w:ascii="黑体" w:hAnsi="黑体" w:eastAsia="黑体" w:cs="黑体"/>
          <w:color w:val="000000"/>
          <w:sz w:val="32"/>
        </w:rPr>
        <w:t>四、财政拨款“三公”经费预算情况及增减变化原因</w:t>
      </w:r>
    </w:p>
    <w:p>
      <w:pPr>
        <w:pStyle w:val="30"/>
        <w:keepNext w:val="0"/>
        <w:keepLines w:val="0"/>
        <w:pageBreakBefore w:val="0"/>
        <w:widowControl/>
        <w:kinsoku/>
        <w:wordWrap/>
        <w:overflowPunct/>
        <w:topLinePunct w:val="0"/>
        <w:autoSpaceDE/>
        <w:autoSpaceDN/>
        <w:bidi w:val="0"/>
        <w:adjustRightInd/>
        <w:snapToGrid/>
        <w:spacing w:line="440" w:lineRule="exact"/>
        <w:textAlignment w:val="auto"/>
      </w:pPr>
      <w:r>
        <w:rPr>
          <w:rFonts w:hint="eastAsia"/>
          <w:lang w:eastAsia="zh-CN"/>
        </w:rPr>
        <w:t>2021</w:t>
      </w:r>
      <w:r>
        <w:t>年，我单位财政拨款“三公”经费预算安排27</w:t>
      </w:r>
      <w:r>
        <w:rPr>
          <w:rFonts w:hint="eastAsia"/>
          <w:lang w:val="en-US" w:eastAsia="zh-CN"/>
        </w:rPr>
        <w:t>.00</w:t>
      </w:r>
      <w:r>
        <w:t>万元，其中因公出国（境）费0万元；公务用车购置及运维费19</w:t>
      </w:r>
      <w:r>
        <w:rPr>
          <w:rFonts w:hint="eastAsia"/>
          <w:lang w:val="en-US" w:eastAsia="zh-CN"/>
        </w:rPr>
        <w:t>.00</w:t>
      </w:r>
      <w:r>
        <w:t>万元（其中：公务用车购置费为0</w:t>
      </w:r>
      <w:r>
        <w:rPr>
          <w:rFonts w:hint="eastAsia"/>
          <w:lang w:val="en-US" w:eastAsia="zh-CN"/>
        </w:rPr>
        <w:t>.00</w:t>
      </w:r>
      <w:r>
        <w:t>万元，公务用车运维费19</w:t>
      </w:r>
      <w:r>
        <w:rPr>
          <w:rFonts w:hint="eastAsia"/>
          <w:lang w:val="en-US" w:eastAsia="zh-CN"/>
        </w:rPr>
        <w:t>.00</w:t>
      </w:r>
      <w:r>
        <w:t>万元)；公务接待费8</w:t>
      </w:r>
      <w:r>
        <w:rPr>
          <w:rFonts w:hint="eastAsia"/>
          <w:lang w:val="en-US" w:eastAsia="zh-CN"/>
        </w:rPr>
        <w:t>.00</w:t>
      </w:r>
      <w:r>
        <w:t>万元。与202</w:t>
      </w:r>
      <w:r>
        <w:rPr>
          <w:rFonts w:hint="eastAsia"/>
          <w:lang w:val="en-US" w:eastAsia="zh-CN"/>
        </w:rPr>
        <w:t>0</w:t>
      </w:r>
      <w:r>
        <w:t>年相比</w:t>
      </w:r>
      <w:r>
        <w:rPr>
          <w:rFonts w:hint="eastAsia"/>
          <w:lang w:eastAsia="zh-CN"/>
        </w:rPr>
        <w:t>减少</w:t>
      </w:r>
      <w:r>
        <w:rPr>
          <w:rFonts w:hint="eastAsia"/>
          <w:lang w:val="en-US" w:eastAsia="zh-CN"/>
        </w:rPr>
        <w:t>17.00万元</w:t>
      </w:r>
      <w:r>
        <w:t>，</w:t>
      </w:r>
      <w:r>
        <w:rPr>
          <w:rFonts w:hint="eastAsia"/>
          <w:lang w:eastAsia="zh-CN"/>
        </w:rPr>
        <w:t>主要原因是</w:t>
      </w:r>
      <w:r>
        <w:rPr>
          <w:rFonts w:hint="eastAsia"/>
        </w:rPr>
        <w:t>本年无购车计划；2020年执法局预算与我单位预算一同公开，2021年执法局预算单独公开，故金额减少</w:t>
      </w:r>
      <w:r>
        <w:t>。</w:t>
      </w:r>
    </w:p>
    <w:p>
      <w:pPr>
        <w:keepNext w:val="0"/>
        <w:keepLines w:val="0"/>
        <w:pageBreakBefore w:val="0"/>
        <w:widowControl/>
        <w:numPr>
          <w:ilvl w:val="0"/>
          <w:numId w:val="0"/>
        </w:numPr>
        <w:kinsoku/>
        <w:wordWrap/>
        <w:overflowPunct/>
        <w:topLinePunct w:val="0"/>
        <w:autoSpaceDE/>
        <w:autoSpaceDN/>
        <w:bidi w:val="0"/>
        <w:adjustRightInd/>
        <w:snapToGrid/>
        <w:spacing w:before="10" w:after="10" w:line="460" w:lineRule="exact"/>
        <w:ind w:firstLine="640" w:firstLineChars="200"/>
        <w:jc w:val="left"/>
        <w:textAlignment w:val="auto"/>
        <w:outlineLvl w:val="5"/>
        <w:rPr>
          <w:rFonts w:hint="eastAsia" w:ascii="黑体" w:hAnsi="黑体" w:eastAsia="黑体" w:cs="黑体"/>
          <w:color w:val="000000"/>
          <w:sz w:val="32"/>
          <w:lang w:eastAsia="zh-CN"/>
        </w:rPr>
        <w:sectPr>
          <w:pgSz w:w="16840" w:h="11900" w:orient="landscape"/>
          <w:pgMar w:top="1361" w:right="1020" w:bottom="1361" w:left="1020" w:header="720" w:footer="720" w:gutter="0"/>
          <w:cols w:space="720" w:num="1"/>
        </w:sectPr>
      </w:pPr>
      <w:r>
        <w:rPr>
          <w:rFonts w:hint="eastAsia" w:ascii="黑体" w:hAnsi="黑体" w:eastAsia="黑体" w:cs="黑体"/>
          <w:color w:val="000000"/>
          <w:sz w:val="32"/>
          <w:lang w:eastAsia="zh-CN"/>
        </w:rPr>
        <w:t>五、</w:t>
      </w:r>
      <w:r>
        <w:rPr>
          <w:rFonts w:ascii="黑体" w:hAnsi="黑体" w:eastAsia="黑体" w:cs="黑体"/>
          <w:color w:val="000000"/>
          <w:sz w:val="32"/>
        </w:rPr>
        <w:t>预算绩效信</w:t>
      </w:r>
      <w:r>
        <w:rPr>
          <w:rFonts w:hint="eastAsia" w:ascii="黑体" w:hAnsi="黑体" w:eastAsia="黑体" w:cs="黑体"/>
          <w:color w:val="000000"/>
          <w:sz w:val="32"/>
          <w:lang w:eastAsia="zh-CN"/>
        </w:rPr>
        <w:t>息</w:t>
      </w:r>
    </w:p>
    <w:p>
      <w:pPr>
        <w:ind w:firstLine="562" w:firstLineChars="200"/>
        <w:jc w:val="center"/>
        <w:outlineLvl w:val="3"/>
        <w:rPr>
          <w:rFonts w:ascii="仿宋" w:hAnsi="仿宋" w:eastAsia="仿宋"/>
          <w:b/>
          <w:sz w:val="28"/>
        </w:rPr>
      </w:pPr>
      <w:bookmarkStart w:id="1" w:name="_Toc65328173"/>
      <w:r>
        <w:rPr>
          <w:rFonts w:hint="eastAsia" w:ascii="仿宋" w:hAnsi="仿宋" w:eastAsia="仿宋"/>
          <w:b/>
          <w:sz w:val="28"/>
        </w:rPr>
        <w:t>1.住建局“暖心房”工程款绩效目标表</w:t>
      </w:r>
      <w:bookmarkEnd w:id="1"/>
      <w:r>
        <w:fldChar w:fldCharType="begin"/>
      </w:r>
      <w:r>
        <w:rPr>
          <w:rFonts w:ascii="仿宋" w:hAnsi="仿宋" w:eastAsia="仿宋"/>
          <w:b/>
          <w:sz w:val="28"/>
        </w:rPr>
        <w:instrText xml:space="preserve"> </w:instrText>
      </w:r>
      <w:r>
        <w:rPr>
          <w:rFonts w:hint="eastAsia" w:ascii="仿宋" w:hAnsi="仿宋" w:eastAsia="仿宋"/>
          <w:b/>
          <w:sz w:val="28"/>
        </w:rPr>
        <w:instrText xml:space="preserve">TC 1、住建局\“暖心房\”工程款绩效目标表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1345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573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5739"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130630210QX0HK7V1H8B9</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8319" w:type="dxa"/>
            <w:gridSpan w:val="3"/>
            <w:noWrap w:val="0"/>
            <w:vAlign w:val="center"/>
          </w:tcPr>
          <w:p>
            <w:pPr>
              <w:spacing w:line="300" w:lineRule="exact"/>
              <w:jc w:val="left"/>
              <w:rPr>
                <w:rFonts w:ascii="仿宋" w:hAnsi="仿宋" w:eastAsia="仿宋"/>
              </w:rPr>
            </w:pPr>
            <w:r>
              <w:rPr>
                <w:rFonts w:hint="eastAsia" w:ascii="仿宋" w:hAnsi="仿宋" w:eastAsia="仿宋"/>
              </w:rPr>
              <w:t>住建局</w:t>
            </w:r>
            <w:r>
              <w:rPr>
                <w:rFonts w:hint="cs" w:ascii="仿宋" w:hAnsi="仿宋" w:eastAsia="仿宋"/>
                <w:cs/>
              </w:rPr>
              <w:t>“</w:t>
            </w:r>
            <w:r>
              <w:rPr>
                <w:rFonts w:hint="eastAsia" w:ascii="仿宋" w:hAnsi="仿宋" w:eastAsia="仿宋"/>
              </w:rPr>
              <w:t>暖心房</w:t>
            </w:r>
            <w:r>
              <w:rPr>
                <w:rFonts w:hint="cs" w:ascii="仿宋" w:hAnsi="仿宋" w:eastAsia="仿宋"/>
                <w:cs/>
              </w:rPr>
              <w:t>”</w:t>
            </w:r>
            <w:r>
              <w:rPr>
                <w:rFonts w:hint="eastAsia" w:ascii="仿宋" w:hAnsi="仿宋" w:eastAsia="仿宋"/>
              </w:rPr>
              <w:t>工程款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1000.00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1000.00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5739"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12316" w:type="dxa"/>
            <w:gridSpan w:val="6"/>
            <w:noWrap w:val="0"/>
            <w:vAlign w:val="center"/>
          </w:tcPr>
          <w:p>
            <w:pPr>
              <w:spacing w:line="300" w:lineRule="exact"/>
              <w:jc w:val="left"/>
              <w:rPr>
                <w:rFonts w:ascii="仿宋" w:hAnsi="仿宋" w:eastAsia="仿宋"/>
              </w:rPr>
            </w:pPr>
            <w:r>
              <w:rPr>
                <w:rFonts w:hint="eastAsia" w:ascii="仿宋" w:hAnsi="仿宋" w:eastAsia="仿宋"/>
              </w:rPr>
              <w:t>暖心房工程款。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7015"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7015" w:type="dxa"/>
            <w:gridSpan w:val="2"/>
            <w:tcBorders>
              <w:bottom w:val="single" w:color="000000" w:sz="6" w:space="0"/>
            </w:tcBorders>
            <w:noWrap w:val="0"/>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12316"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解决全县所有农户住房安全。</w:t>
            </w:r>
          </w:p>
          <w:p>
            <w:pPr>
              <w:spacing w:line="300" w:lineRule="exact"/>
              <w:jc w:val="left"/>
              <w:rPr>
                <w:rFonts w:ascii="仿宋" w:hAnsi="仿宋" w:eastAsia="仿宋"/>
              </w:rPr>
            </w:pPr>
            <w:r>
              <w:rPr>
                <w:rFonts w:ascii="仿宋" w:hAnsi="仿宋" w:eastAsia="仿宋"/>
              </w:rPr>
              <w:t>2.</w:t>
            </w:r>
            <w:r>
              <w:rPr>
                <w:rFonts w:hint="eastAsia" w:ascii="仿宋" w:hAnsi="仿宋" w:eastAsia="仿宋"/>
              </w:rPr>
              <w:t>确保全县顺利脱贫。</w:t>
            </w:r>
          </w:p>
          <w:p>
            <w:pPr>
              <w:spacing w:line="300" w:lineRule="exact"/>
              <w:jc w:val="left"/>
              <w:rPr>
                <w:rFonts w:ascii="仿宋" w:hAnsi="仿宋" w:eastAsia="仿宋"/>
              </w:rPr>
            </w:pPr>
            <w:r>
              <w:rPr>
                <w:rFonts w:ascii="仿宋" w:hAnsi="仿宋" w:eastAsia="仿宋"/>
              </w:rPr>
              <w:t>3.</w:t>
            </w:r>
            <w:r>
              <w:rPr>
                <w:rFonts w:hint="eastAsia" w:ascii="仿宋" w:hAnsi="仿宋" w:eastAsia="仿宋"/>
              </w:rPr>
              <w:t>改善农户居住环境。</w:t>
            </w:r>
          </w:p>
        </w:tc>
      </w:tr>
    </w:tbl>
    <w:p>
      <w:pPr>
        <w:spacing w:line="14" w:lineRule="exact"/>
        <w:jc w:val="center"/>
        <w:rPr>
          <w:rFonts w:ascii="仿宋" w:hAnsi="仿宋" w:eastAsia="仿宋"/>
        </w:rPr>
      </w:pPr>
      <w:r>
        <w:rPr>
          <w:rFonts w:ascii="仿宋" w:hAnsi="仿宋" w:eastAsia="仿宋"/>
        </w:rPr>
        <w:t xml:space="preserve"> </w:t>
      </w:r>
    </w:p>
    <w:tbl>
      <w:tblPr>
        <w:tblStyle w:val="6"/>
        <w:tblW w:w="134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6"/>
        <w:gridCol w:w="2145"/>
        <w:gridCol w:w="3405"/>
        <w:gridCol w:w="3015"/>
        <w:gridCol w:w="1590"/>
        <w:gridCol w:w="200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326"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2145"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3405"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3015"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590"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2000"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326"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2145"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3405" w:type="dxa"/>
            <w:noWrap w:val="0"/>
            <w:vAlign w:val="center"/>
          </w:tcPr>
          <w:p>
            <w:pPr>
              <w:spacing w:line="300" w:lineRule="exact"/>
              <w:jc w:val="left"/>
              <w:rPr>
                <w:rFonts w:ascii="仿宋" w:hAnsi="仿宋" w:eastAsia="仿宋"/>
              </w:rPr>
            </w:pPr>
            <w:r>
              <w:rPr>
                <w:rFonts w:hint="eastAsia" w:ascii="仿宋" w:hAnsi="仿宋" w:eastAsia="仿宋"/>
              </w:rPr>
              <w:t>暖心房修缮改造户数</w:t>
            </w:r>
          </w:p>
        </w:tc>
        <w:tc>
          <w:tcPr>
            <w:tcW w:w="3015" w:type="dxa"/>
            <w:noWrap w:val="0"/>
            <w:vAlign w:val="center"/>
          </w:tcPr>
          <w:p>
            <w:pPr>
              <w:spacing w:line="300" w:lineRule="exact"/>
              <w:jc w:val="left"/>
              <w:rPr>
                <w:rFonts w:ascii="仿宋" w:hAnsi="仿宋" w:eastAsia="仿宋"/>
              </w:rPr>
            </w:pPr>
            <w:r>
              <w:rPr>
                <w:rFonts w:hint="eastAsia" w:ascii="仿宋" w:hAnsi="仿宋" w:eastAsia="仿宋"/>
              </w:rPr>
              <w:t>暖心房修缮改造户数</w:t>
            </w:r>
          </w:p>
        </w:tc>
        <w:tc>
          <w:tcPr>
            <w:tcW w:w="1590"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10391</w:t>
            </w:r>
            <w:r>
              <w:rPr>
                <w:rFonts w:hint="eastAsia" w:ascii="仿宋" w:hAnsi="仿宋" w:eastAsia="仿宋"/>
              </w:rPr>
              <w:t>户</w:t>
            </w:r>
          </w:p>
        </w:tc>
        <w:tc>
          <w:tcPr>
            <w:tcW w:w="2000" w:type="dxa"/>
            <w:noWrap w:val="0"/>
            <w:vAlign w:val="center"/>
          </w:tcPr>
          <w:p>
            <w:pPr>
              <w:spacing w:line="300" w:lineRule="exact"/>
              <w:jc w:val="left"/>
              <w:rPr>
                <w:rFonts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326" w:type="dxa"/>
            <w:vMerge w:val="continue"/>
            <w:noWrap w:val="0"/>
            <w:vAlign w:val="center"/>
          </w:tcPr>
          <w:p>
            <w:pPr>
              <w:spacing w:line="300" w:lineRule="exact"/>
              <w:jc w:val="center"/>
              <w:rPr>
                <w:rFonts w:hint="eastAsia" w:ascii="仿宋" w:hAnsi="仿宋" w:eastAsia="仿宋"/>
              </w:rPr>
            </w:pPr>
          </w:p>
        </w:tc>
        <w:tc>
          <w:tcPr>
            <w:tcW w:w="2145" w:type="dxa"/>
            <w:noWrap w:val="0"/>
            <w:vAlign w:val="center"/>
          </w:tcPr>
          <w:p>
            <w:pPr>
              <w:spacing w:line="300" w:lineRule="exact"/>
              <w:jc w:val="left"/>
              <w:rPr>
                <w:rFonts w:hint="eastAsia" w:ascii="仿宋" w:hAnsi="仿宋" w:eastAsia="仿宋"/>
              </w:rPr>
            </w:pPr>
            <w:r>
              <w:rPr>
                <w:rFonts w:hint="eastAsia" w:ascii="仿宋" w:hAnsi="仿宋" w:eastAsia="仿宋"/>
              </w:rPr>
              <w:t>数量指标</w:t>
            </w:r>
          </w:p>
        </w:tc>
        <w:tc>
          <w:tcPr>
            <w:tcW w:w="3405" w:type="dxa"/>
            <w:noWrap w:val="0"/>
            <w:vAlign w:val="center"/>
          </w:tcPr>
          <w:p>
            <w:pPr>
              <w:spacing w:line="300" w:lineRule="exact"/>
              <w:jc w:val="left"/>
              <w:rPr>
                <w:rFonts w:hint="eastAsia" w:ascii="仿宋" w:hAnsi="仿宋" w:eastAsia="仿宋"/>
              </w:rPr>
            </w:pPr>
            <w:r>
              <w:rPr>
                <w:rFonts w:hint="eastAsia" w:ascii="仿宋" w:hAnsi="仿宋" w:eastAsia="仿宋"/>
              </w:rPr>
              <w:t>暖心房改造涉及乡镇数量</w:t>
            </w:r>
          </w:p>
        </w:tc>
        <w:tc>
          <w:tcPr>
            <w:tcW w:w="3015" w:type="dxa"/>
            <w:noWrap w:val="0"/>
            <w:vAlign w:val="center"/>
          </w:tcPr>
          <w:p>
            <w:pPr>
              <w:spacing w:line="300" w:lineRule="exact"/>
              <w:jc w:val="left"/>
              <w:rPr>
                <w:rFonts w:ascii="仿宋" w:hAnsi="仿宋" w:eastAsia="仿宋"/>
              </w:rPr>
            </w:pPr>
            <w:r>
              <w:rPr>
                <w:rFonts w:hint="eastAsia" w:ascii="仿宋" w:hAnsi="仿宋" w:eastAsia="仿宋"/>
              </w:rPr>
              <w:t>暖心房改造涉及乡镇数量</w:t>
            </w:r>
          </w:p>
        </w:tc>
        <w:tc>
          <w:tcPr>
            <w:tcW w:w="1590"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18</w:t>
            </w:r>
            <w:r>
              <w:rPr>
                <w:rFonts w:hint="eastAsia" w:ascii="仿宋" w:hAnsi="仿宋" w:eastAsia="仿宋"/>
              </w:rPr>
              <w:t>个</w:t>
            </w:r>
          </w:p>
        </w:tc>
        <w:tc>
          <w:tcPr>
            <w:tcW w:w="2000"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326" w:type="dxa"/>
            <w:vMerge w:val="continue"/>
            <w:noWrap w:val="0"/>
            <w:vAlign w:val="center"/>
          </w:tcPr>
          <w:p>
            <w:pPr>
              <w:spacing w:line="300" w:lineRule="exact"/>
              <w:jc w:val="center"/>
              <w:rPr>
                <w:rFonts w:hint="eastAsia" w:ascii="仿宋" w:hAnsi="仿宋" w:eastAsia="仿宋"/>
              </w:rPr>
            </w:pPr>
          </w:p>
        </w:tc>
        <w:tc>
          <w:tcPr>
            <w:tcW w:w="2145"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3405" w:type="dxa"/>
            <w:noWrap w:val="0"/>
            <w:vAlign w:val="center"/>
          </w:tcPr>
          <w:p>
            <w:pPr>
              <w:spacing w:line="300" w:lineRule="exact"/>
              <w:jc w:val="left"/>
              <w:rPr>
                <w:rFonts w:hint="eastAsia" w:ascii="仿宋" w:hAnsi="仿宋" w:eastAsia="仿宋"/>
              </w:rPr>
            </w:pPr>
            <w:r>
              <w:rPr>
                <w:rFonts w:hint="eastAsia" w:ascii="仿宋" w:hAnsi="仿宋" w:eastAsia="仿宋"/>
              </w:rPr>
              <w:t>项目完成率</w:t>
            </w:r>
          </w:p>
        </w:tc>
        <w:tc>
          <w:tcPr>
            <w:tcW w:w="3015" w:type="dxa"/>
            <w:noWrap w:val="0"/>
            <w:vAlign w:val="center"/>
          </w:tcPr>
          <w:p>
            <w:pPr>
              <w:spacing w:line="300" w:lineRule="exact"/>
              <w:jc w:val="left"/>
              <w:rPr>
                <w:rFonts w:ascii="仿宋" w:hAnsi="仿宋" w:eastAsia="仿宋"/>
              </w:rPr>
            </w:pPr>
            <w:r>
              <w:rPr>
                <w:rFonts w:hint="eastAsia" w:ascii="仿宋" w:hAnsi="仿宋" w:eastAsia="仿宋"/>
              </w:rPr>
              <w:t>项目实施完成率</w:t>
            </w:r>
          </w:p>
        </w:tc>
        <w:tc>
          <w:tcPr>
            <w:tcW w:w="1590"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2000"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326" w:type="dxa"/>
            <w:vMerge w:val="continue"/>
            <w:noWrap w:val="0"/>
            <w:vAlign w:val="center"/>
          </w:tcPr>
          <w:p>
            <w:pPr>
              <w:spacing w:line="300" w:lineRule="exact"/>
              <w:jc w:val="center"/>
              <w:rPr>
                <w:rFonts w:hint="eastAsia" w:ascii="仿宋" w:hAnsi="仿宋" w:eastAsia="仿宋"/>
              </w:rPr>
            </w:pPr>
          </w:p>
        </w:tc>
        <w:tc>
          <w:tcPr>
            <w:tcW w:w="2145"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3405" w:type="dxa"/>
            <w:noWrap w:val="0"/>
            <w:vAlign w:val="center"/>
          </w:tcPr>
          <w:p>
            <w:pPr>
              <w:spacing w:line="300" w:lineRule="exact"/>
              <w:jc w:val="left"/>
              <w:rPr>
                <w:rFonts w:hint="eastAsia" w:ascii="仿宋" w:hAnsi="仿宋" w:eastAsia="仿宋"/>
              </w:rPr>
            </w:pPr>
            <w:r>
              <w:rPr>
                <w:rFonts w:hint="eastAsia" w:ascii="仿宋" w:hAnsi="仿宋" w:eastAsia="仿宋"/>
              </w:rPr>
              <w:t>按期完成率</w:t>
            </w:r>
          </w:p>
        </w:tc>
        <w:tc>
          <w:tcPr>
            <w:tcW w:w="3015" w:type="dxa"/>
            <w:noWrap w:val="0"/>
            <w:vAlign w:val="center"/>
          </w:tcPr>
          <w:p>
            <w:pPr>
              <w:spacing w:line="300" w:lineRule="exact"/>
              <w:jc w:val="left"/>
              <w:rPr>
                <w:rFonts w:ascii="仿宋" w:hAnsi="仿宋" w:eastAsia="仿宋"/>
              </w:rPr>
            </w:pPr>
            <w:r>
              <w:rPr>
                <w:rFonts w:hint="eastAsia" w:ascii="仿宋" w:hAnsi="仿宋" w:eastAsia="仿宋"/>
              </w:rPr>
              <w:t>项目按期完成率</w:t>
            </w:r>
          </w:p>
        </w:tc>
        <w:tc>
          <w:tcPr>
            <w:tcW w:w="1590"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2000"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326"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2145"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3405" w:type="dxa"/>
            <w:noWrap w:val="0"/>
            <w:vAlign w:val="center"/>
          </w:tcPr>
          <w:p>
            <w:pPr>
              <w:spacing w:line="300" w:lineRule="exact"/>
              <w:jc w:val="left"/>
              <w:rPr>
                <w:rFonts w:hint="eastAsia" w:ascii="仿宋" w:hAnsi="仿宋" w:eastAsia="仿宋"/>
              </w:rPr>
            </w:pPr>
            <w:r>
              <w:rPr>
                <w:rFonts w:hint="eastAsia" w:ascii="仿宋" w:hAnsi="仿宋" w:eastAsia="仿宋"/>
              </w:rPr>
              <w:t>项目受益户数</w:t>
            </w:r>
          </w:p>
        </w:tc>
        <w:tc>
          <w:tcPr>
            <w:tcW w:w="3015" w:type="dxa"/>
            <w:noWrap w:val="0"/>
            <w:vAlign w:val="center"/>
          </w:tcPr>
          <w:p>
            <w:pPr>
              <w:spacing w:line="300" w:lineRule="exact"/>
              <w:jc w:val="left"/>
              <w:rPr>
                <w:rFonts w:ascii="仿宋" w:hAnsi="仿宋" w:eastAsia="仿宋"/>
              </w:rPr>
            </w:pPr>
            <w:r>
              <w:rPr>
                <w:rFonts w:hint="eastAsia" w:ascii="仿宋" w:hAnsi="仿宋" w:eastAsia="仿宋"/>
              </w:rPr>
              <w:t>项目受益户数</w:t>
            </w:r>
          </w:p>
        </w:tc>
        <w:tc>
          <w:tcPr>
            <w:tcW w:w="1590"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10391</w:t>
            </w:r>
            <w:r>
              <w:rPr>
                <w:rFonts w:hint="eastAsia" w:ascii="仿宋" w:hAnsi="仿宋" w:eastAsia="仿宋"/>
              </w:rPr>
              <w:t>户</w:t>
            </w:r>
          </w:p>
        </w:tc>
        <w:tc>
          <w:tcPr>
            <w:tcW w:w="2000"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326" w:type="dxa"/>
            <w:vMerge w:val="continue"/>
            <w:noWrap w:val="0"/>
            <w:vAlign w:val="center"/>
          </w:tcPr>
          <w:p>
            <w:pPr>
              <w:spacing w:line="300" w:lineRule="exact"/>
              <w:jc w:val="center"/>
              <w:rPr>
                <w:rFonts w:hint="eastAsia" w:ascii="仿宋" w:hAnsi="仿宋" w:eastAsia="仿宋"/>
              </w:rPr>
            </w:pPr>
          </w:p>
        </w:tc>
        <w:tc>
          <w:tcPr>
            <w:tcW w:w="2145"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3405" w:type="dxa"/>
            <w:noWrap w:val="0"/>
            <w:vAlign w:val="center"/>
          </w:tcPr>
          <w:p>
            <w:pPr>
              <w:spacing w:line="300" w:lineRule="exact"/>
              <w:jc w:val="left"/>
              <w:rPr>
                <w:rFonts w:hint="eastAsia" w:ascii="仿宋" w:hAnsi="仿宋" w:eastAsia="仿宋"/>
              </w:rPr>
            </w:pPr>
            <w:r>
              <w:rPr>
                <w:rFonts w:hint="eastAsia" w:ascii="仿宋" w:hAnsi="仿宋" w:eastAsia="仿宋"/>
              </w:rPr>
              <w:t>项目验收入住率</w:t>
            </w:r>
          </w:p>
        </w:tc>
        <w:tc>
          <w:tcPr>
            <w:tcW w:w="3015" w:type="dxa"/>
            <w:noWrap w:val="0"/>
            <w:vAlign w:val="center"/>
          </w:tcPr>
          <w:p>
            <w:pPr>
              <w:spacing w:line="300" w:lineRule="exact"/>
              <w:jc w:val="left"/>
              <w:rPr>
                <w:rFonts w:ascii="仿宋" w:hAnsi="仿宋" w:eastAsia="仿宋"/>
              </w:rPr>
            </w:pPr>
            <w:r>
              <w:rPr>
                <w:rFonts w:hint="eastAsia" w:ascii="仿宋" w:hAnsi="仿宋" w:eastAsia="仿宋"/>
              </w:rPr>
              <w:t>项目验收入住率</w:t>
            </w:r>
          </w:p>
        </w:tc>
        <w:tc>
          <w:tcPr>
            <w:tcW w:w="1590"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2000"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326"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2145"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3405" w:type="dxa"/>
            <w:noWrap w:val="0"/>
            <w:vAlign w:val="center"/>
          </w:tcPr>
          <w:p>
            <w:pPr>
              <w:spacing w:line="300" w:lineRule="exact"/>
              <w:jc w:val="left"/>
              <w:rPr>
                <w:rFonts w:hint="eastAsia" w:ascii="仿宋" w:hAnsi="仿宋" w:eastAsia="仿宋"/>
              </w:rPr>
            </w:pPr>
            <w:r>
              <w:rPr>
                <w:rFonts w:hint="eastAsia" w:ascii="仿宋" w:hAnsi="仿宋" w:eastAsia="仿宋"/>
              </w:rPr>
              <w:t>群众满意程度</w:t>
            </w:r>
          </w:p>
        </w:tc>
        <w:tc>
          <w:tcPr>
            <w:tcW w:w="3015" w:type="dxa"/>
            <w:noWrap w:val="0"/>
            <w:vAlign w:val="center"/>
          </w:tcPr>
          <w:p>
            <w:pPr>
              <w:spacing w:line="300" w:lineRule="exact"/>
              <w:jc w:val="left"/>
              <w:rPr>
                <w:rFonts w:ascii="仿宋" w:hAnsi="仿宋" w:eastAsia="仿宋"/>
              </w:rPr>
            </w:pPr>
            <w:r>
              <w:rPr>
                <w:rFonts w:hint="eastAsia" w:ascii="仿宋" w:hAnsi="仿宋" w:eastAsia="仿宋"/>
              </w:rPr>
              <w:t>群众满意程度</w:t>
            </w:r>
          </w:p>
        </w:tc>
        <w:tc>
          <w:tcPr>
            <w:tcW w:w="1590"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2000"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p>
      <w:pPr>
        <w:sectPr>
          <w:pgSz w:w="16840" w:h="11900" w:orient="landscape"/>
          <w:pgMar w:top="1361" w:right="1020" w:bottom="1134" w:left="1020" w:header="720" w:footer="720" w:gutter="0"/>
          <w:cols w:space="720" w:num="1"/>
        </w:sectPr>
      </w:pPr>
    </w:p>
    <w:p>
      <w:pPr>
        <w:ind w:firstLine="562" w:firstLineChars="200"/>
        <w:jc w:val="left"/>
        <w:outlineLvl w:val="3"/>
        <w:rPr>
          <w:rFonts w:ascii="仿宋" w:hAnsi="仿宋" w:eastAsia="仿宋"/>
          <w:b/>
          <w:sz w:val="28"/>
        </w:rPr>
      </w:pPr>
      <w:bookmarkStart w:id="2" w:name="_Toc65328174"/>
      <w:r>
        <w:rPr>
          <w:rFonts w:hint="eastAsia" w:ascii="仿宋" w:hAnsi="仿宋" w:eastAsia="仿宋"/>
          <w:b/>
          <w:sz w:val="28"/>
        </w:rPr>
        <w:t>2.其他保障性住房安居工程支出保障性安居工程绩效目标表</w:t>
      </w:r>
      <w:bookmarkEnd w:id="2"/>
      <w:r>
        <w:fldChar w:fldCharType="begin"/>
      </w:r>
      <w:r>
        <w:rPr>
          <w:rFonts w:ascii="仿宋" w:hAnsi="仿宋" w:eastAsia="仿宋"/>
          <w:b/>
          <w:sz w:val="28"/>
        </w:rPr>
        <w:instrText xml:space="preserve"> </w:instrText>
      </w:r>
      <w:r>
        <w:rPr>
          <w:rFonts w:hint="eastAsia" w:ascii="仿宋" w:hAnsi="仿宋" w:eastAsia="仿宋"/>
          <w:b/>
          <w:sz w:val="28"/>
        </w:rPr>
        <w:instrText xml:space="preserve">TC 2、其他保障性住房安居工程支出保障性安居工程绩效目标表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130630211NOEG9ADPON5C</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其他保障性住房安居工程支出保障性安居工程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2570.00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2570.00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保障性住房及基础设施工程款监理费等。</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p>
        </w:tc>
        <w:tc>
          <w:tcPr>
            <w:tcW w:w="1587" w:type="dxa"/>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16.00%</w:t>
            </w: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为中低收入家庭、外来务工人员提供住房保障，解决住房困难问</w:t>
            </w:r>
          </w:p>
          <w:p>
            <w:pPr>
              <w:spacing w:line="300" w:lineRule="exact"/>
              <w:jc w:val="left"/>
              <w:rPr>
                <w:rFonts w:ascii="仿宋" w:hAnsi="仿宋" w:eastAsia="仿宋"/>
              </w:rPr>
            </w:pPr>
            <w:r>
              <w:rPr>
                <w:rFonts w:ascii="仿宋" w:hAnsi="仿宋" w:eastAsia="仿宋"/>
              </w:rPr>
              <w:t>2.</w:t>
            </w:r>
            <w:r>
              <w:rPr>
                <w:rFonts w:hint="eastAsia" w:ascii="仿宋" w:hAnsi="仿宋" w:eastAsia="仿宋"/>
              </w:rPr>
              <w:t>改善无房居民居住条件。</w:t>
            </w:r>
          </w:p>
          <w:p>
            <w:pPr>
              <w:spacing w:line="300" w:lineRule="exact"/>
              <w:jc w:val="left"/>
              <w:rPr>
                <w:rFonts w:ascii="仿宋" w:hAnsi="仿宋" w:eastAsia="仿宋"/>
              </w:rPr>
            </w:pPr>
            <w:r>
              <w:rPr>
                <w:rFonts w:ascii="仿宋" w:hAnsi="仿宋" w:eastAsia="仿宋"/>
              </w:rPr>
              <w:t>3.</w:t>
            </w:r>
            <w:r>
              <w:rPr>
                <w:rFonts w:hint="eastAsia" w:ascii="仿宋" w:hAnsi="仿宋" w:eastAsia="仿宋"/>
              </w:rPr>
              <w:t>完成保障性住房任务。</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保障房套数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保障房套数</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930</w:t>
            </w:r>
            <w:r>
              <w:rPr>
                <w:rFonts w:hint="eastAsia" w:ascii="仿宋" w:hAnsi="仿宋" w:eastAsia="仿宋"/>
              </w:rPr>
              <w:t>套</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工程验收合格率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工程验收合格率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工作按时完成率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工作按时完成率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项目竣工率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项目竣工率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房屋分配率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房屋分配率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群众满意度</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回访</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3" w:name="_Toc65328175"/>
      <w:r>
        <w:rPr>
          <w:rFonts w:hint="eastAsia" w:ascii="仿宋" w:hAnsi="仿宋" w:eastAsia="仿宋"/>
          <w:b/>
          <w:sz w:val="28"/>
        </w:rPr>
        <w:t>3.住建局王安镇片区马栋、卢红霞安置费绩效目标表</w:t>
      </w:r>
      <w:bookmarkEnd w:id="3"/>
      <w:r>
        <w:fldChar w:fldCharType="begin"/>
      </w:r>
      <w:r>
        <w:rPr>
          <w:rFonts w:ascii="仿宋" w:hAnsi="仿宋" w:eastAsia="仿宋"/>
          <w:b/>
          <w:sz w:val="28"/>
        </w:rPr>
        <w:instrText xml:space="preserve"> </w:instrText>
      </w:r>
      <w:r>
        <w:rPr>
          <w:rFonts w:hint="eastAsia" w:ascii="仿宋" w:hAnsi="仿宋" w:eastAsia="仿宋"/>
          <w:b/>
          <w:sz w:val="28"/>
        </w:rPr>
        <w:instrText xml:space="preserve">TC 3、住建局王安镇片区马栋、卢红霞安置费绩效目标表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130630211PQL11WD0MPOQ</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住建局王安镇片区马栋、卢红霞安置费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3.80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3.80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马栋、卢红霞安置费。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解决</w:t>
            </w:r>
            <w:r>
              <w:rPr>
                <w:rFonts w:ascii="仿宋" w:hAnsi="仿宋" w:eastAsia="仿宋"/>
              </w:rPr>
              <w:t>7.21</w:t>
            </w:r>
            <w:r>
              <w:rPr>
                <w:rFonts w:hint="eastAsia" w:ascii="仿宋" w:hAnsi="仿宋" w:eastAsia="仿宋"/>
              </w:rPr>
              <w:t>灾后重建遗留问题。</w:t>
            </w:r>
          </w:p>
          <w:p>
            <w:pPr>
              <w:spacing w:line="300" w:lineRule="exact"/>
              <w:jc w:val="left"/>
              <w:rPr>
                <w:rFonts w:ascii="仿宋" w:hAnsi="仿宋" w:eastAsia="仿宋"/>
              </w:rPr>
            </w:pPr>
            <w:r>
              <w:rPr>
                <w:rFonts w:ascii="仿宋" w:hAnsi="仿宋" w:eastAsia="仿宋"/>
              </w:rPr>
              <w:t>2.</w:t>
            </w:r>
            <w:r>
              <w:rPr>
                <w:rFonts w:hint="eastAsia" w:ascii="仿宋" w:hAnsi="仿宋" w:eastAsia="仿宋"/>
              </w:rPr>
              <w:t>维护受灾群众合法权益。</w:t>
            </w:r>
          </w:p>
          <w:p>
            <w:pPr>
              <w:spacing w:line="300" w:lineRule="exact"/>
              <w:jc w:val="left"/>
              <w:rPr>
                <w:rFonts w:ascii="仿宋" w:hAnsi="仿宋" w:eastAsia="仿宋"/>
              </w:rPr>
            </w:pPr>
            <w:r>
              <w:rPr>
                <w:rFonts w:ascii="仿宋" w:hAnsi="仿宋" w:eastAsia="仿宋"/>
              </w:rPr>
              <w:t>3.</w:t>
            </w:r>
            <w:r>
              <w:rPr>
                <w:rFonts w:hint="eastAsia" w:ascii="仿宋" w:hAnsi="仿宋" w:eastAsia="仿宋"/>
              </w:rPr>
              <w:t>维护社会稳定。</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资金发放人数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资金发放人数</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2</w:t>
            </w:r>
            <w:r>
              <w:rPr>
                <w:rFonts w:hint="eastAsia" w:ascii="仿宋" w:hAnsi="仿宋" w:eastAsia="仿宋"/>
              </w:rPr>
              <w:t>人</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单据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资金发放完成率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发放完成的比率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单据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支付及时率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资金支付及时率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单据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发放率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实际发放占应发放数的比率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单据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资金受益人数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资金受益的人数</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2</w:t>
            </w:r>
            <w:r>
              <w:rPr>
                <w:rFonts w:hint="eastAsia" w:ascii="仿宋" w:hAnsi="仿宋" w:eastAsia="仿宋"/>
              </w:rPr>
              <w:t>人</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单据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群众满意度满意率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问卷</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4" w:name="_Toc65328176"/>
      <w:r>
        <w:rPr>
          <w:rFonts w:hint="eastAsia" w:ascii="仿宋" w:hAnsi="仿宋" w:eastAsia="仿宋"/>
          <w:b/>
          <w:sz w:val="28"/>
        </w:rPr>
        <w:t>4.住建局关于拨付创园工程第一二标段资金的请示绩效目标表</w:t>
      </w:r>
      <w:bookmarkEnd w:id="4"/>
      <w:r>
        <w:fldChar w:fldCharType="begin"/>
      </w:r>
      <w:r>
        <w:rPr>
          <w:rFonts w:ascii="仿宋" w:hAnsi="仿宋" w:eastAsia="仿宋"/>
          <w:b/>
          <w:sz w:val="28"/>
        </w:rPr>
        <w:instrText xml:space="preserve"> </w:instrText>
      </w:r>
      <w:r>
        <w:rPr>
          <w:rFonts w:hint="eastAsia" w:ascii="仿宋" w:hAnsi="仿宋" w:eastAsia="仿宋"/>
          <w:b/>
          <w:sz w:val="28"/>
        </w:rPr>
        <w:instrText xml:space="preserve">TC 4、住建局关于拨付创园工程第一二标段资金的请示绩效目标表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1306302122RP99I91YZ91</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住建局关于拨付创园工程第一二标段资金的请示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164.1817</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164.1817</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创园工程款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保障广大群众的出行安全和便利，美化环境。</w:t>
            </w:r>
          </w:p>
          <w:p>
            <w:pPr>
              <w:spacing w:line="300" w:lineRule="exact"/>
              <w:jc w:val="left"/>
              <w:rPr>
                <w:rFonts w:ascii="仿宋" w:hAnsi="仿宋" w:eastAsia="仿宋"/>
              </w:rPr>
            </w:pPr>
            <w:r>
              <w:rPr>
                <w:rFonts w:ascii="仿宋" w:hAnsi="仿宋" w:eastAsia="仿宋"/>
              </w:rPr>
              <w:t>2.</w:t>
            </w:r>
            <w:r>
              <w:rPr>
                <w:rFonts w:hint="eastAsia" w:ascii="仿宋" w:hAnsi="仿宋" w:eastAsia="仿宋"/>
              </w:rPr>
              <w:t>美化城区环境，创建园林县城。</w:t>
            </w:r>
          </w:p>
          <w:p>
            <w:pPr>
              <w:spacing w:line="300" w:lineRule="exact"/>
              <w:jc w:val="left"/>
              <w:rPr>
                <w:rFonts w:ascii="仿宋" w:hAnsi="仿宋" w:eastAsia="仿宋"/>
              </w:rPr>
            </w:pPr>
            <w:r>
              <w:rPr>
                <w:rFonts w:ascii="仿宋" w:hAnsi="仿宋" w:eastAsia="仿宋"/>
              </w:rPr>
              <w:t>3.</w:t>
            </w:r>
            <w:r>
              <w:rPr>
                <w:rFonts w:hint="eastAsia" w:ascii="仿宋" w:hAnsi="仿宋" w:eastAsia="仿宋"/>
              </w:rPr>
              <w:t>改善居民生活条件，提升居民幸福感。</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省级园林县城数量</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省级园林县城数量</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w:t>
            </w:r>
            <w:r>
              <w:rPr>
                <w:rFonts w:hint="eastAsia" w:ascii="仿宋" w:hAnsi="仿宋" w:eastAsia="仿宋"/>
              </w:rPr>
              <w:t>个</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工程验收合格率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合格工程占验收总量的比率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项目完成及时率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项目完成及时率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基础设施完好率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城市基础设施完好率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建成区绿地率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建成区绿地率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30%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三绿台账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满意</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问卷</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5" w:name="_Toc65328177"/>
      <w:r>
        <w:rPr>
          <w:rFonts w:hint="eastAsia" w:ascii="仿宋" w:hAnsi="仿宋" w:eastAsia="仿宋"/>
          <w:b/>
          <w:sz w:val="28"/>
        </w:rPr>
        <w:t>5.住建局关于拨付五家企业实施煤改电、煤改气部分设备款的请示绩效目标表</w:t>
      </w:r>
      <w:bookmarkEnd w:id="5"/>
      <w:r>
        <w:fldChar w:fldCharType="begin"/>
      </w:r>
      <w:r>
        <w:rPr>
          <w:rFonts w:ascii="仿宋" w:hAnsi="仿宋" w:eastAsia="仿宋"/>
          <w:b/>
          <w:sz w:val="28"/>
        </w:rPr>
        <w:instrText xml:space="preserve"> </w:instrText>
      </w:r>
      <w:r>
        <w:rPr>
          <w:rFonts w:hint="eastAsia" w:ascii="仿宋" w:hAnsi="仿宋" w:eastAsia="仿宋"/>
          <w:b/>
          <w:sz w:val="28"/>
        </w:rPr>
        <w:instrText xml:space="preserve">TC 5、住建局关于拨付五家企业实施煤改电、煤改气部分设备款的请示绩效目标表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1306302130XYDBNNG6OLW</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住建局关于拨付五家企业实施煤改电、煤改气部分设备款的请示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100.00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100.00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双代供暖设备款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保障供暖企业正常运转，减轻企业负担。</w:t>
            </w:r>
          </w:p>
          <w:p>
            <w:pPr>
              <w:spacing w:line="300" w:lineRule="exact"/>
              <w:jc w:val="left"/>
              <w:rPr>
                <w:rFonts w:ascii="仿宋" w:hAnsi="仿宋" w:eastAsia="仿宋"/>
              </w:rPr>
            </w:pPr>
            <w:r>
              <w:rPr>
                <w:rFonts w:ascii="仿宋" w:hAnsi="仿宋" w:eastAsia="仿宋"/>
              </w:rPr>
              <w:t>2.</w:t>
            </w:r>
            <w:r>
              <w:rPr>
                <w:rFonts w:hint="eastAsia" w:ascii="仿宋" w:hAnsi="仿宋" w:eastAsia="仿宋"/>
              </w:rPr>
              <w:t>保障双代小区冬季正常取暖，温暖过冬。</w:t>
            </w:r>
          </w:p>
          <w:p>
            <w:pPr>
              <w:spacing w:line="300" w:lineRule="exact"/>
              <w:jc w:val="left"/>
              <w:rPr>
                <w:rFonts w:ascii="仿宋" w:hAnsi="仿宋" w:eastAsia="仿宋"/>
              </w:rPr>
            </w:pPr>
            <w:r>
              <w:rPr>
                <w:rFonts w:ascii="仿宋" w:hAnsi="仿宋" w:eastAsia="仿宋"/>
              </w:rPr>
              <w:t>3.</w:t>
            </w:r>
            <w:r>
              <w:rPr>
                <w:rFonts w:hint="eastAsia" w:ascii="仿宋" w:hAnsi="仿宋" w:eastAsia="仿宋"/>
              </w:rPr>
              <w:t>保护环境。</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供暖小区数量</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供暖小区数量</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26</w:t>
            </w:r>
            <w:r>
              <w:rPr>
                <w:rFonts w:hint="eastAsia" w:ascii="仿宋" w:hAnsi="仿宋" w:eastAsia="仿宋"/>
              </w:rPr>
              <w:t>个</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集中供热管理办法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室内供暖温度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供暖季室内实际温度</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18</w:t>
            </w:r>
            <w:r>
              <w:rPr>
                <w:rFonts w:hint="eastAsia" w:ascii="仿宋" w:hAnsi="仿宋" w:eastAsia="仿宋"/>
              </w:rPr>
              <w:t>摄氏度</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集中供热管理办法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供暖及时率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按照文件要求按时供暖</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集中供热管理办法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供暖温度达标率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供暖温度是否达标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集中供热管理办法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供暖月数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实际供暖月数</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5</w:t>
            </w:r>
            <w:r>
              <w:rPr>
                <w:rFonts w:hint="eastAsia" w:ascii="仿宋" w:hAnsi="仿宋" w:eastAsia="仿宋"/>
              </w:rPr>
              <w:t>月</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集中供热管理办法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集中供热覆盖率</w:t>
            </w:r>
          </w:p>
        </w:tc>
        <w:tc>
          <w:tcPr>
            <w:tcW w:w="2891" w:type="dxa"/>
            <w:noWrap w:val="0"/>
            <w:vAlign w:val="center"/>
          </w:tcPr>
          <w:p>
            <w:pPr>
              <w:spacing w:line="300" w:lineRule="exact"/>
              <w:jc w:val="left"/>
              <w:rPr>
                <w:rFonts w:ascii="仿宋" w:hAnsi="仿宋" w:eastAsia="仿宋"/>
              </w:rPr>
            </w:pPr>
            <w:r>
              <w:rPr>
                <w:rFonts w:ascii="仿宋" w:hAnsi="仿宋" w:eastAsia="仿宋"/>
              </w:rPr>
              <w:t>36</w:t>
            </w:r>
            <w:r>
              <w:rPr>
                <w:rFonts w:hint="eastAsia" w:ascii="仿宋" w:hAnsi="仿宋" w:eastAsia="仿宋"/>
              </w:rPr>
              <w:t>个单位集中供热覆盖率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集中供热管理办法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群众满意数量占总数的比例。</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集中供热管理办法</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6" w:name="_Toc65328178"/>
      <w:r>
        <w:rPr>
          <w:rFonts w:hint="eastAsia" w:ascii="仿宋" w:hAnsi="仿宋" w:eastAsia="仿宋"/>
          <w:b/>
          <w:sz w:val="28"/>
        </w:rPr>
        <w:t>6.全县路灯亮化电费及维护费绩效目标表</w:t>
      </w:r>
      <w:bookmarkEnd w:id="6"/>
      <w:r>
        <w:fldChar w:fldCharType="begin"/>
      </w:r>
      <w:r>
        <w:rPr>
          <w:rFonts w:ascii="仿宋" w:hAnsi="仿宋" w:eastAsia="仿宋"/>
          <w:b/>
          <w:sz w:val="28"/>
        </w:rPr>
        <w:instrText xml:space="preserve"> </w:instrText>
      </w:r>
      <w:r>
        <w:rPr>
          <w:rFonts w:hint="eastAsia" w:ascii="仿宋" w:hAnsi="仿宋" w:eastAsia="仿宋"/>
          <w:b/>
          <w:sz w:val="28"/>
        </w:rPr>
        <w:instrText xml:space="preserve">TC 6、全县路灯亮化电费及维护费绩效目标表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1306302141PGTPKGG2PCV</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全县路灯亮化电费及维护费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500.00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500.00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全县路灯电费、维护费、</w:t>
            </w:r>
            <w:r>
              <w:rPr>
                <w:rFonts w:ascii="仿宋" w:hAnsi="仿宋" w:eastAsia="仿宋"/>
              </w:rPr>
              <w:t>EMC</w:t>
            </w:r>
            <w:r>
              <w:rPr>
                <w:rFonts w:hint="eastAsia" w:ascii="仿宋" w:hAnsi="仿宋" w:eastAsia="仿宋"/>
              </w:rPr>
              <w:t>合同能源管理服务费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50.00%</w:t>
            </w:r>
          </w:p>
        </w:tc>
        <w:tc>
          <w:tcPr>
            <w:tcW w:w="1304" w:type="dxa"/>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75.00%</w:t>
            </w: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保障县城街道路灯正常照明。</w:t>
            </w:r>
          </w:p>
          <w:p>
            <w:pPr>
              <w:spacing w:line="300" w:lineRule="exact"/>
              <w:jc w:val="left"/>
              <w:rPr>
                <w:rFonts w:ascii="仿宋" w:hAnsi="仿宋" w:eastAsia="仿宋"/>
              </w:rPr>
            </w:pPr>
            <w:r>
              <w:rPr>
                <w:rFonts w:ascii="仿宋" w:hAnsi="仿宋" w:eastAsia="仿宋"/>
              </w:rPr>
              <w:t>2.</w:t>
            </w:r>
            <w:r>
              <w:rPr>
                <w:rFonts w:hint="eastAsia" w:ascii="仿宋" w:hAnsi="仿宋" w:eastAsia="仿宋"/>
              </w:rPr>
              <w:t>为夜间行车、行人提供安全保障。</w:t>
            </w:r>
          </w:p>
          <w:p>
            <w:pPr>
              <w:spacing w:line="300" w:lineRule="exact"/>
              <w:jc w:val="left"/>
              <w:rPr>
                <w:rFonts w:ascii="仿宋" w:hAnsi="仿宋" w:eastAsia="仿宋"/>
              </w:rPr>
            </w:pPr>
            <w:r>
              <w:rPr>
                <w:rFonts w:ascii="仿宋" w:hAnsi="仿宋" w:eastAsia="仿宋"/>
              </w:rPr>
              <w:t>3.</w:t>
            </w:r>
            <w:r>
              <w:rPr>
                <w:rFonts w:hint="eastAsia" w:ascii="仿宋" w:hAnsi="仿宋" w:eastAsia="仿宋"/>
              </w:rPr>
              <w:t>保障城市基础设施完好。</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路灯个数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县城区、景观大道路灯个数</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2839</w:t>
            </w:r>
            <w:r>
              <w:rPr>
                <w:rFonts w:hint="eastAsia" w:ascii="仿宋" w:hAnsi="仿宋" w:eastAsia="仿宋"/>
              </w:rPr>
              <w:t>个</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路灯维护月数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年度内路灯维护月数</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12</w:t>
            </w:r>
            <w:r>
              <w:rPr>
                <w:rFonts w:hint="eastAsia" w:ascii="仿宋" w:hAnsi="仿宋" w:eastAsia="仿宋"/>
              </w:rPr>
              <w:t>月</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工作台账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路灯完好率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城区路灯完好率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路灯亮灯及时率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城区路灯亮灯及时率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路灯亮灯率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城区路灯亮灯率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98%</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验收合格率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路灯维护验收合格率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路灯完好天数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路灯完好天数</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365</w:t>
            </w:r>
            <w:r>
              <w:rPr>
                <w:rFonts w:hint="eastAsia" w:ascii="仿宋" w:hAnsi="仿宋" w:eastAsia="仿宋"/>
              </w:rPr>
              <w:t>天</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群众满意度满意率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问卷</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7" w:name="_Toc65328179"/>
      <w:r>
        <w:rPr>
          <w:rFonts w:hint="eastAsia" w:ascii="仿宋" w:hAnsi="仿宋" w:eastAsia="仿宋"/>
          <w:b/>
          <w:sz w:val="28"/>
        </w:rPr>
        <w:t>7.2019-2020采暖季新昌热电公司延期供暖费及评估费绩效目标表</w:t>
      </w:r>
      <w:bookmarkEnd w:id="7"/>
      <w:r>
        <w:fldChar w:fldCharType="begin"/>
      </w:r>
      <w:r>
        <w:rPr>
          <w:rFonts w:ascii="仿宋" w:hAnsi="仿宋" w:eastAsia="仿宋"/>
          <w:b/>
          <w:sz w:val="28"/>
        </w:rPr>
        <w:instrText xml:space="preserve"> </w:instrText>
      </w:r>
      <w:r>
        <w:rPr>
          <w:rFonts w:hint="eastAsia" w:ascii="仿宋" w:hAnsi="仿宋" w:eastAsia="仿宋"/>
          <w:b/>
          <w:sz w:val="28"/>
        </w:rPr>
        <w:instrText xml:space="preserve">TC 7、2019-2020采暖季新昌热电公司延期供暖费及评估费绩效目标表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1306302154BB7ANFE6URE</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ascii="仿宋" w:hAnsi="仿宋" w:eastAsia="仿宋"/>
              </w:rPr>
              <w:t>2019-2020</w:t>
            </w:r>
            <w:r>
              <w:rPr>
                <w:rFonts w:hint="eastAsia" w:ascii="仿宋" w:hAnsi="仿宋" w:eastAsia="仿宋"/>
              </w:rPr>
              <w:t>采暖季新昌热电公司延期供暖费及评估费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152.93</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152.93</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取暖费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保障供暖企业正常运转，减轻企业负担。</w:t>
            </w:r>
          </w:p>
          <w:p>
            <w:pPr>
              <w:spacing w:line="300" w:lineRule="exact"/>
              <w:jc w:val="left"/>
              <w:rPr>
                <w:rFonts w:ascii="仿宋" w:hAnsi="仿宋" w:eastAsia="仿宋"/>
              </w:rPr>
            </w:pPr>
            <w:r>
              <w:rPr>
                <w:rFonts w:ascii="仿宋" w:hAnsi="仿宋" w:eastAsia="仿宋"/>
              </w:rPr>
              <w:t>2.</w:t>
            </w:r>
            <w:r>
              <w:rPr>
                <w:rFonts w:hint="eastAsia" w:ascii="仿宋" w:hAnsi="仿宋" w:eastAsia="仿宋"/>
              </w:rPr>
              <w:t>保障县直机关单位冬季正常取暖，温暖过冬。</w:t>
            </w:r>
          </w:p>
          <w:p>
            <w:pPr>
              <w:spacing w:line="300" w:lineRule="exact"/>
              <w:jc w:val="left"/>
              <w:rPr>
                <w:rFonts w:ascii="仿宋" w:hAnsi="仿宋" w:eastAsia="仿宋"/>
              </w:rPr>
            </w:pPr>
            <w:r>
              <w:rPr>
                <w:rFonts w:ascii="仿宋" w:hAnsi="仿宋" w:eastAsia="仿宋"/>
              </w:rPr>
              <w:t>3.</w:t>
            </w:r>
            <w:r>
              <w:rPr>
                <w:rFonts w:hint="eastAsia" w:ascii="仿宋" w:hAnsi="仿宋" w:eastAsia="仿宋"/>
              </w:rPr>
              <w:t>保障单位职工冬季有暖可取，保证工作正常运转。</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供暖面积</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实际供暖面积</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390</w:t>
            </w:r>
            <w:r>
              <w:rPr>
                <w:rFonts w:hint="eastAsia" w:ascii="仿宋" w:hAnsi="仿宋" w:eastAsia="仿宋"/>
              </w:rPr>
              <w:t>万平方米</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集中供热管理办法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延期供暖天数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延期供暖天数</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7</w:t>
            </w:r>
            <w:r>
              <w:rPr>
                <w:rFonts w:hint="eastAsia" w:ascii="仿宋" w:hAnsi="仿宋" w:eastAsia="仿宋"/>
              </w:rPr>
              <w:t>天</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统计台账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室内供暖温度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供暖季室内实际温度</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18</w:t>
            </w:r>
            <w:r>
              <w:rPr>
                <w:rFonts w:hint="eastAsia" w:ascii="仿宋" w:hAnsi="仿宋" w:eastAsia="仿宋"/>
              </w:rPr>
              <w:t>摄氏度</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集中供热管理办法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供暖及时率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按照文件要求按时供暖</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集中供热管理办法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供暖月数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实际供暖月数</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5</w:t>
            </w:r>
            <w:r>
              <w:rPr>
                <w:rFonts w:hint="eastAsia" w:ascii="仿宋" w:hAnsi="仿宋" w:eastAsia="仿宋"/>
              </w:rPr>
              <w:t>月</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集中供热管理办法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供暖温度达标率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供暖温度是否达标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集中供热管理办法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集中供热覆盖率</w:t>
            </w:r>
          </w:p>
        </w:tc>
        <w:tc>
          <w:tcPr>
            <w:tcW w:w="2891" w:type="dxa"/>
            <w:noWrap w:val="0"/>
            <w:vAlign w:val="center"/>
          </w:tcPr>
          <w:p>
            <w:pPr>
              <w:spacing w:line="300" w:lineRule="exact"/>
              <w:jc w:val="left"/>
              <w:rPr>
                <w:rFonts w:ascii="仿宋" w:hAnsi="仿宋" w:eastAsia="仿宋"/>
              </w:rPr>
            </w:pPr>
            <w:r>
              <w:rPr>
                <w:rFonts w:ascii="仿宋" w:hAnsi="仿宋" w:eastAsia="仿宋"/>
              </w:rPr>
              <w:t>36</w:t>
            </w:r>
            <w:r>
              <w:rPr>
                <w:rFonts w:hint="eastAsia" w:ascii="仿宋" w:hAnsi="仿宋" w:eastAsia="仿宋"/>
              </w:rPr>
              <w:t>个单位集中供热覆盖率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集中供热管理办法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群众满意数量占总数的比例。</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集中供热管理办法</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8" w:name="_Toc65328180"/>
      <w:r>
        <w:rPr>
          <w:rFonts w:hint="eastAsia" w:ascii="仿宋" w:hAnsi="仿宋" w:eastAsia="仿宋"/>
          <w:b/>
          <w:sz w:val="28"/>
        </w:rPr>
        <w:t>8.暖心房新建及修缮工程资金绩效目标表</w:t>
      </w:r>
      <w:bookmarkEnd w:id="8"/>
      <w:r>
        <w:fldChar w:fldCharType="begin"/>
      </w:r>
      <w:r>
        <w:rPr>
          <w:rFonts w:ascii="仿宋" w:hAnsi="仿宋" w:eastAsia="仿宋"/>
          <w:b/>
          <w:sz w:val="28"/>
        </w:rPr>
        <w:instrText xml:space="preserve"> </w:instrText>
      </w:r>
      <w:r>
        <w:rPr>
          <w:rFonts w:hint="eastAsia" w:ascii="仿宋" w:hAnsi="仿宋" w:eastAsia="仿宋"/>
          <w:b/>
          <w:sz w:val="28"/>
        </w:rPr>
        <w:instrText xml:space="preserve">TC 8、暖心房新建及修缮工程资金绩效目标表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130630215A544G9S02M1V</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暖心房新建及修缮工程资金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4000.00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4000.00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暖心房工程款、监理费、第三方审计费。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75.00%</w:t>
            </w: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解决全县所有农户住房安全。</w:t>
            </w:r>
          </w:p>
          <w:p>
            <w:pPr>
              <w:spacing w:line="300" w:lineRule="exact"/>
              <w:jc w:val="left"/>
              <w:rPr>
                <w:rFonts w:ascii="仿宋" w:hAnsi="仿宋" w:eastAsia="仿宋"/>
              </w:rPr>
            </w:pPr>
            <w:r>
              <w:rPr>
                <w:rFonts w:ascii="仿宋" w:hAnsi="仿宋" w:eastAsia="仿宋"/>
              </w:rPr>
              <w:t>2.</w:t>
            </w:r>
            <w:r>
              <w:rPr>
                <w:rFonts w:hint="eastAsia" w:ascii="仿宋" w:hAnsi="仿宋" w:eastAsia="仿宋"/>
              </w:rPr>
              <w:t>确保全县顺利脱贫。</w:t>
            </w:r>
          </w:p>
          <w:p>
            <w:pPr>
              <w:spacing w:line="300" w:lineRule="exact"/>
              <w:jc w:val="left"/>
              <w:rPr>
                <w:rFonts w:ascii="仿宋" w:hAnsi="仿宋" w:eastAsia="仿宋"/>
              </w:rPr>
            </w:pPr>
            <w:r>
              <w:rPr>
                <w:rFonts w:ascii="仿宋" w:hAnsi="仿宋" w:eastAsia="仿宋"/>
              </w:rPr>
              <w:t>3.</w:t>
            </w:r>
            <w:r>
              <w:rPr>
                <w:rFonts w:hint="eastAsia" w:ascii="仿宋" w:hAnsi="仿宋" w:eastAsia="仿宋"/>
              </w:rPr>
              <w:t>改善农户居住环境。</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暖心房修缮改造户数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暖心房修缮改造户数</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10391</w:t>
            </w:r>
            <w:r>
              <w:rPr>
                <w:rFonts w:hint="eastAsia" w:ascii="仿宋" w:hAnsi="仿宋" w:eastAsia="仿宋"/>
              </w:rPr>
              <w:t>户</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暖心房改造涉及乡镇数量</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暖心房改造涉及乡镇数量</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18</w:t>
            </w:r>
            <w:r>
              <w:rPr>
                <w:rFonts w:hint="eastAsia" w:ascii="仿宋" w:hAnsi="仿宋" w:eastAsia="仿宋"/>
              </w:rPr>
              <w:t>个</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项目完成率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项目实施完成率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按期完成率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项目按期完成率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项目受益户数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项目受益户数</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10391</w:t>
            </w:r>
            <w:r>
              <w:rPr>
                <w:rFonts w:hint="eastAsia" w:ascii="仿宋" w:hAnsi="仿宋" w:eastAsia="仿宋"/>
              </w:rPr>
              <w:t>户</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项目验收入住率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项目验收入住率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群众满意程度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群众满意程度</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9" w:name="_Toc65328181"/>
      <w:r>
        <w:rPr>
          <w:rFonts w:hint="eastAsia" w:ascii="仿宋" w:hAnsi="仿宋" w:eastAsia="仿宋"/>
          <w:b/>
          <w:sz w:val="28"/>
        </w:rPr>
        <w:t>9.垃圾填埋场封场工程绩效目标表</w:t>
      </w:r>
      <w:bookmarkEnd w:id="9"/>
      <w:r>
        <w:fldChar w:fldCharType="begin"/>
      </w:r>
      <w:r>
        <w:rPr>
          <w:rFonts w:ascii="仿宋" w:hAnsi="仿宋" w:eastAsia="仿宋"/>
          <w:b/>
          <w:sz w:val="28"/>
        </w:rPr>
        <w:instrText xml:space="preserve"> </w:instrText>
      </w:r>
      <w:r>
        <w:rPr>
          <w:rFonts w:hint="eastAsia" w:ascii="仿宋" w:hAnsi="仿宋" w:eastAsia="仿宋"/>
          <w:b/>
          <w:sz w:val="28"/>
        </w:rPr>
        <w:instrText xml:space="preserve">TC 9、垃圾填埋场封场工程绩效目标表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130630215IK7I5TRBIC6R</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垃圾填埋场封场工程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300.00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300.00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垃圾填埋场封场工程款。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达标处理垃圾库区渗滤液，排除沼气安全隐患。</w:t>
            </w:r>
          </w:p>
          <w:p>
            <w:pPr>
              <w:spacing w:line="300" w:lineRule="exact"/>
              <w:jc w:val="left"/>
              <w:rPr>
                <w:rFonts w:ascii="仿宋" w:hAnsi="仿宋" w:eastAsia="仿宋"/>
              </w:rPr>
            </w:pPr>
            <w:r>
              <w:rPr>
                <w:rFonts w:ascii="仿宋" w:hAnsi="仿宋" w:eastAsia="仿宋"/>
              </w:rPr>
              <w:t>2.</w:t>
            </w:r>
            <w:r>
              <w:rPr>
                <w:rFonts w:hint="eastAsia" w:ascii="仿宋" w:hAnsi="仿宋" w:eastAsia="仿宋"/>
              </w:rPr>
              <w:t>改善场区生态环境。</w:t>
            </w:r>
          </w:p>
          <w:p>
            <w:pPr>
              <w:spacing w:line="300" w:lineRule="exact"/>
              <w:jc w:val="left"/>
              <w:rPr>
                <w:rFonts w:ascii="仿宋" w:hAnsi="仿宋" w:eastAsia="仿宋"/>
              </w:rPr>
            </w:pPr>
            <w:r>
              <w:rPr>
                <w:rFonts w:ascii="仿宋" w:hAnsi="仿宋" w:eastAsia="仿宋"/>
              </w:rPr>
              <w:t>3.</w:t>
            </w:r>
            <w:r>
              <w:rPr>
                <w:rFonts w:hint="eastAsia" w:ascii="仿宋" w:hAnsi="仿宋" w:eastAsia="仿宋"/>
              </w:rPr>
              <w:t>提升与高山滑雪运动融合程度。</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封场面积</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封场面积数量</w:t>
            </w:r>
          </w:p>
        </w:tc>
        <w:tc>
          <w:tcPr>
            <w:tcW w:w="1276" w:type="dxa"/>
            <w:noWrap w:val="0"/>
            <w:vAlign w:val="center"/>
          </w:tcPr>
          <w:p>
            <w:pPr>
              <w:spacing w:line="300" w:lineRule="exact"/>
              <w:jc w:val="left"/>
              <w:rPr>
                <w:rFonts w:ascii="仿宋" w:hAnsi="仿宋" w:eastAsia="仿宋"/>
              </w:rPr>
            </w:pPr>
            <w:r>
              <w:rPr>
                <w:rFonts w:ascii="仿宋" w:hAnsi="仿宋" w:eastAsia="仿宋"/>
              </w:rPr>
              <w:t>31000</w:t>
            </w:r>
            <w:r>
              <w:rPr>
                <w:rFonts w:hint="eastAsia" w:ascii="仿宋" w:hAnsi="仿宋" w:eastAsia="仿宋"/>
              </w:rPr>
              <w:t>平方米</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验收合格率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验收合格率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项目完成及时率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项目完成及时率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工程完成率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工程完成率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影响期限</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项目影响期限</w:t>
            </w:r>
          </w:p>
        </w:tc>
        <w:tc>
          <w:tcPr>
            <w:tcW w:w="1276" w:type="dxa"/>
            <w:noWrap w:val="0"/>
            <w:vAlign w:val="center"/>
          </w:tcPr>
          <w:p>
            <w:pPr>
              <w:spacing w:line="300" w:lineRule="exact"/>
              <w:jc w:val="left"/>
              <w:rPr>
                <w:rFonts w:hint="eastAsia" w:ascii="仿宋" w:hAnsi="仿宋" w:eastAsia="仿宋"/>
              </w:rPr>
            </w:pPr>
            <w:r>
              <w:rPr>
                <w:rFonts w:ascii="仿宋" w:hAnsi="仿宋" w:eastAsia="仿宋"/>
              </w:rPr>
              <w:t>&lt;10</w:t>
            </w:r>
            <w:r>
              <w:rPr>
                <w:rFonts w:hint="eastAsia" w:ascii="仿宋" w:hAnsi="仿宋" w:eastAsia="仿宋"/>
              </w:rPr>
              <w:t>年</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检测报告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群众满意数量占总数的比例。</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问卷</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10" w:name="_Toc65328182"/>
      <w:r>
        <w:rPr>
          <w:rFonts w:hint="eastAsia" w:ascii="仿宋" w:hAnsi="仿宋" w:eastAsia="仿宋"/>
          <w:b/>
          <w:sz w:val="28"/>
        </w:rPr>
        <w:t>10.垃圾综合处理厂变压器安装项目绩效目标表</w:t>
      </w:r>
      <w:bookmarkEnd w:id="10"/>
      <w:r>
        <w:fldChar w:fldCharType="begin"/>
      </w:r>
      <w:r>
        <w:rPr>
          <w:rFonts w:ascii="仿宋" w:hAnsi="仿宋" w:eastAsia="仿宋"/>
          <w:b/>
          <w:sz w:val="28"/>
        </w:rPr>
        <w:instrText xml:space="preserve"> </w:instrText>
      </w:r>
      <w:r>
        <w:rPr>
          <w:rFonts w:hint="eastAsia" w:ascii="仿宋" w:hAnsi="仿宋" w:eastAsia="仿宋"/>
          <w:b/>
          <w:sz w:val="28"/>
        </w:rPr>
        <w:instrText xml:space="preserve">TC 10、垃圾综合处理厂变压器安装项目绩效目标表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130630216BL8WD1M4MMUP</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垃圾综合处理厂变压器安装项目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48.00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48.00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垃圾综合处理厂变压器安装项目。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保障垃圾综合处理厂正常建设。</w:t>
            </w:r>
          </w:p>
          <w:p>
            <w:pPr>
              <w:spacing w:line="300" w:lineRule="exact"/>
              <w:jc w:val="left"/>
              <w:rPr>
                <w:rFonts w:ascii="仿宋" w:hAnsi="仿宋" w:eastAsia="仿宋"/>
              </w:rPr>
            </w:pPr>
            <w:r>
              <w:rPr>
                <w:rFonts w:ascii="仿宋" w:hAnsi="仿宋" w:eastAsia="仿宋"/>
              </w:rPr>
              <w:t>2.</w:t>
            </w:r>
            <w:r>
              <w:rPr>
                <w:rFonts w:hint="eastAsia" w:ascii="仿宋" w:hAnsi="仿宋" w:eastAsia="仿宋"/>
              </w:rPr>
              <w:t>保障垃圾综合处理厂稳定运行。</w:t>
            </w:r>
          </w:p>
          <w:p>
            <w:pPr>
              <w:spacing w:line="300" w:lineRule="exact"/>
              <w:jc w:val="left"/>
              <w:rPr>
                <w:rFonts w:ascii="仿宋" w:hAnsi="仿宋" w:eastAsia="仿宋"/>
              </w:rPr>
            </w:pPr>
            <w:r>
              <w:rPr>
                <w:rFonts w:ascii="仿宋" w:hAnsi="仿宋" w:eastAsia="仿宋"/>
              </w:rPr>
              <w:t>3.</w:t>
            </w:r>
            <w:r>
              <w:rPr>
                <w:rFonts w:hint="eastAsia" w:ascii="仿宋" w:hAnsi="仿宋" w:eastAsia="仿宋"/>
              </w:rPr>
              <w:t>提高垃圾综合处理能力。</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安装变压器数量</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安装变压器数量</w:t>
            </w:r>
          </w:p>
        </w:tc>
        <w:tc>
          <w:tcPr>
            <w:tcW w:w="1276" w:type="dxa"/>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个</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验收合格率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验收合格率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项目完成及时率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项目完成及时率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工程完成率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工程完成率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服务期限</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服务期限</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20</w:t>
            </w:r>
            <w:r>
              <w:rPr>
                <w:rFonts w:hint="eastAsia" w:ascii="仿宋" w:hAnsi="仿宋" w:eastAsia="仿宋"/>
              </w:rPr>
              <w:t>年</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群众满意数量占总数的比例。</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问卷</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11" w:name="_Toc65328183"/>
      <w:r>
        <w:rPr>
          <w:rFonts w:hint="eastAsia" w:ascii="仿宋" w:hAnsi="仿宋" w:eastAsia="仿宋"/>
          <w:b/>
          <w:sz w:val="28"/>
        </w:rPr>
        <w:t>11.污水处理费安排支出绩效目标表</w:t>
      </w:r>
      <w:bookmarkEnd w:id="11"/>
      <w:r>
        <w:fldChar w:fldCharType="begin"/>
      </w:r>
      <w:r>
        <w:rPr>
          <w:rFonts w:ascii="仿宋" w:hAnsi="仿宋" w:eastAsia="仿宋"/>
          <w:b/>
          <w:sz w:val="28"/>
        </w:rPr>
        <w:instrText xml:space="preserve"> </w:instrText>
      </w:r>
      <w:r>
        <w:rPr>
          <w:rFonts w:hint="eastAsia" w:ascii="仿宋" w:hAnsi="仿宋" w:eastAsia="仿宋"/>
          <w:b/>
          <w:sz w:val="28"/>
        </w:rPr>
        <w:instrText xml:space="preserve">TC 11、污水处理费安排支出绩效目标表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130630216S9V0ELIIUPOC</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污水处理费安排支出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污水处理运营费。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保障居民生活污水及时处理。</w:t>
            </w:r>
          </w:p>
          <w:p>
            <w:pPr>
              <w:spacing w:line="300" w:lineRule="exact"/>
              <w:jc w:val="left"/>
              <w:rPr>
                <w:rFonts w:ascii="仿宋" w:hAnsi="仿宋" w:eastAsia="仿宋"/>
              </w:rPr>
            </w:pPr>
            <w:r>
              <w:rPr>
                <w:rFonts w:ascii="仿宋" w:hAnsi="仿宋" w:eastAsia="仿宋"/>
              </w:rPr>
              <w:t>2.</w:t>
            </w:r>
            <w:r>
              <w:rPr>
                <w:rFonts w:hint="eastAsia" w:ascii="仿宋" w:hAnsi="仿宋" w:eastAsia="仿宋"/>
              </w:rPr>
              <w:t>保障生态环境。</w:t>
            </w:r>
          </w:p>
          <w:p>
            <w:pPr>
              <w:spacing w:line="300" w:lineRule="exact"/>
              <w:jc w:val="left"/>
              <w:rPr>
                <w:rFonts w:ascii="仿宋" w:hAnsi="仿宋" w:eastAsia="仿宋"/>
              </w:rPr>
            </w:pPr>
            <w:r>
              <w:rPr>
                <w:rFonts w:ascii="仿宋" w:hAnsi="仿宋" w:eastAsia="仿宋"/>
              </w:rPr>
              <w:t>3.</w:t>
            </w:r>
            <w:r>
              <w:rPr>
                <w:rFonts w:hint="eastAsia" w:ascii="仿宋" w:hAnsi="仿宋" w:eastAsia="仿宋"/>
              </w:rPr>
              <w:t>保障污水处理水质达标。</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污水处理厂个数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污水处理厂个数</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w:t>
            </w:r>
            <w:r>
              <w:rPr>
                <w:rFonts w:hint="eastAsia" w:ascii="仿宋" w:hAnsi="仿宋" w:eastAsia="仿宋"/>
              </w:rPr>
              <w:t>个</w:t>
            </w:r>
            <w:r>
              <w:rPr>
                <w:rFonts w:ascii="仿宋" w:hAnsi="仿宋" w:eastAsia="仿宋"/>
              </w:rPr>
              <w:t xml:space="preserve"> </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污水处理天数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年度内污水处理天数</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365</w:t>
            </w:r>
            <w:r>
              <w:rPr>
                <w:rFonts w:hint="eastAsia" w:ascii="仿宋" w:hAnsi="仿宋" w:eastAsia="仿宋"/>
              </w:rPr>
              <w:t>天</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处理水质达标率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污水处理水质达标率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污水处理及时率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污水处理及时率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出水水质达标率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出水水质达标量占总量的比率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业务工作持续性</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保障日常工作的有序运转</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365</w:t>
            </w:r>
            <w:r>
              <w:rPr>
                <w:rFonts w:hint="eastAsia" w:ascii="仿宋" w:hAnsi="仿宋" w:eastAsia="仿宋"/>
              </w:rPr>
              <w:t>天</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满意</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12" w:name="_Toc65328184"/>
      <w:r>
        <w:rPr>
          <w:rFonts w:hint="eastAsia" w:ascii="仿宋" w:hAnsi="仿宋" w:eastAsia="仿宋"/>
          <w:b/>
          <w:sz w:val="28"/>
        </w:rPr>
        <w:t>12.城市公共设施支出绩效目标表</w:t>
      </w:r>
      <w:bookmarkEnd w:id="12"/>
      <w:r>
        <w:fldChar w:fldCharType="begin"/>
      </w:r>
      <w:r>
        <w:rPr>
          <w:rFonts w:ascii="仿宋" w:hAnsi="仿宋" w:eastAsia="仿宋"/>
          <w:b/>
          <w:sz w:val="28"/>
        </w:rPr>
        <w:instrText xml:space="preserve"> </w:instrText>
      </w:r>
      <w:r>
        <w:rPr>
          <w:rFonts w:hint="eastAsia" w:ascii="仿宋" w:hAnsi="仿宋" w:eastAsia="仿宋"/>
          <w:b/>
          <w:sz w:val="28"/>
        </w:rPr>
        <w:instrText xml:space="preserve">TC 12、城市公共设施支出绩效目标表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1306302184G9F353RP1GY</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城市公共设施支出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2000.00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2000.00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城市基础设施支出。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85.00%</w:t>
            </w: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保障广大群众的出行安全和便利，美化环境。</w:t>
            </w:r>
          </w:p>
          <w:p>
            <w:pPr>
              <w:spacing w:line="300" w:lineRule="exact"/>
              <w:jc w:val="left"/>
              <w:rPr>
                <w:rFonts w:ascii="仿宋" w:hAnsi="仿宋" w:eastAsia="仿宋"/>
              </w:rPr>
            </w:pPr>
            <w:r>
              <w:rPr>
                <w:rFonts w:ascii="仿宋" w:hAnsi="仿宋" w:eastAsia="仿宋"/>
              </w:rPr>
              <w:t>2.</w:t>
            </w:r>
            <w:r>
              <w:rPr>
                <w:rFonts w:hint="eastAsia" w:ascii="仿宋" w:hAnsi="仿宋" w:eastAsia="仿宋"/>
              </w:rPr>
              <w:t>美化城区环境，创建园林县城。</w:t>
            </w:r>
          </w:p>
          <w:p>
            <w:pPr>
              <w:spacing w:line="300" w:lineRule="exact"/>
              <w:jc w:val="left"/>
              <w:rPr>
                <w:rFonts w:ascii="仿宋" w:hAnsi="仿宋" w:eastAsia="仿宋"/>
              </w:rPr>
            </w:pPr>
            <w:r>
              <w:rPr>
                <w:rFonts w:ascii="仿宋" w:hAnsi="仿宋" w:eastAsia="仿宋"/>
              </w:rPr>
              <w:t>3.</w:t>
            </w:r>
            <w:r>
              <w:rPr>
                <w:rFonts w:hint="eastAsia" w:ascii="仿宋" w:hAnsi="仿宋" w:eastAsia="仿宋"/>
              </w:rPr>
              <w:t>改善居民生活条件，提升居民幸福感。</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省级园林县城数量</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省级园林县城数量</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w:t>
            </w:r>
            <w:r>
              <w:rPr>
                <w:rFonts w:hint="eastAsia" w:ascii="仿宋" w:hAnsi="仿宋" w:eastAsia="仿宋"/>
              </w:rPr>
              <w:t>个</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工程验收合格率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合格工程占验收总量的比率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项目完成及时率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项目完成及时率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基础设施完好率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城市基础设施完好率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建成区绿地率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建成区绿地率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30%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三绿台账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满意</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问卷</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13" w:name="_Toc65328185"/>
      <w:r>
        <w:rPr>
          <w:rFonts w:hint="eastAsia" w:ascii="仿宋" w:hAnsi="仿宋" w:eastAsia="仿宋"/>
          <w:b/>
          <w:sz w:val="28"/>
        </w:rPr>
        <w:t>13.其他保障性住房安居工程支出保障性安居工程项目绩效目标表</w:t>
      </w:r>
      <w:bookmarkEnd w:id="13"/>
      <w:r>
        <w:fldChar w:fldCharType="begin"/>
      </w:r>
      <w:r>
        <w:rPr>
          <w:rFonts w:ascii="仿宋" w:hAnsi="仿宋" w:eastAsia="仿宋"/>
          <w:b/>
          <w:sz w:val="28"/>
        </w:rPr>
        <w:instrText xml:space="preserve"> </w:instrText>
      </w:r>
      <w:r>
        <w:rPr>
          <w:rFonts w:hint="eastAsia" w:ascii="仿宋" w:hAnsi="仿宋" w:eastAsia="仿宋"/>
          <w:b/>
          <w:sz w:val="28"/>
        </w:rPr>
        <w:instrText xml:space="preserve">TC 13、其他保障性住房安居工程支出保障性安居工程项目绩效目标表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13063021854I4XPPHPW36</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其他保障性住房安居工程支出保障性安居工程项目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1015.00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1015.00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保障性住房工程款。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为中低收入家庭、外来务工人员提供住房保障，解决住房困难问</w:t>
            </w:r>
          </w:p>
          <w:p>
            <w:pPr>
              <w:spacing w:line="300" w:lineRule="exact"/>
              <w:jc w:val="left"/>
              <w:rPr>
                <w:rFonts w:ascii="仿宋" w:hAnsi="仿宋" w:eastAsia="仿宋"/>
              </w:rPr>
            </w:pPr>
            <w:r>
              <w:rPr>
                <w:rFonts w:ascii="仿宋" w:hAnsi="仿宋" w:eastAsia="仿宋"/>
              </w:rPr>
              <w:t>2.</w:t>
            </w:r>
            <w:r>
              <w:rPr>
                <w:rFonts w:hint="eastAsia" w:ascii="仿宋" w:hAnsi="仿宋" w:eastAsia="仿宋"/>
              </w:rPr>
              <w:t>改善无房居民居住条件。</w:t>
            </w:r>
          </w:p>
          <w:p>
            <w:pPr>
              <w:spacing w:line="300" w:lineRule="exact"/>
              <w:jc w:val="left"/>
              <w:rPr>
                <w:rFonts w:ascii="仿宋" w:hAnsi="仿宋" w:eastAsia="仿宋"/>
              </w:rPr>
            </w:pPr>
            <w:r>
              <w:rPr>
                <w:rFonts w:ascii="仿宋" w:hAnsi="仿宋" w:eastAsia="仿宋"/>
              </w:rPr>
              <w:t>3.</w:t>
            </w:r>
            <w:r>
              <w:rPr>
                <w:rFonts w:hint="eastAsia" w:ascii="仿宋" w:hAnsi="仿宋" w:eastAsia="仿宋"/>
              </w:rPr>
              <w:t>完成保障性住房任务。</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保障房套数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保障房套数</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930</w:t>
            </w:r>
            <w:r>
              <w:rPr>
                <w:rFonts w:hint="eastAsia" w:ascii="仿宋" w:hAnsi="仿宋" w:eastAsia="仿宋"/>
              </w:rPr>
              <w:t>套</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工程验收合格率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工程验收合格率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工作按时完成率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工作按时完成率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项目竣工率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项目竣工率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房屋分配率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房屋分配率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群众满意度</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回访</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14" w:name="_Toc65328186"/>
      <w:r>
        <w:rPr>
          <w:rFonts w:hint="eastAsia" w:ascii="仿宋" w:hAnsi="仿宋" w:eastAsia="仿宋"/>
          <w:b/>
          <w:sz w:val="28"/>
        </w:rPr>
        <w:t>14.污水处理厂2020年8月至2021年12月正常运营费绩效目标表</w:t>
      </w:r>
      <w:bookmarkEnd w:id="14"/>
      <w:r>
        <w:fldChar w:fldCharType="begin"/>
      </w:r>
      <w:r>
        <w:rPr>
          <w:rFonts w:ascii="仿宋" w:hAnsi="仿宋" w:eastAsia="仿宋"/>
          <w:b/>
          <w:sz w:val="28"/>
        </w:rPr>
        <w:instrText xml:space="preserve"> </w:instrText>
      </w:r>
      <w:r>
        <w:rPr>
          <w:rFonts w:hint="eastAsia" w:ascii="仿宋" w:hAnsi="仿宋" w:eastAsia="仿宋"/>
          <w:b/>
          <w:sz w:val="28"/>
        </w:rPr>
        <w:instrText xml:space="preserve">TC 14、污水处理厂2020年8月至2021年12月正常运营费绩效目标表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130630218RG7RGV4YF8XO</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污水处理厂</w:t>
            </w:r>
            <w:r>
              <w:rPr>
                <w:rFonts w:ascii="仿宋" w:hAnsi="仿宋" w:eastAsia="仿宋"/>
              </w:rPr>
              <w:t>2020</w:t>
            </w:r>
            <w:r>
              <w:rPr>
                <w:rFonts w:hint="eastAsia" w:ascii="仿宋" w:hAnsi="仿宋" w:eastAsia="仿宋"/>
              </w:rPr>
              <w:t>年</w:t>
            </w:r>
            <w:r>
              <w:rPr>
                <w:rFonts w:ascii="仿宋" w:hAnsi="仿宋" w:eastAsia="仿宋"/>
              </w:rPr>
              <w:t>8</w:t>
            </w:r>
            <w:r>
              <w:rPr>
                <w:rFonts w:hint="eastAsia" w:ascii="仿宋" w:hAnsi="仿宋" w:eastAsia="仿宋"/>
              </w:rPr>
              <w:t>月至</w:t>
            </w:r>
            <w:r>
              <w:rPr>
                <w:rFonts w:ascii="仿宋" w:hAnsi="仿宋" w:eastAsia="仿宋"/>
              </w:rPr>
              <w:t>2021</w:t>
            </w:r>
            <w:r>
              <w:rPr>
                <w:rFonts w:hint="eastAsia" w:ascii="仿宋" w:hAnsi="仿宋" w:eastAsia="仿宋"/>
              </w:rPr>
              <w:t>年</w:t>
            </w:r>
            <w:r>
              <w:rPr>
                <w:rFonts w:ascii="仿宋" w:hAnsi="仿宋" w:eastAsia="仿宋"/>
              </w:rPr>
              <w:t>12</w:t>
            </w:r>
            <w:r>
              <w:rPr>
                <w:rFonts w:hint="eastAsia" w:ascii="仿宋" w:hAnsi="仿宋" w:eastAsia="仿宋"/>
              </w:rPr>
              <w:t>月正常运营费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1500.00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1500.00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污水处理厂运营费。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50.00%</w:t>
            </w:r>
          </w:p>
        </w:tc>
        <w:tc>
          <w:tcPr>
            <w:tcW w:w="1304" w:type="dxa"/>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75.00%</w:t>
            </w: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保障居民生活污水及时处理。</w:t>
            </w:r>
          </w:p>
          <w:p>
            <w:pPr>
              <w:spacing w:line="300" w:lineRule="exact"/>
              <w:jc w:val="left"/>
              <w:rPr>
                <w:rFonts w:ascii="仿宋" w:hAnsi="仿宋" w:eastAsia="仿宋"/>
              </w:rPr>
            </w:pPr>
            <w:r>
              <w:rPr>
                <w:rFonts w:ascii="仿宋" w:hAnsi="仿宋" w:eastAsia="仿宋"/>
              </w:rPr>
              <w:t>2.</w:t>
            </w:r>
            <w:r>
              <w:rPr>
                <w:rFonts w:hint="eastAsia" w:ascii="仿宋" w:hAnsi="仿宋" w:eastAsia="仿宋"/>
              </w:rPr>
              <w:t>保障生态环境。</w:t>
            </w:r>
          </w:p>
          <w:p>
            <w:pPr>
              <w:spacing w:line="300" w:lineRule="exact"/>
              <w:jc w:val="left"/>
              <w:rPr>
                <w:rFonts w:ascii="仿宋" w:hAnsi="仿宋" w:eastAsia="仿宋"/>
              </w:rPr>
            </w:pPr>
            <w:r>
              <w:rPr>
                <w:rFonts w:ascii="仿宋" w:hAnsi="仿宋" w:eastAsia="仿宋"/>
              </w:rPr>
              <w:t>3.</w:t>
            </w:r>
            <w:r>
              <w:rPr>
                <w:rFonts w:hint="eastAsia" w:ascii="仿宋" w:hAnsi="仿宋" w:eastAsia="仿宋"/>
              </w:rPr>
              <w:t>保障污水处理水质达标。</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污水处理厂个数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污水处理厂个数</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w:t>
            </w:r>
            <w:r>
              <w:rPr>
                <w:rFonts w:hint="eastAsia" w:ascii="仿宋" w:hAnsi="仿宋" w:eastAsia="仿宋"/>
              </w:rPr>
              <w:t>个</w:t>
            </w:r>
            <w:r>
              <w:rPr>
                <w:rFonts w:ascii="仿宋" w:hAnsi="仿宋" w:eastAsia="仿宋"/>
              </w:rPr>
              <w:t xml:space="preserve"> </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污水处理天数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年度内污水处理天数</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365</w:t>
            </w:r>
            <w:r>
              <w:rPr>
                <w:rFonts w:hint="eastAsia" w:ascii="仿宋" w:hAnsi="仿宋" w:eastAsia="仿宋"/>
              </w:rPr>
              <w:t>天</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处理水质达标率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污水处理水质达标率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污水处理及时率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污水处理及时率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出水水质达标率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出水水质达标量占总量的比率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业务工作持续性</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保障日常工作的有序运转</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365</w:t>
            </w:r>
            <w:r>
              <w:rPr>
                <w:rFonts w:hint="eastAsia" w:ascii="仿宋" w:hAnsi="仿宋" w:eastAsia="仿宋"/>
              </w:rPr>
              <w:t>天</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满意</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15" w:name="_Toc65328187"/>
      <w:r>
        <w:rPr>
          <w:rFonts w:hint="eastAsia" w:ascii="仿宋" w:hAnsi="仿宋" w:eastAsia="仿宋"/>
          <w:b/>
          <w:sz w:val="28"/>
        </w:rPr>
        <w:t>15.垃圾填埋场封场工程勘察费绩效目标表</w:t>
      </w:r>
      <w:bookmarkEnd w:id="15"/>
      <w:r>
        <w:fldChar w:fldCharType="begin"/>
      </w:r>
      <w:r>
        <w:rPr>
          <w:rFonts w:ascii="仿宋" w:hAnsi="仿宋" w:eastAsia="仿宋"/>
          <w:b/>
          <w:sz w:val="28"/>
        </w:rPr>
        <w:instrText xml:space="preserve"> </w:instrText>
      </w:r>
      <w:r>
        <w:rPr>
          <w:rFonts w:hint="eastAsia" w:ascii="仿宋" w:hAnsi="仿宋" w:eastAsia="仿宋"/>
          <w:b/>
          <w:sz w:val="28"/>
        </w:rPr>
        <w:instrText xml:space="preserve">TC 15、垃圾填埋场封场工程勘察费绩效目标表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13063021D9XFGGQ49OBU6</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垃圾填埋场封场工程勘察费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18.00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18.00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垃圾填埋场封场工程勘察费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达标处理垃圾库区渗滤液，排除沼气安全隐患。</w:t>
            </w:r>
          </w:p>
          <w:p>
            <w:pPr>
              <w:spacing w:line="300" w:lineRule="exact"/>
              <w:jc w:val="left"/>
              <w:rPr>
                <w:rFonts w:ascii="仿宋" w:hAnsi="仿宋" w:eastAsia="仿宋"/>
              </w:rPr>
            </w:pPr>
            <w:r>
              <w:rPr>
                <w:rFonts w:ascii="仿宋" w:hAnsi="仿宋" w:eastAsia="仿宋"/>
              </w:rPr>
              <w:t>2.</w:t>
            </w:r>
            <w:r>
              <w:rPr>
                <w:rFonts w:hint="eastAsia" w:ascii="仿宋" w:hAnsi="仿宋" w:eastAsia="仿宋"/>
              </w:rPr>
              <w:t>改善场区生态环境。</w:t>
            </w:r>
          </w:p>
          <w:p>
            <w:pPr>
              <w:spacing w:line="300" w:lineRule="exact"/>
              <w:jc w:val="left"/>
              <w:rPr>
                <w:rFonts w:ascii="仿宋" w:hAnsi="仿宋" w:eastAsia="仿宋"/>
              </w:rPr>
            </w:pPr>
            <w:r>
              <w:rPr>
                <w:rFonts w:ascii="仿宋" w:hAnsi="仿宋" w:eastAsia="仿宋"/>
              </w:rPr>
              <w:t>3.</w:t>
            </w:r>
            <w:r>
              <w:rPr>
                <w:rFonts w:hint="eastAsia" w:ascii="仿宋" w:hAnsi="仿宋" w:eastAsia="仿宋"/>
              </w:rPr>
              <w:t>提升与高山滑雪运动融合程度。</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封场面积</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封场面积数量</w:t>
            </w:r>
          </w:p>
        </w:tc>
        <w:tc>
          <w:tcPr>
            <w:tcW w:w="1276" w:type="dxa"/>
            <w:noWrap w:val="0"/>
            <w:vAlign w:val="center"/>
          </w:tcPr>
          <w:p>
            <w:pPr>
              <w:spacing w:line="300" w:lineRule="exact"/>
              <w:jc w:val="left"/>
              <w:rPr>
                <w:rFonts w:ascii="仿宋" w:hAnsi="仿宋" w:eastAsia="仿宋"/>
              </w:rPr>
            </w:pPr>
            <w:r>
              <w:rPr>
                <w:rFonts w:ascii="仿宋" w:hAnsi="仿宋" w:eastAsia="仿宋"/>
              </w:rPr>
              <w:t>31000</w:t>
            </w:r>
            <w:r>
              <w:rPr>
                <w:rFonts w:hint="eastAsia" w:ascii="仿宋" w:hAnsi="仿宋" w:eastAsia="仿宋"/>
              </w:rPr>
              <w:t>平方米</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验收合格率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验收合格率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项目完成及时率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项目完成及时率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工程完成率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工程完成率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影响期限</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项目影响期限</w:t>
            </w:r>
          </w:p>
        </w:tc>
        <w:tc>
          <w:tcPr>
            <w:tcW w:w="1276" w:type="dxa"/>
            <w:noWrap w:val="0"/>
            <w:vAlign w:val="center"/>
          </w:tcPr>
          <w:p>
            <w:pPr>
              <w:spacing w:line="300" w:lineRule="exact"/>
              <w:jc w:val="left"/>
              <w:rPr>
                <w:rFonts w:hint="eastAsia" w:ascii="仿宋" w:hAnsi="仿宋" w:eastAsia="仿宋"/>
              </w:rPr>
            </w:pPr>
            <w:r>
              <w:rPr>
                <w:rFonts w:ascii="仿宋" w:hAnsi="仿宋" w:eastAsia="仿宋"/>
              </w:rPr>
              <w:t>&lt;10</w:t>
            </w:r>
            <w:r>
              <w:rPr>
                <w:rFonts w:hint="eastAsia" w:ascii="仿宋" w:hAnsi="仿宋" w:eastAsia="仿宋"/>
              </w:rPr>
              <w:t>年</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检测报告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群众满意数量占总数的比例。</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问卷</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16" w:name="_Toc65328188"/>
      <w:r>
        <w:rPr>
          <w:rFonts w:hint="eastAsia" w:ascii="仿宋" w:hAnsi="仿宋" w:eastAsia="仿宋"/>
          <w:b/>
          <w:sz w:val="28"/>
        </w:rPr>
        <w:t>16.部分县直单位2020年冬季取暖费绩效目标表</w:t>
      </w:r>
      <w:bookmarkEnd w:id="16"/>
      <w:r>
        <w:fldChar w:fldCharType="begin"/>
      </w:r>
      <w:r>
        <w:rPr>
          <w:rFonts w:ascii="仿宋" w:hAnsi="仿宋" w:eastAsia="仿宋"/>
          <w:b/>
          <w:sz w:val="28"/>
        </w:rPr>
        <w:instrText xml:space="preserve"> </w:instrText>
      </w:r>
      <w:r>
        <w:rPr>
          <w:rFonts w:hint="eastAsia" w:ascii="仿宋" w:hAnsi="仿宋" w:eastAsia="仿宋"/>
          <w:b/>
          <w:sz w:val="28"/>
        </w:rPr>
        <w:instrText xml:space="preserve">TC 16、部分县直单位2020年冬季取暖费绩效目标表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13063021G4DDRMZGZCG1R</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部分县直单位</w:t>
            </w:r>
            <w:r>
              <w:rPr>
                <w:rFonts w:ascii="仿宋" w:hAnsi="仿宋" w:eastAsia="仿宋"/>
              </w:rPr>
              <w:t>2020</w:t>
            </w:r>
            <w:r>
              <w:rPr>
                <w:rFonts w:hint="eastAsia" w:ascii="仿宋" w:hAnsi="仿宋" w:eastAsia="仿宋"/>
              </w:rPr>
              <w:t>年冬季取暖费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357.77</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357.77</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取暖费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保障供暖企业正常运转，减轻企业负担。</w:t>
            </w:r>
          </w:p>
          <w:p>
            <w:pPr>
              <w:spacing w:line="300" w:lineRule="exact"/>
              <w:jc w:val="left"/>
              <w:rPr>
                <w:rFonts w:ascii="仿宋" w:hAnsi="仿宋" w:eastAsia="仿宋"/>
              </w:rPr>
            </w:pPr>
            <w:r>
              <w:rPr>
                <w:rFonts w:ascii="仿宋" w:hAnsi="仿宋" w:eastAsia="仿宋"/>
              </w:rPr>
              <w:t>2.</w:t>
            </w:r>
            <w:r>
              <w:rPr>
                <w:rFonts w:hint="eastAsia" w:ascii="仿宋" w:hAnsi="仿宋" w:eastAsia="仿宋"/>
              </w:rPr>
              <w:t>保障县直机关单位冬季正常取暖，温暖过冬。</w:t>
            </w:r>
          </w:p>
          <w:p>
            <w:pPr>
              <w:spacing w:line="300" w:lineRule="exact"/>
              <w:jc w:val="left"/>
              <w:rPr>
                <w:rFonts w:ascii="仿宋" w:hAnsi="仿宋" w:eastAsia="仿宋"/>
              </w:rPr>
            </w:pPr>
            <w:r>
              <w:rPr>
                <w:rFonts w:ascii="仿宋" w:hAnsi="仿宋" w:eastAsia="仿宋"/>
              </w:rPr>
              <w:t>3.</w:t>
            </w:r>
            <w:r>
              <w:rPr>
                <w:rFonts w:hint="eastAsia" w:ascii="仿宋" w:hAnsi="仿宋" w:eastAsia="仿宋"/>
              </w:rPr>
              <w:t>保障单位职工冬季有暖可取，保证工作正常运转。</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供暖面积</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实际单位供暖面积</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101063.93</w:t>
            </w:r>
            <w:r>
              <w:rPr>
                <w:rFonts w:hint="eastAsia" w:ascii="仿宋" w:hAnsi="仿宋" w:eastAsia="仿宋"/>
              </w:rPr>
              <w:t>平方米</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集中供热管理办法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供暖单位个数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实际供暖单位数量</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36</w:t>
            </w:r>
            <w:r>
              <w:rPr>
                <w:rFonts w:hint="eastAsia" w:ascii="仿宋" w:hAnsi="仿宋" w:eastAsia="仿宋"/>
              </w:rPr>
              <w:t>个</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统计台账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室内供暖温度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供暖季室内实际温度</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18</w:t>
            </w:r>
            <w:r>
              <w:rPr>
                <w:rFonts w:hint="eastAsia" w:ascii="仿宋" w:hAnsi="仿宋" w:eastAsia="仿宋"/>
              </w:rPr>
              <w:t>摄氏度</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集中供热管理办法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供暖及时率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按照文件要求按时供暖</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集中供热管理办法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供暖月数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实际供暖月数</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5</w:t>
            </w:r>
            <w:r>
              <w:rPr>
                <w:rFonts w:hint="eastAsia" w:ascii="仿宋" w:hAnsi="仿宋" w:eastAsia="仿宋"/>
              </w:rPr>
              <w:t>月</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集中供热管理办法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供暖温度达标率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供暖温度是否达标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集中供热管理办法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集中供热覆盖率</w:t>
            </w:r>
          </w:p>
        </w:tc>
        <w:tc>
          <w:tcPr>
            <w:tcW w:w="2891" w:type="dxa"/>
            <w:noWrap w:val="0"/>
            <w:vAlign w:val="center"/>
          </w:tcPr>
          <w:p>
            <w:pPr>
              <w:spacing w:line="300" w:lineRule="exact"/>
              <w:jc w:val="left"/>
              <w:rPr>
                <w:rFonts w:ascii="仿宋" w:hAnsi="仿宋" w:eastAsia="仿宋"/>
              </w:rPr>
            </w:pPr>
            <w:r>
              <w:rPr>
                <w:rFonts w:ascii="仿宋" w:hAnsi="仿宋" w:eastAsia="仿宋"/>
              </w:rPr>
              <w:t>36</w:t>
            </w:r>
            <w:r>
              <w:rPr>
                <w:rFonts w:hint="eastAsia" w:ascii="仿宋" w:hAnsi="仿宋" w:eastAsia="仿宋"/>
              </w:rPr>
              <w:t>个单位集中供热覆盖率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集中供热管理办法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群众满意数量占总数的比例。</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集中供热管理办法</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17" w:name="_Toc65328190"/>
      <w:r>
        <w:rPr>
          <w:rFonts w:hint="eastAsia" w:ascii="仿宋" w:hAnsi="仿宋" w:eastAsia="仿宋"/>
          <w:b/>
          <w:sz w:val="28"/>
        </w:rPr>
        <w:t>17.垃圾处理厂项目勘察设计费绩效目标表</w:t>
      </w:r>
      <w:bookmarkEnd w:id="17"/>
      <w:r>
        <w:fldChar w:fldCharType="begin"/>
      </w:r>
      <w:r>
        <w:rPr>
          <w:rFonts w:ascii="仿宋" w:hAnsi="仿宋" w:eastAsia="仿宋"/>
          <w:b/>
          <w:sz w:val="28"/>
        </w:rPr>
        <w:instrText xml:space="preserve"> </w:instrText>
      </w:r>
      <w:r>
        <w:rPr>
          <w:rFonts w:hint="eastAsia" w:ascii="仿宋" w:hAnsi="仿宋" w:eastAsia="仿宋"/>
          <w:b/>
          <w:sz w:val="28"/>
        </w:rPr>
        <w:instrText xml:space="preserve">TC 18、垃圾处理厂项目勘察设计费绩效目标表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13063021OBB67AN0OESZG</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垃圾处理厂项目勘察设计费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191.50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191.50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垃圾处理厂项目勘察设计费。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保障垃圾综合处理厂正常建设。</w:t>
            </w:r>
          </w:p>
          <w:p>
            <w:pPr>
              <w:spacing w:line="300" w:lineRule="exact"/>
              <w:jc w:val="left"/>
              <w:rPr>
                <w:rFonts w:ascii="仿宋" w:hAnsi="仿宋" w:eastAsia="仿宋"/>
              </w:rPr>
            </w:pPr>
            <w:r>
              <w:rPr>
                <w:rFonts w:ascii="仿宋" w:hAnsi="仿宋" w:eastAsia="仿宋"/>
              </w:rPr>
              <w:t>2.</w:t>
            </w:r>
            <w:r>
              <w:rPr>
                <w:rFonts w:hint="eastAsia" w:ascii="仿宋" w:hAnsi="仿宋" w:eastAsia="仿宋"/>
              </w:rPr>
              <w:t>保障垃圾综合处理厂稳定运行。</w:t>
            </w:r>
          </w:p>
          <w:p>
            <w:pPr>
              <w:spacing w:line="300" w:lineRule="exact"/>
              <w:jc w:val="left"/>
              <w:rPr>
                <w:rFonts w:ascii="仿宋" w:hAnsi="仿宋" w:eastAsia="仿宋"/>
              </w:rPr>
            </w:pPr>
            <w:r>
              <w:rPr>
                <w:rFonts w:ascii="仿宋" w:hAnsi="仿宋" w:eastAsia="仿宋"/>
              </w:rPr>
              <w:t>3.</w:t>
            </w:r>
            <w:r>
              <w:rPr>
                <w:rFonts w:hint="eastAsia" w:ascii="仿宋" w:hAnsi="仿宋" w:eastAsia="仿宋"/>
              </w:rPr>
              <w:t>提高垃圾综合处理能力。</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垃圾处理厂数量</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垃圾处理厂数量</w:t>
            </w:r>
          </w:p>
        </w:tc>
        <w:tc>
          <w:tcPr>
            <w:tcW w:w="1276" w:type="dxa"/>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个</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验收合格率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验收合格率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项目完成及时率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项目完成及时率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工程完成率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工程完成率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服务期限</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服务期限</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20</w:t>
            </w:r>
            <w:r>
              <w:rPr>
                <w:rFonts w:hint="eastAsia" w:ascii="仿宋" w:hAnsi="仿宋" w:eastAsia="仿宋"/>
              </w:rPr>
              <w:t>年</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群众满意数量占总数的比例。</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问卷</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18" w:name="_Toc65328191"/>
      <w:r>
        <w:rPr>
          <w:rFonts w:hint="eastAsia" w:ascii="仿宋" w:hAnsi="仿宋" w:eastAsia="仿宋"/>
          <w:b/>
          <w:sz w:val="28"/>
        </w:rPr>
        <w:t>18.涞源县城市道路改造提升工程费用绩效目标表</w:t>
      </w:r>
      <w:bookmarkEnd w:id="18"/>
      <w:r>
        <w:fldChar w:fldCharType="begin"/>
      </w:r>
      <w:r>
        <w:rPr>
          <w:rFonts w:ascii="仿宋" w:hAnsi="仿宋" w:eastAsia="仿宋"/>
          <w:b/>
          <w:sz w:val="28"/>
        </w:rPr>
        <w:instrText xml:space="preserve"> </w:instrText>
      </w:r>
      <w:r>
        <w:rPr>
          <w:rFonts w:hint="eastAsia" w:ascii="仿宋" w:hAnsi="仿宋" w:eastAsia="仿宋"/>
          <w:b/>
          <w:sz w:val="28"/>
        </w:rPr>
        <w:instrText xml:space="preserve">TC 19、涞源县城市道路改造提升工程费用绩效目标表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13063021OQE4Y34TMOA06</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涞源县城市道路改造提升工程费用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227.41563</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227.41563</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涞源县城市道路改造提升工程款。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保障广大群众的出行安全和便利，美化环境。</w:t>
            </w:r>
          </w:p>
          <w:p>
            <w:pPr>
              <w:spacing w:line="300" w:lineRule="exact"/>
              <w:jc w:val="left"/>
              <w:rPr>
                <w:rFonts w:ascii="仿宋" w:hAnsi="仿宋" w:eastAsia="仿宋"/>
              </w:rPr>
            </w:pPr>
            <w:r>
              <w:rPr>
                <w:rFonts w:ascii="仿宋" w:hAnsi="仿宋" w:eastAsia="仿宋"/>
              </w:rPr>
              <w:t>2.</w:t>
            </w:r>
            <w:r>
              <w:rPr>
                <w:rFonts w:hint="eastAsia" w:ascii="仿宋" w:hAnsi="仿宋" w:eastAsia="仿宋"/>
              </w:rPr>
              <w:t>美化城区环境，创建园林县城。</w:t>
            </w:r>
          </w:p>
          <w:p>
            <w:pPr>
              <w:spacing w:line="300" w:lineRule="exact"/>
              <w:jc w:val="left"/>
              <w:rPr>
                <w:rFonts w:ascii="仿宋" w:hAnsi="仿宋" w:eastAsia="仿宋"/>
              </w:rPr>
            </w:pPr>
            <w:r>
              <w:rPr>
                <w:rFonts w:ascii="仿宋" w:hAnsi="仿宋" w:eastAsia="仿宋"/>
              </w:rPr>
              <w:t>3.</w:t>
            </w:r>
            <w:r>
              <w:rPr>
                <w:rFonts w:hint="eastAsia" w:ascii="仿宋" w:hAnsi="仿宋" w:eastAsia="仿宋"/>
              </w:rPr>
              <w:t>改善居民生活条件，提升居民幸福感。</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省级园林县城数量</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省级园林县城数量</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w:t>
            </w:r>
            <w:r>
              <w:rPr>
                <w:rFonts w:hint="eastAsia" w:ascii="仿宋" w:hAnsi="仿宋" w:eastAsia="仿宋"/>
              </w:rPr>
              <w:t>个</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工程验收合格率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合格工程占验收总量的比率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项目完成及时率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项目完成及时率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基础设施完好率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城市基础设施完好率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建成区绿地率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建成区绿地率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30%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三绿台账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满意</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问卷</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19" w:name="_Toc65328192"/>
      <w:r>
        <w:rPr>
          <w:rFonts w:hint="eastAsia" w:ascii="仿宋" w:hAnsi="仿宋" w:eastAsia="仿宋"/>
          <w:b/>
          <w:sz w:val="28"/>
        </w:rPr>
        <w:t>19.人行家属楼、工商小区两个老旧小区改造项目工程绩效目标表</w:t>
      </w:r>
      <w:bookmarkEnd w:id="19"/>
      <w:r>
        <w:fldChar w:fldCharType="begin"/>
      </w:r>
      <w:r>
        <w:rPr>
          <w:rFonts w:ascii="仿宋" w:hAnsi="仿宋" w:eastAsia="仿宋"/>
          <w:b/>
          <w:sz w:val="28"/>
        </w:rPr>
        <w:instrText xml:space="preserve"> </w:instrText>
      </w:r>
      <w:r>
        <w:rPr>
          <w:rFonts w:hint="eastAsia" w:ascii="仿宋" w:hAnsi="仿宋" w:eastAsia="仿宋"/>
          <w:b/>
          <w:sz w:val="28"/>
        </w:rPr>
        <w:instrText xml:space="preserve">TC 20、人行家属楼、工商小区两个老旧小区改造项目工程绩效目标表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13063021QGGRZW4575T42</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人行家属楼、工商小区两个老旧小区改造项目工程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100.00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100.00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老旧小区改造工程款。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改善老旧小区居民居住生活条件。</w:t>
            </w:r>
          </w:p>
          <w:p>
            <w:pPr>
              <w:spacing w:line="300" w:lineRule="exact"/>
              <w:jc w:val="left"/>
              <w:rPr>
                <w:rFonts w:ascii="仿宋" w:hAnsi="仿宋" w:eastAsia="仿宋"/>
              </w:rPr>
            </w:pPr>
            <w:r>
              <w:rPr>
                <w:rFonts w:ascii="仿宋" w:hAnsi="仿宋" w:eastAsia="仿宋"/>
              </w:rPr>
              <w:t>2.</w:t>
            </w:r>
            <w:r>
              <w:rPr>
                <w:rFonts w:hint="eastAsia" w:ascii="仿宋" w:hAnsi="仿宋" w:eastAsia="仿宋"/>
              </w:rPr>
              <w:t>全面解决老旧小区建筑物和配套设施老化、环境脏乱差问题。</w:t>
            </w:r>
          </w:p>
          <w:p>
            <w:pPr>
              <w:spacing w:line="300" w:lineRule="exact"/>
              <w:jc w:val="left"/>
              <w:rPr>
                <w:rFonts w:ascii="仿宋" w:hAnsi="仿宋" w:eastAsia="仿宋"/>
              </w:rPr>
            </w:pPr>
            <w:r>
              <w:rPr>
                <w:rFonts w:ascii="仿宋" w:hAnsi="仿宋" w:eastAsia="仿宋"/>
              </w:rPr>
              <w:t>3.</w:t>
            </w:r>
            <w:r>
              <w:rPr>
                <w:rFonts w:hint="eastAsia" w:ascii="仿宋" w:hAnsi="仿宋" w:eastAsia="仿宋"/>
              </w:rPr>
              <w:t>提升居民生活品质，切实增强群众的幸福感安全感。</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老旧小区改造数量</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老旧小区改造数量</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2</w:t>
            </w:r>
            <w:r>
              <w:rPr>
                <w:rFonts w:hint="eastAsia" w:ascii="仿宋" w:hAnsi="仿宋" w:eastAsia="仿宋"/>
              </w:rPr>
              <w:t>个</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老旧小区改造户数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老旧小区改造户数</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84</w:t>
            </w:r>
            <w:r>
              <w:rPr>
                <w:rFonts w:hint="eastAsia" w:ascii="仿宋" w:hAnsi="仿宋" w:eastAsia="仿宋"/>
              </w:rPr>
              <w:t>户</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工程验收合格率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工程验收合格率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按期完成率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按期完成率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项目受益户数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项目受益户数</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84</w:t>
            </w:r>
            <w:r>
              <w:rPr>
                <w:rFonts w:hint="eastAsia" w:ascii="仿宋" w:hAnsi="仿宋" w:eastAsia="仿宋"/>
              </w:rPr>
              <w:t>户</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改造竣工入住率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改造竣工入住率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群众满意数量占总数的比例</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92%</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问卷</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20" w:name="_Toc65328193"/>
      <w:r>
        <w:rPr>
          <w:rFonts w:hint="eastAsia" w:ascii="仿宋" w:hAnsi="仿宋" w:eastAsia="仿宋"/>
          <w:b/>
          <w:sz w:val="28"/>
        </w:rPr>
        <w:t>20.住建局关于拨付阁院路东延工程费用的请示绩效目标表</w:t>
      </w:r>
      <w:bookmarkEnd w:id="20"/>
      <w:r>
        <w:fldChar w:fldCharType="begin"/>
      </w:r>
      <w:r>
        <w:rPr>
          <w:rFonts w:ascii="仿宋" w:hAnsi="仿宋" w:eastAsia="仿宋"/>
          <w:b/>
          <w:sz w:val="28"/>
        </w:rPr>
        <w:instrText xml:space="preserve"> </w:instrText>
      </w:r>
      <w:r>
        <w:rPr>
          <w:rFonts w:hint="eastAsia" w:ascii="仿宋" w:hAnsi="仿宋" w:eastAsia="仿宋"/>
          <w:b/>
          <w:sz w:val="28"/>
        </w:rPr>
        <w:instrText xml:space="preserve">TC 21、住建局关于拨付阁院路东延工程费用的请示绩效目标表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13063021QOFR69SWXKXD4</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住建局关于拨付阁院路东延工程费用的请示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531.893067</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531.893067</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阁院路东延工程款。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保障广大群众的出行安全和便利，美化环境。</w:t>
            </w:r>
          </w:p>
          <w:p>
            <w:pPr>
              <w:spacing w:line="300" w:lineRule="exact"/>
              <w:jc w:val="left"/>
              <w:rPr>
                <w:rFonts w:ascii="仿宋" w:hAnsi="仿宋" w:eastAsia="仿宋"/>
              </w:rPr>
            </w:pPr>
            <w:r>
              <w:rPr>
                <w:rFonts w:ascii="仿宋" w:hAnsi="仿宋" w:eastAsia="仿宋"/>
              </w:rPr>
              <w:t>2.</w:t>
            </w:r>
            <w:r>
              <w:rPr>
                <w:rFonts w:hint="eastAsia" w:ascii="仿宋" w:hAnsi="仿宋" w:eastAsia="仿宋"/>
              </w:rPr>
              <w:t>美化城区环境，创建园林县城。</w:t>
            </w:r>
          </w:p>
          <w:p>
            <w:pPr>
              <w:spacing w:line="300" w:lineRule="exact"/>
              <w:jc w:val="left"/>
              <w:rPr>
                <w:rFonts w:ascii="仿宋" w:hAnsi="仿宋" w:eastAsia="仿宋"/>
              </w:rPr>
            </w:pPr>
            <w:r>
              <w:rPr>
                <w:rFonts w:ascii="仿宋" w:hAnsi="仿宋" w:eastAsia="仿宋"/>
              </w:rPr>
              <w:t>3.</w:t>
            </w:r>
            <w:r>
              <w:rPr>
                <w:rFonts w:hint="eastAsia" w:ascii="仿宋" w:hAnsi="仿宋" w:eastAsia="仿宋"/>
              </w:rPr>
              <w:t>改善居民生活条件，提升居民幸福感。</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省级园林县城数量</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省级园林县城数量</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w:t>
            </w:r>
            <w:r>
              <w:rPr>
                <w:rFonts w:hint="eastAsia" w:ascii="仿宋" w:hAnsi="仿宋" w:eastAsia="仿宋"/>
              </w:rPr>
              <w:t>个</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工程验收合格率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合格工程占验收总量的比率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项目完成及时率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项目完成及时率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基础设施完好率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城市基础设施完好率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建成区绿地率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建成区绿地率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30%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三绿台账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满意</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问卷</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21" w:name="_Toc65328194"/>
      <w:r>
        <w:rPr>
          <w:rFonts w:hint="eastAsia" w:ascii="仿宋" w:hAnsi="仿宋" w:eastAsia="仿宋"/>
          <w:b/>
          <w:sz w:val="28"/>
        </w:rPr>
        <w:t>21.垃圾填埋场变压器增容工程绩效目标表</w:t>
      </w:r>
      <w:bookmarkEnd w:id="21"/>
      <w:r>
        <w:fldChar w:fldCharType="begin"/>
      </w:r>
      <w:r>
        <w:rPr>
          <w:rFonts w:ascii="仿宋" w:hAnsi="仿宋" w:eastAsia="仿宋"/>
          <w:b/>
          <w:sz w:val="28"/>
        </w:rPr>
        <w:instrText xml:space="preserve"> </w:instrText>
      </w:r>
      <w:r>
        <w:rPr>
          <w:rFonts w:hint="eastAsia" w:ascii="仿宋" w:hAnsi="仿宋" w:eastAsia="仿宋"/>
          <w:b/>
          <w:sz w:val="28"/>
        </w:rPr>
        <w:instrText xml:space="preserve">TC 22、垃圾填埋场变压器增容工程绩效目标表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13063021QTXCGVVSCT49K</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垃圾填埋场变压器增容工程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17.2953</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17.2953</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垃圾填埋场变压器增容工程款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达标处理垃圾库区渗滤液，排除沼气安全隐患。</w:t>
            </w:r>
          </w:p>
          <w:p>
            <w:pPr>
              <w:spacing w:line="300" w:lineRule="exact"/>
              <w:jc w:val="left"/>
              <w:rPr>
                <w:rFonts w:ascii="仿宋" w:hAnsi="仿宋" w:eastAsia="仿宋"/>
              </w:rPr>
            </w:pPr>
            <w:r>
              <w:rPr>
                <w:rFonts w:ascii="仿宋" w:hAnsi="仿宋" w:eastAsia="仿宋"/>
              </w:rPr>
              <w:t>2.</w:t>
            </w:r>
            <w:r>
              <w:rPr>
                <w:rFonts w:hint="eastAsia" w:ascii="仿宋" w:hAnsi="仿宋" w:eastAsia="仿宋"/>
              </w:rPr>
              <w:t>改善场区生态环境。</w:t>
            </w:r>
          </w:p>
          <w:p>
            <w:pPr>
              <w:spacing w:line="300" w:lineRule="exact"/>
              <w:jc w:val="left"/>
              <w:rPr>
                <w:rFonts w:ascii="仿宋" w:hAnsi="仿宋" w:eastAsia="仿宋"/>
              </w:rPr>
            </w:pPr>
            <w:r>
              <w:rPr>
                <w:rFonts w:ascii="仿宋" w:hAnsi="仿宋" w:eastAsia="仿宋"/>
              </w:rPr>
              <w:t>3.</w:t>
            </w:r>
            <w:r>
              <w:rPr>
                <w:rFonts w:hint="eastAsia" w:ascii="仿宋" w:hAnsi="仿宋" w:eastAsia="仿宋"/>
              </w:rPr>
              <w:t>提升与高山滑雪运动融合程度。</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封场面积</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封场面积数量</w:t>
            </w:r>
          </w:p>
        </w:tc>
        <w:tc>
          <w:tcPr>
            <w:tcW w:w="1276" w:type="dxa"/>
            <w:noWrap w:val="0"/>
            <w:vAlign w:val="center"/>
          </w:tcPr>
          <w:p>
            <w:pPr>
              <w:spacing w:line="300" w:lineRule="exact"/>
              <w:jc w:val="left"/>
              <w:rPr>
                <w:rFonts w:ascii="仿宋" w:hAnsi="仿宋" w:eastAsia="仿宋"/>
              </w:rPr>
            </w:pPr>
            <w:r>
              <w:rPr>
                <w:rFonts w:ascii="仿宋" w:hAnsi="仿宋" w:eastAsia="仿宋"/>
              </w:rPr>
              <w:t>31000</w:t>
            </w:r>
            <w:r>
              <w:rPr>
                <w:rFonts w:hint="eastAsia" w:ascii="仿宋" w:hAnsi="仿宋" w:eastAsia="仿宋"/>
              </w:rPr>
              <w:t>平方米</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验收合格率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验收合格率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项目完成及时率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项目完成及时率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工程完成率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工程完成率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影响期限</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项目影响期限</w:t>
            </w:r>
          </w:p>
        </w:tc>
        <w:tc>
          <w:tcPr>
            <w:tcW w:w="1276" w:type="dxa"/>
            <w:noWrap w:val="0"/>
            <w:vAlign w:val="center"/>
          </w:tcPr>
          <w:p>
            <w:pPr>
              <w:spacing w:line="300" w:lineRule="exact"/>
              <w:jc w:val="left"/>
              <w:rPr>
                <w:rFonts w:hint="eastAsia" w:ascii="仿宋" w:hAnsi="仿宋" w:eastAsia="仿宋"/>
              </w:rPr>
            </w:pPr>
            <w:r>
              <w:rPr>
                <w:rFonts w:ascii="仿宋" w:hAnsi="仿宋" w:eastAsia="仿宋"/>
              </w:rPr>
              <w:t>&lt;10</w:t>
            </w:r>
            <w:r>
              <w:rPr>
                <w:rFonts w:hint="eastAsia" w:ascii="仿宋" w:hAnsi="仿宋" w:eastAsia="仿宋"/>
              </w:rPr>
              <w:t>年</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检测报告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群众满意数量占总数的比例。</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问卷</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22" w:name="_Toc65328195"/>
      <w:r>
        <w:rPr>
          <w:rFonts w:hint="eastAsia" w:ascii="仿宋" w:hAnsi="仿宋" w:eastAsia="仿宋"/>
          <w:b/>
          <w:sz w:val="28"/>
        </w:rPr>
        <w:t>22.垃圾填埋场渗滤液应急处置费绩效目标表</w:t>
      </w:r>
      <w:bookmarkEnd w:id="22"/>
      <w:r>
        <w:fldChar w:fldCharType="begin"/>
      </w:r>
      <w:r>
        <w:rPr>
          <w:rFonts w:ascii="仿宋" w:hAnsi="仿宋" w:eastAsia="仿宋"/>
          <w:b/>
          <w:sz w:val="28"/>
        </w:rPr>
        <w:instrText xml:space="preserve"> </w:instrText>
      </w:r>
      <w:r>
        <w:rPr>
          <w:rFonts w:hint="eastAsia" w:ascii="仿宋" w:hAnsi="仿宋" w:eastAsia="仿宋"/>
          <w:b/>
          <w:sz w:val="28"/>
        </w:rPr>
        <w:instrText xml:space="preserve">TC 23、垃圾填埋场渗滤液应急处置费绩效目标表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13063021QZY1EXZPXQ4GO</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垃圾填埋场渗滤液应急处置费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200.00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200.00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垃圾填埋场渗滤液应急处置费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达标处理垃圾库区渗滤液，排除沼气安全隐患。</w:t>
            </w:r>
          </w:p>
          <w:p>
            <w:pPr>
              <w:spacing w:line="300" w:lineRule="exact"/>
              <w:jc w:val="left"/>
              <w:rPr>
                <w:rFonts w:ascii="仿宋" w:hAnsi="仿宋" w:eastAsia="仿宋"/>
              </w:rPr>
            </w:pPr>
            <w:r>
              <w:rPr>
                <w:rFonts w:ascii="仿宋" w:hAnsi="仿宋" w:eastAsia="仿宋"/>
              </w:rPr>
              <w:t>2.</w:t>
            </w:r>
            <w:r>
              <w:rPr>
                <w:rFonts w:hint="eastAsia" w:ascii="仿宋" w:hAnsi="仿宋" w:eastAsia="仿宋"/>
              </w:rPr>
              <w:t>改善场区生态环境。</w:t>
            </w:r>
          </w:p>
          <w:p>
            <w:pPr>
              <w:spacing w:line="300" w:lineRule="exact"/>
              <w:jc w:val="left"/>
              <w:rPr>
                <w:rFonts w:ascii="仿宋" w:hAnsi="仿宋" w:eastAsia="仿宋"/>
              </w:rPr>
            </w:pPr>
            <w:r>
              <w:rPr>
                <w:rFonts w:ascii="仿宋" w:hAnsi="仿宋" w:eastAsia="仿宋"/>
              </w:rPr>
              <w:t>3.</w:t>
            </w:r>
            <w:r>
              <w:rPr>
                <w:rFonts w:hint="eastAsia" w:ascii="仿宋" w:hAnsi="仿宋" w:eastAsia="仿宋"/>
              </w:rPr>
              <w:t>提升与高山滑雪运动融合程度。</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封场面积</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封场面积数量</w:t>
            </w:r>
          </w:p>
        </w:tc>
        <w:tc>
          <w:tcPr>
            <w:tcW w:w="1276" w:type="dxa"/>
            <w:noWrap w:val="0"/>
            <w:vAlign w:val="center"/>
          </w:tcPr>
          <w:p>
            <w:pPr>
              <w:spacing w:line="300" w:lineRule="exact"/>
              <w:jc w:val="left"/>
              <w:rPr>
                <w:rFonts w:ascii="仿宋" w:hAnsi="仿宋" w:eastAsia="仿宋"/>
              </w:rPr>
            </w:pPr>
            <w:r>
              <w:rPr>
                <w:rFonts w:ascii="仿宋" w:hAnsi="仿宋" w:eastAsia="仿宋"/>
              </w:rPr>
              <w:t>31000</w:t>
            </w:r>
            <w:r>
              <w:rPr>
                <w:rFonts w:hint="eastAsia" w:ascii="仿宋" w:hAnsi="仿宋" w:eastAsia="仿宋"/>
              </w:rPr>
              <w:t>平方米</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验收合格率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验收合格率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项目完成及时率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项目完成及时率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工程完成率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工程完成率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影响期限</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项目影响期限</w:t>
            </w:r>
          </w:p>
        </w:tc>
        <w:tc>
          <w:tcPr>
            <w:tcW w:w="1276" w:type="dxa"/>
            <w:noWrap w:val="0"/>
            <w:vAlign w:val="center"/>
          </w:tcPr>
          <w:p>
            <w:pPr>
              <w:spacing w:line="300" w:lineRule="exact"/>
              <w:jc w:val="left"/>
              <w:rPr>
                <w:rFonts w:hint="eastAsia" w:ascii="仿宋" w:hAnsi="仿宋" w:eastAsia="仿宋"/>
              </w:rPr>
            </w:pPr>
            <w:r>
              <w:rPr>
                <w:rFonts w:ascii="仿宋" w:hAnsi="仿宋" w:eastAsia="仿宋"/>
              </w:rPr>
              <w:t>&lt;10</w:t>
            </w:r>
            <w:r>
              <w:rPr>
                <w:rFonts w:hint="eastAsia" w:ascii="仿宋" w:hAnsi="仿宋" w:eastAsia="仿宋"/>
              </w:rPr>
              <w:t>年</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检测报告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群众满意数量占总数的比例。</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问卷</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23" w:name="_Toc65328196"/>
      <w:r>
        <w:rPr>
          <w:rFonts w:hint="eastAsia" w:ascii="仿宋" w:hAnsi="仿宋" w:eastAsia="仿宋"/>
          <w:b/>
          <w:sz w:val="28"/>
        </w:rPr>
        <w:t>23.住建局城镇基础设施建设、绿化、创园等各项工程项目资金绩效目标表</w:t>
      </w:r>
      <w:bookmarkEnd w:id="23"/>
      <w:r>
        <w:fldChar w:fldCharType="begin"/>
      </w:r>
      <w:r>
        <w:rPr>
          <w:rFonts w:ascii="仿宋" w:hAnsi="仿宋" w:eastAsia="仿宋"/>
          <w:b/>
          <w:sz w:val="28"/>
        </w:rPr>
        <w:instrText xml:space="preserve"> </w:instrText>
      </w:r>
      <w:r>
        <w:rPr>
          <w:rFonts w:hint="eastAsia" w:ascii="仿宋" w:hAnsi="仿宋" w:eastAsia="仿宋"/>
          <w:b/>
          <w:sz w:val="28"/>
        </w:rPr>
        <w:instrText xml:space="preserve">TC 24、住建局城镇基础设施建设、绿化、创园等各项工程项目资金绩效目标表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13063021T8ELA9VH3LNFC</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住建局城镇基础设施建设、绿化、创园等各项工程项目资金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1000.00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1000.00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城市基础设施、园林绿化、创园等各项工程款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50.00%</w:t>
            </w:r>
          </w:p>
        </w:tc>
        <w:tc>
          <w:tcPr>
            <w:tcW w:w="1304" w:type="dxa"/>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75.00%</w:t>
            </w: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保障广大群众的出行安全和便利，美化环境。</w:t>
            </w:r>
          </w:p>
          <w:p>
            <w:pPr>
              <w:spacing w:line="300" w:lineRule="exact"/>
              <w:jc w:val="left"/>
              <w:rPr>
                <w:rFonts w:ascii="仿宋" w:hAnsi="仿宋" w:eastAsia="仿宋"/>
              </w:rPr>
            </w:pPr>
            <w:r>
              <w:rPr>
                <w:rFonts w:ascii="仿宋" w:hAnsi="仿宋" w:eastAsia="仿宋"/>
              </w:rPr>
              <w:t>2.</w:t>
            </w:r>
            <w:r>
              <w:rPr>
                <w:rFonts w:hint="eastAsia" w:ascii="仿宋" w:hAnsi="仿宋" w:eastAsia="仿宋"/>
              </w:rPr>
              <w:t>美化城区环境，创建园林县城。</w:t>
            </w:r>
          </w:p>
          <w:p>
            <w:pPr>
              <w:spacing w:line="300" w:lineRule="exact"/>
              <w:jc w:val="left"/>
              <w:rPr>
                <w:rFonts w:ascii="仿宋" w:hAnsi="仿宋" w:eastAsia="仿宋"/>
              </w:rPr>
            </w:pPr>
            <w:r>
              <w:rPr>
                <w:rFonts w:ascii="仿宋" w:hAnsi="仿宋" w:eastAsia="仿宋"/>
              </w:rPr>
              <w:t>3.</w:t>
            </w:r>
            <w:r>
              <w:rPr>
                <w:rFonts w:hint="eastAsia" w:ascii="仿宋" w:hAnsi="仿宋" w:eastAsia="仿宋"/>
              </w:rPr>
              <w:t>改善居民生活条件，提升居民幸福感。</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省级园林县城数量</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省级园林县城数量</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w:t>
            </w:r>
            <w:r>
              <w:rPr>
                <w:rFonts w:hint="eastAsia" w:ascii="仿宋" w:hAnsi="仿宋" w:eastAsia="仿宋"/>
              </w:rPr>
              <w:t>个</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工程验收合格率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合格工程占验收总量的比率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项目完成及时率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项目完成及时率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基础设施完好率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城市基础设施完好率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建成区绿地率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建成区绿地率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30%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三绿台账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满意</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问卷</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24" w:name="_Toc65328197"/>
      <w:r>
        <w:rPr>
          <w:rFonts w:hint="eastAsia" w:ascii="仿宋" w:hAnsi="仿宋" w:eastAsia="仿宋"/>
          <w:b/>
          <w:sz w:val="28"/>
        </w:rPr>
        <w:t>24.垃圾填埋场封场工程初步设计评审费绩效目标表</w:t>
      </w:r>
      <w:bookmarkEnd w:id="24"/>
      <w:r>
        <w:fldChar w:fldCharType="begin"/>
      </w:r>
      <w:r>
        <w:rPr>
          <w:rFonts w:ascii="仿宋" w:hAnsi="仿宋" w:eastAsia="仿宋"/>
          <w:b/>
          <w:sz w:val="28"/>
        </w:rPr>
        <w:instrText xml:space="preserve"> </w:instrText>
      </w:r>
      <w:r>
        <w:rPr>
          <w:rFonts w:hint="eastAsia" w:ascii="仿宋" w:hAnsi="仿宋" w:eastAsia="仿宋"/>
          <w:b/>
          <w:sz w:val="28"/>
        </w:rPr>
        <w:instrText xml:space="preserve">TC 25、垃圾填埋场封场工程初步设计评审费绩效目标表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13063021UDQT7FGDVGGQ4</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垃圾填埋场封场工程初步设计评审费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3.00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3.00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垃圾填埋场封场工程初步设计评审费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达标处理垃圾库区渗滤液，排除沼气安全隐患。</w:t>
            </w:r>
          </w:p>
          <w:p>
            <w:pPr>
              <w:spacing w:line="300" w:lineRule="exact"/>
              <w:jc w:val="left"/>
              <w:rPr>
                <w:rFonts w:ascii="仿宋" w:hAnsi="仿宋" w:eastAsia="仿宋"/>
              </w:rPr>
            </w:pPr>
            <w:r>
              <w:rPr>
                <w:rFonts w:ascii="仿宋" w:hAnsi="仿宋" w:eastAsia="仿宋"/>
              </w:rPr>
              <w:t>2.</w:t>
            </w:r>
            <w:r>
              <w:rPr>
                <w:rFonts w:hint="eastAsia" w:ascii="仿宋" w:hAnsi="仿宋" w:eastAsia="仿宋"/>
              </w:rPr>
              <w:t>改善场区生态环境。</w:t>
            </w:r>
          </w:p>
          <w:p>
            <w:pPr>
              <w:spacing w:line="300" w:lineRule="exact"/>
              <w:jc w:val="left"/>
              <w:rPr>
                <w:rFonts w:ascii="仿宋" w:hAnsi="仿宋" w:eastAsia="仿宋"/>
              </w:rPr>
            </w:pPr>
            <w:r>
              <w:rPr>
                <w:rFonts w:ascii="仿宋" w:hAnsi="仿宋" w:eastAsia="仿宋"/>
              </w:rPr>
              <w:t>3.</w:t>
            </w:r>
            <w:r>
              <w:rPr>
                <w:rFonts w:hint="eastAsia" w:ascii="仿宋" w:hAnsi="仿宋" w:eastAsia="仿宋"/>
              </w:rPr>
              <w:t>提升与高山滑雪运动融合程度。</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封场面积</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封场面积数量</w:t>
            </w:r>
          </w:p>
        </w:tc>
        <w:tc>
          <w:tcPr>
            <w:tcW w:w="1276" w:type="dxa"/>
            <w:noWrap w:val="0"/>
            <w:vAlign w:val="center"/>
          </w:tcPr>
          <w:p>
            <w:pPr>
              <w:spacing w:line="300" w:lineRule="exact"/>
              <w:jc w:val="left"/>
              <w:rPr>
                <w:rFonts w:ascii="仿宋" w:hAnsi="仿宋" w:eastAsia="仿宋"/>
              </w:rPr>
            </w:pPr>
            <w:r>
              <w:rPr>
                <w:rFonts w:ascii="仿宋" w:hAnsi="仿宋" w:eastAsia="仿宋"/>
              </w:rPr>
              <w:t>31000</w:t>
            </w:r>
            <w:r>
              <w:rPr>
                <w:rFonts w:hint="eastAsia" w:ascii="仿宋" w:hAnsi="仿宋" w:eastAsia="仿宋"/>
              </w:rPr>
              <w:t>平方米</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验收合格率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验收合格率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项目完成及时率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项目完成及时率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工程完成率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工程完成率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验收报告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影响期限</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项目影响期限</w:t>
            </w:r>
          </w:p>
        </w:tc>
        <w:tc>
          <w:tcPr>
            <w:tcW w:w="1276" w:type="dxa"/>
            <w:noWrap w:val="0"/>
            <w:vAlign w:val="center"/>
          </w:tcPr>
          <w:p>
            <w:pPr>
              <w:spacing w:line="300" w:lineRule="exact"/>
              <w:jc w:val="left"/>
              <w:rPr>
                <w:rFonts w:hint="eastAsia" w:ascii="仿宋" w:hAnsi="仿宋" w:eastAsia="仿宋"/>
              </w:rPr>
            </w:pPr>
            <w:r>
              <w:rPr>
                <w:rFonts w:ascii="仿宋" w:hAnsi="仿宋" w:eastAsia="仿宋"/>
              </w:rPr>
              <w:t>&lt;10</w:t>
            </w:r>
            <w:r>
              <w:rPr>
                <w:rFonts w:hint="eastAsia" w:ascii="仿宋" w:hAnsi="仿宋" w:eastAsia="仿宋"/>
              </w:rPr>
              <w:t>年</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检测报告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群众满意数量占总数的比例。</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问卷</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25" w:name="_Toc65328198"/>
      <w:r>
        <w:rPr>
          <w:rFonts w:hint="eastAsia" w:ascii="仿宋" w:hAnsi="仿宋" w:eastAsia="仿宋"/>
          <w:b/>
          <w:sz w:val="28"/>
        </w:rPr>
        <w:t>25.提前下达2021年部分中央财政城镇保障性安居工程补助资金冀财综【2020】39号绩效目标表</w:t>
      </w:r>
      <w:bookmarkEnd w:id="25"/>
      <w:r>
        <w:fldChar w:fldCharType="begin"/>
      </w:r>
      <w:r>
        <w:rPr>
          <w:rFonts w:ascii="仿宋" w:hAnsi="仿宋" w:eastAsia="仿宋"/>
          <w:b/>
          <w:sz w:val="28"/>
        </w:rPr>
        <w:instrText xml:space="preserve"> </w:instrText>
      </w:r>
      <w:r>
        <w:rPr>
          <w:rFonts w:hint="eastAsia" w:ascii="仿宋" w:hAnsi="仿宋" w:eastAsia="仿宋"/>
          <w:b/>
          <w:sz w:val="28"/>
        </w:rPr>
        <w:instrText xml:space="preserve">TC 26、提前下达2021年部分中央财政城镇保障性安居工程补助资金冀财综【2020】39号绩效目标表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13063021UTP08FF7NE3ZF</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提前下达</w:t>
            </w:r>
            <w:r>
              <w:rPr>
                <w:rFonts w:ascii="仿宋" w:hAnsi="仿宋" w:eastAsia="仿宋"/>
              </w:rPr>
              <w:t>2021</w:t>
            </w:r>
            <w:r>
              <w:rPr>
                <w:rFonts w:hint="eastAsia" w:ascii="仿宋" w:hAnsi="仿宋" w:eastAsia="仿宋"/>
              </w:rPr>
              <w:t>年部分中央财政城镇保障性安居工程补助资金冀财综【</w:t>
            </w:r>
            <w:r>
              <w:rPr>
                <w:rFonts w:ascii="仿宋" w:hAnsi="仿宋" w:eastAsia="仿宋"/>
              </w:rPr>
              <w:t>2020</w:t>
            </w:r>
            <w:r>
              <w:rPr>
                <w:rFonts w:hint="eastAsia" w:ascii="仿宋" w:hAnsi="仿宋" w:eastAsia="仿宋"/>
              </w:rPr>
              <w:t>】</w:t>
            </w:r>
            <w:r>
              <w:rPr>
                <w:rFonts w:ascii="仿宋" w:hAnsi="仿宋" w:eastAsia="仿宋"/>
              </w:rPr>
              <w:t>39</w:t>
            </w:r>
            <w:r>
              <w:rPr>
                <w:rFonts w:hint="eastAsia" w:ascii="仿宋" w:hAnsi="仿宋" w:eastAsia="仿宋"/>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192.00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192.00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老旧小区改造工程款。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p>
        </w:tc>
        <w:tc>
          <w:tcPr>
            <w:tcW w:w="1587" w:type="dxa"/>
            <w:tcBorders>
              <w:bottom w:val="single" w:color="000000" w:sz="6" w:space="0"/>
            </w:tcBorders>
            <w:noWrap w:val="0"/>
            <w:vAlign w:val="center"/>
          </w:tcPr>
          <w:p>
            <w:pPr>
              <w:spacing w:line="300" w:lineRule="exact"/>
              <w:jc w:val="center"/>
              <w:rPr>
                <w:rFonts w:ascii="仿宋" w:hAnsi="仿宋" w:eastAsia="仿宋"/>
              </w:rPr>
            </w:pPr>
          </w:p>
        </w:tc>
        <w:tc>
          <w:tcPr>
            <w:tcW w:w="1304" w:type="dxa"/>
            <w:tcBorders>
              <w:bottom w:val="single" w:color="000000" w:sz="6" w:space="0"/>
            </w:tcBorders>
            <w:noWrap w:val="0"/>
            <w:vAlign w:val="center"/>
          </w:tcPr>
          <w:p>
            <w:pPr>
              <w:spacing w:line="300" w:lineRule="exact"/>
              <w:jc w:val="center"/>
              <w:rPr>
                <w:rFonts w:ascii="仿宋" w:hAnsi="仿宋" w:eastAsia="仿宋"/>
              </w:rPr>
            </w:pP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改善老旧小区居民居住生活条件。</w:t>
            </w:r>
          </w:p>
          <w:p>
            <w:pPr>
              <w:spacing w:line="300" w:lineRule="exact"/>
              <w:jc w:val="left"/>
              <w:rPr>
                <w:rFonts w:ascii="仿宋" w:hAnsi="仿宋" w:eastAsia="仿宋"/>
              </w:rPr>
            </w:pPr>
            <w:r>
              <w:rPr>
                <w:rFonts w:ascii="仿宋" w:hAnsi="仿宋" w:eastAsia="仿宋"/>
              </w:rPr>
              <w:t>2.</w:t>
            </w:r>
            <w:r>
              <w:rPr>
                <w:rFonts w:hint="eastAsia" w:ascii="仿宋" w:hAnsi="仿宋" w:eastAsia="仿宋"/>
              </w:rPr>
              <w:t>全面解决老旧小区建筑物和配套设施老化、环境脏乱差问题。</w:t>
            </w:r>
          </w:p>
          <w:p>
            <w:pPr>
              <w:spacing w:line="300" w:lineRule="exact"/>
              <w:jc w:val="left"/>
              <w:rPr>
                <w:rFonts w:ascii="仿宋" w:hAnsi="仿宋" w:eastAsia="仿宋"/>
              </w:rPr>
            </w:pPr>
            <w:r>
              <w:rPr>
                <w:rFonts w:ascii="仿宋" w:hAnsi="仿宋" w:eastAsia="仿宋"/>
              </w:rPr>
              <w:t>3.</w:t>
            </w:r>
            <w:r>
              <w:rPr>
                <w:rFonts w:hint="eastAsia" w:ascii="仿宋" w:hAnsi="仿宋" w:eastAsia="仿宋"/>
              </w:rPr>
              <w:t>提升居民生活品质，切实增强群众的幸福感安全感。</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老旧小区改造数量</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老旧小区改造数量</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2</w:t>
            </w:r>
            <w:r>
              <w:rPr>
                <w:rFonts w:hint="eastAsia" w:ascii="仿宋" w:hAnsi="仿宋" w:eastAsia="仿宋"/>
              </w:rPr>
              <w:t>个</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老旧小区改造户数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老旧小区改造户数</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84</w:t>
            </w:r>
            <w:r>
              <w:rPr>
                <w:rFonts w:hint="eastAsia" w:ascii="仿宋" w:hAnsi="仿宋" w:eastAsia="仿宋"/>
              </w:rPr>
              <w:t>户</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工程验收合格率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工程验收合格率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按期完成率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按期完成率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项目受益户数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项目受益户数</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84</w:t>
            </w:r>
            <w:r>
              <w:rPr>
                <w:rFonts w:hint="eastAsia" w:ascii="仿宋" w:hAnsi="仿宋" w:eastAsia="仿宋"/>
              </w:rPr>
              <w:t>户</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改造竣工入住率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改造竣工入住率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群众满意数量占总数的比例</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80%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问卷</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26" w:name="_Toc65328199"/>
      <w:r>
        <w:rPr>
          <w:rFonts w:hint="eastAsia" w:ascii="仿宋" w:hAnsi="仿宋" w:eastAsia="仿宋"/>
          <w:b/>
          <w:sz w:val="28"/>
        </w:rPr>
        <w:t>26.住建局2021年事业人员工资、保险经费绩效目标表</w:t>
      </w:r>
      <w:bookmarkEnd w:id="26"/>
      <w:r>
        <w:fldChar w:fldCharType="begin"/>
      </w:r>
      <w:r>
        <w:rPr>
          <w:rFonts w:ascii="仿宋" w:hAnsi="仿宋" w:eastAsia="仿宋"/>
          <w:b/>
          <w:sz w:val="28"/>
        </w:rPr>
        <w:instrText xml:space="preserve"> </w:instrText>
      </w:r>
      <w:r>
        <w:rPr>
          <w:rFonts w:hint="eastAsia" w:ascii="仿宋" w:hAnsi="仿宋" w:eastAsia="仿宋"/>
          <w:b/>
          <w:sz w:val="28"/>
        </w:rPr>
        <w:instrText xml:space="preserve">TC 27、住建局2021年事业人员工资、保险经费绩效目标表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1701"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13063021YAIO33IK279E6</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pPr>
              <w:spacing w:line="300" w:lineRule="exact"/>
              <w:jc w:val="left"/>
              <w:rPr>
                <w:rFonts w:ascii="仿宋" w:hAnsi="仿宋" w:eastAsia="仿宋"/>
              </w:rPr>
            </w:pPr>
            <w:r>
              <w:rPr>
                <w:rFonts w:hint="eastAsia" w:ascii="仿宋" w:hAnsi="仿宋" w:eastAsia="仿宋"/>
              </w:rPr>
              <w:t>住建局</w:t>
            </w:r>
            <w:r>
              <w:rPr>
                <w:rFonts w:ascii="仿宋" w:hAnsi="仿宋" w:eastAsia="仿宋"/>
              </w:rPr>
              <w:t>2021</w:t>
            </w:r>
            <w:r>
              <w:rPr>
                <w:rFonts w:hint="eastAsia" w:ascii="仿宋" w:hAnsi="仿宋" w:eastAsia="仿宋"/>
              </w:rPr>
              <w:t>年事业人员工资、保险经费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1103.52</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1103.52</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8278" w:type="dxa"/>
            <w:gridSpan w:val="6"/>
            <w:noWrap w:val="0"/>
            <w:vAlign w:val="center"/>
          </w:tcPr>
          <w:p>
            <w:pPr>
              <w:spacing w:line="300" w:lineRule="exact"/>
              <w:jc w:val="left"/>
              <w:rPr>
                <w:rFonts w:ascii="仿宋" w:hAnsi="仿宋" w:eastAsia="仿宋"/>
              </w:rPr>
            </w:pPr>
            <w:r>
              <w:rPr>
                <w:rFonts w:hint="eastAsia" w:ascii="仿宋" w:hAnsi="仿宋" w:eastAsia="仿宋"/>
              </w:rPr>
              <w:t>单位职工工资保险等经费支出。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50.00%</w:t>
            </w:r>
          </w:p>
        </w:tc>
        <w:tc>
          <w:tcPr>
            <w:tcW w:w="1304" w:type="dxa"/>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75.00%</w:t>
            </w:r>
          </w:p>
        </w:tc>
        <w:tc>
          <w:tcPr>
            <w:tcW w:w="2977"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保障单位职工按时发放工资。</w:t>
            </w:r>
          </w:p>
          <w:p>
            <w:pPr>
              <w:spacing w:line="300" w:lineRule="exact"/>
              <w:jc w:val="left"/>
              <w:rPr>
                <w:rFonts w:ascii="仿宋" w:hAnsi="仿宋" w:eastAsia="仿宋"/>
              </w:rPr>
            </w:pPr>
            <w:r>
              <w:rPr>
                <w:rFonts w:ascii="仿宋" w:hAnsi="仿宋" w:eastAsia="仿宋"/>
              </w:rPr>
              <w:t>2.</w:t>
            </w:r>
            <w:r>
              <w:rPr>
                <w:rFonts w:hint="eastAsia" w:ascii="仿宋" w:hAnsi="仿宋" w:eastAsia="仿宋"/>
              </w:rPr>
              <w:t>为单位职工按时缴纳各项保险，保护职工合法权益。</w:t>
            </w:r>
          </w:p>
          <w:p>
            <w:pPr>
              <w:spacing w:line="300" w:lineRule="exact"/>
              <w:jc w:val="left"/>
              <w:rPr>
                <w:rFonts w:ascii="仿宋" w:hAnsi="仿宋" w:eastAsia="仿宋"/>
              </w:rPr>
            </w:pPr>
            <w:r>
              <w:rPr>
                <w:rFonts w:ascii="仿宋" w:hAnsi="仿宋" w:eastAsia="仿宋"/>
              </w:rPr>
              <w:t>3.</w:t>
            </w:r>
            <w:r>
              <w:rPr>
                <w:rFonts w:hint="eastAsia" w:ascii="仿宋" w:hAnsi="仿宋" w:eastAsia="仿宋"/>
              </w:rPr>
              <w:t>保障单位各项工资正常运转。</w:t>
            </w:r>
          </w:p>
        </w:tc>
      </w:tr>
    </w:tbl>
    <w:p>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发放次数所占比率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全年工资总发放比率</w:t>
            </w:r>
          </w:p>
        </w:tc>
        <w:tc>
          <w:tcPr>
            <w:tcW w:w="1276"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ascii="仿宋" w:hAnsi="仿宋" w:eastAsia="仿宋"/>
              </w:rPr>
            </w:pPr>
            <w:r>
              <w:rPr>
                <w:rFonts w:hint="eastAsia" w:ascii="仿宋" w:hAnsi="仿宋" w:eastAsia="仿宋"/>
              </w:rPr>
              <w:t>工资表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保险缴纳次数所占比率</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全年保险缴纳比率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完税证明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按时发放工资</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按时发放工资月数</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12</w:t>
            </w:r>
            <w:r>
              <w:rPr>
                <w:rFonts w:hint="eastAsia" w:ascii="仿宋" w:hAnsi="仿宋" w:eastAsia="仿宋"/>
              </w:rPr>
              <w:t>月</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工资表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满足职工生活需求</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按时交纳各项保险</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12</w:t>
            </w:r>
            <w:r>
              <w:rPr>
                <w:rFonts w:hint="eastAsia" w:ascii="仿宋" w:hAnsi="仿宋" w:eastAsia="仿宋"/>
              </w:rPr>
              <w:t>月</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完税证明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工资发放月数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年度内工资发放月数</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12</w:t>
            </w:r>
            <w:r>
              <w:rPr>
                <w:rFonts w:hint="eastAsia" w:ascii="仿宋" w:hAnsi="仿宋" w:eastAsia="仿宋"/>
              </w:rPr>
              <w:t>月</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工资表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保险缴纳月数</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年度内保险缴纳的月数</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12</w:t>
            </w:r>
            <w:r>
              <w:rPr>
                <w:rFonts w:hint="eastAsia" w:ascii="仿宋" w:hAnsi="仿宋" w:eastAsia="仿宋"/>
              </w:rPr>
              <w:t>月</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完税证明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pPr>
              <w:spacing w:line="300" w:lineRule="exact"/>
              <w:jc w:val="left"/>
              <w:rPr>
                <w:rFonts w:ascii="仿宋" w:hAnsi="仿宋" w:eastAsia="仿宋"/>
              </w:rPr>
            </w:pPr>
            <w:r>
              <w:rPr>
                <w:rFonts w:hint="eastAsia" w:ascii="仿宋" w:hAnsi="仿宋" w:eastAsia="仿宋"/>
              </w:rPr>
              <w:t>让人们更有获得感、幸福感、安全感</w:t>
            </w:r>
          </w:p>
        </w:tc>
        <w:tc>
          <w:tcPr>
            <w:tcW w:w="1276"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p>
        </w:tc>
        <w:tc>
          <w:tcPr>
            <w:tcW w:w="1701" w:type="dxa"/>
            <w:noWrap w:val="0"/>
            <w:vAlign w:val="center"/>
          </w:tcPr>
          <w:p>
            <w:pPr>
              <w:spacing w:line="300" w:lineRule="exact"/>
              <w:jc w:val="left"/>
              <w:rPr>
                <w:rFonts w:hint="eastAsia" w:ascii="仿宋" w:hAnsi="仿宋" w:eastAsia="仿宋"/>
              </w:rPr>
            </w:pPr>
            <w:r>
              <w:rPr>
                <w:rFonts w:hint="eastAsia" w:ascii="仿宋" w:hAnsi="仿宋" w:eastAsia="仿宋"/>
              </w:rPr>
              <w:t>问卷调查</w:t>
            </w: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3"/>
        <w:rPr>
          <w:rFonts w:ascii="仿宋" w:hAnsi="仿宋" w:eastAsia="仿宋"/>
          <w:b/>
          <w:sz w:val="28"/>
        </w:rPr>
      </w:pPr>
      <w:bookmarkStart w:id="27" w:name="_Toc65328200"/>
      <w:r>
        <w:rPr>
          <w:rFonts w:hint="eastAsia" w:ascii="仿宋" w:hAnsi="仿宋" w:eastAsia="仿宋"/>
          <w:b/>
          <w:sz w:val="28"/>
        </w:rPr>
        <w:t>27.住建局垃圾处理厂2020年7月至2021年12月运行费绩效目标表</w:t>
      </w:r>
      <w:bookmarkEnd w:id="27"/>
      <w:r>
        <w:fldChar w:fldCharType="begin"/>
      </w:r>
      <w:r>
        <w:rPr>
          <w:rFonts w:ascii="仿宋" w:hAnsi="仿宋" w:eastAsia="仿宋"/>
          <w:b/>
          <w:sz w:val="28"/>
        </w:rPr>
        <w:instrText xml:space="preserve"> </w:instrText>
      </w:r>
      <w:r>
        <w:rPr>
          <w:rFonts w:hint="eastAsia" w:ascii="仿宋" w:hAnsi="仿宋" w:eastAsia="仿宋"/>
          <w:b/>
          <w:sz w:val="28"/>
        </w:rPr>
        <w:instrText xml:space="preserve">TC 28、住建局垃圾处理厂2020年7月至2021年12月运行费绩效目标表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134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57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pPr>
              <w:spacing w:line="300" w:lineRule="exact"/>
              <w:jc w:val="left"/>
              <w:rPr>
                <w:rFonts w:ascii="仿宋" w:hAnsi="仿宋" w:eastAsia="仿宋"/>
                <w:b/>
              </w:rPr>
            </w:pPr>
            <w:r>
              <w:rPr>
                <w:rFonts w:ascii="仿宋" w:hAnsi="仿宋" w:eastAsia="仿宋"/>
                <w:b/>
              </w:rPr>
              <w:t>333001</w:t>
            </w:r>
            <w:r>
              <w:rPr>
                <w:rFonts w:hint="eastAsia" w:ascii="仿宋" w:hAnsi="仿宋" w:eastAsia="仿宋"/>
                <w:b/>
              </w:rPr>
              <w:t>涞源县住房和城乡建设局本级</w:t>
            </w:r>
          </w:p>
        </w:tc>
        <w:tc>
          <w:tcPr>
            <w:tcW w:w="5717" w:type="dxa"/>
            <w:tcBorders>
              <w:top w:val="single" w:color="FFFFFF" w:sz="6" w:space="0"/>
              <w:left w:val="single" w:color="FFFFFF" w:sz="6" w:space="0"/>
              <w:right w:val="single" w:color="FFFFFF" w:sz="6" w:space="0"/>
            </w:tcBorders>
            <w:noWrap w:val="0"/>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pPr>
              <w:spacing w:line="300" w:lineRule="exact"/>
              <w:jc w:val="left"/>
              <w:rPr>
                <w:rFonts w:ascii="仿宋" w:hAnsi="仿宋" w:eastAsia="仿宋"/>
              </w:rPr>
            </w:pPr>
            <w:r>
              <w:rPr>
                <w:rFonts w:ascii="仿宋" w:hAnsi="仿宋" w:eastAsia="仿宋"/>
              </w:rPr>
              <w:t>13063021ZQHYEDLUBV9CL</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项目名称</w:t>
            </w:r>
          </w:p>
        </w:tc>
        <w:tc>
          <w:tcPr>
            <w:tcW w:w="8297" w:type="dxa"/>
            <w:gridSpan w:val="3"/>
            <w:noWrap w:val="0"/>
            <w:vAlign w:val="center"/>
          </w:tcPr>
          <w:p>
            <w:pPr>
              <w:spacing w:line="300" w:lineRule="exact"/>
              <w:jc w:val="left"/>
              <w:rPr>
                <w:rFonts w:ascii="仿宋" w:hAnsi="仿宋" w:eastAsia="仿宋"/>
              </w:rPr>
            </w:pPr>
            <w:r>
              <w:rPr>
                <w:rFonts w:hint="eastAsia" w:ascii="仿宋" w:hAnsi="仿宋" w:eastAsia="仿宋"/>
              </w:rPr>
              <w:t>住建局垃圾处理厂</w:t>
            </w:r>
            <w:r>
              <w:rPr>
                <w:rFonts w:ascii="仿宋" w:hAnsi="仿宋" w:eastAsia="仿宋"/>
              </w:rPr>
              <w:t>2020</w:t>
            </w:r>
            <w:r>
              <w:rPr>
                <w:rFonts w:hint="eastAsia" w:ascii="仿宋" w:hAnsi="仿宋" w:eastAsia="仿宋"/>
              </w:rPr>
              <w:t>年</w:t>
            </w:r>
            <w:r>
              <w:rPr>
                <w:rFonts w:ascii="仿宋" w:hAnsi="仿宋" w:eastAsia="仿宋"/>
              </w:rPr>
              <w:t>7</w:t>
            </w:r>
            <w:r>
              <w:rPr>
                <w:rFonts w:hint="eastAsia" w:ascii="仿宋" w:hAnsi="仿宋" w:eastAsia="仿宋"/>
              </w:rPr>
              <w:t>月至</w:t>
            </w:r>
            <w:r>
              <w:rPr>
                <w:rFonts w:ascii="仿宋" w:hAnsi="仿宋" w:eastAsia="仿宋"/>
              </w:rPr>
              <w:t>2021</w:t>
            </w:r>
            <w:r>
              <w:rPr>
                <w:rFonts w:hint="eastAsia" w:ascii="仿宋" w:hAnsi="仿宋" w:eastAsia="仿宋"/>
              </w:rPr>
              <w:t>年</w:t>
            </w:r>
            <w:r>
              <w:rPr>
                <w:rFonts w:ascii="仿宋" w:hAnsi="仿宋" w:eastAsia="仿宋"/>
              </w:rPr>
              <w:t>12</w:t>
            </w:r>
            <w:r>
              <w:rPr>
                <w:rFonts w:hint="eastAsia" w:ascii="仿宋" w:hAnsi="仿宋" w:eastAsia="仿宋"/>
              </w:rPr>
              <w:t>月运行费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pPr>
              <w:spacing w:line="300" w:lineRule="exact"/>
              <w:jc w:val="left"/>
              <w:rPr>
                <w:rFonts w:ascii="仿宋" w:hAnsi="仿宋" w:eastAsia="仿宋"/>
              </w:rPr>
            </w:pPr>
            <w:r>
              <w:rPr>
                <w:rFonts w:ascii="仿宋" w:hAnsi="仿宋" w:eastAsia="仿宋"/>
              </w:rPr>
              <w:t>2500.00</w:t>
            </w:r>
          </w:p>
        </w:tc>
        <w:tc>
          <w:tcPr>
            <w:tcW w:w="1587" w:type="dxa"/>
            <w:noWrap w:val="0"/>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pPr>
              <w:spacing w:line="300" w:lineRule="exact"/>
              <w:jc w:val="left"/>
              <w:rPr>
                <w:rFonts w:ascii="仿宋" w:hAnsi="仿宋" w:eastAsia="仿宋"/>
              </w:rPr>
            </w:pPr>
            <w:r>
              <w:rPr>
                <w:rFonts w:ascii="仿宋" w:hAnsi="仿宋" w:eastAsia="仿宋"/>
              </w:rPr>
              <w:t>2500.00</w:t>
            </w:r>
          </w:p>
        </w:tc>
        <w:tc>
          <w:tcPr>
            <w:tcW w:w="1276" w:type="dxa"/>
            <w:noWrap w:val="0"/>
            <w:vAlign w:val="center"/>
          </w:tcPr>
          <w:p>
            <w:pPr>
              <w:spacing w:line="300" w:lineRule="exact"/>
              <w:jc w:val="center"/>
              <w:rPr>
                <w:rFonts w:ascii="仿宋" w:hAnsi="仿宋" w:eastAsia="仿宋"/>
                <w:b/>
              </w:rPr>
            </w:pPr>
            <w:r>
              <w:rPr>
                <w:rFonts w:hint="eastAsia" w:ascii="仿宋" w:hAnsi="仿宋" w:eastAsia="仿宋"/>
                <w:b/>
              </w:rPr>
              <w:t>其他资金</w:t>
            </w:r>
          </w:p>
        </w:tc>
        <w:tc>
          <w:tcPr>
            <w:tcW w:w="5717" w:type="dxa"/>
            <w:noWrap w:val="0"/>
            <w:vAlign w:val="center"/>
          </w:tcPr>
          <w:p>
            <w:pPr>
              <w:spacing w:line="300" w:lineRule="exact"/>
              <w:jc w:val="left"/>
              <w:rPr>
                <w:rFonts w:ascii="仿宋" w:hAnsi="仿宋" w:eastAsia="仿宋"/>
              </w:rPr>
            </w:pPr>
            <w:r>
              <w:rPr>
                <w:rFonts w:ascii="仿宋" w:hAnsi="仿宋" w:eastAsia="仿宋"/>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pPr>
              <w:spacing w:line="300" w:lineRule="exact"/>
              <w:jc w:val="left"/>
              <w:outlineLvl w:val="3"/>
              <w:rPr>
                <w:rFonts w:ascii="仿宋" w:hAnsi="仿宋" w:eastAsia="仿宋"/>
              </w:rPr>
            </w:pPr>
          </w:p>
        </w:tc>
        <w:tc>
          <w:tcPr>
            <w:tcW w:w="12294" w:type="dxa"/>
            <w:gridSpan w:val="6"/>
            <w:noWrap w:val="0"/>
            <w:vAlign w:val="center"/>
          </w:tcPr>
          <w:p>
            <w:pPr>
              <w:spacing w:line="300" w:lineRule="exact"/>
              <w:jc w:val="left"/>
              <w:rPr>
                <w:rFonts w:ascii="仿宋" w:hAnsi="仿宋" w:eastAsia="仿宋"/>
              </w:rPr>
            </w:pPr>
            <w:r>
              <w:rPr>
                <w:rFonts w:hint="eastAsia" w:ascii="仿宋" w:hAnsi="仿宋" w:eastAsia="仿宋"/>
              </w:rPr>
              <w:t>垃圾综合处理厂运行费。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6993" w:type="dxa"/>
            <w:gridSpan w:val="2"/>
            <w:noWrap w:val="0"/>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pPr>
              <w:spacing w:line="300" w:lineRule="exact"/>
              <w:jc w:val="left"/>
              <w:outlineLvl w:val="3"/>
              <w:rPr>
                <w:rFonts w:ascii="仿宋" w:hAnsi="仿宋" w:eastAsia="仿宋"/>
              </w:rPr>
            </w:pPr>
          </w:p>
        </w:tc>
        <w:tc>
          <w:tcPr>
            <w:tcW w:w="2410"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50.00%</w:t>
            </w:r>
          </w:p>
        </w:tc>
        <w:tc>
          <w:tcPr>
            <w:tcW w:w="1304" w:type="dxa"/>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75.00%</w:t>
            </w:r>
          </w:p>
        </w:tc>
        <w:tc>
          <w:tcPr>
            <w:tcW w:w="6993" w:type="dxa"/>
            <w:gridSpan w:val="2"/>
            <w:tcBorders>
              <w:bottom w:val="single" w:color="000000" w:sz="6" w:space="0"/>
            </w:tcBorders>
            <w:noWrap w:val="0"/>
            <w:vAlign w:val="center"/>
          </w:tcPr>
          <w:p>
            <w:pPr>
              <w:spacing w:line="300" w:lineRule="exact"/>
              <w:jc w:val="center"/>
              <w:rPr>
                <w:rFonts w:ascii="仿宋" w:hAnsi="仿宋" w:eastAsia="仿宋"/>
              </w:rPr>
            </w:pPr>
            <w:r>
              <w:rPr>
                <w:rFonts w:ascii="仿宋" w:hAnsi="仿宋" w:eastAsia="仿宋"/>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pPr>
              <w:spacing w:line="300" w:lineRule="exact"/>
              <w:jc w:val="center"/>
              <w:rPr>
                <w:rFonts w:ascii="仿宋" w:hAnsi="仿宋" w:eastAsia="仿宋"/>
                <w:b/>
              </w:rPr>
            </w:pPr>
            <w:r>
              <w:rPr>
                <w:rFonts w:hint="eastAsia" w:ascii="仿宋" w:hAnsi="仿宋" w:eastAsia="仿宋"/>
                <w:b/>
              </w:rPr>
              <w:t>绩效目标</w:t>
            </w:r>
          </w:p>
        </w:tc>
        <w:tc>
          <w:tcPr>
            <w:tcW w:w="12294" w:type="dxa"/>
            <w:gridSpan w:val="6"/>
            <w:tcBorders>
              <w:bottom w:val="nil"/>
            </w:tcBorders>
            <w:noWrap w:val="0"/>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有效解决全县域生活垃圾、建筑垃圾、餐厨垃圾和城市粪便处理难问题。</w:t>
            </w:r>
          </w:p>
          <w:p>
            <w:pPr>
              <w:spacing w:line="300" w:lineRule="exact"/>
              <w:jc w:val="left"/>
              <w:rPr>
                <w:rFonts w:ascii="仿宋" w:hAnsi="仿宋" w:eastAsia="仿宋"/>
              </w:rPr>
            </w:pPr>
            <w:r>
              <w:rPr>
                <w:rFonts w:ascii="仿宋" w:hAnsi="仿宋" w:eastAsia="仿宋"/>
              </w:rPr>
              <w:t>2.</w:t>
            </w:r>
            <w:r>
              <w:rPr>
                <w:rFonts w:hint="eastAsia" w:ascii="仿宋" w:hAnsi="仿宋" w:eastAsia="仿宋"/>
              </w:rPr>
              <w:t>不断改善城乡人居环境，提升旅游城市形象。</w:t>
            </w:r>
          </w:p>
          <w:p>
            <w:pPr>
              <w:spacing w:line="300" w:lineRule="exact"/>
              <w:jc w:val="left"/>
              <w:rPr>
                <w:rFonts w:ascii="仿宋" w:hAnsi="仿宋" w:eastAsia="仿宋"/>
              </w:rPr>
            </w:pPr>
            <w:r>
              <w:rPr>
                <w:rFonts w:ascii="仿宋" w:hAnsi="仿宋" w:eastAsia="仿宋"/>
              </w:rPr>
              <w:t>3.</w:t>
            </w:r>
            <w:r>
              <w:rPr>
                <w:rFonts w:hint="eastAsia" w:ascii="仿宋" w:hAnsi="仿宋" w:eastAsia="仿宋"/>
              </w:rPr>
              <w:t>创建卫生城市，提升城市品位。</w:t>
            </w:r>
          </w:p>
        </w:tc>
      </w:tr>
    </w:tbl>
    <w:p>
      <w:pPr>
        <w:spacing w:line="14" w:lineRule="exact"/>
        <w:jc w:val="center"/>
        <w:rPr>
          <w:rFonts w:ascii="仿宋" w:hAnsi="仿宋" w:eastAsia="仿宋"/>
        </w:rPr>
      </w:pPr>
      <w:r>
        <w:rPr>
          <w:rFonts w:ascii="仿宋" w:hAnsi="仿宋" w:eastAsia="仿宋"/>
        </w:rPr>
        <w:t xml:space="preserve"> </w:t>
      </w:r>
    </w:p>
    <w:tbl>
      <w:tblPr>
        <w:tblStyle w:val="6"/>
        <w:tblW w:w="1342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2359"/>
        <w:gridCol w:w="3030"/>
        <w:gridCol w:w="4260"/>
        <w:gridCol w:w="1440"/>
        <w:gridCol w:w="119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pPr>
              <w:spacing w:line="300" w:lineRule="exact"/>
              <w:jc w:val="center"/>
              <w:rPr>
                <w:rFonts w:ascii="仿宋" w:hAnsi="仿宋" w:eastAsia="仿宋"/>
                <w:b/>
              </w:rPr>
            </w:pPr>
            <w:r>
              <w:rPr>
                <w:rFonts w:hint="eastAsia" w:ascii="仿宋" w:hAnsi="仿宋" w:eastAsia="仿宋"/>
                <w:b/>
              </w:rPr>
              <w:t>一级指标</w:t>
            </w:r>
          </w:p>
        </w:tc>
        <w:tc>
          <w:tcPr>
            <w:tcW w:w="2359" w:type="dxa"/>
            <w:noWrap w:val="0"/>
            <w:vAlign w:val="center"/>
          </w:tcPr>
          <w:p>
            <w:pPr>
              <w:spacing w:line="300" w:lineRule="exact"/>
              <w:jc w:val="center"/>
              <w:rPr>
                <w:rFonts w:ascii="仿宋" w:hAnsi="仿宋" w:eastAsia="仿宋"/>
                <w:b/>
              </w:rPr>
            </w:pPr>
            <w:r>
              <w:rPr>
                <w:rFonts w:hint="eastAsia" w:ascii="仿宋" w:hAnsi="仿宋" w:eastAsia="仿宋"/>
                <w:b/>
              </w:rPr>
              <w:t>二级指标</w:t>
            </w:r>
          </w:p>
        </w:tc>
        <w:tc>
          <w:tcPr>
            <w:tcW w:w="3030" w:type="dxa"/>
            <w:noWrap w:val="0"/>
            <w:vAlign w:val="center"/>
          </w:tcPr>
          <w:p>
            <w:pPr>
              <w:spacing w:line="300" w:lineRule="exact"/>
              <w:jc w:val="center"/>
              <w:rPr>
                <w:rFonts w:ascii="仿宋" w:hAnsi="仿宋" w:eastAsia="仿宋"/>
                <w:b/>
              </w:rPr>
            </w:pPr>
            <w:r>
              <w:rPr>
                <w:rFonts w:hint="eastAsia" w:ascii="仿宋" w:hAnsi="仿宋" w:eastAsia="仿宋"/>
                <w:b/>
              </w:rPr>
              <w:t>三级指标</w:t>
            </w:r>
          </w:p>
        </w:tc>
        <w:tc>
          <w:tcPr>
            <w:tcW w:w="4260" w:type="dxa"/>
            <w:noWrap w:val="0"/>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440" w:type="dxa"/>
            <w:noWrap w:val="0"/>
            <w:vAlign w:val="center"/>
          </w:tcPr>
          <w:p>
            <w:pPr>
              <w:spacing w:line="300" w:lineRule="exact"/>
              <w:jc w:val="center"/>
              <w:rPr>
                <w:rFonts w:ascii="仿宋" w:hAnsi="仿宋" w:eastAsia="仿宋"/>
                <w:b/>
              </w:rPr>
            </w:pPr>
            <w:r>
              <w:rPr>
                <w:rFonts w:hint="eastAsia" w:ascii="仿宋" w:hAnsi="仿宋" w:eastAsia="仿宋"/>
                <w:b/>
              </w:rPr>
              <w:t>指标值</w:t>
            </w:r>
          </w:p>
        </w:tc>
        <w:tc>
          <w:tcPr>
            <w:tcW w:w="1197" w:type="dxa"/>
            <w:noWrap w:val="0"/>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ascii="仿宋" w:hAnsi="仿宋" w:eastAsia="仿宋"/>
              </w:rPr>
            </w:pPr>
            <w:r>
              <w:rPr>
                <w:rFonts w:hint="eastAsia" w:ascii="仿宋" w:hAnsi="仿宋" w:eastAsia="仿宋"/>
              </w:rPr>
              <w:t>产出指标</w:t>
            </w:r>
          </w:p>
        </w:tc>
        <w:tc>
          <w:tcPr>
            <w:tcW w:w="2359" w:type="dxa"/>
            <w:noWrap w:val="0"/>
            <w:vAlign w:val="center"/>
          </w:tcPr>
          <w:p>
            <w:pPr>
              <w:spacing w:line="300" w:lineRule="exact"/>
              <w:jc w:val="left"/>
              <w:rPr>
                <w:rFonts w:ascii="仿宋" w:hAnsi="仿宋" w:eastAsia="仿宋"/>
              </w:rPr>
            </w:pPr>
            <w:r>
              <w:rPr>
                <w:rFonts w:hint="eastAsia" w:ascii="仿宋" w:hAnsi="仿宋" w:eastAsia="仿宋"/>
              </w:rPr>
              <w:t>数量指标</w:t>
            </w:r>
          </w:p>
        </w:tc>
        <w:tc>
          <w:tcPr>
            <w:tcW w:w="3030" w:type="dxa"/>
            <w:noWrap w:val="0"/>
            <w:vAlign w:val="center"/>
          </w:tcPr>
          <w:p>
            <w:pPr>
              <w:spacing w:line="300" w:lineRule="exact"/>
              <w:jc w:val="left"/>
              <w:rPr>
                <w:rFonts w:ascii="仿宋" w:hAnsi="仿宋" w:eastAsia="仿宋"/>
              </w:rPr>
            </w:pPr>
            <w:r>
              <w:rPr>
                <w:rFonts w:hint="eastAsia" w:ascii="仿宋" w:hAnsi="仿宋" w:eastAsia="仿宋"/>
              </w:rPr>
              <w:t>垃圾处理厂个数</w:t>
            </w:r>
          </w:p>
        </w:tc>
        <w:tc>
          <w:tcPr>
            <w:tcW w:w="4260" w:type="dxa"/>
            <w:noWrap w:val="0"/>
            <w:vAlign w:val="center"/>
          </w:tcPr>
          <w:p>
            <w:pPr>
              <w:spacing w:line="300" w:lineRule="exact"/>
              <w:jc w:val="left"/>
              <w:rPr>
                <w:rFonts w:ascii="仿宋" w:hAnsi="仿宋" w:eastAsia="仿宋"/>
              </w:rPr>
            </w:pPr>
            <w:r>
              <w:rPr>
                <w:rFonts w:hint="eastAsia" w:ascii="仿宋" w:hAnsi="仿宋" w:eastAsia="仿宋"/>
              </w:rPr>
              <w:t>垃圾处理厂个数</w:t>
            </w:r>
          </w:p>
        </w:tc>
        <w:tc>
          <w:tcPr>
            <w:tcW w:w="1440" w:type="dxa"/>
            <w:noWrap w:val="0"/>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w:t>
            </w:r>
            <w:r>
              <w:rPr>
                <w:rFonts w:hint="eastAsia" w:ascii="仿宋" w:hAnsi="仿宋" w:eastAsia="仿宋"/>
              </w:rPr>
              <w:t>个</w:t>
            </w:r>
          </w:p>
        </w:tc>
        <w:tc>
          <w:tcPr>
            <w:tcW w:w="1197" w:type="dxa"/>
            <w:noWrap w:val="0"/>
            <w:vAlign w:val="center"/>
          </w:tcPr>
          <w:p>
            <w:pPr>
              <w:spacing w:line="300" w:lineRule="exact"/>
              <w:jc w:val="left"/>
              <w:rPr>
                <w:rFonts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2359" w:type="dxa"/>
            <w:noWrap w:val="0"/>
            <w:vAlign w:val="center"/>
          </w:tcPr>
          <w:p>
            <w:pPr>
              <w:spacing w:line="300" w:lineRule="exact"/>
              <w:jc w:val="left"/>
              <w:rPr>
                <w:rFonts w:hint="eastAsia" w:ascii="仿宋" w:hAnsi="仿宋" w:eastAsia="仿宋"/>
              </w:rPr>
            </w:pPr>
            <w:r>
              <w:rPr>
                <w:rFonts w:hint="eastAsia" w:ascii="仿宋" w:hAnsi="仿宋" w:eastAsia="仿宋"/>
              </w:rPr>
              <w:t>数量指标</w:t>
            </w:r>
          </w:p>
        </w:tc>
        <w:tc>
          <w:tcPr>
            <w:tcW w:w="3030" w:type="dxa"/>
            <w:noWrap w:val="0"/>
            <w:vAlign w:val="center"/>
          </w:tcPr>
          <w:p>
            <w:pPr>
              <w:spacing w:line="300" w:lineRule="exact"/>
              <w:jc w:val="left"/>
              <w:rPr>
                <w:rFonts w:hint="eastAsia" w:ascii="仿宋" w:hAnsi="仿宋" w:eastAsia="仿宋"/>
              </w:rPr>
            </w:pPr>
            <w:r>
              <w:rPr>
                <w:rFonts w:hint="eastAsia" w:ascii="仿宋" w:hAnsi="仿宋" w:eastAsia="仿宋"/>
              </w:rPr>
              <w:t>日垃圾处理吨数</w:t>
            </w:r>
          </w:p>
        </w:tc>
        <w:tc>
          <w:tcPr>
            <w:tcW w:w="4260" w:type="dxa"/>
            <w:noWrap w:val="0"/>
            <w:vAlign w:val="center"/>
          </w:tcPr>
          <w:p>
            <w:pPr>
              <w:spacing w:line="300" w:lineRule="exact"/>
              <w:jc w:val="left"/>
              <w:rPr>
                <w:rFonts w:ascii="仿宋" w:hAnsi="仿宋" w:eastAsia="仿宋"/>
              </w:rPr>
            </w:pPr>
            <w:r>
              <w:rPr>
                <w:rFonts w:hint="eastAsia" w:ascii="仿宋" w:hAnsi="仿宋" w:eastAsia="仿宋"/>
              </w:rPr>
              <w:t>日垃圾处理吨数</w:t>
            </w:r>
          </w:p>
        </w:tc>
        <w:tc>
          <w:tcPr>
            <w:tcW w:w="1440"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400</w:t>
            </w:r>
            <w:r>
              <w:rPr>
                <w:rFonts w:hint="eastAsia" w:ascii="仿宋" w:hAnsi="仿宋" w:eastAsia="仿宋"/>
              </w:rPr>
              <w:t>吨</w:t>
            </w:r>
          </w:p>
        </w:tc>
        <w:tc>
          <w:tcPr>
            <w:tcW w:w="1197"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2359" w:type="dxa"/>
            <w:noWrap w:val="0"/>
            <w:vAlign w:val="center"/>
          </w:tcPr>
          <w:p>
            <w:pPr>
              <w:spacing w:line="300" w:lineRule="exact"/>
              <w:jc w:val="left"/>
              <w:rPr>
                <w:rFonts w:hint="eastAsia" w:ascii="仿宋" w:hAnsi="仿宋" w:eastAsia="仿宋"/>
              </w:rPr>
            </w:pPr>
            <w:r>
              <w:rPr>
                <w:rFonts w:hint="eastAsia" w:ascii="仿宋" w:hAnsi="仿宋" w:eastAsia="仿宋"/>
              </w:rPr>
              <w:t>质量指标</w:t>
            </w:r>
          </w:p>
        </w:tc>
        <w:tc>
          <w:tcPr>
            <w:tcW w:w="3030" w:type="dxa"/>
            <w:noWrap w:val="0"/>
            <w:vAlign w:val="center"/>
          </w:tcPr>
          <w:p>
            <w:pPr>
              <w:spacing w:line="300" w:lineRule="exact"/>
              <w:jc w:val="left"/>
              <w:rPr>
                <w:rFonts w:hint="eastAsia" w:ascii="仿宋" w:hAnsi="仿宋" w:eastAsia="仿宋"/>
              </w:rPr>
            </w:pPr>
            <w:r>
              <w:rPr>
                <w:rFonts w:hint="eastAsia" w:ascii="仿宋" w:hAnsi="仿宋" w:eastAsia="仿宋"/>
              </w:rPr>
              <w:t>工程验收合格率</w:t>
            </w:r>
          </w:p>
        </w:tc>
        <w:tc>
          <w:tcPr>
            <w:tcW w:w="4260" w:type="dxa"/>
            <w:noWrap w:val="0"/>
            <w:vAlign w:val="center"/>
          </w:tcPr>
          <w:p>
            <w:pPr>
              <w:spacing w:line="300" w:lineRule="exact"/>
              <w:jc w:val="left"/>
              <w:rPr>
                <w:rFonts w:ascii="仿宋" w:hAnsi="仿宋" w:eastAsia="仿宋"/>
              </w:rPr>
            </w:pPr>
            <w:r>
              <w:rPr>
                <w:rFonts w:hint="eastAsia" w:ascii="仿宋" w:hAnsi="仿宋" w:eastAsia="仿宋"/>
              </w:rPr>
              <w:t>工程验收合格率</w:t>
            </w:r>
          </w:p>
        </w:tc>
        <w:tc>
          <w:tcPr>
            <w:tcW w:w="1440"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w:t>
            </w:r>
          </w:p>
        </w:tc>
        <w:tc>
          <w:tcPr>
            <w:tcW w:w="1197" w:type="dxa"/>
            <w:noWrap w:val="0"/>
            <w:vAlign w:val="center"/>
          </w:tcPr>
          <w:p>
            <w:pPr>
              <w:spacing w:line="300" w:lineRule="exact"/>
              <w:jc w:val="left"/>
              <w:rPr>
                <w:rFonts w:hint="eastAsia" w:ascii="仿宋" w:hAnsi="仿宋" w:eastAsia="仿宋"/>
              </w:rPr>
            </w:pPr>
            <w:r>
              <w:rPr>
                <w:rFonts w:hint="eastAsia" w:ascii="仿宋" w:hAnsi="仿宋" w:eastAsia="仿宋"/>
              </w:rPr>
              <w:t>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2359" w:type="dxa"/>
            <w:noWrap w:val="0"/>
            <w:vAlign w:val="center"/>
          </w:tcPr>
          <w:p>
            <w:pPr>
              <w:spacing w:line="300" w:lineRule="exact"/>
              <w:jc w:val="left"/>
              <w:rPr>
                <w:rFonts w:hint="eastAsia" w:ascii="仿宋" w:hAnsi="仿宋" w:eastAsia="仿宋"/>
              </w:rPr>
            </w:pPr>
            <w:r>
              <w:rPr>
                <w:rFonts w:hint="eastAsia" w:ascii="仿宋" w:hAnsi="仿宋" w:eastAsia="仿宋"/>
              </w:rPr>
              <w:t>时效指标</w:t>
            </w:r>
          </w:p>
        </w:tc>
        <w:tc>
          <w:tcPr>
            <w:tcW w:w="3030" w:type="dxa"/>
            <w:noWrap w:val="0"/>
            <w:vAlign w:val="center"/>
          </w:tcPr>
          <w:p>
            <w:pPr>
              <w:spacing w:line="300" w:lineRule="exact"/>
              <w:jc w:val="left"/>
              <w:rPr>
                <w:rFonts w:hint="eastAsia" w:ascii="仿宋" w:hAnsi="仿宋" w:eastAsia="仿宋"/>
              </w:rPr>
            </w:pPr>
            <w:r>
              <w:rPr>
                <w:rFonts w:hint="eastAsia" w:ascii="仿宋" w:hAnsi="仿宋" w:eastAsia="仿宋"/>
              </w:rPr>
              <w:t>垃圾处理及时率</w:t>
            </w:r>
          </w:p>
        </w:tc>
        <w:tc>
          <w:tcPr>
            <w:tcW w:w="4260" w:type="dxa"/>
            <w:noWrap w:val="0"/>
            <w:vAlign w:val="center"/>
          </w:tcPr>
          <w:p>
            <w:pPr>
              <w:spacing w:line="300" w:lineRule="exact"/>
              <w:jc w:val="left"/>
              <w:rPr>
                <w:rFonts w:ascii="仿宋" w:hAnsi="仿宋" w:eastAsia="仿宋"/>
              </w:rPr>
            </w:pPr>
            <w:r>
              <w:rPr>
                <w:rFonts w:hint="eastAsia" w:ascii="仿宋" w:hAnsi="仿宋" w:eastAsia="仿宋"/>
              </w:rPr>
              <w:t>垃圾处理及时率</w:t>
            </w:r>
          </w:p>
        </w:tc>
        <w:tc>
          <w:tcPr>
            <w:tcW w:w="1440"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p>
        </w:tc>
        <w:tc>
          <w:tcPr>
            <w:tcW w:w="1197"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pPr>
              <w:spacing w:line="300" w:lineRule="exact"/>
              <w:jc w:val="center"/>
              <w:rPr>
                <w:rFonts w:hint="eastAsia" w:ascii="仿宋" w:hAnsi="仿宋" w:eastAsia="仿宋"/>
              </w:rPr>
            </w:pPr>
            <w:r>
              <w:rPr>
                <w:rFonts w:hint="eastAsia" w:ascii="仿宋" w:hAnsi="仿宋" w:eastAsia="仿宋"/>
              </w:rPr>
              <w:t>效益指标</w:t>
            </w:r>
          </w:p>
        </w:tc>
        <w:tc>
          <w:tcPr>
            <w:tcW w:w="2359" w:type="dxa"/>
            <w:noWrap w:val="0"/>
            <w:vAlign w:val="center"/>
          </w:tcPr>
          <w:p>
            <w:pPr>
              <w:spacing w:line="300" w:lineRule="exact"/>
              <w:jc w:val="left"/>
              <w:rPr>
                <w:rFonts w:hint="eastAsia" w:ascii="仿宋" w:hAnsi="仿宋" w:eastAsia="仿宋"/>
              </w:rPr>
            </w:pPr>
            <w:r>
              <w:rPr>
                <w:rFonts w:hint="eastAsia" w:ascii="仿宋" w:hAnsi="仿宋" w:eastAsia="仿宋"/>
              </w:rPr>
              <w:t>社会效益指标</w:t>
            </w:r>
          </w:p>
        </w:tc>
        <w:tc>
          <w:tcPr>
            <w:tcW w:w="3030" w:type="dxa"/>
            <w:noWrap w:val="0"/>
            <w:vAlign w:val="center"/>
          </w:tcPr>
          <w:p>
            <w:pPr>
              <w:spacing w:line="300" w:lineRule="exact"/>
              <w:jc w:val="left"/>
              <w:rPr>
                <w:rFonts w:hint="eastAsia" w:ascii="仿宋" w:hAnsi="仿宋" w:eastAsia="仿宋"/>
              </w:rPr>
            </w:pPr>
            <w:r>
              <w:rPr>
                <w:rFonts w:hint="eastAsia" w:ascii="仿宋" w:hAnsi="仿宋" w:eastAsia="仿宋"/>
              </w:rPr>
              <w:t>垃圾处理率</w:t>
            </w:r>
          </w:p>
        </w:tc>
        <w:tc>
          <w:tcPr>
            <w:tcW w:w="4260" w:type="dxa"/>
            <w:noWrap w:val="0"/>
            <w:vAlign w:val="center"/>
          </w:tcPr>
          <w:p>
            <w:pPr>
              <w:spacing w:line="300" w:lineRule="exact"/>
              <w:jc w:val="left"/>
              <w:rPr>
                <w:rFonts w:ascii="仿宋" w:hAnsi="仿宋" w:eastAsia="仿宋"/>
              </w:rPr>
            </w:pPr>
            <w:r>
              <w:rPr>
                <w:rFonts w:hint="eastAsia" w:ascii="仿宋" w:hAnsi="仿宋" w:eastAsia="仿宋"/>
              </w:rPr>
              <w:t>垃圾处理率</w:t>
            </w:r>
          </w:p>
        </w:tc>
        <w:tc>
          <w:tcPr>
            <w:tcW w:w="1440"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p>
        </w:tc>
        <w:tc>
          <w:tcPr>
            <w:tcW w:w="1197"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pPr>
              <w:spacing w:line="300" w:lineRule="exact"/>
              <w:jc w:val="center"/>
              <w:rPr>
                <w:rFonts w:hint="eastAsia" w:ascii="仿宋" w:hAnsi="仿宋" w:eastAsia="仿宋"/>
              </w:rPr>
            </w:pPr>
          </w:p>
        </w:tc>
        <w:tc>
          <w:tcPr>
            <w:tcW w:w="2359" w:type="dxa"/>
            <w:noWrap w:val="0"/>
            <w:vAlign w:val="center"/>
          </w:tcPr>
          <w:p>
            <w:pPr>
              <w:spacing w:line="300" w:lineRule="exact"/>
              <w:jc w:val="left"/>
              <w:rPr>
                <w:rFonts w:hint="eastAsia" w:ascii="仿宋" w:hAnsi="仿宋" w:eastAsia="仿宋"/>
              </w:rPr>
            </w:pPr>
            <w:r>
              <w:rPr>
                <w:rFonts w:hint="eastAsia" w:ascii="仿宋" w:hAnsi="仿宋" w:eastAsia="仿宋"/>
              </w:rPr>
              <w:t>可持续影响指标</w:t>
            </w:r>
          </w:p>
        </w:tc>
        <w:tc>
          <w:tcPr>
            <w:tcW w:w="3030" w:type="dxa"/>
            <w:noWrap w:val="0"/>
            <w:vAlign w:val="center"/>
          </w:tcPr>
          <w:p>
            <w:pPr>
              <w:spacing w:line="300" w:lineRule="exact"/>
              <w:jc w:val="left"/>
              <w:rPr>
                <w:rFonts w:hint="eastAsia" w:ascii="仿宋" w:hAnsi="仿宋" w:eastAsia="仿宋"/>
              </w:rPr>
            </w:pPr>
            <w:r>
              <w:rPr>
                <w:rFonts w:hint="eastAsia" w:ascii="仿宋" w:hAnsi="仿宋" w:eastAsia="仿宋"/>
              </w:rPr>
              <w:t>本年垃圾处理天数</w:t>
            </w:r>
          </w:p>
        </w:tc>
        <w:tc>
          <w:tcPr>
            <w:tcW w:w="4260" w:type="dxa"/>
            <w:noWrap w:val="0"/>
            <w:vAlign w:val="center"/>
          </w:tcPr>
          <w:p>
            <w:pPr>
              <w:spacing w:line="300" w:lineRule="exact"/>
              <w:jc w:val="left"/>
              <w:rPr>
                <w:rFonts w:ascii="仿宋" w:hAnsi="仿宋" w:eastAsia="仿宋"/>
              </w:rPr>
            </w:pPr>
            <w:r>
              <w:rPr>
                <w:rFonts w:hint="eastAsia" w:ascii="仿宋" w:hAnsi="仿宋" w:eastAsia="仿宋"/>
              </w:rPr>
              <w:t>本年内垃圾处理天数</w:t>
            </w:r>
          </w:p>
        </w:tc>
        <w:tc>
          <w:tcPr>
            <w:tcW w:w="1440"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365</w:t>
            </w:r>
            <w:r>
              <w:rPr>
                <w:rFonts w:hint="eastAsia" w:ascii="仿宋" w:hAnsi="仿宋" w:eastAsia="仿宋"/>
              </w:rPr>
              <w:t>天</w:t>
            </w:r>
          </w:p>
        </w:tc>
        <w:tc>
          <w:tcPr>
            <w:tcW w:w="1197" w:type="dxa"/>
            <w:noWrap w:val="0"/>
            <w:vAlign w:val="center"/>
          </w:tcPr>
          <w:p>
            <w:pPr>
              <w:spacing w:line="300" w:lineRule="exact"/>
              <w:jc w:val="left"/>
              <w:rPr>
                <w:rFonts w:hint="eastAsia" w:ascii="仿宋" w:hAnsi="仿宋" w:eastAsia="仿宋"/>
              </w:rPr>
            </w:pPr>
            <w:r>
              <w:rPr>
                <w:rFonts w:hint="eastAsia" w:ascii="仿宋" w:hAnsi="仿宋" w:eastAsia="仿宋"/>
              </w:rPr>
              <w:t>台账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pPr>
              <w:spacing w:line="300" w:lineRule="exact"/>
              <w:jc w:val="center"/>
              <w:rPr>
                <w:rFonts w:hint="eastAsia" w:ascii="仿宋" w:hAnsi="仿宋" w:eastAsia="仿宋"/>
              </w:rPr>
            </w:pPr>
            <w:r>
              <w:rPr>
                <w:rFonts w:hint="eastAsia" w:ascii="仿宋" w:hAnsi="仿宋" w:eastAsia="仿宋"/>
              </w:rPr>
              <w:t>满意度指标</w:t>
            </w:r>
          </w:p>
        </w:tc>
        <w:tc>
          <w:tcPr>
            <w:tcW w:w="2359" w:type="dxa"/>
            <w:noWrap w:val="0"/>
            <w:vAlign w:val="center"/>
          </w:tcPr>
          <w:p>
            <w:pPr>
              <w:spacing w:line="300" w:lineRule="exact"/>
              <w:jc w:val="left"/>
              <w:rPr>
                <w:rFonts w:hint="eastAsia" w:ascii="仿宋" w:hAnsi="仿宋" w:eastAsia="仿宋"/>
              </w:rPr>
            </w:pPr>
            <w:r>
              <w:rPr>
                <w:rFonts w:hint="eastAsia" w:ascii="仿宋" w:hAnsi="仿宋" w:eastAsia="仿宋"/>
              </w:rPr>
              <w:t>服务对象满意度指标</w:t>
            </w:r>
          </w:p>
        </w:tc>
        <w:tc>
          <w:tcPr>
            <w:tcW w:w="3030" w:type="dxa"/>
            <w:noWrap w:val="0"/>
            <w:vAlign w:val="center"/>
          </w:tcPr>
          <w:p>
            <w:pPr>
              <w:spacing w:line="300" w:lineRule="exact"/>
              <w:jc w:val="left"/>
              <w:rPr>
                <w:rFonts w:hint="eastAsia" w:ascii="仿宋" w:hAnsi="仿宋" w:eastAsia="仿宋"/>
              </w:rPr>
            </w:pPr>
            <w:r>
              <w:rPr>
                <w:rFonts w:hint="eastAsia" w:ascii="仿宋" w:hAnsi="仿宋" w:eastAsia="仿宋"/>
              </w:rPr>
              <w:t>群众满意度</w:t>
            </w:r>
          </w:p>
        </w:tc>
        <w:tc>
          <w:tcPr>
            <w:tcW w:w="4260" w:type="dxa"/>
            <w:noWrap w:val="0"/>
            <w:vAlign w:val="center"/>
          </w:tcPr>
          <w:p>
            <w:pPr>
              <w:spacing w:line="300" w:lineRule="exact"/>
              <w:jc w:val="left"/>
              <w:rPr>
                <w:rFonts w:ascii="仿宋" w:hAnsi="仿宋" w:eastAsia="仿宋"/>
              </w:rPr>
            </w:pPr>
            <w:r>
              <w:rPr>
                <w:rFonts w:hint="eastAsia" w:ascii="仿宋" w:hAnsi="仿宋" w:eastAsia="仿宋"/>
              </w:rPr>
              <w:t>群众满意度提高</w:t>
            </w:r>
          </w:p>
        </w:tc>
        <w:tc>
          <w:tcPr>
            <w:tcW w:w="1440" w:type="dxa"/>
            <w:noWrap w:val="0"/>
            <w:vAlign w:val="center"/>
          </w:tcPr>
          <w:p>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95%</w:t>
            </w:r>
          </w:p>
        </w:tc>
        <w:tc>
          <w:tcPr>
            <w:tcW w:w="1197" w:type="dxa"/>
            <w:noWrap w:val="0"/>
            <w:vAlign w:val="center"/>
          </w:tcPr>
          <w:p>
            <w:pPr>
              <w:spacing w:line="300" w:lineRule="exact"/>
              <w:jc w:val="left"/>
              <w:rPr>
                <w:rFonts w:hint="eastAsia" w:ascii="仿宋" w:hAnsi="仿宋" w:eastAsia="仿宋"/>
              </w:rPr>
            </w:pPr>
            <w:r>
              <w:rPr>
                <w:rFonts w:hint="eastAsia" w:ascii="仿宋" w:hAnsi="仿宋" w:eastAsia="仿宋"/>
              </w:rPr>
              <w:t>问卷</w:t>
            </w:r>
          </w:p>
        </w:tc>
      </w:tr>
    </w:tbl>
    <w:p>
      <w:pPr>
        <w:keepNext w:val="0"/>
        <w:keepLines w:val="0"/>
        <w:pageBreakBefore w:val="0"/>
        <w:widowControl/>
        <w:kinsoku/>
        <w:wordWrap/>
        <w:overflowPunct/>
        <w:topLinePunct w:val="0"/>
        <w:autoSpaceDE/>
        <w:autoSpaceDN/>
        <w:bidi w:val="0"/>
        <w:adjustRightInd/>
        <w:snapToGrid/>
        <w:spacing w:before="0" w:after="0" w:line="20" w:lineRule="exact"/>
        <w:ind w:firstLine="0"/>
        <w:jc w:val="both"/>
        <w:textAlignment w:val="auto"/>
        <w:outlineLvl w:val="9"/>
        <w:rPr>
          <w:rFonts w:hint="eastAsia" w:eastAsia="宋体"/>
          <w:lang w:val="en-US" w:eastAsia="zh-CN"/>
        </w:rPr>
        <w:sectPr>
          <w:pgSz w:w="16840" w:h="11900" w:orient="landscape"/>
          <w:pgMar w:top="1361" w:right="1020" w:bottom="1134" w:left="1020" w:header="720" w:footer="720" w:gutter="0"/>
          <w:cols w:space="720" w:num="1"/>
        </w:sectPr>
      </w:pPr>
    </w:p>
    <w:p>
      <w:pPr>
        <w:spacing w:before="10" w:after="10" w:line="240" w:lineRule="auto"/>
        <w:jc w:val="left"/>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hint="eastAsia" w:eastAsia="方正仿宋_GBK" w:cs="Times New Roman"/>
          <w:b w:val="0"/>
          <w:color w:val="000000"/>
          <w:sz w:val="28"/>
          <w:lang w:eastAsia="zh-CN"/>
        </w:rPr>
        <w:t>2021</w:t>
      </w:r>
      <w:r>
        <w:rPr>
          <w:rFonts w:ascii="Times New Roman" w:hAnsi="Times New Roman" w:eastAsia="方正仿宋_GBK" w:cs="Times New Roman"/>
          <w:b w:val="0"/>
          <w:color w:val="000000"/>
          <w:sz w:val="28"/>
        </w:rPr>
        <w:t>年，涞源县住房和城乡建设局本级安排政府采购预算0.00万元。具体内容见下表。</w:t>
      </w: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333001涞源县住房和城乡建设局本级</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政府采购金额（当年部门预算安排资金）</w:t>
            </w:r>
          </w:p>
        </w:tc>
        <w:tc>
          <w:tcPr>
            <w:tcW w:w="964" w:type="dxa"/>
            <w:vMerge w:val="restart"/>
            <w:vAlign w:val="center"/>
          </w:tcPr>
          <w:p>
            <w:pPr>
              <w:pStyle w:val="12"/>
            </w:pPr>
            <w:r>
              <w:rPr>
                <w:rFonts w:hint="eastAsia"/>
                <w:lang w:eastAsia="zh-CN"/>
              </w:rPr>
              <w:t>2021</w:t>
            </w:r>
            <w:r>
              <w:t>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涞源县住房和城乡建设局本级上年末固定资产金额为</w:t>
      </w:r>
      <w:r>
        <w:rPr>
          <w:rFonts w:hint="eastAsia" w:ascii="Times New Roman" w:hAnsi="Times New Roman" w:eastAsia="方正仿宋_GBK" w:cs="Times New Roman"/>
          <w:b w:val="0"/>
          <w:color w:val="000000"/>
          <w:sz w:val="28"/>
        </w:rPr>
        <w:t>273.21</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10</w:t>
      </w:r>
      <w:r>
        <w:rPr>
          <w:rFonts w:ascii="Times New Roman" w:hAnsi="Times New Roman" w:eastAsia="方正仿宋_GBK" w:cs="Times New Roman"/>
          <w:b w:val="0"/>
          <w:color w:val="000000"/>
          <w:sz w:val="28"/>
        </w:rPr>
        <w:t>万元，已按要求列入政府采购预算，详见政府采购预算表。</w:t>
      </w: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333001涞源县住房和城乡建设局本级</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w:t>
            </w:r>
            <w:r>
              <w:rPr>
                <w:rFonts w:hint="eastAsia"/>
                <w:lang w:val="en-US" w:eastAsia="zh-CN"/>
              </w:rPr>
              <w:t>0</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ind w:firstLine="0" w:firstLineChars="0"/>
            </w:pPr>
          </w:p>
        </w:tc>
        <w:tc>
          <w:tcPr>
            <w:tcW w:w="2835" w:type="dxa"/>
            <w:vAlign w:val="center"/>
          </w:tcPr>
          <w:p>
            <w:pPr>
              <w:pStyle w:val="13"/>
              <w:ind w:firstLine="0" w:firstLineChars="0"/>
              <w:rPr>
                <w:rFonts w:hint="default" w:eastAsia="方正书宋_GBK"/>
                <w:lang w:val="en-US" w:eastAsia="zh-CN"/>
              </w:rPr>
            </w:pPr>
            <w:r>
              <w:rPr>
                <w:rFonts w:hint="eastAsia"/>
                <w:lang w:val="en-US" w:eastAsia="zh-CN"/>
              </w:rPr>
              <w:t>273.21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1、房屋（平方米）</w:t>
            </w:r>
          </w:p>
        </w:tc>
        <w:tc>
          <w:tcPr>
            <w:tcW w:w="2835" w:type="dxa"/>
            <w:vAlign w:val="center"/>
          </w:tcPr>
          <w:p>
            <w:pPr>
              <w:pStyle w:val="15"/>
              <w:ind w:firstLine="0" w:firstLineChars="0"/>
            </w:pPr>
            <w:r>
              <w:t>1406.39</w:t>
            </w:r>
          </w:p>
        </w:tc>
        <w:tc>
          <w:tcPr>
            <w:tcW w:w="2835" w:type="dxa"/>
            <w:vAlign w:val="center"/>
          </w:tcPr>
          <w:p>
            <w:pPr>
              <w:pStyle w:val="13"/>
              <w:ind w:firstLine="0" w:firstLineChars="0"/>
              <w:rPr>
                <w:rFonts w:hint="default" w:eastAsia="方正书宋_GBK"/>
                <w:lang w:val="en-US" w:eastAsia="zh-CN"/>
              </w:rPr>
            </w:pPr>
            <w:r>
              <w:rPr>
                <w:rFonts w:hint="eastAsia"/>
                <w:lang w:val="en-US" w:eastAsia="zh-CN"/>
              </w:rPr>
              <w:t>136.44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ind w:firstLine="0" w:firstLineChars="0"/>
            </w:pPr>
            <w:r>
              <w:t>1406.39</w:t>
            </w:r>
          </w:p>
        </w:tc>
        <w:tc>
          <w:tcPr>
            <w:tcW w:w="2835" w:type="dxa"/>
            <w:vAlign w:val="center"/>
          </w:tcPr>
          <w:p>
            <w:pPr>
              <w:pStyle w:val="13"/>
              <w:ind w:firstLine="0" w:firstLineChars="0"/>
              <w:rPr>
                <w:rFonts w:hint="default" w:eastAsia="方正书宋_GBK"/>
                <w:lang w:val="en-US" w:eastAsia="zh-CN"/>
              </w:rPr>
            </w:pPr>
            <w:r>
              <w:rPr>
                <w:rFonts w:hint="eastAsia"/>
                <w:lang w:val="en-US" w:eastAsia="zh-CN"/>
              </w:rPr>
              <w:t>136.44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ind w:firstLine="0" w:firstLineChars="0"/>
            </w:pPr>
            <w:r>
              <w:t>4</w:t>
            </w:r>
          </w:p>
        </w:tc>
        <w:tc>
          <w:tcPr>
            <w:tcW w:w="2835" w:type="dxa"/>
            <w:vAlign w:val="center"/>
          </w:tcPr>
          <w:p>
            <w:pPr>
              <w:pStyle w:val="13"/>
              <w:ind w:firstLine="0" w:firstLineChars="0"/>
            </w:pPr>
            <w:r>
              <w:t>33.45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ind w:firstLine="0" w:firstLineChars="0"/>
            </w:pPr>
          </w:p>
        </w:tc>
        <w:tc>
          <w:tcPr>
            <w:tcW w:w="2835" w:type="dxa"/>
            <w:vAlign w:val="center"/>
          </w:tcPr>
          <w:p>
            <w:pPr>
              <w:pStyle w:val="13"/>
              <w:ind w:firstLine="0" w:firstLineChars="0"/>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4、其他固定资产</w:t>
            </w:r>
          </w:p>
        </w:tc>
        <w:tc>
          <w:tcPr>
            <w:tcW w:w="2835" w:type="dxa"/>
            <w:vAlign w:val="center"/>
          </w:tcPr>
          <w:p>
            <w:pPr>
              <w:pStyle w:val="15"/>
              <w:ind w:firstLine="0" w:firstLineChars="0"/>
            </w:pPr>
          </w:p>
        </w:tc>
        <w:tc>
          <w:tcPr>
            <w:tcW w:w="2835" w:type="dxa"/>
            <w:vAlign w:val="center"/>
          </w:tcPr>
          <w:p>
            <w:pPr>
              <w:pStyle w:val="13"/>
              <w:ind w:firstLine="0" w:firstLineChars="0"/>
              <w:rPr>
                <w:rFonts w:hint="default" w:eastAsia="方正书宋_GBK"/>
                <w:lang w:val="en-US" w:eastAsia="zh-CN"/>
              </w:rPr>
            </w:pPr>
            <w:r>
              <w:rPr>
                <w:rFonts w:hint="eastAsia"/>
                <w:lang w:val="en-US" w:eastAsia="zh-CN"/>
              </w:rPr>
              <w:t>103.32</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省级财政预算管理的“三公”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GI0YWFlMjZjYzQ0NmYwMzFhNjVjNGNmZmE2MzViYjcifQ=="/>
  </w:docVars>
  <w:rsids>
    <w:rsidRoot w:val="00000000"/>
    <w:rsid w:val="00975CCE"/>
    <w:rsid w:val="02C40969"/>
    <w:rsid w:val="062C51A3"/>
    <w:rsid w:val="062F6A41"/>
    <w:rsid w:val="071C6FC5"/>
    <w:rsid w:val="07726BE5"/>
    <w:rsid w:val="0955056D"/>
    <w:rsid w:val="095A3DD5"/>
    <w:rsid w:val="0A1D44C6"/>
    <w:rsid w:val="0DA20A93"/>
    <w:rsid w:val="0E0802A4"/>
    <w:rsid w:val="0EDD34DE"/>
    <w:rsid w:val="0F543075"/>
    <w:rsid w:val="11164A85"/>
    <w:rsid w:val="138E2FF9"/>
    <w:rsid w:val="14E46C49"/>
    <w:rsid w:val="19ED659F"/>
    <w:rsid w:val="1AC92B69"/>
    <w:rsid w:val="1AFF3E35"/>
    <w:rsid w:val="1BB62A4B"/>
    <w:rsid w:val="1C0302FC"/>
    <w:rsid w:val="1E3E386E"/>
    <w:rsid w:val="220D77DF"/>
    <w:rsid w:val="228F28EA"/>
    <w:rsid w:val="22A243CB"/>
    <w:rsid w:val="240872A9"/>
    <w:rsid w:val="24AA3A0B"/>
    <w:rsid w:val="26A372F7"/>
    <w:rsid w:val="275B723E"/>
    <w:rsid w:val="27F05BD9"/>
    <w:rsid w:val="287E3607"/>
    <w:rsid w:val="2A4E6BE6"/>
    <w:rsid w:val="2C295A71"/>
    <w:rsid w:val="2D3C3247"/>
    <w:rsid w:val="2D9139BA"/>
    <w:rsid w:val="2ED33B5E"/>
    <w:rsid w:val="2EE87609"/>
    <w:rsid w:val="318F55E6"/>
    <w:rsid w:val="332B1876"/>
    <w:rsid w:val="35E6061B"/>
    <w:rsid w:val="372E4027"/>
    <w:rsid w:val="37B24C58"/>
    <w:rsid w:val="398C75AF"/>
    <w:rsid w:val="3A26548A"/>
    <w:rsid w:val="3B6A75F8"/>
    <w:rsid w:val="3BF82E56"/>
    <w:rsid w:val="3DA74B34"/>
    <w:rsid w:val="3E6A003B"/>
    <w:rsid w:val="3E7E7642"/>
    <w:rsid w:val="3EE002FD"/>
    <w:rsid w:val="3FE32C9A"/>
    <w:rsid w:val="425D1696"/>
    <w:rsid w:val="427C3E6C"/>
    <w:rsid w:val="428611BC"/>
    <w:rsid w:val="45EA380F"/>
    <w:rsid w:val="468705B5"/>
    <w:rsid w:val="46AD36D9"/>
    <w:rsid w:val="47040901"/>
    <w:rsid w:val="488F3ED6"/>
    <w:rsid w:val="48D634EE"/>
    <w:rsid w:val="4A7E56C8"/>
    <w:rsid w:val="4DDF5C24"/>
    <w:rsid w:val="51185C21"/>
    <w:rsid w:val="53C9715A"/>
    <w:rsid w:val="54387E3C"/>
    <w:rsid w:val="55B8306F"/>
    <w:rsid w:val="560E354A"/>
    <w:rsid w:val="5B6A1223"/>
    <w:rsid w:val="5CE9261B"/>
    <w:rsid w:val="6094135F"/>
    <w:rsid w:val="63620A31"/>
    <w:rsid w:val="663761A5"/>
    <w:rsid w:val="666B5E4F"/>
    <w:rsid w:val="67AE06E9"/>
    <w:rsid w:val="688C3FB0"/>
    <w:rsid w:val="69BF6BDD"/>
    <w:rsid w:val="6A336D22"/>
    <w:rsid w:val="6A5C54BF"/>
    <w:rsid w:val="6DF3142C"/>
    <w:rsid w:val="70057314"/>
    <w:rsid w:val="75377F70"/>
    <w:rsid w:val="75410924"/>
    <w:rsid w:val="75B83668"/>
    <w:rsid w:val="764F3097"/>
    <w:rsid w:val="774865B4"/>
    <w:rsid w:val="79BA116F"/>
    <w:rsid w:val="7F08472B"/>
    <w:rsid w:val="7FAE0E2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8">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toc 1"/>
    <w:basedOn w:val="1"/>
    <w:next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autoRedefine/>
    <w:qFormat/>
    <w:uiPriority w:val="0"/>
    <w:pPr>
      <w:ind w:left="720"/>
    </w:pPr>
  </w:style>
  <w:style w:type="paragraph" w:styleId="5">
    <w:name w:val="toc 2"/>
    <w:basedOn w:val="1"/>
    <w:next w:val="1"/>
    <w:autoRedefine/>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6" Type="http://schemas.openxmlformats.org/officeDocument/2006/relationships/fontTable" Target="fontTable.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2022-04-14T15:52:32Z</dcterms:created>
  <dcterms:modified xsi:type="dcterms:W3CDTF">2022-04-14T07:52:32Z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2022-04-14T15:52:27Z</dcterms:created>
  <dcterms:modified xsi:type="dcterms:W3CDTF">2022-04-14T07:52:27Z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2022-04-14T15:52:25Z</dcterms:created>
  <dcterms:modified xsi:type="dcterms:W3CDTF">2022-04-14T07:52:25Z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2022-04-14T15:52:27Z</dcterms:created>
  <dcterms:modified xsi:type="dcterms:W3CDTF">2022-04-14T07:52:27Z</dcterms:modified>
</cp:core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2022-04-14T15:52:27Z</dcterms:created>
  <dcterms:modified xsi:type="dcterms:W3CDTF">2022-04-14T07:52:27Z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2022-04-14T15:52:27Z</dcterms:created>
  <dcterms:modified xsi:type="dcterms:W3CDTF">2022-04-14T07:52:27Z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2022-04-14T15:52:27Z</dcterms:created>
  <dcterms:modified xsi:type="dcterms:W3CDTF">2022-04-14T07:52:27Z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2022-04-14T15:52:27Z</dcterms:created>
  <dcterms:modified xsi:type="dcterms:W3CDTF">2022-04-14T07:52:27Z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2022-04-14T15:52:27Z</dcterms:created>
  <dcterms:modified xsi:type="dcterms:W3CDTF">2022-04-14T07:52:27Z</dcterms:modified>
</cp:core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2022-04-14T15:52:27Z</dcterms:created>
  <dcterms:modified xsi:type="dcterms:W3CDTF">2022-04-14T07:52:27Z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2022-04-14T15:52:28Z</dcterms:created>
  <dcterms:modified xsi:type="dcterms:W3CDTF">2022-04-14T07:52:28Z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2022-04-14T15:52:28Z</dcterms:created>
  <dcterms:modified xsi:type="dcterms:W3CDTF">2022-04-14T07:52:28Z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2022-04-14T15:52:28Z</dcterms:created>
  <dcterms:modified xsi:type="dcterms:W3CDTF">2022-04-14T07:52:28Z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2022-04-14T15:52:26Z</dcterms:created>
  <dcterms:modified xsi:type="dcterms:W3CDTF">2022-04-14T07:52:26Z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2022-04-14T15:52:28Z</dcterms:created>
  <dcterms:modified xsi:type="dcterms:W3CDTF">2022-04-14T07:52:28Z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2022-04-14T15:52:28Z</dcterms:created>
  <dcterms:modified xsi:type="dcterms:W3CDTF">2022-04-14T07:52:28Z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2022-04-14T15:52:28Z</dcterms:created>
  <dcterms:modified xsi:type="dcterms:W3CDTF">2022-04-14T07:52:28Z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2022-04-14T15:52:30Z</dcterms:created>
  <dcterms:modified xsi:type="dcterms:W3CDTF">2022-04-14T07:52:30Z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2022-04-14T15:52:31Z</dcterms:created>
  <dcterms:modified xsi:type="dcterms:W3CDTF">2022-04-14T07:52:31Z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2022-04-14T15:52:31Z</dcterms:created>
  <dcterms:modified xsi:type="dcterms:W3CDTF">2022-04-14T07:52:31Z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2022-04-14T15:52:31Z</dcterms:created>
  <dcterms:modified xsi:type="dcterms:W3CDTF">2022-04-14T07:52:31Z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2022-04-14T15:52:31Z</dcterms:created>
  <dcterms:modified xsi:type="dcterms:W3CDTF">2022-04-14T07:52:31Z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2022-04-14T15:52:31Z</dcterms:created>
  <dcterms:modified xsi:type="dcterms:W3CDTF">2022-04-14T07:52:31Z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2022-04-14T15:52:31Z</dcterms:created>
  <dcterms:modified xsi:type="dcterms:W3CDTF">2022-04-14T07:52:31Z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2022-04-14T15:52:26Z</dcterms:created>
  <dcterms:modified xsi:type="dcterms:W3CDTF">2022-04-14T07:52:26Z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2022-04-14T15:52:31Z</dcterms:created>
  <dcterms:modified xsi:type="dcterms:W3CDTF">2022-04-14T07:52:31Z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2022-04-14T15:52:32Z</dcterms:created>
  <dcterms:modified xsi:type="dcterms:W3CDTF">2022-04-14T07:52:32Z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2022-04-14T15:52:26Z</dcterms:created>
  <dcterms:modified xsi:type="dcterms:W3CDTF">2022-04-14T07:52:26Z</dcterms:modified>
</cp:core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2022-04-14T15:52:32Z</dcterms:created>
  <dcterms:modified xsi:type="dcterms:W3CDTF">2022-04-14T07:52:32Z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2022-04-14T15:52:32Z</dcterms:created>
  <dcterms:modified xsi:type="dcterms:W3CDTF">2022-04-14T07:52:32Z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2022-04-14T15:52:32Z</dcterms:created>
  <dcterms:modified xsi:type="dcterms:W3CDTF">2022-04-14T07:52:32Z</dcterms:modified>
</cp:core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2022-04-14T15:52:32Z</dcterms:created>
  <dcterms:modified xsi:type="dcterms:W3CDTF">2022-04-14T07:52:32Z</dcterms:modified>
</cp:core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2022-04-14T15:52:32Z</dcterms:created>
  <dcterms:modified xsi:type="dcterms:W3CDTF">2022-04-14T07:52:32Z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2022-04-14T15:52:32Z</dcterms:created>
  <dcterms:modified xsi:type="dcterms:W3CDTF">2022-04-14T07:52:32Z</dcterms:modified>
</cp:coreProperties>
</file>

<file path=customXml/item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2022-04-14T15:52:32Z</dcterms:created>
  <dcterms:modified xsi:type="dcterms:W3CDTF">2022-04-14T07:52:32Z</dcterms:modified>
</cp:core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3ce5bf65-0031-4af6-94dd-9a1bbbe5f9da}">
  <ds:schemaRefs/>
</ds:datastoreItem>
</file>

<file path=customXml/itemProps2.xml><?xml version="1.0" encoding="utf-8"?>
<ds:datastoreItem xmlns:ds="http://schemas.openxmlformats.org/officeDocument/2006/customXml" ds:itemID="{e71703f8-773b-4336-8432-accb800580fe}">
  <ds:schemaRefs/>
</ds:datastoreItem>
</file>

<file path=customXml/itemProps3.xml><?xml version="1.0" encoding="utf-8"?>
<ds:datastoreItem xmlns:ds="http://schemas.openxmlformats.org/officeDocument/2006/customXml" ds:itemID="{4cc6428b-bed1-4256-ba75-5a2c26796248}">
  <ds:schemaRefs/>
</ds:datastoreItem>
</file>

<file path=customXml/itemProps4.xml><?xml version="1.0" encoding="utf-8"?>
<ds:datastoreItem xmlns:ds="http://schemas.openxmlformats.org/officeDocument/2006/customXml" ds:itemID="{fd502ccd-52c2-4468-b5a1-75adf2ee4f79}">
  <ds:schemaRefs/>
</ds:datastoreItem>
</file>

<file path=customXml/itemProps5.xml><?xml version="1.0" encoding="utf-8"?>
<ds:datastoreItem xmlns:ds="http://schemas.openxmlformats.org/officeDocument/2006/customXml" ds:itemID="{ce2b4461-1e7d-4bae-8a61-3552684d85a1}">
  <ds:schemaRefs/>
</ds:datastoreItem>
</file>

<file path=customXml/itemProps6.xml><?xml version="1.0" encoding="utf-8"?>
<ds:datastoreItem xmlns:ds="http://schemas.openxmlformats.org/officeDocument/2006/customXml" ds:itemID="{05eaa6d0-d48f-4c4f-906c-b106fb4582b7}">
  <ds:schemaRefs/>
</ds:datastoreItem>
</file>

<file path=customXml/itemProps7.xml><?xml version="1.0" encoding="utf-8"?>
<ds:datastoreItem xmlns:ds="http://schemas.openxmlformats.org/officeDocument/2006/customXml" ds:itemID="{4eb2b7d4-93ce-4da1-b674-7cfe49a805d2}">
  <ds:schemaRefs/>
</ds:datastoreItem>
</file>

<file path=customXml/itemProps8.xml><?xml version="1.0" encoding="utf-8"?>
<ds:datastoreItem xmlns:ds="http://schemas.openxmlformats.org/officeDocument/2006/customXml" ds:itemID="{b4cf92bf-7456-46db-89c1-4071b3135e1f}">
  <ds:schemaRefs/>
</ds:datastoreItem>
</file>

<file path=customXml/itemProps9.xml><?xml version="1.0" encoding="utf-8"?>
<ds:datastoreItem xmlns:ds="http://schemas.openxmlformats.org/officeDocument/2006/customXml" ds:itemID="{1f33a314-7651-49ba-b022-36a489124296}">
  <ds:schemaRefs/>
</ds:datastoreItem>
</file>

<file path=customXml/itemProps10.xml><?xml version="1.0" encoding="utf-8"?>
<ds:datastoreItem xmlns:ds="http://schemas.openxmlformats.org/officeDocument/2006/customXml" ds:itemID="{741cd588-0a46-4e49-85af-90f586c94f7a}">
  <ds:schemaRefs/>
</ds:datastoreItem>
</file>

<file path=customXml/itemProps11.xml><?xml version="1.0" encoding="utf-8"?>
<ds:datastoreItem xmlns:ds="http://schemas.openxmlformats.org/officeDocument/2006/customXml" ds:itemID="{2d42c4e2-66cc-4384-804b-b41c44b9f237}">
  <ds:schemaRefs/>
</ds:datastoreItem>
</file>

<file path=customXml/itemProps12.xml><?xml version="1.0" encoding="utf-8"?>
<ds:datastoreItem xmlns:ds="http://schemas.openxmlformats.org/officeDocument/2006/customXml" ds:itemID="{8a2c0419-7842-4505-90a7-3cc272a91337}">
  <ds:schemaRefs/>
</ds:datastoreItem>
</file>

<file path=customXml/itemProps13.xml><?xml version="1.0" encoding="utf-8"?>
<ds:datastoreItem xmlns:ds="http://schemas.openxmlformats.org/officeDocument/2006/customXml" ds:itemID="{612d8a8e-4219-424c-961a-2ebe2c7c4531}">
  <ds:schemaRefs/>
</ds:datastoreItem>
</file>

<file path=customXml/itemProps14.xml><?xml version="1.0" encoding="utf-8"?>
<ds:datastoreItem xmlns:ds="http://schemas.openxmlformats.org/officeDocument/2006/customXml" ds:itemID="{7f90d592-a081-4fe0-9bb6-e3a09e8fd587}">
  <ds:schemaRefs/>
</ds:datastoreItem>
</file>

<file path=customXml/itemProps15.xml><?xml version="1.0" encoding="utf-8"?>
<ds:datastoreItem xmlns:ds="http://schemas.openxmlformats.org/officeDocument/2006/customXml" ds:itemID="{cb8304d6-057b-40ff-a2b3-2e134ee4a761}">
  <ds:schemaRefs/>
</ds:datastoreItem>
</file>

<file path=customXml/itemProps16.xml><?xml version="1.0" encoding="utf-8"?>
<ds:datastoreItem xmlns:ds="http://schemas.openxmlformats.org/officeDocument/2006/customXml" ds:itemID="{fef540df-a545-49e4-b7f8-fb5ea0c7254f}">
  <ds:schemaRefs/>
</ds:datastoreItem>
</file>

<file path=customXml/itemProps17.xml><?xml version="1.0" encoding="utf-8"?>
<ds:datastoreItem xmlns:ds="http://schemas.openxmlformats.org/officeDocument/2006/customXml" ds:itemID="{7edada95-6975-4291-be92-7d0cb73aaf6e}">
  <ds:schemaRefs/>
</ds:datastoreItem>
</file>

<file path=customXml/itemProps18.xml><?xml version="1.0" encoding="utf-8"?>
<ds:datastoreItem xmlns:ds="http://schemas.openxmlformats.org/officeDocument/2006/customXml" ds:itemID="{b4b394ed-cbc4-4584-a322-8956b513ccad}">
  <ds:schemaRefs/>
</ds:datastoreItem>
</file>

<file path=customXml/itemProps19.xml><?xml version="1.0" encoding="utf-8"?>
<ds:datastoreItem xmlns:ds="http://schemas.openxmlformats.org/officeDocument/2006/customXml" ds:itemID="{7ed9197b-070e-4053-8f10-b31a78b0d31c}">
  <ds:schemaRefs/>
</ds:datastoreItem>
</file>

<file path=customXml/itemProps20.xml><?xml version="1.0" encoding="utf-8"?>
<ds:datastoreItem xmlns:ds="http://schemas.openxmlformats.org/officeDocument/2006/customXml" ds:itemID="{4fdc7d82-ce0f-473f-ac99-9b0af95bd1d2}">
  <ds:schemaRefs/>
</ds:datastoreItem>
</file>

<file path=customXml/itemProps21.xml><?xml version="1.0" encoding="utf-8"?>
<ds:datastoreItem xmlns:ds="http://schemas.openxmlformats.org/officeDocument/2006/customXml" ds:itemID="{4c37078c-c83c-465f-8f2b-cb75682664e5}">
  <ds:schemaRefs/>
</ds:datastoreItem>
</file>

<file path=customXml/itemProps22.xml><?xml version="1.0" encoding="utf-8"?>
<ds:datastoreItem xmlns:ds="http://schemas.openxmlformats.org/officeDocument/2006/customXml" ds:itemID="{319b63e4-305c-41ab-ac80-9e0e5bb8cf53}">
  <ds:schemaRefs/>
</ds:datastoreItem>
</file>

<file path=customXml/itemProps23.xml><?xml version="1.0" encoding="utf-8"?>
<ds:datastoreItem xmlns:ds="http://schemas.openxmlformats.org/officeDocument/2006/customXml" ds:itemID="{c6b03a22-dcf6-4f24-ba2b-bd0c31d09f1f}">
  <ds:schemaRefs/>
</ds:datastoreItem>
</file>

<file path=customXml/itemProps24.xml><?xml version="1.0" encoding="utf-8"?>
<ds:datastoreItem xmlns:ds="http://schemas.openxmlformats.org/officeDocument/2006/customXml" ds:itemID="{88ca191f-0064-41eb-8b37-d1e00a09ab5c}">
  <ds:schemaRefs/>
</ds:datastoreItem>
</file>

<file path=customXml/itemProps25.xml><?xml version="1.0" encoding="utf-8"?>
<ds:datastoreItem xmlns:ds="http://schemas.openxmlformats.org/officeDocument/2006/customXml" ds:itemID="{26224492-9662-4853-839e-757376796dee}">
  <ds:schemaRefs/>
</ds:datastoreItem>
</file>

<file path=customXml/itemProps26.xml><?xml version="1.0" encoding="utf-8"?>
<ds:datastoreItem xmlns:ds="http://schemas.openxmlformats.org/officeDocument/2006/customXml" ds:itemID="{4669219f-626c-4811-9186-0e329c427783}">
  <ds:schemaRefs/>
</ds:datastoreItem>
</file>

<file path=customXml/itemProps27.xml><?xml version="1.0" encoding="utf-8"?>
<ds:datastoreItem xmlns:ds="http://schemas.openxmlformats.org/officeDocument/2006/customXml" ds:itemID="{05a60c51-622c-45bb-b721-8f356716df0f}">
  <ds:schemaRefs/>
</ds:datastoreItem>
</file>

<file path=customXml/itemProps28.xml><?xml version="1.0" encoding="utf-8"?>
<ds:datastoreItem xmlns:ds="http://schemas.openxmlformats.org/officeDocument/2006/customXml" ds:itemID="{98cafd38-2aa9-4ed2-ae2f-25f46f7f4e5a}">
  <ds:schemaRefs/>
</ds:datastoreItem>
</file>

<file path=customXml/itemProps29.xml><?xml version="1.0" encoding="utf-8"?>
<ds:datastoreItem xmlns:ds="http://schemas.openxmlformats.org/officeDocument/2006/customXml" ds:itemID="{85b45ea5-78ba-4feb-b9c5-beadfeb69150}">
  <ds:schemaRefs/>
</ds:datastoreItem>
</file>

<file path=customXml/itemProps30.xml><?xml version="1.0" encoding="utf-8"?>
<ds:datastoreItem xmlns:ds="http://schemas.openxmlformats.org/officeDocument/2006/customXml" ds:itemID="{8f2cc4e5-1907-42bf-b4f6-0b0876b61884}">
  <ds:schemaRefs/>
</ds:datastoreItem>
</file>

<file path=customXml/itemProps31.xml><?xml version="1.0" encoding="utf-8"?>
<ds:datastoreItem xmlns:ds="http://schemas.openxmlformats.org/officeDocument/2006/customXml" ds:itemID="{0592981d-d304-48e1-97ac-bfe20d32575c}">
  <ds:schemaRefs/>
</ds:datastoreItem>
</file>

<file path=customXml/itemProps32.xml><?xml version="1.0" encoding="utf-8"?>
<ds:datastoreItem xmlns:ds="http://schemas.openxmlformats.org/officeDocument/2006/customXml" ds:itemID="{17d41b25-f01a-4554-af92-a358b332700f}">
  <ds:schemaRefs/>
</ds:datastoreItem>
</file>

<file path=customXml/itemProps33.xml><?xml version="1.0" encoding="utf-8"?>
<ds:datastoreItem xmlns:ds="http://schemas.openxmlformats.org/officeDocument/2006/customXml" ds:itemID="{902e7a93-93d9-4d58-ae6e-56a303796c92}">
  <ds:schemaRefs/>
</ds:datastoreItem>
</file>

<file path=customXml/itemProps34.xml><?xml version="1.0" encoding="utf-8"?>
<ds:datastoreItem xmlns:ds="http://schemas.openxmlformats.org/officeDocument/2006/customXml" ds:itemID="{8042adb9-20fe-4509-91df-b85029872ca2}">
  <ds:schemaRefs/>
</ds:datastoreItem>
</file>

<file path=customXml/itemProps35.xml><?xml version="1.0" encoding="utf-8"?>
<ds:datastoreItem xmlns:ds="http://schemas.openxmlformats.org/officeDocument/2006/customXml" ds:itemID="{33d6e41a-059b-4031-87f7-032bf61b2482}">
  <ds:schemaRefs/>
</ds:datastoreItem>
</file>

<file path=customXml/itemProps36.xml><?xml version="1.0" encoding="utf-8"?>
<ds:datastoreItem xmlns:ds="http://schemas.openxmlformats.org/officeDocument/2006/customXml" ds:itemID="{ad226322-1cf3-4393-a80e-3cfa62aadeb0}">
  <ds:schemaRefs/>
</ds:datastoreItem>
</file>

<file path=customXml/itemProps37.xml><?xml version="1.0" encoding="utf-8"?>
<ds:datastoreItem xmlns:ds="http://schemas.openxmlformats.org/officeDocument/2006/customXml" ds:itemID="{fbdf7d80-931f-4746-aef1-fd0a5972f23a}">
  <ds:schemaRefs/>
</ds:datastoreItem>
</file>

<file path=customXml/itemProps38.xml><?xml version="1.0" encoding="utf-8"?>
<ds:datastoreItem xmlns:ds="http://schemas.openxmlformats.org/officeDocument/2006/customXml" ds:itemID="{defbeca8-1f01-4f84-9b6d-11e488eb29d1}">
  <ds:schemaRefs/>
</ds:datastoreItem>
</file>

<file path=customXml/itemProps39.xml><?xml version="1.0" encoding="utf-8"?>
<ds:datastoreItem xmlns:ds="http://schemas.openxmlformats.org/officeDocument/2006/customXml" ds:itemID="{1ac7de50-6e65-4fff-a1e8-f772475f85c3}">
  <ds:schemaRefs/>
</ds:datastoreItem>
</file>

<file path=customXml/itemProps40.xml><?xml version="1.0" encoding="utf-8"?>
<ds:datastoreItem xmlns:ds="http://schemas.openxmlformats.org/officeDocument/2006/customXml" ds:itemID="{e6e34ce7-2957-4a72-a735-f1db82f17126}">
  <ds:schemaRefs/>
</ds:datastoreItem>
</file>

<file path=customXml/itemProps41.xml><?xml version="1.0" encoding="utf-8"?>
<ds:datastoreItem xmlns:ds="http://schemas.openxmlformats.org/officeDocument/2006/customXml" ds:itemID="{0d0b987d-d6cf-4819-806e-be64fb76bc16}">
  <ds:schemaRefs/>
</ds:datastoreItem>
</file>

<file path=customXml/itemProps42.xml><?xml version="1.0" encoding="utf-8"?>
<ds:datastoreItem xmlns:ds="http://schemas.openxmlformats.org/officeDocument/2006/customXml" ds:itemID="{6a9836c8-3e89-479e-b9f2-36b9a729e9d3}">
  <ds:schemaRefs/>
</ds:datastoreItem>
</file>

<file path=customXml/itemProps43.xml><?xml version="1.0" encoding="utf-8"?>
<ds:datastoreItem xmlns:ds="http://schemas.openxmlformats.org/officeDocument/2006/customXml" ds:itemID="{3d17183e-db48-4bd5-b1b8-e911aa37210a}">
  <ds:schemaRefs/>
</ds:datastoreItem>
</file>

<file path=customXml/itemProps44.xml><?xml version="1.0" encoding="utf-8"?>
<ds:datastoreItem xmlns:ds="http://schemas.openxmlformats.org/officeDocument/2006/customXml" ds:itemID="{8c4b7c14-12b1-4466-b58b-787c66c72d33}">
  <ds:schemaRefs/>
</ds:datastoreItem>
</file>

<file path=customXml/itemProps45.xml><?xml version="1.0" encoding="utf-8"?>
<ds:datastoreItem xmlns:ds="http://schemas.openxmlformats.org/officeDocument/2006/customXml" ds:itemID="{3ce83bcc-db82-43a7-832f-24555f9fe0c8}">
  <ds:schemaRefs/>
</ds:datastoreItem>
</file>

<file path=customXml/itemProps46.xml><?xml version="1.0" encoding="utf-8"?>
<ds:datastoreItem xmlns:ds="http://schemas.openxmlformats.org/officeDocument/2006/customXml" ds:itemID="{75cb1a25-93e9-4867-b9ba-780f1c5cfa91}">
  <ds:schemaRefs/>
</ds:datastoreItem>
</file>

<file path=customXml/itemProps47.xml><?xml version="1.0" encoding="utf-8"?>
<ds:datastoreItem xmlns:ds="http://schemas.openxmlformats.org/officeDocument/2006/customXml" ds:itemID="{3e8f4ea0-798c-40ca-bdc0-771401fb9a2e}">
  <ds:schemaRefs/>
</ds:datastoreItem>
</file>

<file path=customXml/itemProps48.xml><?xml version="1.0" encoding="utf-8"?>
<ds:datastoreItem xmlns:ds="http://schemas.openxmlformats.org/officeDocument/2006/customXml" ds:itemID="{7051d0f6-adfa-4f7c-aebb-4b69aeb3812a}">
  <ds:schemaRefs/>
</ds:datastoreItem>
</file>

<file path=customXml/itemProps49.xml><?xml version="1.0" encoding="utf-8"?>
<ds:datastoreItem xmlns:ds="http://schemas.openxmlformats.org/officeDocument/2006/customXml" ds:itemID="{d2834a2c-9f48-4a8d-b6c6-4afaeb7c10cd}">
  <ds:schemaRefs/>
</ds:datastoreItem>
</file>

<file path=customXml/itemProps50.xml><?xml version="1.0" encoding="utf-8"?>
<ds:datastoreItem xmlns:ds="http://schemas.openxmlformats.org/officeDocument/2006/customXml" ds:itemID="{0bae898c-6374-47c0-84df-fe327cceb482}">
  <ds:schemaRefs/>
</ds:datastoreItem>
</file>

<file path=customXml/itemProps51.xml><?xml version="1.0" encoding="utf-8"?>
<ds:datastoreItem xmlns:ds="http://schemas.openxmlformats.org/officeDocument/2006/customXml" ds:itemID="{0df9263f-d5aa-4c8d-82b8-f24b9ed810f4}">
  <ds:schemaRefs/>
</ds:datastoreItem>
</file>

<file path=customXml/itemProps52.xml><?xml version="1.0" encoding="utf-8"?>
<ds:datastoreItem xmlns:ds="http://schemas.openxmlformats.org/officeDocument/2006/customXml" ds:itemID="{db000f2c-4520-4638-a285-49d3779b90e3}">
  <ds:schemaRefs/>
</ds:datastoreItem>
</file>

<file path=customXml/itemProps53.xml><?xml version="1.0" encoding="utf-8"?>
<ds:datastoreItem xmlns:ds="http://schemas.openxmlformats.org/officeDocument/2006/customXml" ds:itemID="{fb6bea01-e8b2-4c3f-95ed-59fad5ef83f9}">
  <ds:schemaRefs/>
</ds:datastoreItem>
</file>

<file path=customXml/itemProps54.xml><?xml version="1.0" encoding="utf-8"?>
<ds:datastoreItem xmlns:ds="http://schemas.openxmlformats.org/officeDocument/2006/customXml" ds:itemID="{be3afe2a-1fd9-4bd6-919d-1c137ec2ba50}">
  <ds:schemaRefs/>
</ds:datastoreItem>
</file>

<file path=customXml/itemProps55.xml><?xml version="1.0" encoding="utf-8"?>
<ds:datastoreItem xmlns:ds="http://schemas.openxmlformats.org/officeDocument/2006/customXml" ds:itemID="{1d4a69c6-f718-4ad2-b03b-eec00f5bc84f}">
  <ds:schemaRefs/>
</ds:datastoreItem>
</file>

<file path=customXml/itemProps56.xml><?xml version="1.0" encoding="utf-8"?>
<ds:datastoreItem xmlns:ds="http://schemas.openxmlformats.org/officeDocument/2006/customXml" ds:itemID="{0ce5cc8d-4dfb-4c4e-ac87-63861b98a45c}">
  <ds:schemaRefs/>
</ds:datastoreItem>
</file>

<file path=customXml/itemProps57.xml><?xml version="1.0" encoding="utf-8"?>
<ds:datastoreItem xmlns:ds="http://schemas.openxmlformats.org/officeDocument/2006/customXml" ds:itemID="{e58baead-0b89-4a8e-92af-56a83df55c7b}">
  <ds:schemaRefs/>
</ds:datastoreItem>
</file>

<file path=customXml/itemProps58.xml><?xml version="1.0" encoding="utf-8"?>
<ds:datastoreItem xmlns:ds="http://schemas.openxmlformats.org/officeDocument/2006/customXml" ds:itemID="{0aebe06d-1f76-464e-9b14-b344364d558a}">
  <ds:schemaRefs/>
</ds:datastoreItem>
</file>

<file path=customXml/itemProps59.xml><?xml version="1.0" encoding="utf-8"?>
<ds:datastoreItem xmlns:ds="http://schemas.openxmlformats.org/officeDocument/2006/customXml" ds:itemID="{01aa190a-c696-4062-bff9-b496caf194c5}">
  <ds:schemaRefs/>
</ds:datastoreItem>
</file>

<file path=customXml/itemProps60.xml><?xml version="1.0" encoding="utf-8"?>
<ds:datastoreItem xmlns:ds="http://schemas.openxmlformats.org/officeDocument/2006/customXml" ds:itemID="{14639e75-d6b0-402f-a5be-2b4740f106f3}">
  <ds:schemaRefs/>
</ds:datastoreItem>
</file>

<file path=customXml/itemProps61.xml><?xml version="1.0" encoding="utf-8"?>
<ds:datastoreItem xmlns:ds="http://schemas.openxmlformats.org/officeDocument/2006/customXml" ds:itemID="{bc1cbca1-fb2f-4a9e-aeac-d76f0a92674f}">
  <ds:schemaRefs/>
</ds:datastoreItem>
</file>

<file path=customXml/itemProps62.xml><?xml version="1.0" encoding="utf-8"?>
<ds:datastoreItem xmlns:ds="http://schemas.openxmlformats.org/officeDocument/2006/customXml" ds:itemID="{14e5dd71-f411-4150-9d9f-7eb460d47dd0}">
  <ds:schemaRefs/>
</ds:datastoreItem>
</file>

<file path=customXml/itemProps63.xml><?xml version="1.0" encoding="utf-8"?>
<ds:datastoreItem xmlns:ds="http://schemas.openxmlformats.org/officeDocument/2006/customXml" ds:itemID="{2b60f552-34c7-4144-b102-7eab089aaac8}">
  <ds:schemaRefs/>
</ds:datastoreItem>
</file>

<file path=customXml/itemProps64.xml><?xml version="1.0" encoding="utf-8"?>
<ds:datastoreItem xmlns:ds="http://schemas.openxmlformats.org/officeDocument/2006/customXml" ds:itemID="{25510201-0b39-4432-8a5c-5fc148c8a4e3}">
  <ds:schemaRefs/>
</ds:datastoreItem>
</file>

<file path=customXml/itemProps65.xml><?xml version="1.0" encoding="utf-8"?>
<ds:datastoreItem xmlns:ds="http://schemas.openxmlformats.org/officeDocument/2006/customXml" ds:itemID="{ca13100f-2cbb-4490-936b-70f18c355bf3}">
  <ds:schemaRefs/>
</ds:datastoreItem>
</file>

<file path=customXml/itemProps66.xml><?xml version="1.0" encoding="utf-8"?>
<ds:datastoreItem xmlns:ds="http://schemas.openxmlformats.org/officeDocument/2006/customXml" ds:itemID="{5b10ec66-ef1f-4e4b-ac6e-c96542f43117}">
  <ds:schemaRefs/>
</ds:datastoreItem>
</file>

<file path=customXml/itemProps67.xml><?xml version="1.0" encoding="utf-8"?>
<ds:datastoreItem xmlns:ds="http://schemas.openxmlformats.org/officeDocument/2006/customXml" ds:itemID="{e90ee0de-8fee-44ff-bda8-035958591205}">
  <ds:schemaRefs/>
</ds:datastoreItem>
</file>

<file path=customXml/itemProps68.xml><?xml version="1.0" encoding="utf-8"?>
<ds:datastoreItem xmlns:ds="http://schemas.openxmlformats.org/officeDocument/2006/customXml" ds:itemID="{1784d074-348e-4798-b9b4-4d3158637893}">
  <ds:schemaRefs/>
</ds:datastoreItem>
</file>

<file path=customXml/itemProps69.xml><?xml version="1.0" encoding="utf-8"?>
<ds:datastoreItem xmlns:ds="http://schemas.openxmlformats.org/officeDocument/2006/customXml" ds:itemID="{d1f83b86-8798-4066-a8ed-111744356f24}">
  <ds:schemaRefs/>
</ds:datastoreItem>
</file>

<file path=customXml/itemProps70.xml><?xml version="1.0" encoding="utf-8"?>
<ds:datastoreItem xmlns:ds="http://schemas.openxmlformats.org/officeDocument/2006/customXml" ds:itemID="{360e2f56-ddeb-4d50-8197-5a9ad49f7faf}">
  <ds:schemaRefs/>
</ds:datastoreItem>
</file>

<file path=docProps/app.xml><?xml version="1.0" encoding="utf-8"?>
<Properties xmlns="http://schemas.openxmlformats.org/officeDocument/2006/extended-properties" xmlns:vt="http://schemas.openxmlformats.org/officeDocument/2006/docPropsVTypes">
  <Pages>48</Pages>
  <Words>17117</Words>
  <Characters>21465</Characters>
  <TotalTime>8</TotalTime>
  <ScaleCrop>false</ScaleCrop>
  <LinksUpToDate>false</LinksUpToDate>
  <CharactersWithSpaces>21582</CharactersWithSpaces>
  <Application>WPS Office_12.1.0.16120_F1E327BC-269C-435d-A152-05C5408002CA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2022-04-14T15:52:00Z</dcterms:created>
  <dc:creator>Administrator</dc:creator>
  <cp:lastModifiedBy>Administrator</cp:lastModifiedBy>
  <cp:lastPrinted>2022-06-20T06:52:00Z</cp:lastPrinted>
  <dcterms:modified xsi:type="dcterms:W3CDTF">2024-01-30T04:19:08Z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679F7082BEA948EB9B56210A1D753DF2</vt:lpwstr>
  </property>
</Properties>
</file>