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rPr>
          <w:rFonts w:ascii="方正小标宋简体" w:eastAsia="方正小标宋简体"/>
          <w:color w:val="FF0000"/>
          <w:sz w:val="40"/>
          <w:szCs w:val="40"/>
          <w:shd w:val="solid" w:color="FFFFFF" w:fill="FFFFFF"/>
        </w:rPr>
      </w:pPr>
    </w:p>
    <w:tbl>
      <w:tblPr>
        <w:jc w:val="left"/>
        <w:tblBorders>
          <w:top w:val="none" w:sz="0" w:space="0" w:color="auto"/>
          <w:left w:val="none" w:sz="0" w:space="0" w:color="auto"/>
          <w:bottom w:val="none" w:sz="0" w:space="0" w:color="auto"/>
          <w:right w:val="none" w:sz="0" w:space="0" w:color="auto"/>
          <w:insideH w:val="single" w:sz="4" w:space="0" w:color="auto"/>
          <w:insideV w:val="single" w:sz="4" w:space="0" w:color="auto"/>
        </w:tblBorders>
        <w:tblCellMar>
          <w:top w:w="0" w:type="dxa"/>
          <w:left w:w="108" w:type="dxa"/>
          <w:bottom w:w="0" w:type="dxa"/>
          <w:right w:w="108" w:type="dxa"/>
        </w:tblCellMar>
      </w:tblPr>
      <w:tblGrid>
        <w:gridCol w:w="8835"/>
      </w:tblGrid>
      <w:tr>
        <w:tc>
          <w:tcPr>
            <w:tcW w:w="8835" w:type="dxa"/>
            <w:tcBorders>
              <w:top w:val="nil"/>
              <w:left w:val="nil"/>
              <w:bottom w:val="nil"/>
              <w:right w:val="nil"/>
              <w:tl2br w:val="nil"/>
              <w:tr2bl w:val="nil"/>
            </w:tcBorders>
            <w:vAlign w:val="center"/>
          </w:tcPr>
          <w:p>
            <w:pPr>
              <w:jc w:val="center"/>
              <w:rPr>
                <w:rFonts w:ascii="方正小标宋简体" w:eastAsia="方正小标宋简体" w:hint="eastAsia"/>
                <w:color w:val="FF0000"/>
                <w:w w:val="43"/>
                <w:sz w:val="132"/>
                <w:szCs w:val="132"/>
                <w:shd w:val="solid" w:color="FFFFFF" w:fill="FFFFFF"/>
              </w:rPr>
            </w:pPr>
            <w:r>
              <w:rPr>
                <w:rFonts w:ascii="方正小标宋简体" w:eastAsia="方正小标宋简体" w:hint="eastAsia"/>
                <w:color w:val="FF0000"/>
                <w:w w:val="43"/>
                <w:sz w:val="132"/>
                <w:szCs w:val="132"/>
                <w:shd w:val="solid" w:color="FFFFFF" w:fill="FFFFFF"/>
              </w:rPr>
              <w:t>保定市生态环境局涞源县分局文件</w:t>
            </w:r>
          </w:p>
        </w:tc>
      </w:tr>
      <w:tr>
        <w:trPr>
          <w:trHeight w:val="596"/>
        </w:trPr>
        <w:tc>
          <w:tcPr>
            <w:tcW w:w="8835" w:type="dxa"/>
            <w:tcBorders>
              <w:top w:val="nil"/>
              <w:left w:val="nil"/>
              <w:bottom w:val="nil"/>
              <w:right w:val="nil"/>
              <w:tl2br w:val="nil"/>
              <w:tr2bl w:val="nil"/>
            </w:tcBorders>
          </w:tcPr>
          <w:p>
            <w:pPr>
              <w:pBdr>
                <w:top w:val="none" w:sz="0" w:space="0" w:color="auto"/>
                <w:left w:val="none" w:sz="0" w:space="0" w:color="auto"/>
                <w:bottom w:val="none" w:sz="0" w:space="0" w:color="auto"/>
                <w:right w:val="none" w:sz="0" w:space="0" w:color="auto"/>
              </w:pBdr>
              <w:jc w:val="center"/>
              <w:rPr>
                <w:rFonts w:ascii="宋体" w:hint="eastAsia"/>
                <w:color w:val="FF0000"/>
                <w:sz w:val="32"/>
                <w:szCs w:val="32"/>
                <w:shd w:val="solid" w:color="FFFFFF" w:fill="FFFFFF"/>
              </w:rPr>
            </w:pPr>
            <w:r>
              <w:rPr>
                <w:rFonts w:ascii="仿宋_GB2312" w:eastAsia="仿宋_GB2312" w:hint="eastAsia"/>
                <w:sz w:val="30"/>
              </w:rPr>
              <w:t>涞环通字</w:t>
            </w:r>
            <w:r>
              <w:rPr>
                <w:rFonts w:ascii="仿宋" w:eastAsia="仿宋" w:hint="eastAsia"/>
                <w:sz w:val="30"/>
                <w:szCs w:val="30"/>
              </w:rPr>
              <w:t>〔2026〕</w:t>
            </w:r>
            <w:r>
              <w:rPr>
                <w:rFonts w:ascii="仿宋_GB2312" w:eastAsia="仿宋_GB2312"/>
                <w:sz w:val="30"/>
              </w:rPr>
              <w:t>2</w:t>
            </w:r>
            <w:r>
              <w:rPr>
                <w:rFonts w:ascii="仿宋_GB2312" w:eastAsia="仿宋_GB2312" w:hint="eastAsia"/>
                <w:sz w:val="30"/>
              </w:rPr>
              <w:t>号</w:t>
            </w:r>
          </w:p>
        </w:tc>
      </w:tr>
      <w:tr>
        <w:tc>
          <w:tcPr>
            <w:tcW w:w="8835" w:type="dxa"/>
            <w:tcBorders>
              <w:top w:val="nil"/>
              <w:left w:val="nil"/>
              <w:bottom w:val="nil"/>
              <w:right w:val="nil"/>
              <w:tl2br w:val="nil"/>
              <w:tr2bl w:val="nil"/>
            </w:tcBorders>
          </w:tcPr>
          <w:p>
            <w:pPr>
              <w:pBdr>
                <w:top w:val="none" w:sz="0" w:space="0" w:color="auto"/>
                <w:left w:val="none" w:sz="0" w:space="0" w:color="auto"/>
                <w:bottom w:val="none" w:sz="0" w:space="0" w:color="auto"/>
                <w:right w:val="none" w:sz="0" w:space="0" w:color="auto"/>
              </w:pBdr>
              <w:jc w:val="center"/>
              <w:rPr>
                <w:rFonts w:ascii="方正小标宋简体" w:eastAsia="方正小标宋简体"/>
                <w:color w:val="FF0000"/>
                <w:sz w:val="32"/>
                <w:szCs w:val="32"/>
                <w:shd w:val="solid" w:color="FFFFFF" w:fill="FFFFFF"/>
              </w:rPr>
            </w:pPr>
            <w:r>
              <mc:AlternateContent>
                <mc:Choice Requires="wps">
                  <w:drawing>
                    <wp:anchor distT="0" distB="0" distL="85723" distR="85723" simplePos="0" relativeHeight="18" behindDoc="0" locked="0" layoutInCell="1" hidden="0" allowOverlap="1">
                      <wp:simplePos x="0" y="0"/>
                      <wp:positionH relativeFrom="column">
                        <wp:posOffset>-18682</wp:posOffset>
                      </wp:positionH>
                      <wp:positionV relativeFrom="paragraph">
                        <wp:posOffset>24002</wp:posOffset>
                      </wp:positionV>
                      <wp:extent cx="5593786" cy="323849"/>
                      <wp:effectExtent l="0" t="0" r="0" b="0"/>
                      <wp:wrapNone/>
                      <wp:docPr id="7" name="组合"/>
                      <wp:cNvGraphicFramePr>
                        <a:graphicFrameLocks noChangeAspect="0"/>
                      </wp:cNvGraphicFramePr>
                      <a:graphic>
                        <a:graphicData uri="http://schemas.microsoft.com/office/word/2010/wordprocessingGroup">
                          <wpg:wgp>
                            <wpg:cNvPr id="8" name="组合 8"/>
                            <wpg:cNvGrpSpPr/>
                            <wpg:grpSpPr>
                              <a:xfrm rot="0">
                                <a:off x="0" y="0"/>
                                <a:ext cx="5593786" cy="323849"/>
                                <a:chOff x="0" y="0"/>
                                <a:chExt cx="5593786" cy="323849"/>
                              </a:xfrm>
                              <a:prstGeom prst="rect"/>
                              <a:solidFill>
                                <a:srgbClr val="FFFFFF"/>
                              </a:solidFill>
                              <a:ln w="9525" cmpd="sng" cap="flat">
                                <a:solidFill>
                                  <a:srgbClr val="000000"/>
                                </a:solidFill>
                                <a:prstDash val="solid"/>
                                <a:miter/>
                              </a:ln>
                            </wpg:grpSpPr>
                            <wps:wsp>
                              <wps:cNvPr id="9" name="_s8 9"/>
                              <wps:cNvSpPr/>
                              <wps:spPr>
                                <a:xfrm rot="0">
                                  <a:off x="0" y="145244"/>
                                  <a:ext cx="5593786" cy="0"/>
                                </a:xfrm>
                                <a:prstGeom prst="line"/>
                                <a:noFill/>
                                <a:ln w="25400" cmpd="sng" cap="flat">
                                  <a:solidFill>
                                    <a:srgbClr val="FF0000"/>
                                  </a:solidFill>
                                  <a:prstDash val="solid"/>
                                  <a:miter/>
                                </a:ln>
                              </wps:spPr>
                              <wps:bodyPr vert="horz" wrap="square" lIns="91440" tIns="45720" rIns="91440" bIns="45720" anchor="t" anchorCtr="0" upright="1">
                                <a:noAutofit/>
                              </wps:bodyPr>
                            </wps:wsp>
                            <wpg:grpSp>
                              <wpg:cNvPr id="10" name="组合 10"/>
                              <wpg:cNvGrpSpPr/>
                              <wpg:grpSpPr>
                                <a:xfrm rot="0">
                                  <a:off x="2650720" y="0"/>
                                  <a:ext cx="323870" cy="323849"/>
                                  <a:chOff x="0" y="0"/>
                                  <a:chExt cx="323870" cy="323849"/>
                                </a:xfrm>
                                <a:prstGeom prst="rect"/>
                                <a:solidFill>
                                  <a:srgbClr val="FFFFFF"/>
                                </a:solidFill>
                                <a:ln w="9525" cmpd="sng" cap="flat">
                                  <a:solidFill>
                                    <a:srgbClr val="000000"/>
                                  </a:solidFill>
                                  <a:prstDash val="solid"/>
                                  <a:miter/>
                                </a:ln>
                              </wpg:grpSpPr>
                              <wps:wsp>
                                <wps:cNvPr id="11" name="_s10 11"/>
                                <wps:cNvSpPr/>
                                <wps:spPr>
                                  <a:xfrm rot="0">
                                    <a:off x="0" y="0"/>
                                    <a:ext cx="323870" cy="323849"/>
                                  </a:xfrm>
                                  <a:prstGeom prst="flowChartProcess"/>
                                  <a:solidFill>
                                    <a:srgbClr val="FFFFFF"/>
                                  </a:solidFill>
                                  <a:ln w="9525" cmpd="sng" cap="flat">
                                    <a:solidFill>
                                      <a:srgbClr val="FFFFFF"/>
                                    </a:solidFill>
                                    <a:prstDash val="solid"/>
                                    <a:miter/>
                                  </a:ln>
                                </wps:spPr>
                                <wps:bodyPr vert="horz" wrap="square" lIns="91440" tIns="45720" rIns="91440" bIns="45720" anchor="t" anchorCtr="0" upright="1">
                                  <a:noAutofit/>
                                </wps:bodyPr>
                              </wps:wsp>
                              <wps:wsp>
                                <wps:cNvPr id="12" name="_s11 12"/>
                                <wps:cNvSpPr/>
                                <wps:spPr>
                                  <a:xfrm rot="0">
                                    <a:off x="35562" y="57262"/>
                                    <a:ext cx="252110" cy="252590"/>
                                  </a:xfrm>
                                  <a:prstGeom prst="star5"/>
                                  <a:solidFill>
                                    <a:srgbClr val="FF0000"/>
                                  </a:solidFill>
                                  <a:ln w="9525" cmpd="sng" cap="flat">
                                    <a:solidFill>
                                      <a:srgbClr val="FF0000"/>
                                    </a:solidFill>
                                    <a:prstDash val="solid"/>
                                    <a:miter/>
                                  </a:ln>
                                </wps:spPr>
                                <wps:bodyPr vert="horz" wrap="square" lIns="91440" tIns="45720" rIns="91440" bIns="45720" anchor="t" anchorCtr="0" upright="1">
                                  <a:noAutofit/>
                                </wps:bodyPr>
                              </wps:wsp>
                            </wpg:grpSp>
                            <wps:bodyPr vert="horz" wrap="square" lIns="91440" tIns="45720" rIns="91440" bIns="45720" anchor="t" anchorCtr="0" upright="1">
                              <a:noAutofit/>
                            </wps:bodyPr>
                          </wpg:wgp>
                        </a:graphicData>
                      </a:graphic>
                    </wp:anchor>
                  </w:drawing>
                </mc:Choice>
                <mc:Fallback>
                  <w:pict>
                    <v:group type="#_x0000_t1" id="组合 13" o:spid="_x0000_s13" coordorigin="1612,5279" coordsize="8809,509" style="position:absolute;margin-left:-1.471068pt;margin-top:1.889963pt;width:440.4556pt;height:25.499977pt;z-index:18;mso-position-horizontal:absolute;mso-position-vertical:absolute;mso-wrap-distance-left:6.749897pt;mso-wrap-distance-right:6.749897pt;">
                      <v:line type="#_x0000_t20" id="_s14" o:spid="_x0000_s14" style="position:absolute;visibility:visible;" from="1612.0537,5508.6094" to="10421.166,5508.6094" filled="f" stroked="t" strokeweight="2.0pt">
                        <v:stroke color="#FF0000"/>
                      </v:line>
                      <v:group type="#_x0000_t1" id="组合 15" o:spid="_x0000_s15" coordorigin="5786,5279" coordsize="510,509" style="position:absolute;left:5786;top:5279;width:510;height:509;">
                        <v:shape type="#_x0000_t109" id="_s16" o:spid="_x0000_s16" style="position:absolute;left:5786;top:5279;width:510;height:509;" fillcolor="#FFFFFF" stroked="t">
                          <v:stroke color="#FFFFFF"/>
                        </v:shape>
                        <v:shape type="#_x0000_t12" id="_s17" o:spid="_x0000_s17" style="position:absolute;left:5842;top:5370;width:397;height:397;" fillcolor="#FF0000" stroked="t">
                          <v:stroke color="#FF0000"/>
                        </v:shape>
                      </v:group>
                    </v:group>
                  </w:pict>
                </mc:Fallback>
              </mc:AlternateContent>
            </w:r>
          </w:p>
        </w:tc>
      </w:tr>
    </w:tbl>
    <w:p>
      <w:pPr>
        <w:jc w:val="center"/>
        <w:rPr>
          <w:rFonts w:ascii="方正小标宋简体" w:eastAsia="方正小标宋简体" w:hint="eastAsia"/>
          <w:color w:val="FF0000"/>
          <w:sz w:val="60"/>
          <w:szCs w:val="60"/>
          <w:shd w:val="solid" w:color="FFFFFF" w:fill="FFFFFF"/>
        </w:rPr>
      </w:pPr>
    </w:p>
    <w:p>
      <w:pPr>
        <w:spacing w:line="560" w:lineRule="exact"/>
        <w:jc w:val="center"/>
        <w:rPr>
          <w:rFonts w:ascii="方正小标宋简体" w:eastAsia="方正小标宋简体" w:hint="eastAsia"/>
          <w:sz w:val="44"/>
          <w:szCs w:val="44"/>
        </w:rPr>
      </w:pPr>
      <w:r>
        <w:rPr>
          <w:rFonts w:ascii="方正小标宋简体" w:eastAsia="方正小标宋简体" w:hint="eastAsia"/>
          <w:sz w:val="44"/>
          <w:szCs w:val="44"/>
        </w:rPr>
        <w:t>保定市生态环境局涞源县分局</w:t>
      </w:r>
    </w:p>
    <w:p>
      <w:pPr>
        <w:spacing w:line="560" w:lineRule="exact"/>
        <w:jc w:val="center"/>
        <w:rPr>
          <w:rFonts w:ascii="方正小标宋简体" w:eastAsia="方正小标宋简体" w:hint="eastAsia"/>
          <w:sz w:val="44"/>
          <w:szCs w:val="44"/>
        </w:rPr>
      </w:pPr>
      <w:r>
        <w:rPr>
          <w:rFonts w:ascii="方正小标宋简体" w:eastAsia="方正小标宋简体" w:hint="eastAsia"/>
          <w:sz w:val="44"/>
          <w:szCs w:val="44"/>
        </w:rPr>
        <w:t>关于印发《保定市生态环境局涞源县分局202</w:t>
      </w:r>
      <w:r>
        <w:rPr>
          <w:rFonts w:ascii="方正小标宋简体" w:eastAsia="方正小标宋简体" w:hint="eastAsia"/>
          <w:sz w:val="44"/>
          <w:szCs w:val="44"/>
          <w:lang w:val="en-US" w:eastAsia="zh-CN"/>
        </w:rPr>
        <w:t>6</w:t>
      </w:r>
      <w:r>
        <w:rPr>
          <w:rFonts w:ascii="方正小标宋简体" w:eastAsia="方正小标宋简体" w:hint="eastAsia"/>
          <w:sz w:val="44"/>
          <w:szCs w:val="44"/>
        </w:rPr>
        <w:t>年随机抽查市场监管执法事项清单》的通知</w:t>
      </w:r>
    </w:p>
    <w:p>
      <w:pPr>
        <w:spacing w:line="260" w:lineRule="exact"/>
        <w:jc w:val="center"/>
        <w:rPr>
          <w:rFonts w:ascii="宋体" w:eastAsia="宋体" w:hint="eastAsia"/>
          <w:sz w:val="36"/>
          <w:szCs w:val="36"/>
        </w:rPr>
      </w:pPr>
    </w:p>
    <w:p>
      <w:pPr>
        <w:spacing w:line="560" w:lineRule="exact"/>
        <w:jc w:val="left"/>
        <w:rPr>
          <w:rFonts w:ascii="仿宋" w:eastAsia="仿宋" w:hint="eastAsia"/>
          <w:sz w:val="32"/>
          <w:szCs w:val="32"/>
        </w:rPr>
      </w:pPr>
      <w:r>
        <w:rPr>
          <w:rFonts w:ascii="仿宋" w:eastAsia="仿宋" w:hint="eastAsia"/>
          <w:sz w:val="32"/>
          <w:szCs w:val="32"/>
        </w:rPr>
        <w:t>各相关股室：</w:t>
      </w:r>
    </w:p>
    <w:p>
      <w:pPr>
        <w:spacing w:line="560" w:lineRule="exact"/>
        <w:ind w:firstLineChars="200" w:firstLine="640"/>
        <w:jc w:val="left"/>
        <w:rPr>
          <w:rFonts w:ascii="仿宋" w:eastAsia="仿宋" w:hint="eastAsia"/>
          <w:sz w:val="32"/>
          <w:szCs w:val="32"/>
        </w:rPr>
      </w:pPr>
      <w:r>
        <w:rPr>
          <w:rFonts w:ascii="仿宋" w:eastAsia="仿宋" w:hint="eastAsia"/>
          <w:sz w:val="32"/>
          <w:szCs w:val="32"/>
        </w:rPr>
        <w:t>现将《保定市生态环境局涞源县分局202</w:t>
      </w:r>
      <w:r>
        <w:rPr>
          <w:rFonts w:ascii="仿宋" w:eastAsia="仿宋" w:hint="eastAsia"/>
          <w:sz w:val="32"/>
          <w:szCs w:val="32"/>
          <w:lang w:val="en-US" w:eastAsia="zh-CN"/>
        </w:rPr>
        <w:t>6</w:t>
      </w:r>
      <w:r>
        <w:rPr>
          <w:rFonts w:ascii="仿宋" w:eastAsia="仿宋" w:hint="eastAsia"/>
          <w:sz w:val="32"/>
          <w:szCs w:val="32"/>
        </w:rPr>
        <w:t>年随机抽查市场监管执法事项清单》印发给你们。</w:t>
      </w:r>
    </w:p>
    <w:p>
      <w:pPr>
        <w:spacing w:line="560" w:lineRule="exact"/>
        <w:jc w:val="left"/>
        <w:rPr>
          <w:rFonts w:ascii="仿宋" w:eastAsia="仿宋" w:hint="eastAsia"/>
          <w:sz w:val="32"/>
          <w:szCs w:val="32"/>
        </w:rPr>
      </w:pPr>
    </w:p>
    <w:p>
      <w:pPr>
        <w:spacing w:line="560" w:lineRule="exact"/>
        <w:ind w:firstLineChars="200" w:firstLine="640"/>
        <w:jc w:val="left"/>
        <w:rPr>
          <w:rFonts w:ascii="仿宋" w:eastAsia="仿宋" w:hint="eastAsia"/>
          <w:sz w:val="32"/>
          <w:szCs w:val="32"/>
        </w:rPr>
      </w:pPr>
      <w:r>
        <w:rPr>
          <w:rFonts w:ascii="仿宋" w:eastAsia="仿宋" w:hint="eastAsia"/>
          <w:sz w:val="32"/>
          <w:szCs w:val="32"/>
        </w:rPr>
        <w:t>附件：保定市生态环境局涞源县分局202</w:t>
      </w:r>
      <w:r>
        <w:rPr>
          <w:rFonts w:ascii="仿宋" w:eastAsia="仿宋" w:hint="eastAsia"/>
          <w:sz w:val="32"/>
          <w:szCs w:val="32"/>
          <w:lang w:val="en-US" w:eastAsia="zh-CN"/>
        </w:rPr>
        <w:t>6</w:t>
      </w:r>
      <w:r>
        <w:rPr>
          <w:rFonts w:ascii="仿宋" w:eastAsia="仿宋" w:hint="eastAsia"/>
          <w:sz w:val="32"/>
          <w:szCs w:val="32"/>
        </w:rPr>
        <w:t>随机抽查市场监管执法事项清单</w:t>
      </w:r>
    </w:p>
    <w:p>
      <w:pPr>
        <w:spacing w:line="560" w:lineRule="exact"/>
        <w:jc w:val="left"/>
        <w:rPr>
          <w:rFonts w:ascii="仿宋" w:eastAsia="仿宋" w:hint="eastAsia"/>
          <w:sz w:val="32"/>
          <w:szCs w:val="32"/>
        </w:rPr>
      </w:pPr>
    </w:p>
    <w:p>
      <w:pPr>
        <w:spacing w:line="560" w:lineRule="exact"/>
        <w:jc w:val="right"/>
        <w:rPr>
          <w:rFonts w:ascii="仿宋" w:eastAsia="仿宋" w:hint="eastAsia"/>
          <w:sz w:val="32"/>
          <w:szCs w:val="32"/>
        </w:rPr>
      </w:pPr>
      <w:r>
        <w:rPr>
          <w:rFonts w:ascii="仿宋" w:eastAsia="仿宋" w:hint="eastAsia"/>
          <w:sz w:val="32"/>
          <w:szCs w:val="32"/>
        </w:rPr>
        <w:t>保定市生态环境局涞源县分局</w:t>
      </w:r>
    </w:p>
    <w:p>
      <w:pPr>
        <w:wordWrap w:val="0"/>
        <w:spacing w:line="560" w:lineRule="exact"/>
        <w:jc w:val="center"/>
        <w:rPr>
          <w:rFonts w:ascii="仿宋" w:eastAsia="仿宋" w:cs="仿宋_GB2312" w:hint="eastAsia"/>
          <w:sz w:val="32"/>
          <w:szCs w:val="32"/>
          <w:u w:val="single"/>
          <w:lang w:bidi="ar-SA"/>
        </w:rPr>
        <w:sectPr>
          <w:headerReference w:type="default" r:id="rId2"/>
          <w:footerReference w:type="default" r:id="rId3"/>
          <w:pgSz w:w="12242" w:h="15842"/>
          <w:pgMar w:top="2098" w:right="1531" w:bottom="1985" w:left="1531" w:header="720" w:footer="720" w:gutter="0"/>
          <w:docGrid w:linePitch="285" w:charSpace="0"/>
        </w:sectPr>
      </w:pPr>
      <w:r>
        <w:rPr>
          <w:rFonts w:ascii="仿宋" w:eastAsia="仿宋"/>
          <w:sz w:val="32"/>
          <w:szCs w:val="32"/>
        </w:rPr>
        <w:t xml:space="preserve">                                 </w:t>
      </w:r>
      <w:r>
        <w:rPr>
          <w:rFonts w:ascii="仿宋" w:eastAsia="仿宋" w:hint="eastAsia"/>
          <w:sz w:val="32"/>
          <w:szCs w:val="32"/>
        </w:rPr>
        <w:t>202</w:t>
      </w:r>
      <w:r>
        <w:rPr>
          <w:rFonts w:ascii="仿宋" w:eastAsia="仿宋" w:hint="eastAsia"/>
          <w:sz w:val="32"/>
          <w:szCs w:val="32"/>
          <w:lang w:val="en-US" w:eastAsia="zh-CN"/>
        </w:rPr>
        <w:t>6</w:t>
      </w:r>
      <w:r>
        <w:rPr>
          <w:rFonts w:ascii="仿宋" w:eastAsia="仿宋" w:hint="eastAsia"/>
          <w:sz w:val="32"/>
          <w:szCs w:val="32"/>
        </w:rPr>
        <w:t>年</w:t>
      </w:r>
      <w:r>
        <w:rPr>
          <w:rFonts w:ascii="仿宋" w:eastAsia="仿宋" w:hint="eastAsia"/>
          <w:sz w:val="32"/>
          <w:szCs w:val="32"/>
          <w:lang w:val="en-US" w:eastAsia="zh-CN"/>
        </w:rPr>
        <w:t>1</w:t>
      </w:r>
      <w:r>
        <w:rPr>
          <w:rFonts w:ascii="仿宋" w:eastAsia="仿宋" w:hint="eastAsia"/>
          <w:sz w:val="32"/>
          <w:szCs w:val="32"/>
        </w:rPr>
        <w:t>月</w:t>
      </w:r>
      <w:r>
        <w:rPr>
          <w:rFonts w:ascii="仿宋" w:eastAsia="仿宋" w:hint="eastAsia"/>
          <w:sz w:val="32"/>
          <w:szCs w:val="32"/>
          <w:lang w:val="en-US" w:eastAsia="zh-CN"/>
        </w:rPr>
        <w:t>30</w:t>
      </w:r>
      <w:r>
        <w:rPr>
          <w:rFonts w:ascii="仿宋" w:eastAsia="仿宋" w:hint="eastAsia"/>
          <w:sz w:val="32"/>
          <w:szCs w:val="32"/>
        </w:rPr>
        <w:t>日</w:t>
      </w:r>
    </w:p>
    <w:tbl>
      <w:tblPr>
        <w:jc w:val="left"/>
        <w:tblInd w:w="0" w:type="dxa"/>
        <w:tblW w:w="13016"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781"/>
        <w:gridCol w:w="431"/>
        <w:gridCol w:w="967"/>
        <w:gridCol w:w="1818"/>
        <w:gridCol w:w="711"/>
        <w:gridCol w:w="746"/>
        <w:gridCol w:w="3169"/>
        <w:gridCol w:w="734"/>
        <w:gridCol w:w="3660"/>
      </w:tblGrid>
      <w:tr>
        <w:trPr>
          <w:trHeight w:val="1310"/>
        </w:trPr>
        <w:tc>
          <w:tcPr>
            <w:tcW w:w="13039" w:type="dxa"/>
            <w:gridSpan w:val="9"/>
            <w:tcBorders>
              <w:top w:val="nil"/>
              <w:left w:val="nil"/>
              <w:bottom w:val="nil"/>
              <w:right w:val="nil"/>
            </w:tcBorders>
            <w:noWrap/>
            <w:vAlign w:val="center"/>
          </w:tcPr>
          <w:p>
            <w:pPr>
              <w:jc w:val="center"/>
            </w:pPr>
            <w:r>
              <w:rPr>
                <w:rFonts w:ascii="宋体" w:eastAsia="宋体" w:cs="Arial" w:hint="eastAsia"/>
                <w:color w:val="auto"/>
                <w:sz w:val="36"/>
                <w:lang w:bidi="ar-SA"/>
              </w:rPr>
              <w:t>保定市生态环境局涞源县分局202</w:t>
            </w:r>
            <w:r>
              <w:rPr>
                <w:rFonts w:ascii="宋体" w:cs="Arial" w:hint="eastAsia"/>
                <w:color w:val="auto"/>
                <w:sz w:val="36"/>
                <w:lang w:val="en-US" w:eastAsia="zh-CN" w:bidi="ar-SA"/>
              </w:rPr>
              <w:t>6</w:t>
            </w:r>
            <w:r>
              <w:rPr>
                <w:rFonts w:ascii="宋体" w:eastAsia="宋体" w:cs="Arial" w:hint="eastAsia"/>
                <w:color w:val="auto"/>
                <w:sz w:val="36"/>
                <w:lang w:bidi="ar-SA"/>
              </w:rPr>
              <w:t>年随机抽查市场监管执法事项清单</w:t>
            </w:r>
          </w:p>
        </w:tc>
      </w:tr>
      <w:tr>
        <w:trPr>
          <w:trHeight w:val="771"/>
        </w:trPr>
        <w:tc>
          <w:tcPr>
            <w:tcW w:w="78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宋体" w:eastAsia="宋体" w:cs="Arial" w:hint="eastAsia"/>
                <w:b/>
                <w:color w:val="auto"/>
                <w:sz w:val="22"/>
                <w:lang w:bidi="ar-SA"/>
              </w:rPr>
              <w:t>单位名称</w:t>
            </w:r>
          </w:p>
        </w:tc>
        <w:tc>
          <w:tcPr>
            <w:tcW w:w="432"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序号</w:t>
            </w:r>
          </w:p>
        </w:tc>
        <w:tc>
          <w:tcPr>
            <w:tcW w:w="969"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抽查类别名称</w:t>
            </w:r>
          </w:p>
        </w:tc>
        <w:tc>
          <w:tcPr>
            <w:tcW w:w="1821"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事项名称</w:t>
            </w:r>
          </w:p>
        </w:tc>
        <w:tc>
          <w:tcPr>
            <w:tcW w:w="712"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事项类别</w:t>
            </w:r>
          </w:p>
        </w:tc>
        <w:tc>
          <w:tcPr>
            <w:tcW w:w="747"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检查主体</w:t>
            </w:r>
          </w:p>
        </w:tc>
        <w:tc>
          <w:tcPr>
            <w:tcW w:w="3175"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检查依据</w:t>
            </w:r>
          </w:p>
        </w:tc>
        <w:tc>
          <w:tcPr>
            <w:tcW w:w="735"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检查方式</w:t>
            </w:r>
          </w:p>
        </w:tc>
        <w:tc>
          <w:tcPr>
            <w:tcW w:w="3666" w:type="dxa"/>
            <w:tcBorders>
              <w:top w:val="single" w:sz="6" w:space="0" w:color="auto"/>
              <w:left w:val="single" w:sz="6" w:space="0" w:color="auto"/>
              <w:bottom w:val="nil"/>
              <w:right w:val="single" w:sz="6" w:space="0" w:color="auto"/>
            </w:tcBorders>
            <w:noWrap/>
            <w:vAlign w:val="center"/>
          </w:tcPr>
          <w:p>
            <w:pPr>
              <w:jc w:val="center"/>
            </w:pPr>
            <w:r>
              <w:rPr>
                <w:rFonts w:ascii="宋体" w:eastAsia="宋体" w:cs="Arial" w:hint="eastAsia"/>
                <w:b/>
                <w:color w:val="auto"/>
                <w:sz w:val="22"/>
                <w:lang w:bidi="ar-SA"/>
              </w:rPr>
              <w:t>检查内容及要求</w:t>
            </w:r>
          </w:p>
        </w:tc>
      </w:tr>
      <w:tr>
        <w:trPr>
          <w:trHeight w:val="2389"/>
        </w:trPr>
        <w:tc>
          <w:tcPr>
            <w:tcW w:w="782" w:type="dxa"/>
            <w:vMerge w:val="restart"/>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保定市生态环境局涞源县分局</w:t>
            </w:r>
          </w:p>
        </w:tc>
        <w:tc>
          <w:tcPr>
            <w:tcW w:w="432"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1</w:t>
            </w:r>
          </w:p>
        </w:tc>
        <w:tc>
          <w:tcPr>
            <w:tcW w:w="969"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对建设项目（含海岸工程建设项目）、排放污染物的企业事业单位和其他生产经营者的检查</w:t>
            </w: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排放污染物的企业事业单位和其他生产经营者生态环境保护制度落实情况</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中华人民共和国环境保护法》《中华人民共和国大气污染防治法》《中华人民共和国水污染防治法》《中华人民共和国土壤污染防治法》《中华人民共和国海洋环境保护法》《中华人民共和国固体废物环境污染环境防治法》《中华人民共和国环境噪声污染防治法》《中华人民共和国放射性污染防治法》《中华人民共和国环境影响评价法》《排污许可管理条例》等</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科技检查、实地检查</w:t>
            </w:r>
          </w:p>
        </w:tc>
        <w:tc>
          <w:tcPr>
            <w:tcW w:w="3666"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排污许可制度执行情况，排污许可证执行报告真实性，环评和“三同时”制度执行情况，污染治理设施运行情况，主要污染物排放情况，自动监控设施运行情况，固体（危险）废物污染环境防治制度执行情况，环境风险防范和环境安全隐患排查治理工作情况，排污口设置及备案情况，环境管理台账建立、保存情况，重点排污单位信息公开情况，重污染天气启动应急减排情况，突发环境事件应急预案制度建立及执行情况等</w:t>
            </w:r>
          </w:p>
        </w:tc>
      </w:tr>
      <w:tr>
        <w:trPr>
          <w:trHeight w:val="1541"/>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vMerge w:val="restart"/>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2</w:t>
            </w:r>
          </w:p>
        </w:tc>
        <w:tc>
          <w:tcPr>
            <w:tcW w:w="969" w:type="dxa"/>
            <w:vMerge w:val="restart"/>
            <w:tcBorders>
              <w:top w:val="single" w:sz="6" w:space="0" w:color="auto"/>
              <w:left w:val="single" w:sz="6" w:space="0" w:color="auto"/>
              <w:bottom w:val="nil"/>
              <w:right w:val="single" w:sz="6" w:space="0" w:color="auto"/>
            </w:tcBorders>
            <w:noWrap/>
            <w:vAlign w:val="center"/>
          </w:tcPr>
          <w:p>
            <w:pPr>
              <w:rPr>
                <w:rFonts w:ascii="仿宋" w:eastAsia="仿宋" w:cs="Arial" w:hint="eastAsia"/>
                <w:color w:val="auto"/>
                <w:sz w:val="16"/>
                <w:lang w:bidi="ar-SA"/>
              </w:rPr>
            </w:pPr>
            <w:r>
              <w:rPr>
                <w:rFonts w:ascii="仿宋" w:eastAsia="仿宋" w:cs="Arial" w:hint="eastAsia"/>
                <w:color w:val="auto"/>
                <w:sz w:val="16"/>
                <w:lang w:bidi="ar-SA"/>
              </w:rPr>
              <w:t>涉消耗臭氧层物</w:t>
            </w:r>
          </w:p>
          <w:p>
            <w:pPr>
              <w:rPr>
                <w:rFonts w:ascii="仿宋" w:eastAsia="仿宋" w:cs="Arial" w:hint="eastAsia"/>
                <w:color w:val="auto"/>
                <w:sz w:val="16"/>
                <w:lang w:bidi="ar-SA"/>
              </w:rPr>
            </w:pPr>
            <w:r>
              <w:rPr>
                <w:rFonts w:ascii="仿宋" w:eastAsia="仿宋" w:cs="Arial" w:hint="eastAsia"/>
                <w:color w:val="auto"/>
                <w:sz w:val="16"/>
                <w:lang w:bidi="ar-SA"/>
              </w:rPr>
              <w:t>质（ODS）的生产、</w:t>
            </w:r>
          </w:p>
          <w:p>
            <w:pPr>
              <w:rPr>
                <w:rFonts w:ascii="仿宋" w:eastAsia="仿宋" w:cs="Arial" w:hint="eastAsia"/>
                <w:color w:val="auto"/>
                <w:sz w:val="16"/>
                <w:lang w:bidi="ar-SA"/>
              </w:rPr>
            </w:pPr>
            <w:r>
              <w:rPr>
                <w:rFonts w:ascii="仿宋" w:eastAsia="仿宋" w:cs="Arial" w:hint="eastAsia"/>
                <w:color w:val="auto"/>
                <w:sz w:val="16"/>
                <w:lang w:bidi="ar-SA"/>
              </w:rPr>
              <w:t>使用、销售、维修、</w:t>
            </w:r>
          </w:p>
          <w:p>
            <w:pPr>
              <w:rPr>
                <w:rFonts w:ascii="仿宋" w:eastAsia="仿宋" w:cs="Arial" w:hint="eastAsia"/>
                <w:color w:val="auto"/>
                <w:sz w:val="16"/>
                <w:lang w:bidi="ar-SA"/>
              </w:rPr>
            </w:pPr>
            <w:r>
              <w:rPr>
                <w:rFonts w:ascii="仿宋" w:eastAsia="仿宋" w:cs="Arial" w:hint="eastAsia"/>
                <w:color w:val="auto"/>
                <w:sz w:val="16"/>
                <w:lang w:bidi="ar-SA"/>
              </w:rPr>
              <w:t>回收、销毁及原料</w:t>
            </w:r>
          </w:p>
          <w:p>
            <w:pPr>
              <w:rPr>
                <w:rFonts w:ascii="仿宋" w:eastAsia="仿宋" w:cs="Arial" w:hint="eastAsia"/>
                <w:color w:val="auto"/>
                <w:sz w:val="16"/>
                <w:lang w:bidi="ar-SA"/>
              </w:rPr>
            </w:pPr>
            <w:r>
              <w:rPr>
                <w:rFonts w:ascii="仿宋" w:eastAsia="仿宋" w:cs="Arial" w:hint="eastAsia"/>
                <w:color w:val="auto"/>
                <w:sz w:val="16"/>
                <w:lang w:bidi="ar-SA"/>
              </w:rPr>
              <w:t>用途等企业和单</w:t>
            </w: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消耗臭氧层物质含氢氯氟烃（HCFCs）年度生产配额、使用配额（100吨及以上）和使用备案（100吨以下）情况的检查</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《消耗臭氧层物质管理条例》</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实地检查、书面检查</w:t>
            </w:r>
          </w:p>
        </w:tc>
        <w:tc>
          <w:tcPr>
            <w:tcW w:w="3666" w:type="dxa"/>
            <w:tcBorders>
              <w:top w:val="single" w:sz="6" w:space="0" w:color="auto"/>
              <w:left w:val="single" w:sz="6" w:space="0" w:color="auto"/>
              <w:bottom w:val="single" w:sz="6" w:space="0" w:color="auto"/>
              <w:right w:val="single" w:sz="6" w:space="0" w:color="auto"/>
            </w:tcBorders>
            <w:noWrap/>
            <w:vAlign w:val="center"/>
          </w:tcPr>
          <w:p>
            <w:pPr>
              <w:rPr>
                <w:rFonts w:ascii="仿宋" w:eastAsia="仿宋" w:cs="Arial" w:hint="eastAsia"/>
                <w:color w:val="auto"/>
                <w:sz w:val="16"/>
                <w:lang w:bidi="ar-SA"/>
              </w:rPr>
            </w:pPr>
          </w:p>
        </w:tc>
      </w:tr>
      <w:tr>
        <w:trPr>
          <w:trHeight w:val="867"/>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vMerge/>
            <w:tcBorders>
              <w:top w:val="nil"/>
              <w:left w:val="single" w:sz="6" w:space="0" w:color="auto"/>
              <w:bottom w:val="nil"/>
              <w:right w:val="single" w:sz="6" w:space="0" w:color="auto"/>
            </w:tcBorders>
            <w:noWrap/>
            <w:vAlign w:val="center"/>
          </w:tcPr>
          <w:p/>
        </w:tc>
        <w:tc>
          <w:tcPr>
            <w:tcW w:w="969" w:type="dxa"/>
            <w:vMerge/>
            <w:tcBorders>
              <w:top w:val="nil"/>
              <w:left w:val="single" w:sz="6" w:space="0" w:color="auto"/>
              <w:bottom w:val="nil"/>
              <w:right w:val="single" w:sz="6" w:space="0" w:color="auto"/>
            </w:tcBorders>
            <w:noWrap/>
            <w:vAlign w:val="center"/>
          </w:tcP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对销售消耗臭氧层物质企业和单位备案情况的检查</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《消耗臭氧层物质管理条例》</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实地检查、书面检查</w:t>
            </w:r>
          </w:p>
        </w:tc>
        <w:tc>
          <w:tcPr>
            <w:tcW w:w="3666"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备案手续办理情况</w:t>
            </w:r>
          </w:p>
        </w:tc>
      </w:tr>
      <w:tr>
        <w:trPr>
          <w:trHeight w:val="1830"/>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vMerge/>
            <w:tcBorders>
              <w:top w:val="nil"/>
              <w:left w:val="single" w:sz="6" w:space="0" w:color="auto"/>
              <w:bottom w:val="nil"/>
              <w:right w:val="single" w:sz="6" w:space="0" w:color="auto"/>
            </w:tcBorders>
            <w:noWrap/>
            <w:vAlign w:val="center"/>
          </w:tcPr>
          <w:p/>
        </w:tc>
        <w:tc>
          <w:tcPr>
            <w:tcW w:w="969" w:type="dxa"/>
            <w:vMerge/>
            <w:tcBorders>
              <w:top w:val="nil"/>
              <w:left w:val="single" w:sz="6" w:space="0" w:color="auto"/>
              <w:bottom w:val="nil"/>
              <w:right w:val="single" w:sz="6" w:space="0" w:color="auto"/>
            </w:tcBorders>
            <w:noWrap/>
            <w:vAlign w:val="center"/>
          </w:tcP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对含消耗臭氧层物质的制冷设备、制冷系统或者灭火系统的维修、报废处理，消耗臭氧层物质回收、再生利用或者销毁等经营活动的单位备案情况的检查</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《消耗臭氧层物质管理条例》</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实地检查、书面检查</w:t>
            </w:r>
          </w:p>
        </w:tc>
        <w:tc>
          <w:tcPr>
            <w:tcW w:w="3666"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备案手续办理情况</w:t>
            </w:r>
          </w:p>
        </w:tc>
      </w:tr>
      <w:tr>
        <w:trPr>
          <w:trHeight w:val="944"/>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vMerge/>
            <w:tcBorders>
              <w:top w:val="nil"/>
              <w:left w:val="single" w:sz="6" w:space="0" w:color="auto"/>
              <w:bottom w:val="nil"/>
              <w:right w:val="single" w:sz="6" w:space="0" w:color="auto"/>
            </w:tcBorders>
            <w:noWrap/>
            <w:vAlign w:val="center"/>
          </w:tcPr>
          <w:p/>
        </w:tc>
        <w:tc>
          <w:tcPr>
            <w:tcW w:w="969" w:type="dxa"/>
            <w:vMerge/>
            <w:tcBorders>
              <w:top w:val="nil"/>
              <w:left w:val="single" w:sz="6" w:space="0" w:color="auto"/>
              <w:bottom w:val="nil"/>
              <w:right w:val="single" w:sz="6" w:space="0" w:color="auto"/>
            </w:tcBorders>
            <w:noWrap/>
            <w:vAlign w:val="center"/>
          </w:tcP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副产四氯化碳（CTC）的甲烷氯化物企业合法销售和处置CTC情况的检查</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《消耗臭氧层物质管理条例》</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实地检查、书面检查</w:t>
            </w:r>
          </w:p>
        </w:tc>
        <w:tc>
          <w:tcPr>
            <w:tcW w:w="3666" w:type="dxa"/>
            <w:tcBorders>
              <w:top w:val="single" w:sz="6" w:space="0" w:color="auto"/>
              <w:left w:val="single" w:sz="6" w:space="0" w:color="auto"/>
              <w:bottom w:val="nil"/>
              <w:right w:val="single" w:sz="6" w:space="0" w:color="auto"/>
            </w:tcBorders>
            <w:noWrap/>
            <w:vAlign w:val="center"/>
          </w:tcPr>
          <w:p>
            <w:r>
              <w:rPr>
                <w:rFonts w:ascii="仿宋" w:eastAsia="仿宋" w:cs="Arial" w:hint="eastAsia"/>
                <w:color w:val="auto"/>
                <w:sz w:val="16"/>
                <w:lang w:bidi="ar-SA"/>
              </w:rPr>
              <w:t>CTC合法销售和处置情况</w:t>
            </w:r>
          </w:p>
        </w:tc>
      </w:tr>
      <w:tr>
        <w:trPr>
          <w:trHeight w:val="1252"/>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vMerge/>
            <w:tcBorders>
              <w:top w:val="nil"/>
              <w:left w:val="single" w:sz="6" w:space="0" w:color="auto"/>
              <w:bottom w:val="single" w:sz="6" w:space="0" w:color="auto"/>
              <w:right w:val="single" w:sz="6" w:space="0" w:color="auto"/>
            </w:tcBorders>
            <w:noWrap/>
            <w:vAlign w:val="center"/>
          </w:tcPr>
          <w:p/>
        </w:tc>
        <w:tc>
          <w:tcPr>
            <w:tcW w:w="969" w:type="dxa"/>
            <w:vMerge/>
            <w:tcBorders>
              <w:top w:val="nil"/>
              <w:left w:val="single" w:sz="6" w:space="0" w:color="auto"/>
              <w:bottom w:val="single" w:sz="6" w:space="0" w:color="auto"/>
              <w:right w:val="single" w:sz="6" w:space="0" w:color="auto"/>
            </w:tcBorders>
            <w:noWrap/>
            <w:vAlign w:val="center"/>
          </w:tcP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使用消耗臭氧层物质作为化工原料用途的企业的消耗臭氧层物质采购和使用情况的检查</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《消耗臭氧层物质管理条例》</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实地检查、书面检查</w:t>
            </w:r>
          </w:p>
        </w:tc>
        <w:tc>
          <w:tcPr>
            <w:tcW w:w="3666"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消耗臭氧层物质采购和使用情况</w:t>
            </w:r>
          </w:p>
        </w:tc>
      </w:tr>
      <w:tr>
        <w:trPr>
          <w:trHeight w:val="1233"/>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3</w:t>
            </w:r>
          </w:p>
        </w:tc>
        <w:tc>
          <w:tcPr>
            <w:tcW w:w="969" w:type="dxa"/>
            <w:tcBorders>
              <w:top w:val="single" w:sz="6" w:space="0" w:color="auto"/>
              <w:left w:val="single" w:sz="6" w:space="0" w:color="auto"/>
              <w:bottom w:val="nil"/>
              <w:right w:val="single" w:sz="6" w:space="0" w:color="auto"/>
            </w:tcBorders>
            <w:noWrap/>
            <w:vAlign w:val="center"/>
          </w:tcPr>
          <w:p>
            <w:r>
              <w:rPr>
                <w:rFonts w:ascii="仿宋" w:eastAsia="仿宋" w:cs="Arial" w:hint="eastAsia"/>
                <w:color w:val="auto"/>
                <w:sz w:val="16"/>
                <w:lang w:bidi="ar-SA"/>
              </w:rPr>
              <w:t>对机动车销售企业的检查</w:t>
            </w: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机动车环保信息一致性情况</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nil"/>
              <w:right w:val="single" w:sz="6" w:space="0" w:color="auto"/>
            </w:tcBorders>
            <w:noWrap/>
            <w:vAlign w:val="center"/>
          </w:tcPr>
          <w:p>
            <w:r>
              <w:rPr>
                <w:rFonts w:ascii="仿宋" w:eastAsia="仿宋" w:cs="Arial" w:hint="eastAsia"/>
                <w:color w:val="auto"/>
                <w:sz w:val="16"/>
                <w:lang w:bidi="ar-SA"/>
              </w:rPr>
              <w:t>《中华人民共和国大气污染防治法》《河北省机动车和非道路移动机械排放污染防治条例》</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实地检查</w:t>
            </w:r>
          </w:p>
        </w:tc>
        <w:tc>
          <w:tcPr>
            <w:tcW w:w="3666" w:type="dxa"/>
            <w:tcBorders>
              <w:top w:val="single" w:sz="6" w:space="0" w:color="auto"/>
              <w:left w:val="single" w:sz="6" w:space="0" w:color="auto"/>
              <w:bottom w:val="nil"/>
              <w:right w:val="single" w:sz="6" w:space="0" w:color="auto"/>
            </w:tcBorders>
            <w:noWrap/>
            <w:vAlign w:val="center"/>
          </w:tcPr>
          <w:p>
            <w:r>
              <w:rPr>
                <w:rFonts w:ascii="仿宋" w:eastAsia="仿宋" w:cs="Arial" w:hint="eastAsia"/>
                <w:color w:val="auto"/>
                <w:sz w:val="16"/>
                <w:lang w:bidi="ar-SA"/>
              </w:rPr>
              <w:t>机动车环保信息向社会公开情况</w:t>
            </w:r>
          </w:p>
        </w:tc>
      </w:tr>
      <w:tr>
        <w:trPr>
          <w:trHeight w:val="847"/>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4</w:t>
            </w:r>
          </w:p>
        </w:tc>
        <w:tc>
          <w:tcPr>
            <w:tcW w:w="969"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对自然保护地的检查</w:t>
            </w: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自然保护地内非法开矿、修路、筑坝、建设造成生态破坏情况</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《生态环境保护综合行政执法事项指导目录》《关于加强自然保护地生态环境保护综合执法工作的意见》（环办执法〔2022〕28号）</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科技检查、实地检查</w:t>
            </w:r>
          </w:p>
        </w:tc>
        <w:tc>
          <w:tcPr>
            <w:tcW w:w="3666"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自然保护地内非法开矿、修路、筑坝、建设造成生态破坏情况</w:t>
            </w:r>
          </w:p>
        </w:tc>
      </w:tr>
      <w:tr>
        <w:trPr>
          <w:trHeight w:val="1098"/>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5</w:t>
            </w:r>
          </w:p>
        </w:tc>
        <w:tc>
          <w:tcPr>
            <w:tcW w:w="969"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对重点管控新污染物的监督</w:t>
            </w:r>
          </w:p>
        </w:tc>
        <w:tc>
          <w:tcPr>
            <w:tcW w:w="1821" w:type="dxa"/>
            <w:tcBorders>
              <w:top w:val="single" w:sz="6" w:space="0" w:color="auto"/>
              <w:left w:val="single" w:sz="6" w:space="0" w:color="auto"/>
              <w:bottom w:val="nil"/>
              <w:right w:val="single" w:sz="6" w:space="0" w:color="auto"/>
            </w:tcBorders>
            <w:noWrap/>
            <w:vAlign w:val="center"/>
          </w:tcPr>
          <w:p>
            <w:r>
              <w:rPr>
                <w:rFonts w:ascii="仿宋" w:eastAsia="仿宋" w:cs="Arial" w:hint="eastAsia"/>
                <w:color w:val="auto"/>
                <w:sz w:val="16"/>
                <w:lang w:bidi="ar-SA"/>
              </w:rPr>
              <w:t>对国家及省发布实施的重点管控新污染物的违规生产、使用情况进行监督检查</w:t>
            </w:r>
          </w:p>
        </w:tc>
        <w:tc>
          <w:tcPr>
            <w:tcW w:w="712"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nil"/>
              <w:right w:val="single" w:sz="6" w:space="0" w:color="auto"/>
            </w:tcBorders>
            <w:noWrap/>
            <w:vAlign w:val="center"/>
          </w:tcPr>
          <w:p>
            <w:r>
              <w:rPr>
                <w:rFonts w:ascii="仿宋" w:eastAsia="仿宋" w:cs="Arial" w:hint="eastAsia"/>
                <w:color w:val="auto"/>
                <w:sz w:val="16"/>
                <w:lang w:bidi="ar-SA"/>
              </w:rPr>
              <w:t>《河北省人民政府办公厅关于印发河北省新污染物治理工作方案的通知》（冀政办字〔2022〕159号）</w:t>
            </w:r>
          </w:p>
        </w:tc>
        <w:tc>
          <w:tcPr>
            <w:tcW w:w="735" w:type="dxa"/>
            <w:tcBorders>
              <w:top w:val="single" w:sz="6" w:space="0" w:color="auto"/>
              <w:left w:val="single" w:sz="6" w:space="0" w:color="auto"/>
              <w:bottom w:val="nil"/>
              <w:right w:val="single" w:sz="6" w:space="0" w:color="auto"/>
            </w:tcBorders>
            <w:noWrap/>
            <w:vAlign w:val="center"/>
          </w:tcPr>
          <w:p>
            <w:pPr>
              <w:jc w:val="center"/>
            </w:pPr>
            <w:r>
              <w:rPr>
                <w:rFonts w:ascii="仿宋" w:eastAsia="仿宋" w:cs="Arial" w:hint="eastAsia"/>
                <w:color w:val="auto"/>
                <w:sz w:val="16"/>
                <w:lang w:bidi="ar-SA"/>
              </w:rPr>
              <w:t>实地检查</w:t>
            </w:r>
          </w:p>
        </w:tc>
        <w:tc>
          <w:tcPr>
            <w:tcW w:w="3666" w:type="dxa"/>
            <w:tcBorders>
              <w:top w:val="single" w:sz="6" w:space="0" w:color="auto"/>
              <w:left w:val="single" w:sz="6" w:space="0" w:color="auto"/>
              <w:bottom w:val="nil"/>
              <w:right w:val="single" w:sz="6" w:space="0" w:color="auto"/>
            </w:tcBorders>
            <w:noWrap/>
            <w:vAlign w:val="center"/>
          </w:tcPr>
          <w:p>
            <w:r>
              <w:rPr>
                <w:rFonts w:ascii="仿宋" w:eastAsia="仿宋" w:cs="Arial" w:hint="eastAsia"/>
                <w:color w:val="auto"/>
                <w:sz w:val="16"/>
                <w:lang w:bidi="ar-SA"/>
              </w:rPr>
              <w:t>重点管控新污染物的生产、加工、使用、流转等情况</w:t>
            </w:r>
          </w:p>
        </w:tc>
      </w:tr>
      <w:tr>
        <w:trPr>
          <w:trHeight w:val="1175"/>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6</w:t>
            </w:r>
          </w:p>
        </w:tc>
        <w:tc>
          <w:tcPr>
            <w:tcW w:w="969" w:type="dxa"/>
            <w:tcBorders>
              <w:top w:val="single" w:sz="6" w:space="0" w:color="auto"/>
              <w:left w:val="single" w:sz="6" w:space="0" w:color="auto"/>
              <w:bottom w:val="single" w:sz="6" w:space="0" w:color="auto"/>
              <w:right w:val="nil"/>
            </w:tcBorders>
            <w:noWrap/>
            <w:vAlign w:val="center"/>
          </w:tcPr>
          <w:p>
            <w:r>
              <w:rPr>
                <w:rFonts w:ascii="仿宋" w:eastAsia="仿宋" w:cs="Arial" w:hint="eastAsia"/>
                <w:color w:val="auto"/>
                <w:sz w:val="16"/>
                <w:lang w:bidi="ar-SA"/>
              </w:rPr>
              <w:t>对危险废物日常管理情况的检查</w:t>
            </w: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对危险废物产生单位和危险废物经营单位危险废物污染防治管理制度执行情况</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《关于印发&lt;“十四五”全国危险废物规范化环境管理评估工作方案&gt;的通知》（环办固体〔2021〕20 号）</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书面检查、实地检查</w:t>
            </w:r>
          </w:p>
        </w:tc>
        <w:tc>
          <w:tcPr>
            <w:tcW w:w="3666"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危险废物污染防治管理制度执行情况</w:t>
            </w:r>
          </w:p>
        </w:tc>
      </w:tr>
      <w:tr>
        <w:trPr>
          <w:trHeight w:val="1560"/>
        </w:trPr>
        <w:tc>
          <w:tcPr>
            <w:tcW w:w="782" w:type="dxa"/>
            <w:vMerge/>
            <w:tcBorders>
              <w:top w:val="single" w:sz="6" w:space="0" w:color="auto"/>
              <w:left w:val="single" w:sz="6" w:space="0" w:color="auto"/>
              <w:bottom w:val="single" w:sz="6" w:space="0" w:color="auto"/>
              <w:right w:val="single" w:sz="6" w:space="0" w:color="auto"/>
            </w:tcBorders>
            <w:noWrap/>
            <w:vAlign w:val="center"/>
          </w:tcPr>
          <w:p/>
        </w:tc>
        <w:tc>
          <w:tcPr>
            <w:tcW w:w="43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7</w:t>
            </w:r>
          </w:p>
        </w:tc>
        <w:tc>
          <w:tcPr>
            <w:tcW w:w="969"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对涉重金属行业企业及相关堆场、尾矿库等设施管理情况的检查</w:t>
            </w:r>
          </w:p>
        </w:tc>
        <w:tc>
          <w:tcPr>
            <w:tcW w:w="1821"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重金属污染物总量控制、排污许可制度执行情况</w:t>
            </w:r>
          </w:p>
        </w:tc>
        <w:tc>
          <w:tcPr>
            <w:tcW w:w="712"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一般检查事项</w:t>
            </w:r>
          </w:p>
        </w:tc>
        <w:tc>
          <w:tcPr>
            <w:tcW w:w="747"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县级以上生态环境部门</w:t>
            </w:r>
          </w:p>
        </w:tc>
        <w:tc>
          <w:tcPr>
            <w:tcW w:w="3175"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《关于印发&lt;河北省重金属污染防控工作方案&gt;的通知》（冀环固体〔2022〕87号）</w:t>
            </w:r>
          </w:p>
        </w:tc>
        <w:tc>
          <w:tcPr>
            <w:tcW w:w="735" w:type="dxa"/>
            <w:tcBorders>
              <w:top w:val="single" w:sz="6" w:space="0" w:color="auto"/>
              <w:left w:val="single" w:sz="6" w:space="0" w:color="auto"/>
              <w:bottom w:val="single" w:sz="6" w:space="0" w:color="auto"/>
              <w:right w:val="single" w:sz="6" w:space="0" w:color="auto"/>
            </w:tcBorders>
            <w:noWrap/>
            <w:vAlign w:val="center"/>
          </w:tcPr>
          <w:p>
            <w:pPr>
              <w:jc w:val="center"/>
            </w:pPr>
            <w:r>
              <w:rPr>
                <w:rFonts w:ascii="仿宋" w:eastAsia="仿宋" w:cs="Arial" w:hint="eastAsia"/>
                <w:color w:val="auto"/>
                <w:sz w:val="16"/>
                <w:lang w:bidi="ar-SA"/>
              </w:rPr>
              <w:t>书面检查、实地检查</w:t>
            </w:r>
          </w:p>
        </w:tc>
        <w:tc>
          <w:tcPr>
            <w:tcW w:w="3666" w:type="dxa"/>
            <w:tcBorders>
              <w:top w:val="single" w:sz="6" w:space="0" w:color="auto"/>
              <w:left w:val="single" w:sz="6" w:space="0" w:color="auto"/>
              <w:bottom w:val="single" w:sz="6" w:space="0" w:color="auto"/>
              <w:right w:val="single" w:sz="6" w:space="0" w:color="auto"/>
            </w:tcBorders>
            <w:noWrap/>
            <w:vAlign w:val="center"/>
          </w:tcPr>
          <w:p>
            <w:r>
              <w:rPr>
                <w:rFonts w:ascii="仿宋" w:eastAsia="仿宋" w:cs="Arial" w:hint="eastAsia"/>
                <w:color w:val="auto"/>
                <w:sz w:val="16"/>
                <w:lang w:bidi="ar-SA"/>
              </w:rPr>
              <w:t>重金属污染物总量控制、排污许可制度执行情况</w:t>
            </w:r>
          </w:p>
        </w:tc>
      </w:tr>
    </w:tbl>
    <w:p>
      <w:pPr>
        <w:wordWrap w:val="0"/>
        <w:spacing w:line="560" w:lineRule="exact"/>
        <w:jc w:val="both"/>
        <w:rPr>
          <w:rFonts w:ascii="仿宋" w:eastAsia="仿宋" w:cs="仿宋_GB2312" w:hint="eastAsia"/>
          <w:sz w:val="32"/>
          <w:szCs w:val="32"/>
          <w:u w:val="single"/>
          <w:lang w:bidi="ar-SA"/>
        </w:rPr>
      </w:pPr>
    </w:p>
    <w:p/>
    <w:sectPr>
      <w:pgSz w:w="15842" w:h="12242" w:orient="landscape"/>
      <w:pgMar w:top="1797" w:right="1440" w:bottom="1797" w:left="1440" w:header="720" w:footer="720" w:gutter="0"/>
      <w:docGrid w:linePitch="285"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003" w:usb1="288F0000" w:usb2="00000006" w:usb3="00000000" w:csb0="00040001" w:csb1="00000000"/>
  </w:font>
  <w:font w:name="Calibri">
    <w:panose1 w:val="020F0502020204030204"/>
    <w:charset w:val="00"/>
    <w:family w:val="swiss"/>
    <w:pitch w:val="variable"/>
    <w:sig w:usb0="E00002FF" w:usb1="4000ACFF" w:usb2="00000001" w:usb3="00000000" w:csb0="2000019F" w:csb1="00000000"/>
  </w:font>
  <w:font w:name="黑体">
    <w:panose1 w:val="02010609060101010101"/>
    <w:charset w:val="86"/>
    <w:family w:val="auto"/>
    <w:pitch w:val="variable"/>
    <w:sig w:usb0="800002BF" w:usb1="38CF7CFA" w:usb2="00000016" w:usb3="00000000" w:csb0="00040001" w:csb1="00000000"/>
  </w:font>
  <w:font w:name="方正小标宋简体">
    <w:altName w:val="Arial Unicode MS"/>
    <w:panose1 w:val="02010601030101010101"/>
    <w:charset w:val="86"/>
    <w:family w:val="auto"/>
    <w:pitch w:val="variable"/>
    <w:sig w:usb0="00000000" w:usb1="00000000" w:usb2="00000000" w:usb3="00000000" w:csb0="00040000" w:csb1="00000000"/>
  </w:font>
  <w:font w:name="仿宋_GB2312">
    <w:panose1 w:val="02010609030101010101"/>
    <w:charset w:val="86"/>
    <w:family w:val="auto"/>
    <w:pitch w:val="variable"/>
    <w:sig w:usb0="00000001" w:usb1="080E0000" w:usb2="00000000" w:usb3="00000000" w:csb0="00040000" w:csb1="00000000"/>
  </w:font>
  <w:font w:name="仿宋">
    <w:panose1 w:val="02010609060101010101"/>
    <w:charset w:val="86"/>
    <w:family w:val="auto"/>
    <w:pitch w:val="variable"/>
    <w:sig w:usb0="800002BF" w:usb1="38CF7CFA" w:usb2="00000016" w:usb3="00000000" w:csb0="00040001" w:csb1="00000000"/>
  </w:font>
  <w:font w:name="Arial">
    <w:panose1 w:val="020B0604020202020204"/>
    <w:charset w:val="01"/>
    <w:family w:val="swiss"/>
    <w:pitch w:val="variable"/>
    <w:sig w:usb0="E0002AFF" w:usb1="C0007843" w:usb2="00000009" w:usb3="00000000" w:csb0="400001FF" w:csb1="FFFF0000"/>
  </w:font>
  <w:font w:name="Times New Roman">
    <w:panose1 w:val="02020603050405020304"/>
    <w:charset w:val="00"/>
    <w:family w:val="roman"/>
    <w:pitch w:val="variable"/>
    <w:sig w:usb0="20007A87" w:usb1="80000000" w:usb2="00000008"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snapToGrid w:val="0"/>
    </w:pPr>
    <w:r>
      <w:rPr>
        <w:sz w:val="28"/>
      </w:rPr>
      <mc:AlternateContent>
        <mc:Choice Requires="wps">
          <w:drawing>
            <wp:anchor distT="0" distB="0" distL="114298" distR="114298" simplePos="0" relativeHeight="16" behindDoc="0" locked="0" layoutInCell="1" hidden="0" allowOverlap="1">
              <wp:simplePos x="0" y="0"/>
              <wp:positionH relativeFrom="margin">
                <wp:align>center</wp:align>
              </wp:positionH>
              <wp:positionV relativeFrom="paragraph">
                <wp:posOffset>0</wp:posOffset>
              </wp:positionV>
              <wp:extent cx="101599" cy="263143"/>
              <wp:effectExtent l="0" t="0" r="0" b="0"/>
              <wp:wrapNone/>
              <wp:docPr id="1" name="文本框 2"/>
              <wp:cNvGraphicFramePr>
                <a:graphicFrameLocks noChangeAspect="0"/>
              </wp:cNvGraphicFramePr>
              <a:graphic>
                <a:graphicData uri="http://schemas.microsoft.com/office/word/2010/wordprocessingShape">
                  <wps:wsp>
                    <wps:cNvSpPr/>
                    <wps:spPr>
                      <a:xfrm rot="0">
                        <a:off x="0" y="0"/>
                        <a:ext cx="101599" cy="263143"/>
                      </a:xfrm>
                      <a:prstGeom prst="rect"/>
                      <a:noFill/>
                      <a:ln w="6350" cmpd="sng" cap="flat">
                        <a:noFill/>
                        <a:prstDash val="solid"/>
                        <a:round/>
                      </a:ln>
                    </wps:spPr>
                    <wps:txbx id="2">
                      <w:txbxContent>
                        <w:p>
                          <w:pPr>
                            <w:pStyle w:val="16"/>
                            <w:tabs>
                              <w:tab w:val="center" w:pos="4153"/>
                              <w:tab w:val="right" w:pos="8306"/>
                            </w:tabs>
                          </w:pPr>
                          <w:r>
                            <w:rPr>
                              <w:rFonts w:ascii="宋体" w:eastAsia="宋体" w:cs="宋体" w:hint="eastAsia"/>
                              <w:sz w:val="32"/>
                              <w:szCs w:val="32"/>
                              <w:lang w:bidi="ar-SA"/>
                            </w:rPr>
                            <w:fldChar w:fldCharType="begin"/>
                          </w:r>
                          <w:r>
                            <w:rPr>
                              <w:rFonts w:ascii="宋体" w:eastAsia="宋体" w:cs="宋体" w:hint="eastAsia"/>
                              <w:sz w:val="32"/>
                              <w:szCs w:val="32"/>
                              <w:lang w:bidi="ar-SA"/>
                            </w:rPr>
                            <w:instrText xml:space="preserve"> PAGE  \* MERGEFORMAT </w:instrText>
                          </w:r>
                          <w:r>
                            <w:rPr>
                              <w:rFonts w:ascii="宋体" w:eastAsia="宋体" w:cs="宋体" w:hint="eastAsia"/>
                              <w:sz w:val="32"/>
                              <w:szCs w:val="32"/>
                              <w:lang w:bidi="ar-SA"/>
                            </w:rPr>
                            <w:fldChar w:fldCharType="separate"/>
                          </w:r>
                          <w:r>
                            <w:rPr>
                              <w:rFonts w:ascii="宋体" w:eastAsia="宋体" w:cs="宋体" w:hint="eastAsia"/>
                              <w:sz w:val="32"/>
                              <w:szCs w:val="32"/>
                              <w:lang w:bidi="ar-SA"/>
                            </w:rPr>
                            <w:t>23</w:t>
                          </w:r>
                          <w:r>
                            <w:rPr>
                              <w:rFonts w:ascii="宋体" w:eastAsia="宋体" w:cs="宋体" w:hint="eastAsia"/>
                              <w:sz w:val="32"/>
                              <w:szCs w:val="32"/>
                              <w:lang w:bidi="ar-SA"/>
                            </w:rPr>
                            <w:fldChar w:fldCharType="end"/>
                          </w:r>
                        </w:p>
                      </w:txbxContent>
                    </wps:txbx>
                    <wps:bodyPr vert="horz" wrap="none" lIns="0" tIns="0" rIns="0" bIns="0" anchor="t" anchorCtr="0" upright="1">
                      <a:spAutoFit/>
                    </wps:bodyPr>
                  </wps:wsp>
                </a:graphicData>
              </a:graphic>
            </wp:anchor>
          </w:drawing>
        </mc:Choice>
        <mc:Fallback>
          <w:pict>
            <v:shape type="#_x0000_t202" id="文本框 2 3" o:spid="_x0000_s3" filled="f" stroked="f" strokeweight="0.5pt" style="position:absolute;margin-left:0.0pt;margin-top:0.0pt;width:7.999985pt;height:20.719992pt;z-index:16;mso-position-horizontal:center;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16"/>
                      <w:tabs>
                        <w:tab w:val="center" w:pos="4153"/>
                        <w:tab w:val="right" w:pos="8306"/>
                      </w:tabs>
                    </w:pPr>
                    <w:r>
                      <w:rPr>
                        <w:rFonts w:ascii="宋体" w:eastAsia="宋体" w:cs="宋体" w:hint="eastAsia"/>
                        <w:sz w:val="32"/>
                        <w:szCs w:val="32"/>
                        <w:lang w:bidi="ar-SA"/>
                      </w:rPr>
                      <w:fldChar w:fldCharType="begin"/>
                    </w:r>
                    <w:r>
                      <w:rPr>
                        <w:rFonts w:ascii="宋体" w:eastAsia="宋体" w:cs="宋体" w:hint="eastAsia"/>
                        <w:sz w:val="32"/>
                        <w:szCs w:val="32"/>
                        <w:lang w:bidi="ar-SA"/>
                      </w:rPr>
                      <w:instrText xml:space="preserve"> PAGE  \* MERGEFORMAT </w:instrText>
                    </w:r>
                    <w:r>
                      <w:rPr>
                        <w:rFonts w:ascii="宋体" w:eastAsia="宋体" w:cs="宋体" w:hint="eastAsia"/>
                        <w:sz w:val="32"/>
                        <w:szCs w:val="32"/>
                        <w:lang w:bidi="ar-SA"/>
                      </w:rPr>
                      <w:fldChar w:fldCharType="separate"/>
                    </w:r>
                    <w:r>
                      <w:rPr>
                        <w:rFonts w:ascii="宋体" w:eastAsia="宋体" w:cs="宋体" w:hint="eastAsia"/>
                        <w:sz w:val="32"/>
                        <w:szCs w:val="32"/>
                        <w:lang w:bidi="ar-SA"/>
                      </w:rPr>
                      <w:t>23</w:t>
                    </w:r>
                    <w:r>
                      <w:rPr>
                        <w:rFonts w:ascii="宋体" w:eastAsia="宋体" w:cs="宋体" w:hint="eastAsia"/>
                        <w:sz w:val="32"/>
                        <w:szCs w:val="32"/>
                        <w:lang w:bidi="ar-SA"/>
                      </w:rPr>
                      <w:fldChar w:fldCharType="end"/>
                    </w:r>
                  </w:p>
                </w:txbxContent>
              </v:textbox>
            </v:shape>
          </w:pict>
        </mc:Fallback>
      </mc:AlternateContent>
    </w:r>
    <w:r>
      <w:rPr>
        <w:rFonts w:ascii="Calibri" w:eastAsia="宋体" w:cs="黑体" w:hAnsi="Calibri"/>
        <w:kern w:val="2"/>
        <w:sz w:val="28"/>
        <w:szCs w:val="22"/>
        <w:lang w:val="en-US" w:eastAsia="zh-CN" w:bidi="ar-SA"/>
      </w:rPr>
      <mc:AlternateContent>
        <mc:Choice Requires="wps">
          <w:drawing>
            <wp:anchor distT="0" distB="0" distL="114298" distR="114298" simplePos="0" relativeHeight="14" behindDoc="0" locked="0" layoutInCell="1" hidden="0" allowOverlap="1">
              <wp:simplePos x="0" y="0"/>
              <wp:positionH relativeFrom="margin">
                <wp:align>center</wp:align>
              </wp:positionH>
              <wp:positionV relativeFrom="paragraph">
                <wp:posOffset>1270</wp:posOffset>
              </wp:positionV>
              <wp:extent cx="9525" cy="350520"/>
              <wp:effectExtent l="0" t="0" r="0" b="0"/>
              <wp:wrapNone/>
              <wp:docPr id="4" name="矩形 1"/>
              <wp:cNvGraphicFramePr>
                <a:graphicFrameLocks noChangeAspect="0"/>
              </wp:cNvGraphicFramePr>
              <a:graphic>
                <a:graphicData uri="http://schemas.microsoft.com/office/word/2010/wordprocessingShape">
                  <wps:wsp>
                    <wps:cNvSpPr/>
                    <wps:spPr>
                      <a:xfrm rot="0">
                        <a:off x="0" y="0"/>
                        <a:ext cx="9525" cy="350520"/>
                      </a:xfrm>
                      <a:prstGeom prst="rect"/>
                      <a:noFill/>
                      <a:ln w="9525" cmpd="sng" cap="flat">
                        <a:noFill/>
                        <a:prstDash val="solid"/>
                        <a:round/>
                      </a:ln>
                    </wps:spPr>
                    <wps:txbx id="5">
                      <w:txbxContent>
                        <w:p>
                          <w:pPr>
                            <w:pStyle w:val="16"/>
                            <w:tabs>
                              <w:tab w:val="center" w:pos="4153"/>
                              <w:tab w:val="right" w:pos="8306"/>
                            </w:tabs>
                            <w:rPr>
                              <w:sz w:val="28"/>
                              <w:szCs w:val="28"/>
                            </w:rPr>
                          </w:pPr>
                        </w:p>
                        <w:p/>
                      </w:txbxContent>
                    </wps:txbx>
                    <wps:bodyPr vert="horz" wrap="none" lIns="0" tIns="0" rIns="0" bIns="0" anchor="t" anchorCtr="0" upright="1">
                      <a:spAutoFit/>
                    </wps:bodyPr>
                  </wps:wsp>
                </a:graphicData>
              </a:graphic>
            </wp:anchor>
          </w:drawing>
        </mc:Choice>
        <mc:Fallback>
          <w:pict>
            <v:rect type="#_x0000_t1" id="矩形 1 6" o:spid="_x0000_s6" filled="f" stroked="f" style="position:absolute;margin-left:0.0pt;margin-top:0.1pt;width:0.75pt;height:27.6pt;z-index:14;mso-position-horizontal:center;mso-position-horizontal-relative:margin;mso-position-vertical:absolute;mso-wrap-distance-left:8.999863pt;mso-wrap-distance-right:8.999863pt;mso-wrap-style:none;">
              <v:stroke color="#000000"/>
              <v:textbox id="849" inset="0mm,0mm,0mm,0mm" o:insetmode="custom" style="layout-flow:horizontal;v-text-anchor:top;mso-fit-shape-to-text:t;">
                <w:txbxContent>
                  <w:p>
                    <w:pPr>
                      <w:pStyle w:val="16"/>
                      <w:tabs>
                        <w:tab w:val="center" w:pos="4153"/>
                        <w:tab w:val="right" w:pos="8306"/>
                      </w:tabs>
                      <w:rPr>
                        <w:sz w:val="28"/>
                        <w:szCs w:val="28"/>
                      </w:rPr>
                    </w:pPr>
                  </w:p>
                  <w:p/>
                </w:txbxContent>
              </v:textbox>
            </v:rect>
          </w:pict>
        </mc:Fallback>
      </mc:AlternateContent>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pBdr>
        <w:bottom w:val="none" w:sz="0" w:space="0" w:color="auto"/>
      </w:pBdr>
      <w:tabs>
        <w:tab w:val="center" w:pos="4153"/>
        <w:tab w:val="right" w:pos="8306"/>
      </w:tabs>
    </w:pP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ocumentProtection w:edit="readOnly" w:enforcement="0"/>
  <w:defaultTabStop w:val="420"/>
  <w:drawingGridHorizontalSpacing w:val="100"/>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宋体" w:cs="Times New Roman" w:hAnsi="Times New Roman"/>
      <w:sz w:val="20"/>
      <w:szCs w:val="20"/>
      <w:lang w:val="en-US"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toc 3"/>
    <w:basedOn w:val="0"/>
    <w:next w:val="0"/>
    <w:pPr>
      <w:ind w:left="840"/>
    </w:pPr>
  </w:style>
  <w:style w:type="paragraph" w:styleId="16">
    <w:name w:val="footer"/>
    <w:basedOn w:val="0"/>
    <w:pPr>
      <w:widowControl w:val="0"/>
      <w:tabs>
        <w:tab w:val="center" w:pos="4153"/>
        <w:tab w:val="right" w:pos="8306"/>
      </w:tabs>
      <w:snapToGrid w:val="0"/>
      <w:jc w:val="left"/>
    </w:pPr>
    <w:rPr>
      <w:rFonts w:ascii="Times New Roman" w:eastAsia="宋体" w:cs="Times New Roman" w:hAnsi="Times New Roman"/>
      <w:kern w:val="2"/>
      <w:sz w:val="18"/>
      <w:szCs w:val="24"/>
      <w:lang w:val="en-US" w:eastAsia="zh-CN" w:bidi="ar-SA"/>
    </w:rPr>
  </w:style>
  <w:style w:type="paragraph" w:styleId="17">
    <w:name w:val="header"/>
    <w:basedOn w:val="0"/>
    <w:next w:val="15"/>
    <w:pPr>
      <w:widowControl w:val="0"/>
      <w:pBdr>
        <w:bottom w:val="single" w:sz="6" w:space="1" w:color="auto"/>
      </w:pBdr>
      <w:tabs>
        <w:tab w:val="center" w:pos="4153"/>
        <w:tab w:val="right" w:pos="8306"/>
      </w:tabs>
      <w:snapToGrid w:val="0"/>
      <w:jc w:val="center"/>
    </w:pPr>
    <w:rPr>
      <w:rFonts w:ascii="Times New Roman" w:eastAsia="宋体" w:cs="Times New Roman" w:hAnsi="Times New Roman"/>
      <w:kern w:val="2"/>
      <w:sz w:val="18"/>
      <w:szCs w:val="18"/>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13</TotalTime>
  <Application>Yozo_Office27021597764231179</Application>
  <Pages>1</Pages>
  <Words>38</Words>
  <Characters>41</Characters>
  <Lines>2</Lines>
  <Paragraphs>1</Paragraphs>
  <CharactersWithSpaces>41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淼儿</dc:creator>
  <cp:lastModifiedBy>dh</cp:lastModifiedBy>
  <cp:revision>1</cp:revision>
  <dcterms:created xsi:type="dcterms:W3CDTF">2026-03-18T02:10:00Z</dcterms:created>
  <dcterms:modified xsi:type="dcterms:W3CDTF">2026-03-18T02:30:52Z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2052-12.1.0.25225</vt:lpwstr>
  </property>
  <property fmtid="{D5CDD505-2E9C-101B-9397-08002B2CF9AE}" pid="3" name="ICV">
    <vt:lpwstr>CCDC6879563D4BBC81D2D766B813E6B8_11</vt:lpwstr>
  </property>
  <property fmtid="{D5CDD505-2E9C-101B-9397-08002B2CF9AE}" pid="4" name="KSOTemplateDocerSaveRecord">
    <vt:lpwstr>eyJoZGlkIjoiMWUyNzc0NTRiZDEwM2UwYjQ5ZjU1NmVlNmE3NjNhNWEiLCJ1c2VySWQiOiI0Mzk2MTkyMjcifQ==</vt:lpwstr>
  </property>
</Properties>
</file>