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涞源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县人民法院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关于征收诉讼费的公示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 xml:space="preserve"> </w:t>
      </w:r>
    </w:p>
    <w:p>
      <w:pPr>
        <w:numPr>
          <w:numId w:val="0"/>
        </w:numPr>
        <w:ind w:firstLine="643" w:firstLineChars="200"/>
        <w:jc w:val="both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一、收费项目：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lang w:eastAsia="zh-CN"/>
        </w:rPr>
        <w:t>诉讼费。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二、诉讼费收费标准</w:t>
      </w:r>
      <w:r>
        <w:rPr>
          <w:rFonts w:hint="eastAsia"/>
          <w:b/>
          <w:bCs/>
          <w:sz w:val="32"/>
          <w:szCs w:val="32"/>
          <w:lang w:val="en-US" w:eastAsia="zh-CN"/>
        </w:rPr>
        <w:t>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第十三条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案件受理费分别按照下列标准交纳：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（一）财产案件根据诉讼请求的金额或者价额，按照下列比例分段累计交纳：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1.不超过1万元的，每件交纳50元；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2.超过1万元至10万元的部分，按照2.5%交纳；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3.超过10万元至20万元的部分，按照2%交纳；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4.超过20万元至50万元的部分，按照1.5%交纳；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5.超过50万元至100万元的部分，按照1%交纳；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6.超过100万元至200万元的部分，按照0.9%交纳；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7.超过200万元至500万元的部分，按照0.8%交纳；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8.超过500万元至1000万元的部分，按照0.7%交纳；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9.超过1000万元至2000万元的部分，按照0.6%交纳；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10.超过2000万元的部分，按照0.5%交纳。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（二）非财产案件按照下列标准交纳：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1.离婚案件每件交纳50元至300元。涉及财产分割，财产总额不超过20万元的，不另行交纳；超过20万元的部分，按照0.5%交纳。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2.侵害姓名权、名称权、肖像权、名誉权、荣誉权以及其他人格权的案件，每件交纳100元至500元。涉及损害赔偿，赔偿金额不超过5万元的，不另行交纳；超过5万元至10万元的部分，按照1%交纳；超过10万元的部分，按照0.5%交纳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3.其他非财产案件每件交纳50元至100元。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（三）知识产权民事案件，没有争议金额或者价额的，每件交纳500元至1000元；有争议金额或者价额的，按照财产案件的标准交纳。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（四）劳动争议案件每件交纳10元。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（五）行政案件按照下列标准交纳：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1.商标、专利、海事行政案件每件交纳100元；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2.其他行政案件每件交纳50元。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（六）当事人提出案件管辖权异议，异议不成立的，每件交纳50元至100元。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省、自治区、直辖市人民政府可以结合本地实际情况在本条第（二）项、第（三）项、第（六）项规定的幅度内制定具体交纳标准。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第十四条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申请费分别按照下列标准交纳：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（一）依法向人民法院申请执行人民法院发生法律效力的判决、裁定、调解书，仲裁机构依法作出的裁决和调解书，公证机关依法赋予强制执行效力的债权文书，申请承认和执行外国法院判决、裁定以及国外仲裁机构裁决的，按照下列标准交纳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1.没有执行金额或者价额的，每件交纳50元至500元。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2.执行金额或者价额不超过1万元的，每件交纳50元；超过1万元至50万元的部分，按照1.5%交纳；超过50万元至500万元的部分，按照1%交纳；超过500万元至1000万元的部分，按照0.5%交纳；超过1000万元的部分，按照0.1%交纳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3.符合民事诉讼法第五十五条第四款规定，未参加登记的权利人向人民法院提起诉讼的，按照本项规定的标准交纳申请费，不再交纳案件受理费。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（二）申请保全措施的，根据实际保全的财产数额按照下列标准交纳：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财产数额不超过1000元或者不涉及财产数额的，每件交纳30元；超过1000元至10万元的部分，按照1%交纳；超过10万元的部分，按照0.5%交纳。但是，当事人申请保全措施交纳的费用最多不超过5000元。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（三）依法申请支付令的，比照财产案件受理费标准的1/3交纳。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（四）依法申请公示催告的，每件交纳100元。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（五）申请撤销仲裁裁决或者认定仲裁协议效力的，每件交纳400元。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（六）破产案件依据破产财产总额计算，按照财产案件受理费标准减半交纳，但是，最高不超过30万元。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（七）海事案件的申请费按照下列标准交纳：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1.申请设立海事赔偿责任限制基金的，每件交纳1000元至1万元；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2.申请海事强制令的，每件交纳1000元至5000元；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3.申请船舶优先权催告的，每件交纳1000元至5000元；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4.申请海事债权登记的，每件交纳1000元；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</w:rPr>
        <w:t>5.申请共同海损理算的，每件交纳1000元。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第十五条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以调解方式结案或者当事人申请撤诉的，减半交纳案件受理费。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第十六条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适用简易程序审理的案件减半交纳案件受理费。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第十七条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对财产案件提起上诉的，按照不服一审判决部分的上诉请求数额交纳案件受理费。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第十八条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被告提起反诉、有独立请求权的第三人提出与本案有关的诉讼请求，人民法院决定合并审理的，分别减半交纳案件受理费。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第十九条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依照本办法第九条规定需要交纳案件受理费的再审案件，按照不服原判决部分的再审请求数额交纳案件受理费。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Style w:val="4"/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三、收费主体：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Style w:val="4"/>
          <w:rFonts w:hint="default" w:eastAsia="宋体" w:cs="Times New Roman"/>
          <w:b w:val="0"/>
          <w:bCs w:val="0"/>
          <w:i w:val="0"/>
          <w:iCs w:val="0"/>
          <w:sz w:val="28"/>
          <w:szCs w:val="28"/>
          <w:lang w:eastAsia="zh-CN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涞源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县人民法院。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sz w:val="32"/>
          <w:szCs w:val="32"/>
          <w:highlight w:val="none"/>
          <w:lang w:val="en-US" w:eastAsia="zh-CN"/>
        </w:rPr>
        <w:t>计费单位：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/>
          <w:b/>
          <w:bCs/>
          <w:sz w:val="32"/>
          <w:szCs w:val="32"/>
          <w:highlight w:val="none"/>
          <w:lang w:val="en-US" w:eastAsia="zh-CN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按件收取。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收费依据：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Style w:val="4"/>
          <w:rFonts w:hint="default"/>
          <w:sz w:val="28"/>
          <w:szCs w:val="28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《</w:t>
      </w:r>
      <w:r>
        <w:rPr>
          <w:rStyle w:val="4"/>
          <w:rFonts w:hint="default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中华人民共和国民事诉讼法》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、</w:t>
      </w:r>
      <w:r>
        <w:rPr>
          <w:rStyle w:val="4"/>
          <w:rFonts w:hint="default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《中华人民共和国行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政诉讼法</w:t>
      </w:r>
      <w:r>
        <w:rPr>
          <w:rStyle w:val="4"/>
          <w:rFonts w:hint="default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》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、《</w:t>
      </w:r>
      <w:r>
        <w:rPr>
          <w:rStyle w:val="4"/>
          <w:rFonts w:hint="default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中华人民共和国诉讼费用交纳办法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both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六、收费范围：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第六条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当事人应当向人民法院交纳的诉讼费用包括：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（一）案件受理费；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（二）申请费；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（三）证人、鉴定人、翻译人员、理算人员在人民法院指定日期出庭发生的交通费、住宿费、生活费和误工补贴。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第七条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案件受理费包括：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（一）第一审案件受理费；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（二）第二审案件受理费；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（三）再审案件中，依照本办法规定需要交纳的案件受理费。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第九条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根据民事诉讼法和行政诉讼法规定的审判监督程序审理的案件，当事人不交纳案件受理费。但是，下列情形除外：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（一）当事人有新的证据，足以推翻原判决、裁定，向人民法院申请再审，人民法院经审查决定再审的案件；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（二）当事人对人民法院第一审判决或者裁定未提出上诉，第一审判决、裁定或者调解书发生法律效力后又申请再审，人民法院经审查决定再审的案件。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第十条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当事人依法向人民法院申请下列事项，应当交纳申请费：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（一）申请执行人民法院发生法律效力的判决、裁定、调解书，仲裁机构依法作出的裁决和调解书，公证机构依法赋予强制执行效力的债权文书；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（二）申请保全措施；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（三）申请支付令；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（四）申请公示催告；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（五）申请撤销仲裁裁决或者认定仲裁协议效力；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（六）申请破产；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（七）申请海事强制令、共同海损理算、设立海事赔偿责任限制基金、海事债权登记、船舶优先权催告；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（八）申请承认和执行外国法院判决、裁定和国外仲裁机构裁决。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七、收费对象：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案件当事人。</w:t>
      </w:r>
      <w:r>
        <w:rPr>
          <w:rStyle w:val="4"/>
          <w:rFonts w:hint="default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外国人、无国籍人、外国企业或者组织在人民法院进行诉讼，适用本办法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sz w:val="32"/>
          <w:szCs w:val="32"/>
          <w:highlight w:val="none"/>
          <w:lang w:val="en-US" w:eastAsia="zh-CN"/>
        </w:rPr>
        <w:t>征收方式：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执收单位开具电子缴款通知书，缴费人通过微信支付宝扫码，网银、手机银行等渠道缴费。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both"/>
        <w:textAlignment w:val="auto"/>
        <w:rPr>
          <w:rFonts w:hint="default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sz w:val="32"/>
          <w:szCs w:val="32"/>
          <w:highlight w:val="none"/>
          <w:lang w:val="en-US" w:eastAsia="zh-CN"/>
        </w:rPr>
        <w:t>九、减免规定：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根据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《</w:t>
      </w:r>
      <w:r>
        <w:rPr>
          <w:rStyle w:val="4"/>
          <w:rFonts w:hint="default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中华人民共和国诉讼费用交纳办法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》相关规定执行。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Style w:val="4"/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第四十四条  当事人交纳诉讼费用确有困难的，可以依照本办法向人民法院申请缓交、减交或者免交诉讼费用的司法救助。诉讼费用的免交只适用于自然人。</w:t>
      </w:r>
      <w:r>
        <w:rPr>
          <w:rFonts w:hint="eastAsia" w:ascii="宋体" w:hAnsi="宋体" w:eastAsia="宋体" w:cs="宋体"/>
          <w:color w:val="000000"/>
          <w:sz w:val="28"/>
          <w:szCs w:val="28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第四十五条  当事人申请司法救助，符合下列情形之一的，人民法院应当准予免交诉讼费用：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（一）残疾人无固定生活来源的；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（二）追索赡养费、扶养费、抚育费、抚恤金的；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（三）最低生活保障对象、农村特困定期救济对象、农村五保供养对象或者领取失业保险金人员，无其他收入的；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（四）因见义勇为或者为保护社会公共利益致使自身合法权益受到损害，本人或者其近亲属请求赔偿或者补偿的；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（五）确实需要免交的其他情形。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第四十六条  当事人申请司法救助，符合下列情形之一的，人民法院应当准予减交诉讼费用：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（一）因自然灾害等不可抗力造成生活困难，正在接受社会救济，或者家庭生产经营难以为继的；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（二）属于国家规定的优抚、安置对象的；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（三）社会福利机构和救助管理站；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（四）确实需要减交的其他情形。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人民法院准予减交诉讼费用的，减交比例不得低于30%。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第四十七条  当事人申请司法救助，符合下列情形之一的，人民法院应当准予缓交诉讼费用：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（一）追索社会保险金、经济补偿金的；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（二）海上事故、交通事故、医疗事故、工伤事故、产品质量事故或者其他人身伤害事故的受害人请求赔偿的；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（三）正在接受有关部门法律援助的；</w:t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Style w:val="4"/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（四）确实需要缓交的其他情形。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Style w:val="4"/>
          <w:rFonts w:hint="default" w:eastAsia="宋体" w:cs="Times New Roman"/>
          <w:b/>
          <w:bCs/>
          <w:i w:val="0"/>
          <w:iCs w:val="0"/>
          <w:sz w:val="30"/>
          <w:szCs w:val="30"/>
          <w:lang w:eastAsia="zh-CN"/>
        </w:rPr>
      </w:pPr>
      <w:r>
        <w:rPr>
          <w:rStyle w:val="4"/>
          <w:rFonts w:hint="eastAsia" w:eastAsia="宋体" w:cs="Times New Roman"/>
          <w:b/>
          <w:bCs/>
          <w:i w:val="0"/>
          <w:iCs w:val="0"/>
          <w:sz w:val="30"/>
          <w:szCs w:val="30"/>
          <w:lang w:eastAsia="zh-CN"/>
        </w:rPr>
        <w:t>十、监督举报方式</w:t>
      </w:r>
      <w:r>
        <w:rPr>
          <w:rStyle w:val="4"/>
          <w:rFonts w:hint="default" w:eastAsia="宋体" w:cs="Times New Roman"/>
          <w:b/>
          <w:bCs/>
          <w:i w:val="0"/>
          <w:iCs w:val="0"/>
          <w:sz w:val="30"/>
          <w:szCs w:val="30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4"/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Style w:val="4"/>
          <w:rFonts w:hint="eastAsia" w:ascii="仿宋_GB2312" w:hAnsi="仿宋_GB2312" w:eastAsia="仿宋_GB2312" w:cs="仿宋_GB2312"/>
          <w:sz w:val="28"/>
          <w:szCs w:val="28"/>
          <w:lang w:eastAsia="zh-CN"/>
        </w:rPr>
        <w:t>（一）固定电话：</w:t>
      </w:r>
      <w:r>
        <w:rPr>
          <w:rStyle w:val="4"/>
          <w:rFonts w:hint="eastAsia" w:ascii="仿宋_GB2312" w:hAnsi="仿宋_GB2312" w:eastAsia="仿宋_GB2312" w:cs="仿宋_GB2312"/>
          <w:sz w:val="28"/>
          <w:szCs w:val="28"/>
        </w:rPr>
        <w:t>0312-</w:t>
      </w:r>
      <w:r>
        <w:rPr>
          <w:rStyle w:val="4"/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4836505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Style w:val="4"/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Style w:val="4"/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Style w:val="4"/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二</w:t>
      </w:r>
      <w:r>
        <w:rPr>
          <w:rStyle w:val="4"/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  <w:r>
        <w:rPr>
          <w:rStyle w:val="4"/>
          <w:rFonts w:hint="eastAsia" w:ascii="仿宋_GB2312" w:hAnsi="仿宋_GB2312" w:eastAsia="仿宋_GB2312" w:cs="仿宋_GB2312"/>
          <w:sz w:val="28"/>
          <w:szCs w:val="28"/>
        </w:rPr>
        <w:t>通信地址：</w:t>
      </w:r>
      <w:r>
        <w:rPr>
          <w:rStyle w:val="4"/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涞源县广平大街与富强路交叉口路西300米</w:t>
      </w:r>
    </w:p>
    <w:p>
      <w:pPr>
        <w:numPr>
          <w:ilvl w:val="0"/>
          <w:numId w:val="0"/>
        </w:numPr>
        <w:ind w:firstLine="643" w:firstLineChars="200"/>
        <w:jc w:val="both"/>
        <w:rPr>
          <w:rFonts w:hint="default"/>
          <w:b/>
          <w:bCs/>
          <w:sz w:val="32"/>
          <w:szCs w:val="32"/>
          <w:highlight w:val="cyan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52E9ED"/>
    <w:multiLevelType w:val="singleLevel"/>
    <w:tmpl w:val="ED52E9E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8A6A4C4"/>
    <w:multiLevelType w:val="singleLevel"/>
    <w:tmpl w:val="F8A6A4C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8DE22B0"/>
    <w:multiLevelType w:val="singleLevel"/>
    <w:tmpl w:val="78DE22B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xMGFmNGQ2M2M3OTZiZTYwZTFjOTljYmI3MGY0YjgifQ=="/>
  </w:docVars>
  <w:rsids>
    <w:rsidRoot w:val="4D454871"/>
    <w:rsid w:val="058D5AB3"/>
    <w:rsid w:val="0BC83278"/>
    <w:rsid w:val="0C7A3EB5"/>
    <w:rsid w:val="0DF33BF5"/>
    <w:rsid w:val="148D505F"/>
    <w:rsid w:val="22CC247A"/>
    <w:rsid w:val="252B195E"/>
    <w:rsid w:val="27897907"/>
    <w:rsid w:val="35AB0499"/>
    <w:rsid w:val="372A4537"/>
    <w:rsid w:val="379C71E3"/>
    <w:rsid w:val="3A804B9A"/>
    <w:rsid w:val="436152F0"/>
    <w:rsid w:val="45582D38"/>
    <w:rsid w:val="47A4404E"/>
    <w:rsid w:val="48612650"/>
    <w:rsid w:val="4D454871"/>
    <w:rsid w:val="4F05527B"/>
    <w:rsid w:val="549C03CB"/>
    <w:rsid w:val="5A6A4AC7"/>
    <w:rsid w:val="5BE40C60"/>
    <w:rsid w:val="5FFC5532"/>
    <w:rsid w:val="610643E1"/>
    <w:rsid w:val="6B120F62"/>
    <w:rsid w:val="6EE5002B"/>
    <w:rsid w:val="766D35A0"/>
    <w:rsid w:val="7F68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style01"/>
    <w:basedOn w:val="3"/>
    <w:qFormat/>
    <w:uiPriority w:val="0"/>
    <w:rPr>
      <w:rFonts w:hint="eastAsia" w:ascii="宋体" w:hAnsi="宋体" w:eastAsia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2926</Words>
  <Characters>3122</Characters>
  <Lines>0</Lines>
  <Paragraphs>0</Paragraphs>
  <TotalTime>16</TotalTime>
  <ScaleCrop>false</ScaleCrop>
  <LinksUpToDate>false</LinksUpToDate>
  <CharactersWithSpaces>3153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2022-11-15T01:14:00Z</dcterms:created>
  <dc:creator>zhujianju001</dc:creator>
  <cp:lastModifiedBy>Administrator</cp:lastModifiedBy>
  <cp:lastPrinted>2023-03-13T07:53:03Z</cp:lastPrinted>
  <dcterms:modified xsi:type="dcterms:W3CDTF">2023-03-13T07:54:08Z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0A21772756B341D1BFDAC4E7294A0866</vt:lpwstr>
  </property>
</Properties>
</file>