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ilvl w:val="0"/>
          <w:numId w:val="0"/>
        </w:numPr>
        <w:jc w:val="center"/>
      </w:pPr>
      <w:r>
        <w:rPr>
          <w:rFonts w:hint="eastAsia" w:ascii="方正小标宋_GBK" w:hAnsi="方正小标宋_GBK" w:eastAsia="方正小标宋_GBK"/>
          <w:b w:val="0"/>
          <w:bCs w:val="0"/>
          <w:sz w:val="30"/>
          <w:lang w:eastAsia="zh-CN"/>
        </w:rPr>
        <w:t>财政</w:t>
      </w:r>
      <w:r>
        <w:rPr>
          <w:rFonts w:hint="eastAsia" w:ascii="方正小标宋_GBK" w:hAnsi="方正小标宋_GBK" w:eastAsia="方正小标宋_GBK"/>
          <w:b w:val="0"/>
          <w:bCs w:val="0"/>
          <w:sz w:val="30"/>
        </w:rPr>
        <w:t>公共资源交易领域政务公开目录</w:t>
      </w:r>
    </w:p>
    <w:tbl>
      <w:tblPr>
        <w:tblStyle w:val="3"/>
        <w:tblW w:w="1518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900"/>
        <w:gridCol w:w="887"/>
        <w:gridCol w:w="2173"/>
        <w:gridCol w:w="2700"/>
        <w:gridCol w:w="1620"/>
        <w:gridCol w:w="1080"/>
        <w:gridCol w:w="2700"/>
        <w:gridCol w:w="540"/>
        <w:gridCol w:w="720"/>
        <w:gridCol w:w="540"/>
        <w:gridCol w:w="7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0" w:hRule="atLeast"/>
          <w:jc w:val="center"/>
        </w:trPr>
        <w:tc>
          <w:tcPr>
            <w:tcW w:w="58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黑体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黑体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787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公开事项</w:t>
            </w:r>
          </w:p>
        </w:tc>
        <w:tc>
          <w:tcPr>
            <w:tcW w:w="2173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公开内容（要素）</w:t>
            </w:r>
          </w:p>
        </w:tc>
        <w:tc>
          <w:tcPr>
            <w:tcW w:w="2700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公开依据</w:t>
            </w:r>
          </w:p>
        </w:tc>
        <w:tc>
          <w:tcPr>
            <w:tcW w:w="1620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公开时限</w:t>
            </w:r>
          </w:p>
        </w:tc>
        <w:tc>
          <w:tcPr>
            <w:tcW w:w="1080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公开主体</w:t>
            </w:r>
          </w:p>
        </w:tc>
        <w:tc>
          <w:tcPr>
            <w:tcW w:w="2700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hint="eastAsia" w:ascii="黑体" w:hAnsi="宋体" w:eastAsia="黑体" w:cs="宋体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kern w:val="0"/>
                <w:sz w:val="22"/>
              </w:rPr>
              <w:t>公开渠道和载体</w:t>
            </w:r>
          </w:p>
        </w:tc>
        <w:tc>
          <w:tcPr>
            <w:tcW w:w="1260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公开对象</w:t>
            </w:r>
          </w:p>
        </w:tc>
        <w:tc>
          <w:tcPr>
            <w:tcW w:w="12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7" w:hRule="atLeast"/>
          <w:jc w:val="center"/>
        </w:trPr>
        <w:tc>
          <w:tcPr>
            <w:tcW w:w="585" w:type="dxa"/>
            <w:vMerge w:val="continue"/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 w:eastAsia="黑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一级事项</w:t>
            </w:r>
          </w:p>
        </w:tc>
        <w:tc>
          <w:tcPr>
            <w:tcW w:w="88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二级事项</w:t>
            </w:r>
          </w:p>
        </w:tc>
        <w:tc>
          <w:tcPr>
            <w:tcW w:w="2173" w:type="dxa"/>
            <w:vMerge w:val="continue"/>
            <w:noWrap w:val="0"/>
            <w:vAlign w:val="center"/>
          </w:tcPr>
          <w:p>
            <w:pPr>
              <w:widowControl/>
              <w:jc w:val="left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2700" w:type="dxa"/>
            <w:vMerge w:val="continue"/>
            <w:noWrap w:val="0"/>
            <w:vAlign w:val="center"/>
          </w:tcPr>
          <w:p>
            <w:pPr>
              <w:widowControl/>
              <w:jc w:val="left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620" w:type="dxa"/>
            <w:vMerge w:val="continue"/>
            <w:noWrap w:val="0"/>
            <w:vAlign w:val="center"/>
          </w:tcPr>
          <w:p>
            <w:pPr>
              <w:widowControl/>
              <w:jc w:val="left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vMerge w:val="continue"/>
            <w:noWrap w:val="0"/>
            <w:vAlign w:val="center"/>
          </w:tcPr>
          <w:p>
            <w:pPr>
              <w:widowControl/>
              <w:jc w:val="left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2700" w:type="dxa"/>
            <w:vMerge w:val="continue"/>
            <w:noWrap w:val="0"/>
            <w:vAlign w:val="center"/>
          </w:tcPr>
          <w:p>
            <w:pPr>
              <w:widowControl/>
              <w:jc w:val="left"/>
              <w:rPr>
                <w:rFonts w:hint="eastAsia" w:ascii="黑体" w:hAnsi="宋体" w:eastAsia="黑体" w:cs="宋体"/>
                <w:kern w:val="0"/>
                <w:sz w:val="22"/>
              </w:rPr>
            </w:pPr>
          </w:p>
        </w:tc>
        <w:tc>
          <w:tcPr>
            <w:tcW w:w="540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全社会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特定群众</w:t>
            </w:r>
          </w:p>
        </w:tc>
        <w:tc>
          <w:tcPr>
            <w:tcW w:w="540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主动</w:t>
            </w:r>
          </w:p>
        </w:tc>
        <w:tc>
          <w:tcPr>
            <w:tcW w:w="736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依申请公开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政府采购</w:t>
            </w:r>
          </w:p>
        </w:tc>
        <w:tc>
          <w:tcPr>
            <w:tcW w:w="887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部门采购</w:t>
            </w:r>
          </w:p>
        </w:tc>
        <w:tc>
          <w:tcPr>
            <w:tcW w:w="2173" w:type="dxa"/>
            <w:noWrap w:val="0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eastAsia="仿宋_GB2312" w:cs="Calibri"/>
                <w:color w:val="000000"/>
                <w:sz w:val="18"/>
                <w:szCs w:val="18"/>
              </w:rPr>
              <w:t>①招标（采购）公告  ② 中标（成交）结果公告③ 更正公告 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④合同公告</w:t>
            </w:r>
          </w:p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⑤废标（终止）公告⑥单一来源公示</w:t>
            </w:r>
          </w:p>
          <w:p>
            <w:pPr>
              <w:widowControl/>
              <w:textAlignment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⑦本级政府采购投诉举报受理部门及联系方式</w:t>
            </w:r>
          </w:p>
        </w:tc>
        <w:tc>
          <w:tcPr>
            <w:tcW w:w="2700" w:type="dxa"/>
            <w:noWrap w:val="0"/>
            <w:vAlign w:val="center"/>
          </w:tcPr>
          <w:p>
            <w:pPr>
              <w:widowControl/>
              <w:jc w:val="center"/>
              <w:textAlignment w:val="center"/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《中华人民共和国政府采购法》《中华人民共和国政府采购法实施条例》《政府采购信息发布管理办法》等法律法规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按照相关法律法规及时公开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widowControl/>
              <w:textAlignment w:val="center"/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val="en-US" w:eastAsia="zh-CN"/>
              </w:rPr>
              <w:t>财政局</w:t>
            </w:r>
          </w:p>
        </w:tc>
        <w:tc>
          <w:tcPr>
            <w:tcW w:w="2700" w:type="dxa"/>
            <w:noWrap w:val="0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财政部门网站公开平台</w:t>
            </w:r>
          </w:p>
        </w:tc>
        <w:tc>
          <w:tcPr>
            <w:tcW w:w="54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36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</w:tbl>
    <w:p/>
    <w:p/>
    <w:p/>
    <w:p/>
    <w:p/>
    <w:p/>
    <w:p/>
    <w:p/>
    <w:p/>
    <w:p>
      <w:pPr>
        <w:pStyle w:val="2"/>
        <w:jc w:val="center"/>
        <w:rPr>
          <w:rFonts w:ascii="方正小标宋_GBK" w:hAnsi="方正小标宋_GBK" w:eastAsia="方正小标宋_GBK"/>
          <w:b w:val="0"/>
          <w:bCs w:val="0"/>
          <w:sz w:val="30"/>
        </w:rPr>
      </w:pPr>
      <w:r>
        <w:rPr>
          <w:rFonts w:hint="eastAsia" w:ascii="方正小标宋_GBK" w:hAnsi="方正小标宋_GBK" w:eastAsia="方正小标宋_GBK"/>
          <w:b w:val="0"/>
          <w:bCs w:val="0"/>
          <w:sz w:val="30"/>
        </w:rPr>
        <w:t>财政预决算领域政务公开目录</w:t>
      </w:r>
      <w:bookmarkStart w:id="0" w:name="_GoBack"/>
      <w:bookmarkEnd w:id="0"/>
    </w:p>
    <w:tbl>
      <w:tblPr>
        <w:tblStyle w:val="3"/>
        <w:tblW w:w="15480" w:type="dxa"/>
        <w:tblInd w:w="-75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720"/>
        <w:gridCol w:w="720"/>
        <w:gridCol w:w="3240"/>
        <w:gridCol w:w="1800"/>
        <w:gridCol w:w="1620"/>
        <w:gridCol w:w="900"/>
        <w:gridCol w:w="1800"/>
        <w:gridCol w:w="720"/>
        <w:gridCol w:w="709"/>
        <w:gridCol w:w="551"/>
        <w:gridCol w:w="720"/>
        <w:gridCol w:w="720"/>
        <w:gridCol w:w="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2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440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公开事项</w:t>
            </w:r>
          </w:p>
        </w:tc>
        <w:tc>
          <w:tcPr>
            <w:tcW w:w="3240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公开内容（要素）</w:t>
            </w:r>
          </w:p>
        </w:tc>
        <w:tc>
          <w:tcPr>
            <w:tcW w:w="1800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公开依据</w:t>
            </w:r>
          </w:p>
        </w:tc>
        <w:tc>
          <w:tcPr>
            <w:tcW w:w="1620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公开时限</w:t>
            </w:r>
          </w:p>
        </w:tc>
        <w:tc>
          <w:tcPr>
            <w:tcW w:w="900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公开主体</w:t>
            </w:r>
          </w:p>
        </w:tc>
        <w:tc>
          <w:tcPr>
            <w:tcW w:w="1800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kern w:val="0"/>
                <w:sz w:val="22"/>
              </w:rPr>
              <w:t>公开渠道和载体</w:t>
            </w:r>
          </w:p>
        </w:tc>
        <w:tc>
          <w:tcPr>
            <w:tcW w:w="1429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公开对象</w:t>
            </w:r>
          </w:p>
        </w:tc>
        <w:tc>
          <w:tcPr>
            <w:tcW w:w="1271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公开方式</w:t>
            </w:r>
          </w:p>
        </w:tc>
        <w:tc>
          <w:tcPr>
            <w:tcW w:w="1440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公开层级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一级事项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二级事项</w:t>
            </w:r>
          </w:p>
        </w:tc>
        <w:tc>
          <w:tcPr>
            <w:tcW w:w="3240" w:type="dxa"/>
            <w:vMerge w:val="continue"/>
            <w:noWrap w:val="0"/>
            <w:vAlign w:val="center"/>
          </w:tcPr>
          <w:p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620" w:type="dxa"/>
            <w:vMerge w:val="continue"/>
            <w:noWrap w:val="0"/>
            <w:vAlign w:val="center"/>
          </w:tcPr>
          <w:p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900" w:type="dxa"/>
            <w:vMerge w:val="continue"/>
            <w:noWrap w:val="0"/>
            <w:vAlign w:val="center"/>
          </w:tcPr>
          <w:p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left"/>
              <w:rPr>
                <w:rFonts w:ascii="黑体" w:hAnsi="宋体" w:eastAsia="黑体" w:cs="宋体"/>
                <w:kern w:val="0"/>
                <w:sz w:val="22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全社会</w:t>
            </w:r>
          </w:p>
        </w:tc>
        <w:tc>
          <w:tcPr>
            <w:tcW w:w="709" w:type="dxa"/>
            <w:noWrap w:val="0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特定群众</w:t>
            </w:r>
          </w:p>
        </w:tc>
        <w:tc>
          <w:tcPr>
            <w:tcW w:w="551" w:type="dxa"/>
            <w:noWrap w:val="0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主动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依申请公开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县级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乡、村级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财政预决算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政府预算</w:t>
            </w:r>
          </w:p>
        </w:tc>
        <w:tc>
          <w:tcPr>
            <w:tcW w:w="3240" w:type="dxa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一般公共预算：①一般公共预算收入表。②一般公共预算支出表。③一般公共预算本级支出表。④一般公共预算本级基本支出表。⑤一般公共预算税收返还和转移支付表。⑥政府一般债务限额和余额情况表。</w:t>
            </w:r>
          </w:p>
        </w:tc>
        <w:tc>
          <w:tcPr>
            <w:tcW w:w="180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《预算法》、《政府信息公开条例》、《财政部关于印发&lt;地方预决算公开操作规程的通知&gt;》、《财政部关于印发&lt;地方政府债务信息公开办法（试行）&gt;的通知》等法律法规和文件规定</w:t>
            </w:r>
          </w:p>
        </w:tc>
        <w:tc>
          <w:tcPr>
            <w:tcW w:w="162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本级人民代表大会或其常务委员会批准后20日内</w:t>
            </w:r>
          </w:p>
        </w:tc>
        <w:tc>
          <w:tcPr>
            <w:tcW w:w="90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val="en-US" w:eastAsia="zh-CN"/>
              </w:rPr>
              <w:t>财政局</w:t>
            </w:r>
          </w:p>
        </w:tc>
        <w:tc>
          <w:tcPr>
            <w:tcW w:w="180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■财政部门网站公开平台</w:t>
            </w:r>
          </w:p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政府性基金预算：①政府性基金收入表。②政府性基金支出表。③本级政府性基金支出表。④政府性基金转移支付表。⑤政府专项债务限额和余额情况表。</w:t>
            </w: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财政预决算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政府预算</w:t>
            </w:r>
          </w:p>
        </w:tc>
        <w:tc>
          <w:tcPr>
            <w:tcW w:w="3240" w:type="dxa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国有资本经营预算：①国有资本经营预算收入表。②国有资本经营预算支出表。③本级国有资本经营预算支出表。④对下安排转移支付的应当公开国有资本经营预算转移支付表。</w:t>
            </w:r>
          </w:p>
        </w:tc>
        <w:tc>
          <w:tcPr>
            <w:tcW w:w="180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《预算法》、《政府信息公开条例》、《财政部关于印发&lt;地方预决算公开操作规程的通知&gt;》、《财政部关于印发&lt;地方政府债务信息公开办法（试行）&gt;的通知》等法律法规和文件规定</w:t>
            </w:r>
          </w:p>
        </w:tc>
        <w:tc>
          <w:tcPr>
            <w:tcW w:w="162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本级人民代表大会或其常务委员会批准后20日内</w:t>
            </w:r>
          </w:p>
        </w:tc>
        <w:tc>
          <w:tcPr>
            <w:tcW w:w="90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val="en-US" w:eastAsia="zh-CN"/>
              </w:rPr>
              <w:t>财政局</w:t>
            </w:r>
          </w:p>
        </w:tc>
        <w:tc>
          <w:tcPr>
            <w:tcW w:w="180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■财政部门网站公开平台</w:t>
            </w:r>
          </w:p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社会保险基金预算：①社会保险基金收入表。②社会保险基金支出表。</w:t>
            </w: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noWrap w:val="0"/>
            <w:vAlign w:val="top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地方一般公共预算、政府性基金预算、国有资本经营预算和社会保险基金预算报表中涉及本级支出的，应当公开到功能分类项级科目。本级一般公共预算基本支出应当公开到经济性质分类款级科目，专项转移支付应当分地区、分项目公开。</w:t>
            </w: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noWrap w:val="0"/>
            <w:vAlign w:val="top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对财政转移支付安排、举借政府债务等重要事项进行解释、说明，并公开重大政策和重点项目等绩效目标。</w:t>
            </w: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noWrap w:val="0"/>
            <w:vAlign w:val="top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地方本级汇总的一般公共预算“三公”经费，包括预算总额，以及“因公出国（境）费”“公务用车购置及运行费”（区分“公务用车购置费”“公务用车运行费”两项）、“公务接待费”分项数额，并对增减变化情况进行说明。</w:t>
            </w: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noWrap w:val="0"/>
            <w:vAlign w:val="top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3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财政预决算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政府预算</w:t>
            </w:r>
          </w:p>
        </w:tc>
        <w:tc>
          <w:tcPr>
            <w:tcW w:w="3240" w:type="dxa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地方政府债务限额、余额、使用安排及还本付息等信息，包括：①随同预算公开上一年度本地区、本级及所属地区地方政府债务限额及余额（或余额预计执行数），以及本地区和本级上一年度地方政府债券（含再融资债券）发行及还本付息额（或预计执行数）、本年度地方政府债券还本付息预算数等；②随同调整预算公开当年本地区及本级地方政府债务限额、本级新增地方政府债券资金使用安排等。</w:t>
            </w:r>
          </w:p>
        </w:tc>
        <w:tc>
          <w:tcPr>
            <w:tcW w:w="180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《预算法》、《政府信息公开条例》、《财政部关于印发&lt;地方预决算公开操作规程的通知&gt;》、《财政部关于印发&lt;地方政府债务信息公开办法（试行）&gt;的通知》等法律法规和文件规定</w:t>
            </w:r>
          </w:p>
        </w:tc>
        <w:tc>
          <w:tcPr>
            <w:tcW w:w="162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本级人民代表大会或其常务委员会批准后20日内</w:t>
            </w:r>
          </w:p>
        </w:tc>
        <w:tc>
          <w:tcPr>
            <w:tcW w:w="90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val="en-US" w:eastAsia="zh-CN"/>
              </w:rPr>
              <w:t>财政局</w:t>
            </w:r>
          </w:p>
        </w:tc>
        <w:tc>
          <w:tcPr>
            <w:tcW w:w="180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■财政部门网站公开平台</w:t>
            </w:r>
          </w:p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没有数据的表格应当列出空表并说明。</w:t>
            </w: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4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财政预决算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政府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决算</w:t>
            </w:r>
          </w:p>
        </w:tc>
        <w:tc>
          <w:tcPr>
            <w:tcW w:w="3240" w:type="dxa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一般公共预算：①一般公共预算收入表。②一般公共预算支出表。③一般公共预算本级支出表。④一般公共预算本级基本支出表。⑤一般公共预算税收返还和转移支付表。⑥政府一般债务限额和余额情况表。</w:t>
            </w:r>
          </w:p>
        </w:tc>
        <w:tc>
          <w:tcPr>
            <w:tcW w:w="180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《预算法》、《政府信息公开条例》、《财政部关于印发&lt;地方预决算公开操作规程的通知&gt;》、《财政部关于印发&lt;地方政府债务信息公开办法（试行）&gt;的通知》等法律法规和文件规定</w:t>
            </w:r>
          </w:p>
        </w:tc>
        <w:tc>
          <w:tcPr>
            <w:tcW w:w="162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本级人民代表大会或其常务委员会批准后20日内</w:t>
            </w:r>
          </w:p>
        </w:tc>
        <w:tc>
          <w:tcPr>
            <w:tcW w:w="90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val="en-US" w:eastAsia="zh-CN"/>
              </w:rPr>
              <w:t>财政局</w:t>
            </w:r>
          </w:p>
        </w:tc>
        <w:tc>
          <w:tcPr>
            <w:tcW w:w="180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■财政部门网站公开平台</w:t>
            </w:r>
          </w:p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政府性基金预算：①政府性基金预算收入表。②政府性基金预算支出表。③政府性基金本级支出表。④政府性基金转移支付表。⑤政府专项债务限额和余额情况表。</w:t>
            </w: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国有资本经营预算：①国有资本经营预算收入表。②国有资本经营预算支出表。③国有资本经营预算本级支出表。④国有资本经营预算转移支付表。</w:t>
            </w: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社会保险基金预算：①社会保险基金收入表。②社会保险基金支出表。</w:t>
            </w: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地方一般公共预算、政府性基金预算、国有资本经营预算和社会保险基金预算报表中涉及本级支出的，应当公开到功能分类项级科目。本级一般公共预算基本支出应当公开到经济性质分类款级科目，专项转移支付应当分地区、分项目公开。</w:t>
            </w: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5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财政预决算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政府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决算</w:t>
            </w:r>
          </w:p>
        </w:tc>
        <w:tc>
          <w:tcPr>
            <w:tcW w:w="3240" w:type="dxa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对财政转移支付安排、举借政府债务、预算绩效工作开展情况等重要事项进行解释、说明，并公开重大政策和重点项目绩效执行结果。</w:t>
            </w:r>
          </w:p>
        </w:tc>
        <w:tc>
          <w:tcPr>
            <w:tcW w:w="180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同上</w:t>
            </w:r>
          </w:p>
        </w:tc>
        <w:tc>
          <w:tcPr>
            <w:tcW w:w="162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本级人民代表大会或其常务委员会批准后20日内</w:t>
            </w:r>
          </w:p>
        </w:tc>
        <w:tc>
          <w:tcPr>
            <w:tcW w:w="90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val="en-US" w:eastAsia="zh-CN"/>
              </w:rPr>
              <w:t>财政局</w:t>
            </w:r>
          </w:p>
        </w:tc>
        <w:tc>
          <w:tcPr>
            <w:tcW w:w="180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■财政部门网站公开平台</w:t>
            </w:r>
          </w:p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地方本级汇总的一般公共预算“三公”经费，包括预算总额，以及“因公出国（境）费”“公务用车购置及运行费”（区分“公务用车购置费”“公务用车运行费”两项）“公务接待费”分项数额，并对增减变化情况（与预算对比）进行说明。</w:t>
            </w: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地方政府债务限额、余额、使用安排及还本付息等信息，包括：上年末本地区、本级及所属地区地方政府债务限额、余额决算数，地方政府债券发行、还本付息决算数，以及债券资金使用安排等。</w:t>
            </w: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没有数据的表格应当列出空表并说明。</w:t>
            </w: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6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财政预决算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部门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预算</w:t>
            </w:r>
          </w:p>
        </w:tc>
        <w:tc>
          <w:tcPr>
            <w:tcW w:w="3240" w:type="dxa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收支总体情况表：①部门收支总体情况表。②部门收入总体情况表。③部门支出总体情况表。</w:t>
            </w:r>
          </w:p>
        </w:tc>
        <w:tc>
          <w:tcPr>
            <w:tcW w:w="180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《预算法》、《政府信息公开条例》、《财政部关于印发&lt;地方预决算公开操作规程的通知&gt;》等法律法规和文件规定</w:t>
            </w:r>
          </w:p>
        </w:tc>
        <w:tc>
          <w:tcPr>
            <w:tcW w:w="162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本级政府财政部门批复后20日内</w:t>
            </w:r>
          </w:p>
        </w:tc>
        <w:tc>
          <w:tcPr>
            <w:tcW w:w="90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val="en-US" w:eastAsia="zh-CN"/>
              </w:rPr>
              <w:t>财政局</w:t>
            </w:r>
          </w:p>
        </w:tc>
        <w:tc>
          <w:tcPr>
            <w:tcW w:w="180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■部门网站</w:t>
            </w:r>
          </w:p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财政拨款收支情况表：①财政拨款收支总体情况表。②一般公共预算支出情况表。③一般公共预算基本支出情况表。④一般公共预算“三公”经费支出情况表。⑤政府性基金预算支出情况表。</w:t>
            </w: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noWrap w:val="0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一般公共预算支出情况表公开到功能分类项级科目。一般公共预算基本支出表公开到经济分类款级科目。</w:t>
            </w: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一般公共预算“三公”经费支出表按“因公出国（境）费”“公务用车购置及运行费”“公务接待费”公开，其中，“公务用车购置及运行费”应当细化到“公务用车购置费”“公务用车运行费”两个项目，并对增减变化情况进行说明。</w:t>
            </w: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noWrap w:val="0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本部门职责、机构设置情况、预算收支增减变化、机关运行经费安排以及政府采购（主要包括部门政府采购预算总金额和货物、工程、服务采购的预算金额）等情况的说明，并对专业性较强的名词进行解释。结合工作进展情况，逐步公开国有资产占用、重点项目预算的绩效目标等情况。</w:t>
            </w: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noWrap w:val="0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没有数据的表格应当列出空表并说明。</w:t>
            </w: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7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财政预决算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部门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决算</w:t>
            </w:r>
          </w:p>
        </w:tc>
        <w:tc>
          <w:tcPr>
            <w:tcW w:w="3240" w:type="dxa"/>
            <w:noWrap w:val="0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收支总体情况表：①部门收支总体情况表。②部门收入总体情况表。③部门支出总体情况表。</w:t>
            </w:r>
          </w:p>
        </w:tc>
        <w:tc>
          <w:tcPr>
            <w:tcW w:w="180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《预算法》、《政府信息公开条例》、《财政部关于印发&lt;地方预决算公开操作规程的通知&gt;》等法律法规和文件规定</w:t>
            </w:r>
          </w:p>
        </w:tc>
        <w:tc>
          <w:tcPr>
            <w:tcW w:w="162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本级政府财政部门批复后20日内</w:t>
            </w:r>
          </w:p>
        </w:tc>
        <w:tc>
          <w:tcPr>
            <w:tcW w:w="90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val="en-US" w:eastAsia="zh-CN"/>
              </w:rPr>
              <w:t>财政局及各部门</w:t>
            </w:r>
          </w:p>
        </w:tc>
        <w:tc>
          <w:tcPr>
            <w:tcW w:w="180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■部门网站</w:t>
            </w:r>
          </w:p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noWrap w:val="0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财政拨款收支情况表：①财政拨款收支总体情况表。②一般公共预算支出情况表。③一般公共预算基本支出情况表。④一般公共预算“三公”经费支出情况表。⑤政府性基金预算支出情况表。⑥国有资本经营预算财政拨款支出情况表。</w:t>
            </w: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noWrap w:val="0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政府采购情况表</w:t>
            </w: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noWrap w:val="0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一般公共预算支出情况表公开到功能分类项级科目。一般公共预算基本支出表公开到经济分类款级科目。</w:t>
            </w: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noWrap w:val="0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一般公共预算“三公”经费支出表按“因公出国（境）费”“公务用车购置及运行费”“公务接待费”公开，其中，“公务用车购置及运行费”应当细化到“公务用车购置费”“公务用车运行费”两个项目，并对增减变化情况（与预算对比）进行说明。</w:t>
            </w: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8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财政预决算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部门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决算</w:t>
            </w:r>
          </w:p>
        </w:tc>
        <w:tc>
          <w:tcPr>
            <w:tcW w:w="3240" w:type="dxa"/>
            <w:noWrap w:val="0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本部门职责、机构设置情况、决算收支增减变化、机关运行经费安排以及政府采购（主要包括部门政府采购支出总金额，货物、工程、服务的采购金额，授予中小企业的合同金额及占政府采购支出总金额的比重）等情况的说明，并对专业性较强的名词进行解释。结合工作进展情况，逐步公开国有资产占用、绩效评价结果等情况。</w:t>
            </w:r>
          </w:p>
        </w:tc>
        <w:tc>
          <w:tcPr>
            <w:tcW w:w="180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《预算法》、《政府信息公开条例》、《财政部关于印发&lt;地方预决算公开操作规程的通知&gt;》等法律法规和文件规定</w:t>
            </w:r>
          </w:p>
        </w:tc>
        <w:tc>
          <w:tcPr>
            <w:tcW w:w="162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本级政府财政部门批复后20日内</w:t>
            </w:r>
          </w:p>
        </w:tc>
        <w:tc>
          <w:tcPr>
            <w:tcW w:w="90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val="en-US" w:eastAsia="zh-CN"/>
              </w:rPr>
              <w:t>财政局</w:t>
            </w:r>
          </w:p>
        </w:tc>
        <w:tc>
          <w:tcPr>
            <w:tcW w:w="1800" w:type="dxa"/>
            <w:vMerge w:val="restart"/>
            <w:noWrap w:val="0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■部门网站</w:t>
            </w:r>
          </w:p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noWrap w:val="0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没有数据的表格应当列出空表并说明。</w:t>
            </w: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9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政府采购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部门采购</w:t>
            </w:r>
          </w:p>
        </w:tc>
        <w:tc>
          <w:tcPr>
            <w:tcW w:w="3240" w:type="dxa"/>
            <w:noWrap w:val="0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eastAsia="仿宋_GB2312" w:cs="Calibri"/>
                <w:color w:val="000000"/>
                <w:sz w:val="18"/>
                <w:szCs w:val="18"/>
              </w:rPr>
              <w:t>①招标（采购）公告  ② 中标（成交）结果公告③ 更正公告 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④合同公告</w:t>
            </w:r>
          </w:p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⑤废标（终止）公告⑥单一来源公示</w:t>
            </w:r>
          </w:p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⑦本级政府采购投诉举报受理部门及联系方式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《中华人民共和国政府采购法》《中华人民共和国政府采购法实施条例》《政府采购信息发布管理办法》等法律法规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按照相关法律法规及时公开</w:t>
            </w: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val="en-US" w:eastAsia="zh-CN"/>
              </w:rPr>
              <w:t>财政局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财政部门网站公开平台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票据管理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noWrap w:val="0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票据工本费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《政府信息公开条例》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val="en-US" w:eastAsia="zh-CN"/>
              </w:rPr>
              <w:t>财政局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财政部门网站公开平台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52A3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2021-11-04T08:19:15Z</dcterms:created>
  <dc:creator>Administrator</dc:creator>
  <cp:lastModifiedBy>你我他</cp:lastModifiedBy>
  <cp:lastPrinted>2021-11-04T08:25:44Z</cp:lastPrinted>
  <dcterms:modified xsi:type="dcterms:W3CDTF">2021-11-04T08:45:56Z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