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701CFF7">
      <w:pPr>
        <w:keepNext w:val="0"/>
        <w:keepLines w:val="0"/>
        <w:pageBreakBefore w:val="0"/>
        <w:widowControl w:val="0"/>
        <w:kinsoku/>
        <w:wordWrap/>
        <w:overflowPunct w:val="0"/>
        <w:topLinePunct w:val="0"/>
        <w:autoSpaceDE/>
        <w:autoSpaceDN/>
        <w:bidi w:val="0"/>
        <w:adjustRightInd/>
        <w:snapToGrid/>
        <w:spacing w:line="620" w:lineRule="exact"/>
        <w:jc w:val="right"/>
        <w:textAlignment w:val="auto"/>
        <w:rPr>
          <w:rFonts w:hint="eastAsia" w:ascii="黑体" w:hAnsi="黑体" w:eastAsia="黑体" w:cs="黑体"/>
          <w:sz w:val="32"/>
          <w:szCs w:val="32"/>
        </w:rPr>
      </w:pPr>
      <w:bookmarkStart w:id="0" w:name="_GoBack"/>
      <w:bookmarkEnd w:id="0"/>
      <w:r>
        <w:rPr>
          <w:rFonts w:hint="eastAsia" w:ascii="黑体" w:hAnsi="黑体" w:eastAsia="黑体" w:cs="黑体"/>
          <w:sz w:val="32"/>
          <w:szCs w:val="32"/>
        </w:rPr>
        <w:t>JSGF-2026-002</w:t>
      </w:r>
    </w:p>
    <w:p w14:paraId="2D495C4C">
      <w:pPr>
        <w:keepNext w:val="0"/>
        <w:keepLines w:val="0"/>
        <w:pageBreakBefore w:val="0"/>
        <w:widowControl w:val="0"/>
        <w:kinsoku/>
        <w:wordWrap/>
        <w:overflowPunct w:val="0"/>
        <w:topLinePunct w:val="0"/>
        <w:autoSpaceDE/>
        <w:autoSpaceDN/>
        <w:bidi w:val="0"/>
        <w:adjustRightInd/>
        <w:snapToGrid/>
        <w:spacing w:line="620" w:lineRule="exact"/>
        <w:jc w:val="center"/>
        <w:textAlignment w:val="auto"/>
        <w:rPr>
          <w:rFonts w:hint="eastAsia" w:ascii="方正小标宋简体" w:hAnsi="方正小标宋简体" w:eastAsia="方正小标宋简体" w:cs="方正小标宋简体"/>
          <w:sz w:val="44"/>
          <w:szCs w:val="44"/>
        </w:rPr>
      </w:pPr>
    </w:p>
    <w:p w14:paraId="3DF116D7">
      <w:pPr>
        <w:keepNext w:val="0"/>
        <w:keepLines w:val="0"/>
        <w:pageBreakBefore w:val="0"/>
        <w:widowControl w:val="0"/>
        <w:kinsoku/>
        <w:wordWrap/>
        <w:overflowPunct w:val="0"/>
        <w:topLinePunct w:val="0"/>
        <w:autoSpaceDE/>
        <w:autoSpaceDN/>
        <w:bidi w:val="0"/>
        <w:adjustRightInd/>
        <w:snapToGrid/>
        <w:spacing w:line="620" w:lineRule="exact"/>
        <w:jc w:val="center"/>
        <w:textAlignment w:val="auto"/>
        <w:rPr>
          <w:rFonts w:hint="eastAsia" w:ascii="方正小标宋简体" w:hAnsi="方正小标宋简体" w:eastAsia="方正小标宋简体" w:cs="方正小标宋简体"/>
          <w:sz w:val="44"/>
          <w:szCs w:val="44"/>
        </w:rPr>
      </w:pPr>
    </w:p>
    <w:p w14:paraId="38FA5701">
      <w:pPr>
        <w:pStyle w:val="2"/>
        <w:keepNext w:val="0"/>
        <w:keepLines w:val="0"/>
        <w:pageBreakBefore w:val="0"/>
        <w:widowControl w:val="0"/>
        <w:kinsoku/>
        <w:wordWrap/>
        <w:topLinePunct w:val="0"/>
        <w:autoSpaceDE/>
        <w:autoSpaceDN/>
        <w:bidi w:val="0"/>
        <w:adjustRightInd/>
        <w:snapToGrid/>
        <w:spacing w:line="620" w:lineRule="exact"/>
        <w:jc w:val="center"/>
        <w:textAlignment w:val="auto"/>
        <w:rPr>
          <w:rFonts w:hint="eastAsia" w:ascii="方正小标宋简体" w:hAnsi="方正小标宋简体" w:eastAsia="方正小标宋简体" w:cs="方正小标宋简体"/>
          <w:sz w:val="44"/>
          <w:szCs w:val="44"/>
        </w:rPr>
      </w:pPr>
      <w:r>
        <w:rPr>
          <w:rFonts w:hint="eastAsia"/>
          <w:szCs w:val="32"/>
        </w:rPr>
        <mc:AlternateContent>
          <mc:Choice Requires="wpg">
            <w:drawing>
              <wp:anchor distT="0" distB="0" distL="114300" distR="114300" simplePos="0" relativeHeight="251661312" behindDoc="0" locked="0" layoutInCell="1" allowOverlap="1">
                <wp:simplePos x="0" y="0"/>
                <wp:positionH relativeFrom="column">
                  <wp:posOffset>123825</wp:posOffset>
                </wp:positionH>
                <wp:positionV relativeFrom="paragraph">
                  <wp:posOffset>53975</wp:posOffset>
                </wp:positionV>
                <wp:extent cx="5615940" cy="1972945"/>
                <wp:effectExtent l="0" t="0" r="0" b="0"/>
                <wp:wrapNone/>
                <wp:docPr id="5" name="组合 5"/>
                <wp:cNvGraphicFramePr/>
                <a:graphic xmlns:a="http://schemas.openxmlformats.org/drawingml/2006/main">
                  <a:graphicData uri="http://schemas.microsoft.com/office/word/2010/wordprocessingGroup">
                    <wpg:wgp>
                      <wpg:cNvGrpSpPr/>
                      <wpg:grpSpPr>
                        <a:xfrm>
                          <a:off x="0" y="0"/>
                          <a:ext cx="5615940" cy="1972945"/>
                          <a:chOff x="0" y="0"/>
                          <a:chExt cx="8844" cy="3107"/>
                        </a:xfrm>
                      </wpg:grpSpPr>
                      <wps:wsp>
                        <wps:cNvPr id="3" name="直接连接符 3"/>
                        <wps:cNvSpPr/>
                        <wps:spPr>
                          <a:xfrm>
                            <a:off x="0" y="3107"/>
                            <a:ext cx="8844" cy="0"/>
                          </a:xfrm>
                          <a:prstGeom prst="line">
                            <a:avLst/>
                          </a:prstGeom>
                          <a:ln w="15875" cap="flat" cmpd="sng">
                            <a:solidFill>
                              <a:srgbClr val="FF0000"/>
                            </a:solidFill>
                            <a:prstDash val="solid"/>
                            <a:headEnd type="none" w="med" len="med"/>
                            <a:tailEnd type="none" w="med" len="med"/>
                          </a:ln>
                        </wps:spPr>
                        <wps:bodyPr upright="1"/>
                      </wps:wsp>
                      <wps:wsp>
                        <wps:cNvPr id="4" name="文本框 4"/>
                        <wps:cNvSpPr txBox="1"/>
                        <wps:spPr>
                          <a:xfrm>
                            <a:off x="393" y="0"/>
                            <a:ext cx="8058" cy="1746"/>
                          </a:xfrm>
                          <a:prstGeom prst="rect">
                            <a:avLst/>
                          </a:prstGeom>
                          <a:noFill/>
                          <a:ln>
                            <a:noFill/>
                          </a:ln>
                        </wps:spPr>
                        <wps:txbx>
                          <w:txbxContent>
                            <w:p w14:paraId="2F551CA5">
                              <w:pPr>
                                <w:spacing w:line="1400" w:lineRule="exact"/>
                                <w:jc w:val="center"/>
                                <w:rPr>
                                  <w:rFonts w:hint="eastAsia" w:ascii="方正小标宋简体" w:hAnsi="Calibri" w:eastAsia="方正小标宋简体"/>
                                  <w:color w:val="FF0000"/>
                                  <w:sz w:val="92"/>
                                  <w:szCs w:val="92"/>
                                </w:rPr>
                              </w:pPr>
                              <w:r>
                                <w:rPr>
                                  <w:rFonts w:hint="eastAsia" w:ascii="方正小标宋简体" w:hAnsi="Calibri" w:eastAsia="方正小标宋简体"/>
                                  <w:color w:val="FF0000"/>
                                  <w:sz w:val="92"/>
                                  <w:szCs w:val="92"/>
                                </w:rPr>
                                <w:t>河北省水利厅文件</w:t>
                              </w:r>
                            </w:p>
                          </w:txbxContent>
                        </wps:txbx>
                        <wps:bodyPr upright="1"/>
                      </wps:wsp>
                    </wpg:wgp>
                  </a:graphicData>
                </a:graphic>
              </wp:anchor>
            </w:drawing>
          </mc:Choice>
          <mc:Fallback>
            <w:pict>
              <v:group id="_x0000_s1026" o:spid="_x0000_s1026" o:spt="203" style="position:absolute;left:0pt;margin-left:9.75pt;margin-top:4.25pt;height:155.35pt;width:442.2pt;z-index:251661312;mso-width-relative:page;mso-height-relative:page;" coordsize="8844,3107" o:gfxdata="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">
                <o:lock v:ext="edit" grouping="f" rotation="f" text="f" aspectratio="f"/>
                <v:line id="_x0000_s1026" o:spid="_x0000_s1026" o:spt="20" style="position:absolute;left:0;top:3107;height:0;width:8844;" filled="f" stroked="t" coordsize="21600,21600" o:gfxdata="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0k7bYvQAA&#10;ANoAAAAPAAAAAAAAAAEAIAAAACIAAABkcnMvZG93bnJldi54bWxQSwECFAAUAAAACACHTuJAMy8F&#10;njsAAAA5AAAAEAAAAAAAAAABACAAAAAMAQAAZHJzL3NoYXBleG1sLnhtbFBLBQYAAAAABgAGAFsB&#10;AAC2AwAAAAA=&#10;">
                  <v:fill on="f" focussize="0,0"/>
                  <v:stroke weight="1.25pt" color="#FF0000" joinstyle="round"/>
                  <v:imagedata o:title=""/>
                  <o:lock v:ext="edit" aspectratio="f"/>
                </v:line>
                <v:shape id="_x0000_s1026" o:spid="_x0000_s1026" o:spt="202" type="#_x0000_t202" style="position:absolute;left:393;top:0;height:1746;width:8058;" filled="f" stroked="f" coordsize="21600,21600" o:gfxdata="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MdWpS8AAAA&#10;2gAAAA8AAAAAAAAAAQAgAAAAIgAAAGRycy9kb3ducmV2LnhtbFBLAQIUABQAAAAIAIdO4kAzLwWe&#10;OwAAADkAAAAQAAAAAAAAAAEAIAAAAAsBAABkcnMvc2hhcGV4bWwueG1sUEsFBgAAAAAGAAYAWwEA&#10;ALUDAAAAAA==&#10;">
                  <v:fill on="f" focussize="0,0"/>
                  <v:stroke on="f"/>
                  <v:imagedata o:title=""/>
                  <o:lock v:ext="edit" aspectratio="f"/>
                  <v:textbox>
                    <w:txbxContent>
                      <w:p w14:paraId="2F551CA5">
                        <w:pPr>
                          <w:spacing w:line="1400" w:lineRule="exact"/>
                          <w:jc w:val="center"/>
                          <w:rPr>
                            <w:rFonts w:hint="eastAsia" w:ascii="方正小标宋简体" w:hAnsi="Calibri" w:eastAsia="方正小标宋简体"/>
                            <w:color w:val="FF0000"/>
                            <w:sz w:val="92"/>
                            <w:szCs w:val="92"/>
                          </w:rPr>
                        </w:pPr>
                        <w:r>
                          <w:rPr>
                            <w:rFonts w:hint="eastAsia" w:ascii="方正小标宋简体" w:hAnsi="Calibri" w:eastAsia="方正小标宋简体"/>
                            <w:color w:val="FF0000"/>
                            <w:sz w:val="92"/>
                            <w:szCs w:val="92"/>
                          </w:rPr>
                          <w:t>河北省水利厅文件</w:t>
                        </w:r>
                      </w:p>
                    </w:txbxContent>
                  </v:textbox>
                </v:shape>
              </v:group>
            </w:pict>
          </mc:Fallback>
        </mc:AlternateContent>
      </w:r>
    </w:p>
    <w:p w14:paraId="7E4C75CE">
      <w:pPr>
        <w:pStyle w:val="2"/>
        <w:keepNext w:val="0"/>
        <w:keepLines w:val="0"/>
        <w:pageBreakBefore w:val="0"/>
        <w:widowControl w:val="0"/>
        <w:kinsoku/>
        <w:wordWrap/>
        <w:topLinePunct w:val="0"/>
        <w:autoSpaceDE/>
        <w:autoSpaceDN/>
        <w:bidi w:val="0"/>
        <w:adjustRightInd/>
        <w:snapToGrid/>
        <w:spacing w:line="620" w:lineRule="exact"/>
        <w:jc w:val="center"/>
        <w:textAlignment w:val="auto"/>
        <w:rPr>
          <w:rFonts w:hint="eastAsia" w:ascii="方正小标宋简体" w:hAnsi="方正小标宋简体" w:eastAsia="方正小标宋简体" w:cs="方正小标宋简体"/>
          <w:sz w:val="44"/>
          <w:szCs w:val="44"/>
        </w:rPr>
      </w:pPr>
    </w:p>
    <w:p w14:paraId="6E00CE3C">
      <w:pPr>
        <w:pStyle w:val="2"/>
        <w:keepNext w:val="0"/>
        <w:keepLines w:val="0"/>
        <w:pageBreakBefore w:val="0"/>
        <w:widowControl w:val="0"/>
        <w:kinsoku/>
        <w:wordWrap/>
        <w:topLinePunct w:val="0"/>
        <w:autoSpaceDE/>
        <w:autoSpaceDN/>
        <w:bidi w:val="0"/>
        <w:adjustRightInd/>
        <w:snapToGrid/>
        <w:spacing w:line="620" w:lineRule="exact"/>
        <w:jc w:val="center"/>
        <w:textAlignment w:val="auto"/>
        <w:rPr>
          <w:rFonts w:hint="eastAsia" w:ascii="方正小标宋简体" w:hAnsi="方正小标宋简体" w:eastAsia="方正小标宋简体" w:cs="方正小标宋简体"/>
          <w:sz w:val="44"/>
          <w:szCs w:val="44"/>
        </w:rPr>
      </w:pPr>
    </w:p>
    <w:p w14:paraId="52BFB393">
      <w:pPr>
        <w:pStyle w:val="2"/>
        <w:keepNext w:val="0"/>
        <w:keepLines w:val="0"/>
        <w:pageBreakBefore w:val="0"/>
        <w:widowControl w:val="0"/>
        <w:kinsoku/>
        <w:wordWrap/>
        <w:topLinePunct w:val="0"/>
        <w:autoSpaceDE/>
        <w:autoSpaceDN/>
        <w:bidi w:val="0"/>
        <w:adjustRightInd/>
        <w:snapToGrid/>
        <w:spacing w:line="620" w:lineRule="exact"/>
        <w:jc w:val="center"/>
        <w:textAlignment w:val="auto"/>
        <w:rPr>
          <w:rFonts w:hint="eastAsia" w:ascii="方正小标宋简体" w:hAnsi="方正小标宋简体" w:eastAsia="方正小标宋简体" w:cs="方正小标宋简体"/>
          <w:sz w:val="44"/>
          <w:szCs w:val="44"/>
        </w:rPr>
      </w:pPr>
    </w:p>
    <w:p w14:paraId="2E0C1087">
      <w:pPr>
        <w:keepNext w:val="0"/>
        <w:keepLines w:val="0"/>
        <w:pageBreakBefore w:val="0"/>
        <w:widowControl w:val="0"/>
        <w:kinsoku/>
        <w:wordWrap/>
        <w:overflowPunct w:val="0"/>
        <w:topLinePunct w:val="0"/>
        <w:autoSpaceDE/>
        <w:autoSpaceDN/>
        <w:bidi w:val="0"/>
        <w:adjustRightInd/>
        <w:snapToGrid/>
        <w:spacing w:beforeLines="0" w:afterLines="0" w:line="560" w:lineRule="exact"/>
        <w:jc w:val="center"/>
        <w:textAlignment w:val="auto"/>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000000"/>
          <w:spacing w:val="0"/>
          <w:sz w:val="32"/>
          <w:szCs w:val="32"/>
          <w:shd w:val="clear" w:fill="FFFFFF"/>
        </w:rPr>
        <w:t>冀水政〔202</w:t>
      </w:r>
      <w:r>
        <w:rPr>
          <w:rFonts w:hint="eastAsia" w:ascii="仿宋_GB2312" w:hAnsi="仿宋_GB2312" w:eastAsia="仿宋_GB2312" w:cs="仿宋_GB2312"/>
          <w:i w:val="0"/>
          <w:iCs w:val="0"/>
          <w:caps w:val="0"/>
          <w:color w:val="000000"/>
          <w:spacing w:val="0"/>
          <w:sz w:val="32"/>
          <w:szCs w:val="32"/>
          <w:shd w:val="clear" w:fill="FFFFFF"/>
          <w:lang w:val="en-US" w:eastAsia="zh-CN"/>
        </w:rPr>
        <w:t>6</w:t>
      </w:r>
      <w:r>
        <w:rPr>
          <w:rFonts w:hint="eastAsia" w:ascii="仿宋_GB2312" w:hAnsi="仿宋_GB2312" w:eastAsia="仿宋_GB2312" w:cs="仿宋_GB2312"/>
          <w:i w:val="0"/>
          <w:iCs w:val="0"/>
          <w:caps w:val="0"/>
          <w:color w:val="000000"/>
          <w:spacing w:val="0"/>
          <w:sz w:val="32"/>
          <w:szCs w:val="32"/>
          <w:shd w:val="clear" w:fill="FFFFFF"/>
        </w:rPr>
        <w:t>〕</w:t>
      </w:r>
      <w:r>
        <w:rPr>
          <w:rFonts w:hint="eastAsia" w:ascii="仿宋_GB2312" w:hAnsi="仿宋_GB2312" w:eastAsia="仿宋_GB2312" w:cs="仿宋_GB2312"/>
          <w:i w:val="0"/>
          <w:iCs w:val="0"/>
          <w:caps w:val="0"/>
          <w:color w:val="000000"/>
          <w:spacing w:val="0"/>
          <w:sz w:val="32"/>
          <w:szCs w:val="32"/>
          <w:shd w:val="clear" w:fill="FFFFFF"/>
          <w:lang w:val="en-US" w:eastAsia="zh-CN"/>
        </w:rPr>
        <w:t>3</w:t>
      </w:r>
      <w:r>
        <w:rPr>
          <w:rFonts w:hint="eastAsia" w:ascii="仿宋_GB2312" w:hAnsi="仿宋_GB2312" w:eastAsia="仿宋_GB2312" w:cs="仿宋_GB2312"/>
          <w:i w:val="0"/>
          <w:iCs w:val="0"/>
          <w:caps w:val="0"/>
          <w:color w:val="000000"/>
          <w:spacing w:val="0"/>
          <w:sz w:val="32"/>
          <w:szCs w:val="32"/>
          <w:shd w:val="clear" w:fill="FFFFFF"/>
        </w:rPr>
        <w:t>号</w:t>
      </w:r>
    </w:p>
    <w:p w14:paraId="615CD663">
      <w:pPr>
        <w:keepNext w:val="0"/>
        <w:keepLines w:val="0"/>
        <w:pageBreakBefore w:val="0"/>
        <w:widowControl w:val="0"/>
        <w:kinsoku/>
        <w:wordWrap/>
        <w:overflowPunct w:val="0"/>
        <w:topLinePunct w:val="0"/>
        <w:autoSpaceDE/>
        <w:autoSpaceDN/>
        <w:bidi w:val="0"/>
        <w:adjustRightInd/>
        <w:snapToGrid/>
        <w:spacing w:beforeLines="0" w:afterLines="0" w:line="660" w:lineRule="exact"/>
        <w:jc w:val="both"/>
        <w:textAlignment w:val="auto"/>
        <w:rPr>
          <w:rFonts w:hint="eastAsia" w:ascii="方正小标宋简体" w:hAnsi="方正小标宋简体" w:eastAsia="方正小标宋简体" w:cs="方正小标宋简体"/>
          <w:sz w:val="44"/>
          <w:szCs w:val="44"/>
        </w:rPr>
      </w:pPr>
    </w:p>
    <w:p w14:paraId="54311FA7">
      <w:pPr>
        <w:keepNext w:val="0"/>
        <w:keepLines w:val="0"/>
        <w:pageBreakBefore w:val="0"/>
        <w:widowControl w:val="0"/>
        <w:kinsoku/>
        <w:wordWrap/>
        <w:overflowPunct w:val="0"/>
        <w:topLinePunct w:val="0"/>
        <w:autoSpaceDE/>
        <w:autoSpaceDN/>
        <w:bidi w:val="0"/>
        <w:adjustRightInd/>
        <w:snapToGrid/>
        <w:spacing w:beforeLines="0" w:afterLines="0" w:line="660" w:lineRule="exact"/>
        <w:jc w:val="both"/>
        <w:textAlignment w:val="auto"/>
        <w:rPr>
          <w:rFonts w:hint="eastAsia" w:ascii="方正小标宋简体" w:hAnsi="方正小标宋简体" w:eastAsia="方正小标宋简体" w:cs="方正小标宋简体"/>
          <w:sz w:val="44"/>
          <w:szCs w:val="44"/>
        </w:rPr>
      </w:pPr>
    </w:p>
    <w:p w14:paraId="72AB98CB">
      <w:pPr>
        <w:keepNext w:val="0"/>
        <w:keepLines w:val="0"/>
        <w:pageBreakBefore w:val="0"/>
        <w:widowControl w:val="0"/>
        <w:kinsoku/>
        <w:wordWrap/>
        <w:overflowPunct w:val="0"/>
        <w:topLinePunct w:val="0"/>
        <w:autoSpaceDE/>
        <w:autoSpaceDN/>
        <w:bidi w:val="0"/>
        <w:adjustRightInd/>
        <w:snapToGrid/>
        <w:spacing w:beforeLines="0" w:afterLines="0" w:line="660" w:lineRule="exact"/>
        <w:jc w:val="center"/>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关于印发《</w:t>
      </w:r>
      <w:r>
        <w:rPr>
          <w:rFonts w:hint="eastAsia" w:ascii="方正小标宋简体" w:hAnsi="方正小标宋简体" w:eastAsia="方正小标宋简体" w:cs="方正小标宋简体"/>
          <w:sz w:val="44"/>
          <w:szCs w:val="44"/>
          <w:lang w:val="en-US" w:eastAsia="zh-CN"/>
        </w:rPr>
        <w:t>河北省水利领域</w:t>
      </w:r>
      <w:r>
        <w:rPr>
          <w:rFonts w:hint="eastAsia" w:ascii="方正小标宋简体" w:hAnsi="方正小标宋简体" w:eastAsia="方正小标宋简体" w:cs="方正小标宋简体"/>
          <w:sz w:val="44"/>
          <w:szCs w:val="44"/>
        </w:rPr>
        <w:t>行政处罚裁量权</w:t>
      </w:r>
    </w:p>
    <w:p w14:paraId="6B3DB4A6">
      <w:pPr>
        <w:keepNext w:val="0"/>
        <w:keepLines w:val="0"/>
        <w:pageBreakBefore w:val="0"/>
        <w:widowControl w:val="0"/>
        <w:kinsoku/>
        <w:wordWrap/>
        <w:overflowPunct w:val="0"/>
        <w:topLinePunct w:val="0"/>
        <w:autoSpaceDE/>
        <w:autoSpaceDN/>
        <w:bidi w:val="0"/>
        <w:adjustRightInd/>
        <w:snapToGrid/>
        <w:spacing w:beforeLines="0" w:afterLines="0" w:line="660" w:lineRule="exact"/>
        <w:jc w:val="center"/>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执行标准</w:t>
      </w:r>
      <w:r>
        <w:rPr>
          <w:rFonts w:hint="eastAsia" w:ascii="方正小标宋简体" w:hAnsi="方正小标宋简体" w:eastAsia="方正小标宋简体" w:cs="方正小标宋简体"/>
          <w:sz w:val="44"/>
          <w:szCs w:val="44"/>
          <w:lang w:eastAsia="zh-CN"/>
        </w:rPr>
        <w:t>（</w:t>
      </w:r>
      <w:r>
        <w:rPr>
          <w:rFonts w:hint="eastAsia" w:ascii="方正小标宋简体" w:hAnsi="方正小标宋简体" w:eastAsia="方正小标宋简体" w:cs="方正小标宋简体"/>
          <w:sz w:val="44"/>
          <w:szCs w:val="44"/>
          <w:lang w:val="en-US" w:eastAsia="zh-CN"/>
        </w:rPr>
        <w:t>2025版</w:t>
      </w:r>
      <w:r>
        <w:rPr>
          <w:rFonts w:hint="eastAsia" w:ascii="方正小标宋简体" w:hAnsi="方正小标宋简体" w:eastAsia="方正小标宋简体" w:cs="方正小标宋简体"/>
          <w:sz w:val="44"/>
          <w:szCs w:val="44"/>
          <w:lang w:eastAsia="zh-CN"/>
        </w:rPr>
        <w:t>）</w:t>
      </w:r>
      <w:r>
        <w:rPr>
          <w:rFonts w:hint="eastAsia" w:ascii="方正小标宋简体" w:hAnsi="方正小标宋简体" w:eastAsia="方正小标宋简体" w:cs="方正小标宋简体"/>
          <w:sz w:val="44"/>
          <w:szCs w:val="44"/>
        </w:rPr>
        <w:t>》的通知</w:t>
      </w:r>
    </w:p>
    <w:p w14:paraId="4896E6E7">
      <w:pPr>
        <w:keepNext w:val="0"/>
        <w:keepLines w:val="0"/>
        <w:pageBreakBefore w:val="0"/>
        <w:widowControl w:val="0"/>
        <w:kinsoku/>
        <w:wordWrap/>
        <w:overflowPunct w:val="0"/>
        <w:topLinePunct w:val="0"/>
        <w:autoSpaceDE/>
        <w:autoSpaceDN/>
        <w:bidi w:val="0"/>
        <w:adjustRightInd/>
        <w:snapToGrid/>
        <w:spacing w:beforeLines="0" w:afterLines="0" w:line="660" w:lineRule="exact"/>
        <w:textAlignment w:val="baseline"/>
        <w:rPr>
          <w:rStyle w:val="27"/>
          <w:rFonts w:hint="eastAsia" w:ascii="仿宋_GB2312" w:hAnsi="仿宋_GB2312" w:eastAsia="仿宋_GB2312"/>
          <w:sz w:val="32"/>
          <w:szCs w:val="32"/>
          <w:lang w:val="zh-CN"/>
        </w:rPr>
      </w:pPr>
    </w:p>
    <w:p w14:paraId="6467D48A">
      <w:pPr>
        <w:keepNext w:val="0"/>
        <w:keepLines w:val="0"/>
        <w:pageBreakBefore w:val="0"/>
        <w:widowControl w:val="0"/>
        <w:kinsoku/>
        <w:overflowPunct w:val="0"/>
        <w:topLinePunct w:val="0"/>
        <w:autoSpaceDE/>
        <w:autoSpaceDN/>
        <w:bidi w:val="0"/>
        <w:adjustRightInd/>
        <w:snapToGrid/>
        <w:spacing w:beforeLines="0" w:afterLines="0" w:line="660" w:lineRule="exact"/>
        <w:textAlignment w:val="baseline"/>
        <w:rPr>
          <w:rStyle w:val="27"/>
          <w:rFonts w:ascii="仿宋_GB2312" w:hAnsi="仿宋_GB2312" w:eastAsia="仿宋_GB2312"/>
          <w:sz w:val="32"/>
          <w:szCs w:val="32"/>
          <w:lang w:val="zh-CN"/>
        </w:rPr>
      </w:pPr>
      <w:r>
        <w:rPr>
          <w:rStyle w:val="27"/>
          <w:rFonts w:ascii="仿宋_GB2312" w:hAnsi="仿宋_GB2312" w:eastAsia="仿宋_GB2312"/>
          <w:sz w:val="32"/>
          <w:szCs w:val="32"/>
          <w:lang w:val="zh-CN"/>
        </w:rPr>
        <w:t>各市（含定州、辛集市）水利（水务）局，雄安新区</w:t>
      </w:r>
      <w:r>
        <w:rPr>
          <w:rStyle w:val="27"/>
          <w:rFonts w:hint="eastAsia" w:ascii="仿宋_GB2312" w:hAnsi="仿宋_GB2312" w:eastAsia="仿宋_GB2312"/>
          <w:sz w:val="32"/>
          <w:szCs w:val="32"/>
          <w:lang w:val="zh-CN"/>
        </w:rPr>
        <w:t>建设和交通管理局：</w:t>
      </w:r>
    </w:p>
    <w:p w14:paraId="51C2FD60">
      <w:pPr>
        <w:pStyle w:val="2"/>
        <w:keepNext w:val="0"/>
        <w:keepLines w:val="0"/>
        <w:pageBreakBefore w:val="0"/>
        <w:widowControl w:val="0"/>
        <w:kinsoku/>
        <w:overflowPunct w:val="0"/>
        <w:topLinePunct w:val="0"/>
        <w:autoSpaceDE/>
        <w:autoSpaceDN/>
        <w:bidi w:val="0"/>
        <w:adjustRightInd/>
        <w:snapToGrid/>
        <w:spacing w:beforeLines="0" w:afterLines="0" w:line="660" w:lineRule="exact"/>
        <w:ind w:firstLine="640" w:firstLineChars="200"/>
        <w:rPr>
          <w:rFonts w:ascii="仿宋_GB2312" w:hAnsi="仿宋_GB2312" w:eastAsia="仿宋_GB2312" w:cs="仿宋_GB2312"/>
        </w:rPr>
      </w:pPr>
      <w:r>
        <w:rPr>
          <w:rFonts w:hint="eastAsia" w:ascii="仿宋_GB2312" w:hAnsi="仿宋_GB2312" w:eastAsia="仿宋_GB2312" w:cs="仿宋_GB2312"/>
          <w:shd w:val="clear" w:color="auto" w:fill="FFFFFF"/>
          <w:lang w:val="en-US" w:eastAsia="zh-CN"/>
        </w:rPr>
        <w:t>现将修订后的</w:t>
      </w:r>
      <w:r>
        <w:rPr>
          <w:rFonts w:hint="eastAsia" w:ascii="仿宋_GB2312" w:hAnsi="仿宋_GB2312" w:eastAsia="仿宋_GB2312" w:cs="仿宋_GB2312"/>
          <w:shd w:val="clear" w:color="auto" w:fill="FFFFFF"/>
        </w:rPr>
        <w:t>《</w:t>
      </w:r>
      <w:r>
        <w:rPr>
          <w:rFonts w:hint="eastAsia" w:ascii="仿宋_GB2312" w:hAnsi="仿宋_GB2312" w:eastAsia="仿宋_GB2312" w:cs="仿宋_GB2312"/>
          <w:shd w:val="clear" w:color="auto" w:fill="FFFFFF"/>
          <w:lang w:val="en-US" w:eastAsia="zh-CN"/>
        </w:rPr>
        <w:t>河北省水利领域</w:t>
      </w:r>
      <w:r>
        <w:rPr>
          <w:rFonts w:hint="eastAsia" w:ascii="仿宋_GB2312" w:hAnsi="仿宋_GB2312" w:eastAsia="仿宋_GB2312" w:cs="仿宋_GB2312"/>
          <w:shd w:val="clear" w:color="auto" w:fill="FFFFFF"/>
        </w:rPr>
        <w:t>行政处罚裁量权执行标准</w:t>
      </w:r>
      <w:r>
        <w:rPr>
          <w:rFonts w:hint="eastAsia" w:ascii="仿宋_GB2312" w:hAnsi="仿宋_GB2312" w:eastAsia="仿宋_GB2312" w:cs="仿宋_GB2312"/>
          <w:shd w:val="clear" w:color="auto" w:fill="FFFFFF"/>
          <w:lang w:eastAsia="zh-CN"/>
        </w:rPr>
        <w:t>（</w:t>
      </w:r>
      <w:r>
        <w:rPr>
          <w:rFonts w:hint="eastAsia" w:ascii="仿宋_GB2312" w:hAnsi="仿宋_GB2312" w:eastAsia="仿宋_GB2312" w:cs="仿宋_GB2312"/>
          <w:shd w:val="clear" w:color="auto" w:fill="FFFFFF"/>
          <w:lang w:val="en-US" w:eastAsia="zh-CN"/>
        </w:rPr>
        <w:t>2025版</w:t>
      </w:r>
      <w:r>
        <w:rPr>
          <w:rFonts w:hint="eastAsia" w:ascii="仿宋_GB2312" w:hAnsi="仿宋_GB2312" w:eastAsia="仿宋_GB2312" w:cs="仿宋_GB2312"/>
          <w:shd w:val="clear" w:color="auto" w:fill="FFFFFF"/>
          <w:lang w:eastAsia="zh-CN"/>
        </w:rPr>
        <w:t>）</w:t>
      </w:r>
      <w:r>
        <w:rPr>
          <w:rFonts w:hint="eastAsia" w:ascii="仿宋_GB2312" w:hAnsi="仿宋_GB2312" w:eastAsia="仿宋_GB2312" w:cs="仿宋_GB2312"/>
          <w:shd w:val="clear" w:color="auto" w:fill="FFFFFF"/>
        </w:rPr>
        <w:t>》</w:t>
      </w:r>
      <w:r>
        <w:rPr>
          <w:rFonts w:hint="eastAsia" w:ascii="仿宋_GB2312" w:hAnsi="仿宋_GB2312" w:eastAsia="仿宋_GB2312" w:cs="仿宋_GB2312"/>
          <w:shd w:val="clear" w:color="auto" w:fill="FFFFFF"/>
          <w:lang w:val="en-US" w:eastAsia="zh-CN"/>
        </w:rPr>
        <w:t>印发给你们，</w:t>
      </w:r>
      <w:r>
        <w:rPr>
          <w:rFonts w:hint="eastAsia" w:ascii="仿宋_GB2312" w:hAnsi="仿宋_GB2312" w:eastAsia="仿宋_GB2312" w:cs="仿宋_GB2312"/>
          <w:shd w:val="clear" w:color="auto" w:fill="FFFFFF"/>
        </w:rPr>
        <w:t>请结合实际，</w:t>
      </w:r>
      <w:r>
        <w:rPr>
          <w:rFonts w:hint="eastAsia" w:ascii="仿宋_GB2312" w:hAnsi="仿宋_GB2312" w:eastAsia="仿宋_GB2312" w:cs="仿宋_GB2312"/>
          <w:shd w:val="clear" w:color="auto" w:fill="FFFFFF"/>
          <w:lang w:val="en-US" w:eastAsia="zh-CN"/>
        </w:rPr>
        <w:t>认真组织学习，并严格</w:t>
      </w:r>
      <w:r>
        <w:rPr>
          <w:rFonts w:hint="eastAsia" w:ascii="仿宋_GB2312" w:hAnsi="仿宋_GB2312" w:eastAsia="仿宋_GB2312" w:cs="仿宋_GB2312"/>
          <w:shd w:val="clear" w:color="auto" w:fill="FFFFFF"/>
        </w:rPr>
        <w:t>执行。</w:t>
      </w:r>
    </w:p>
    <w:p w14:paraId="39FEFC6A">
      <w:pPr>
        <w:pStyle w:val="2"/>
        <w:keepNext w:val="0"/>
        <w:keepLines w:val="0"/>
        <w:pageBreakBefore w:val="0"/>
        <w:widowControl w:val="0"/>
        <w:kinsoku/>
        <w:overflowPunct w:val="0"/>
        <w:topLinePunct w:val="0"/>
        <w:autoSpaceDE/>
        <w:autoSpaceDN/>
        <w:bidi w:val="0"/>
        <w:adjustRightInd/>
        <w:snapToGrid/>
        <w:spacing w:beforeLines="0" w:afterLines="0" w:line="660" w:lineRule="exact"/>
        <w:ind w:firstLine="640" w:firstLineChars="200"/>
        <w:rPr>
          <w:rFonts w:hint="eastAsia" w:ascii="仿宋_GB2312" w:hAnsi="仿宋_GB2312" w:eastAsia="仿宋_GB2312" w:cs="仿宋_GB2312"/>
        </w:rPr>
      </w:pPr>
      <w:r>
        <w:rPr>
          <w:rFonts w:hint="eastAsia" w:ascii="仿宋_GB2312" w:hAnsi="仿宋_GB2312" w:eastAsia="仿宋_GB2312" w:cs="仿宋_GB2312"/>
        </w:rPr>
        <w:t>《河北省水利领域行政处罚裁量权执行标准（2024版）》废止。</w:t>
      </w:r>
    </w:p>
    <w:p w14:paraId="1510E898">
      <w:pPr>
        <w:pStyle w:val="2"/>
        <w:keepNext w:val="0"/>
        <w:keepLines w:val="0"/>
        <w:pageBreakBefore w:val="0"/>
        <w:widowControl w:val="0"/>
        <w:kinsoku/>
        <w:overflowPunct w:val="0"/>
        <w:topLinePunct w:val="0"/>
        <w:autoSpaceDE/>
        <w:autoSpaceDN/>
        <w:bidi w:val="0"/>
        <w:adjustRightInd/>
        <w:snapToGrid/>
        <w:spacing w:beforeLines="0" w:afterLines="0" w:line="660" w:lineRule="exact"/>
        <w:rPr>
          <w:rFonts w:ascii="仿宋_GB2312" w:hAnsi="仿宋_GB2312" w:eastAsia="仿宋_GB2312" w:cs="仿宋_GB2312"/>
        </w:rPr>
      </w:pPr>
    </w:p>
    <w:p w14:paraId="60C7F5F9">
      <w:pPr>
        <w:pStyle w:val="2"/>
        <w:keepNext w:val="0"/>
        <w:keepLines w:val="0"/>
        <w:pageBreakBefore w:val="0"/>
        <w:widowControl w:val="0"/>
        <w:kinsoku/>
        <w:overflowPunct w:val="0"/>
        <w:topLinePunct w:val="0"/>
        <w:autoSpaceDE/>
        <w:autoSpaceDN/>
        <w:bidi w:val="0"/>
        <w:adjustRightInd/>
        <w:snapToGrid/>
        <w:spacing w:beforeLines="0" w:afterLines="0" w:line="660" w:lineRule="exact"/>
        <w:rPr>
          <w:rFonts w:ascii="仿宋_GB2312" w:hAnsi="仿宋_GB2312" w:eastAsia="仿宋_GB2312" w:cs="仿宋_GB2312"/>
        </w:rPr>
      </w:pPr>
    </w:p>
    <w:p w14:paraId="52B0F005">
      <w:pPr>
        <w:pStyle w:val="2"/>
        <w:keepNext w:val="0"/>
        <w:keepLines w:val="0"/>
        <w:pageBreakBefore w:val="0"/>
        <w:widowControl w:val="0"/>
        <w:kinsoku/>
        <w:overflowPunct w:val="0"/>
        <w:topLinePunct w:val="0"/>
        <w:autoSpaceDE/>
        <w:autoSpaceDN/>
        <w:bidi w:val="0"/>
        <w:adjustRightInd/>
        <w:snapToGrid/>
        <w:spacing w:beforeLines="0" w:afterLines="0" w:line="6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r>
        <w:rPr>
          <w:rFonts w:hint="eastAsia" w:ascii="仿宋_GB2312" w:hAnsi="仿宋_GB2312" w:eastAsia="仿宋_GB2312" w:cs="仿宋_GB2312"/>
          <w:spacing w:val="4"/>
          <w:sz w:val="32"/>
          <w:szCs w:val="32"/>
        </w:rPr>
        <w:t xml:space="preserve">  </w:t>
      </w:r>
      <w:r>
        <w:rPr>
          <w:rFonts w:hint="eastAsia" w:ascii="仿宋_GB2312" w:hAnsi="仿宋_GB2312" w:eastAsia="仿宋_GB2312" w:cs="仿宋_GB2312"/>
          <w:spacing w:val="4"/>
          <w:sz w:val="32"/>
          <w:szCs w:val="32"/>
          <w:lang w:val="en-US" w:eastAsia="zh-CN"/>
        </w:rPr>
        <w:t xml:space="preserve"> </w:t>
      </w:r>
      <w:r>
        <w:rPr>
          <w:rFonts w:hint="eastAsia" w:ascii="仿宋_GB2312" w:hAnsi="仿宋_GB2312" w:eastAsia="仿宋_GB2312" w:cs="仿宋_GB2312"/>
          <w:spacing w:val="4"/>
          <w:sz w:val="32"/>
          <w:szCs w:val="32"/>
        </w:rPr>
        <w:t xml:space="preserve">   </w:t>
      </w:r>
      <w:r>
        <w:rPr>
          <w:rFonts w:hint="eastAsia" w:ascii="仿宋_GB2312" w:hAnsi="仿宋_GB2312" w:eastAsia="仿宋_GB2312" w:cs="仿宋_GB2312"/>
          <w:sz w:val="32"/>
          <w:szCs w:val="32"/>
        </w:rPr>
        <w:t xml:space="preserve">      河北省水利厅</w:t>
      </w:r>
    </w:p>
    <w:p w14:paraId="1B3B4754">
      <w:pPr>
        <w:keepNext w:val="0"/>
        <w:keepLines w:val="0"/>
        <w:pageBreakBefore w:val="0"/>
        <w:widowControl w:val="0"/>
        <w:kinsoku/>
        <w:wordWrap w:val="0"/>
        <w:overflowPunct w:val="0"/>
        <w:topLinePunct w:val="0"/>
        <w:autoSpaceDE/>
        <w:autoSpaceDN/>
        <w:bidi w:val="0"/>
        <w:adjustRightInd/>
        <w:snapToGrid/>
        <w:spacing w:before="0" w:beforeLines="0" w:after="0" w:afterLines="0" w:line="660" w:lineRule="exact"/>
        <w:jc w:val="right"/>
        <w:rPr>
          <w:rFonts w:hint="eastAsia" w:ascii="仿宋_GB2312" w:hAnsi="仿宋_GB2312" w:eastAsia="仿宋_GB2312" w:cs="仿宋_GB2312"/>
          <w:sz w:val="32"/>
          <w:szCs w:val="32"/>
          <w:lang w:val="en-US" w:eastAsia="zh-CN"/>
        </w:rPr>
        <w:sectPr>
          <w:footerReference r:id="rId3" w:type="default"/>
          <w:footerReference r:id="rId4" w:type="even"/>
          <w:pgSz w:w="11906" w:h="16838"/>
          <w:pgMar w:top="2098" w:right="1474" w:bottom="1984" w:left="1587" w:header="851" w:footer="1191" w:gutter="0"/>
          <w:pgNumType w:fmt="decimal"/>
          <w:cols w:space="0" w:num="1"/>
          <w:rtlGutter w:val="0"/>
          <w:docGrid w:type="lines" w:linePitch="312" w:charSpace="0"/>
        </w:sectPr>
      </w:pPr>
      <w:r>
        <w:rPr>
          <w:rFonts w:hint="eastAsia" w:ascii="仿宋_GB2312" w:hAnsi="仿宋_GB2312" w:eastAsia="仿宋_GB2312" w:cs="仿宋_GB2312"/>
          <w:sz w:val="32"/>
          <w:szCs w:val="32"/>
        </w:rPr>
        <w:t>202</w:t>
      </w:r>
      <w:r>
        <w:rPr>
          <w:rFonts w:hint="eastAsia" w:ascii="仿宋_GB2312" w:hAnsi="仿宋_GB2312" w:eastAsia="仿宋_GB2312" w:cs="仿宋_GB2312"/>
          <w:sz w:val="32"/>
          <w:szCs w:val="32"/>
          <w:lang w:val="en-US" w:eastAsia="zh-CN"/>
        </w:rPr>
        <w:t>6</w:t>
      </w:r>
      <w:r>
        <w:rPr>
          <w:rFonts w:hint="eastAsia" w:ascii="仿宋_GB2312" w:hAnsi="仿宋_GB2312" w:eastAsia="仿宋_GB2312" w:cs="仿宋_GB2312"/>
          <w:sz w:val="32"/>
          <w:szCs w:val="32"/>
        </w:rPr>
        <w:t>年</w:t>
      </w: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rPr>
        <w:t>月</w:t>
      </w: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日</w:t>
      </w:r>
      <w:r>
        <w:rPr>
          <w:rFonts w:hint="eastAsia" w:ascii="仿宋_GB2312" w:hAnsi="仿宋_GB2312" w:eastAsia="仿宋_GB2312" w:cs="仿宋_GB2312"/>
          <w:sz w:val="32"/>
          <w:szCs w:val="32"/>
          <w:lang w:val="en-US" w:eastAsia="zh-CN"/>
        </w:rPr>
        <w:t xml:space="preserve">        </w:t>
      </w:r>
    </w:p>
    <w:p w14:paraId="3E14E565">
      <w:pPr>
        <w:spacing w:before="156" w:beforeLines="50" w:after="156" w:afterLines="50" w:line="600" w:lineRule="exact"/>
        <w:jc w:val="center"/>
        <w:rPr>
          <w:rFonts w:hint="eastAsia" w:ascii="方正小标宋简体" w:hAnsi="方正小标宋简体" w:eastAsia="方正小标宋简体" w:cs="方正小标宋简体"/>
          <w:b w:val="0"/>
          <w:bCs w:val="0"/>
          <w:color w:val="000000"/>
          <w:sz w:val="40"/>
          <w:szCs w:val="40"/>
          <w:lang w:eastAsia="zh-CN"/>
        </w:rPr>
      </w:pPr>
      <w:r>
        <w:rPr>
          <w:rFonts w:hint="eastAsia" w:ascii="方正小标宋简体" w:hAnsi="方正小标宋简体" w:eastAsia="方正小标宋简体" w:cs="方正小标宋简体"/>
          <w:b w:val="0"/>
          <w:bCs w:val="0"/>
          <w:color w:val="000000"/>
          <w:sz w:val="40"/>
          <w:szCs w:val="40"/>
          <w:lang w:val="en-US" w:eastAsia="zh-CN"/>
        </w:rPr>
        <w:t>河北省水利领域</w:t>
      </w:r>
      <w:r>
        <w:rPr>
          <w:rFonts w:hint="eastAsia" w:ascii="方正小标宋简体" w:hAnsi="方正小标宋简体" w:eastAsia="方正小标宋简体" w:cs="方正小标宋简体"/>
          <w:b w:val="0"/>
          <w:bCs w:val="0"/>
          <w:color w:val="000000"/>
          <w:sz w:val="40"/>
          <w:szCs w:val="40"/>
        </w:rPr>
        <w:t>行政处罚裁量权执行标准</w:t>
      </w:r>
      <w:r>
        <w:rPr>
          <w:rFonts w:hint="eastAsia" w:ascii="方正小标宋简体" w:hAnsi="方正小标宋简体" w:eastAsia="方正小标宋简体" w:cs="方正小标宋简体"/>
          <w:b w:val="0"/>
          <w:bCs w:val="0"/>
          <w:color w:val="000000"/>
          <w:sz w:val="40"/>
          <w:szCs w:val="40"/>
          <w:lang w:eastAsia="zh-CN"/>
        </w:rPr>
        <w:t>（</w:t>
      </w:r>
      <w:r>
        <w:rPr>
          <w:rFonts w:hint="eastAsia" w:ascii="方正小标宋简体" w:hAnsi="方正小标宋简体" w:eastAsia="方正小标宋简体" w:cs="方正小标宋简体"/>
          <w:b w:val="0"/>
          <w:bCs w:val="0"/>
          <w:color w:val="000000"/>
          <w:sz w:val="40"/>
          <w:szCs w:val="40"/>
          <w:lang w:val="en-US" w:eastAsia="zh-CN"/>
        </w:rPr>
        <w:t>2025版</w:t>
      </w:r>
      <w:r>
        <w:rPr>
          <w:rFonts w:hint="eastAsia" w:ascii="方正小标宋简体" w:hAnsi="方正小标宋简体" w:eastAsia="方正小标宋简体" w:cs="方正小标宋简体"/>
          <w:b w:val="0"/>
          <w:bCs w:val="0"/>
          <w:color w:val="000000"/>
          <w:sz w:val="40"/>
          <w:szCs w:val="40"/>
          <w:lang w:eastAsia="zh-CN"/>
        </w:rPr>
        <w:t>）</w:t>
      </w:r>
    </w:p>
    <w:p w14:paraId="24793008">
      <w:pPr>
        <w:spacing w:line="600" w:lineRule="exact"/>
        <w:jc w:val="center"/>
        <w:rPr>
          <w:rFonts w:hint="eastAsia" w:ascii="黑体" w:hAnsi="黑体" w:eastAsia="黑体" w:cs="黑体"/>
          <w:sz w:val="32"/>
          <w:szCs w:val="32"/>
        </w:rPr>
      </w:pPr>
      <w:r>
        <w:rPr>
          <w:rFonts w:hint="eastAsia" w:ascii="黑体" w:hAnsi="黑体" w:eastAsia="黑体" w:cs="黑体"/>
          <w:sz w:val="32"/>
          <w:szCs w:val="32"/>
        </w:rPr>
        <w:t>第一部分  水资源管理类</w:t>
      </w:r>
    </w:p>
    <w:tbl>
      <w:tblPr>
        <w:tblStyle w:val="13"/>
        <w:tblW w:w="148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autofit"/>
        <w:tblCellMar>
          <w:top w:w="0" w:type="dxa"/>
          <w:left w:w="108" w:type="dxa"/>
          <w:bottom w:w="0" w:type="dxa"/>
          <w:right w:w="108" w:type="dxa"/>
        </w:tblCellMar>
      </w:tblPr>
      <w:tblGrid>
        <w:gridCol w:w="495"/>
        <w:gridCol w:w="1211"/>
        <w:gridCol w:w="4862"/>
        <w:gridCol w:w="1613"/>
        <w:gridCol w:w="825"/>
        <w:gridCol w:w="3906"/>
        <w:gridCol w:w="1420"/>
        <w:gridCol w:w="563"/>
      </w:tblGrid>
      <w:tr w14:paraId="707D47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567" w:hRule="atLeast"/>
          <w:tblHeader/>
          <w:jc w:val="center"/>
        </w:trPr>
        <w:tc>
          <w:tcPr>
            <w:tcW w:w="49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21357A35">
            <w:pPr>
              <w:spacing w:line="260" w:lineRule="exact"/>
              <w:jc w:val="center"/>
              <w:rPr>
                <w:rFonts w:hint="eastAsia" w:ascii="黑体" w:hAnsi="黑体" w:eastAsia="黑体" w:cs="黑体"/>
                <w:sz w:val="18"/>
                <w:szCs w:val="18"/>
              </w:rPr>
            </w:pPr>
            <w:r>
              <w:rPr>
                <w:rFonts w:hint="eastAsia" w:ascii="黑体" w:hAnsi="黑体" w:eastAsia="黑体" w:cs="黑体"/>
                <w:sz w:val="18"/>
                <w:szCs w:val="18"/>
              </w:rPr>
              <w:t>序号</w:t>
            </w:r>
          </w:p>
        </w:tc>
        <w:tc>
          <w:tcPr>
            <w:tcW w:w="1211"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098E1C18">
            <w:pPr>
              <w:spacing w:line="260" w:lineRule="exact"/>
              <w:jc w:val="center"/>
              <w:rPr>
                <w:rFonts w:hint="eastAsia" w:ascii="黑体" w:hAnsi="黑体" w:eastAsia="黑体" w:cs="黑体"/>
                <w:sz w:val="18"/>
                <w:szCs w:val="18"/>
              </w:rPr>
            </w:pPr>
            <w:r>
              <w:rPr>
                <w:rFonts w:hint="eastAsia" w:ascii="黑体" w:hAnsi="黑体" w:eastAsia="黑体" w:cs="黑体"/>
                <w:sz w:val="18"/>
                <w:szCs w:val="18"/>
              </w:rPr>
              <w:t>违法行为</w:t>
            </w:r>
          </w:p>
        </w:tc>
        <w:tc>
          <w:tcPr>
            <w:tcW w:w="4862"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4173F3DF">
            <w:pPr>
              <w:spacing w:line="260" w:lineRule="exact"/>
              <w:jc w:val="center"/>
              <w:rPr>
                <w:rFonts w:hint="eastAsia" w:ascii="黑体" w:hAnsi="黑体" w:eastAsia="黑体" w:cs="黑体"/>
                <w:sz w:val="18"/>
                <w:szCs w:val="18"/>
              </w:rPr>
            </w:pPr>
            <w:r>
              <w:rPr>
                <w:rFonts w:hint="eastAsia" w:ascii="黑体" w:hAnsi="黑体" w:eastAsia="黑体" w:cs="黑体"/>
                <w:sz w:val="18"/>
                <w:szCs w:val="18"/>
              </w:rPr>
              <w:t>法定依据</w:t>
            </w:r>
          </w:p>
        </w:tc>
        <w:tc>
          <w:tcPr>
            <w:tcW w:w="1613"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0365AC9B">
            <w:pPr>
              <w:spacing w:line="260" w:lineRule="exact"/>
              <w:jc w:val="center"/>
              <w:rPr>
                <w:rFonts w:hint="eastAsia" w:ascii="黑体" w:hAnsi="黑体" w:eastAsia="黑体" w:cs="黑体"/>
                <w:sz w:val="18"/>
                <w:szCs w:val="18"/>
              </w:rPr>
            </w:pPr>
            <w:r>
              <w:rPr>
                <w:rFonts w:hint="eastAsia" w:ascii="黑体" w:hAnsi="黑体" w:eastAsia="黑体" w:cs="黑体"/>
                <w:sz w:val="18"/>
                <w:szCs w:val="18"/>
              </w:rPr>
              <w:t>违法情形</w:t>
            </w: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45A96C14">
            <w:pPr>
              <w:spacing w:line="260" w:lineRule="exact"/>
              <w:jc w:val="center"/>
              <w:rPr>
                <w:rFonts w:hint="eastAsia" w:ascii="黑体" w:hAnsi="黑体" w:eastAsia="黑体" w:cs="黑体"/>
                <w:sz w:val="18"/>
                <w:szCs w:val="18"/>
              </w:rPr>
            </w:pPr>
            <w:r>
              <w:rPr>
                <w:rFonts w:hint="eastAsia" w:ascii="黑体" w:hAnsi="黑体" w:eastAsia="黑体" w:cs="黑体"/>
                <w:sz w:val="18"/>
                <w:szCs w:val="18"/>
              </w:rPr>
              <w:t>裁量</w:t>
            </w:r>
          </w:p>
          <w:p w14:paraId="0D5E8FC3">
            <w:pPr>
              <w:spacing w:line="260" w:lineRule="exact"/>
              <w:jc w:val="center"/>
              <w:rPr>
                <w:rFonts w:hint="eastAsia" w:ascii="黑体" w:hAnsi="黑体" w:eastAsia="黑体" w:cs="黑体"/>
                <w:sz w:val="18"/>
                <w:szCs w:val="18"/>
              </w:rPr>
            </w:pPr>
            <w:r>
              <w:rPr>
                <w:rFonts w:hint="eastAsia" w:ascii="黑体" w:hAnsi="黑体" w:eastAsia="黑体" w:cs="黑体"/>
                <w:sz w:val="18"/>
                <w:szCs w:val="18"/>
              </w:rPr>
              <w:t>幅度</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1A071B0D">
            <w:pPr>
              <w:spacing w:line="260" w:lineRule="exact"/>
              <w:jc w:val="center"/>
              <w:rPr>
                <w:rFonts w:hint="eastAsia" w:ascii="黑体" w:hAnsi="黑体" w:eastAsia="黑体" w:cs="黑体"/>
                <w:sz w:val="18"/>
                <w:szCs w:val="18"/>
              </w:rPr>
            </w:pPr>
            <w:r>
              <w:rPr>
                <w:rFonts w:hint="eastAsia" w:ascii="黑体" w:hAnsi="黑体" w:eastAsia="黑体" w:cs="黑体"/>
                <w:sz w:val="18"/>
                <w:szCs w:val="18"/>
              </w:rPr>
              <w:t>适用条件</w:t>
            </w: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4E7B9FFE">
            <w:pPr>
              <w:spacing w:line="260" w:lineRule="exact"/>
              <w:jc w:val="center"/>
              <w:rPr>
                <w:rFonts w:hint="eastAsia" w:ascii="黑体" w:hAnsi="黑体" w:eastAsia="黑体" w:cs="黑体"/>
                <w:sz w:val="18"/>
                <w:szCs w:val="18"/>
              </w:rPr>
            </w:pPr>
            <w:r>
              <w:rPr>
                <w:rFonts w:hint="eastAsia" w:ascii="黑体" w:hAnsi="黑体" w:eastAsia="黑体" w:cs="黑体"/>
                <w:sz w:val="18"/>
                <w:szCs w:val="18"/>
              </w:rPr>
              <w:t>裁量基准</w:t>
            </w:r>
          </w:p>
        </w:tc>
        <w:tc>
          <w:tcPr>
            <w:tcW w:w="563"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37A90DE5">
            <w:pPr>
              <w:spacing w:line="260" w:lineRule="exact"/>
              <w:jc w:val="center"/>
              <w:rPr>
                <w:rFonts w:hint="eastAsia" w:ascii="黑体" w:hAnsi="黑体" w:eastAsia="黑体" w:cs="黑体"/>
                <w:sz w:val="18"/>
                <w:szCs w:val="18"/>
                <w:lang w:val="en-US" w:eastAsia="zh-CN"/>
              </w:rPr>
            </w:pPr>
            <w:r>
              <w:rPr>
                <w:rFonts w:hint="eastAsia" w:ascii="黑体" w:hAnsi="黑体" w:eastAsia="黑体" w:cs="黑体"/>
                <w:sz w:val="18"/>
                <w:szCs w:val="18"/>
                <w:lang w:val="en-US" w:eastAsia="zh-CN"/>
              </w:rPr>
              <w:t>备注</w:t>
            </w:r>
          </w:p>
        </w:tc>
      </w:tr>
      <w:tr w14:paraId="64B8F5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4340" w:hRule="atLeast"/>
          <w:jc w:val="center"/>
        </w:trPr>
        <w:tc>
          <w:tcPr>
            <w:tcW w:w="495" w:type="dxa"/>
            <w:vMerge w:val="restart"/>
            <w:tcBorders>
              <w:top w:val="single" w:color="auto" w:sz="4" w:space="0"/>
              <w:left w:val="single" w:color="auto" w:sz="4" w:space="0"/>
              <w:right w:val="single" w:color="auto" w:sz="4" w:space="0"/>
            </w:tcBorders>
            <w:shd w:val="clear" w:color="auto" w:fill="FFFFFF"/>
            <w:noWrap w:val="0"/>
            <w:tcMar>
              <w:top w:w="0" w:type="dxa"/>
              <w:left w:w="0" w:type="dxa"/>
              <w:bottom w:w="0" w:type="dxa"/>
              <w:right w:w="0" w:type="dxa"/>
            </w:tcMar>
            <w:vAlign w:val="center"/>
          </w:tcPr>
          <w:p w14:paraId="46FC9F0B">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1</w:t>
            </w:r>
          </w:p>
        </w:tc>
        <w:tc>
          <w:tcPr>
            <w:tcW w:w="1211" w:type="dxa"/>
            <w:vMerge w:val="restart"/>
            <w:tcBorders>
              <w:top w:val="single" w:color="auto" w:sz="4" w:space="0"/>
              <w:left w:val="single" w:color="auto" w:sz="4" w:space="0"/>
              <w:right w:val="single" w:color="auto" w:sz="4" w:space="0"/>
            </w:tcBorders>
            <w:shd w:val="clear" w:color="auto" w:fill="FFFFFF"/>
            <w:noWrap w:val="0"/>
            <w:tcMar>
              <w:top w:w="0" w:type="dxa"/>
              <w:left w:w="0" w:type="dxa"/>
              <w:bottom w:w="0" w:type="dxa"/>
              <w:right w:w="0" w:type="dxa"/>
            </w:tcMar>
            <w:vAlign w:val="center"/>
          </w:tcPr>
          <w:p w14:paraId="2EE071F2">
            <w:pPr>
              <w:spacing w:line="260" w:lineRule="exact"/>
              <w:rPr>
                <w:rFonts w:hint="eastAsia" w:ascii="宋体" w:hAnsi="宋体" w:eastAsia="宋体" w:cs="宋体"/>
                <w:sz w:val="18"/>
                <w:szCs w:val="18"/>
              </w:rPr>
            </w:pPr>
            <w:r>
              <w:rPr>
                <w:rFonts w:hint="eastAsia" w:ascii="宋体" w:hAnsi="宋体" w:eastAsia="宋体" w:cs="宋体"/>
                <w:sz w:val="18"/>
                <w:szCs w:val="18"/>
              </w:rPr>
              <w:t>对未经批准擅自取水、未依照批准的取水许可规定条件取水行为的行政处罚</w:t>
            </w:r>
          </w:p>
        </w:tc>
        <w:tc>
          <w:tcPr>
            <w:tcW w:w="4862" w:type="dxa"/>
            <w:vMerge w:val="restart"/>
            <w:tcBorders>
              <w:top w:val="single" w:color="auto" w:sz="4" w:space="0"/>
              <w:left w:val="single" w:color="auto" w:sz="4" w:space="0"/>
              <w:right w:val="single" w:color="auto" w:sz="4" w:space="0"/>
            </w:tcBorders>
            <w:shd w:val="clear" w:color="auto" w:fill="FFFFFF"/>
            <w:noWrap w:val="0"/>
            <w:tcMar>
              <w:top w:w="0" w:type="dxa"/>
              <w:left w:w="0" w:type="dxa"/>
              <w:bottom w:w="0" w:type="dxa"/>
              <w:right w:w="0" w:type="dxa"/>
            </w:tcMar>
            <w:vAlign w:val="center"/>
          </w:tcPr>
          <w:p w14:paraId="5F62D3E8">
            <w:pPr>
              <w:widowControl/>
              <w:spacing w:line="24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《中华人民共和国水法》第六十九条 有下列行为之一的，由县级以上人民政府水行政主管部门或者流域管理机构依据职权，责令停止违法行为，限期采取补救措施，处二万元以上十万元以下的罚款；情节严重的，吊销其取水许可证：</w:t>
            </w:r>
          </w:p>
          <w:p w14:paraId="248AA00D">
            <w:pPr>
              <w:widowControl/>
              <w:spacing w:line="24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（一）未经批准擅自取水的；</w:t>
            </w:r>
          </w:p>
          <w:p w14:paraId="7F8D211E">
            <w:pPr>
              <w:widowControl/>
              <w:spacing w:line="24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（二）未依照批准的取水许可规定条件取水的。</w:t>
            </w:r>
          </w:p>
          <w:p w14:paraId="6B501D37">
            <w:pPr>
              <w:widowControl/>
              <w:spacing w:line="24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《取水许可和水资源费征收管理条例》第四十八条 未经批准擅自取水，或者未依照批准的取水许可规定条件取水的，依照《中华人民共和国水法》第六十九条规定处罚；给他人造成妨碍或者损失的，应当排除妨碍、赔偿损失。</w:t>
            </w:r>
          </w:p>
          <w:p w14:paraId="042B01A7">
            <w:pPr>
              <w:widowControl/>
              <w:spacing w:line="24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《取水许可和水资源费征收管理条例》第二十四条 取水许可证应当包括下列内容：</w:t>
            </w:r>
          </w:p>
          <w:p w14:paraId="232B4CFD">
            <w:pPr>
              <w:widowControl/>
              <w:spacing w:line="24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（一）取水单位或者个人的名称（姓名）；</w:t>
            </w:r>
          </w:p>
          <w:p w14:paraId="5A0DF2AD">
            <w:pPr>
              <w:widowControl/>
              <w:spacing w:line="24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（二）取水期限；</w:t>
            </w:r>
          </w:p>
          <w:p w14:paraId="38A54FC6">
            <w:pPr>
              <w:widowControl/>
              <w:spacing w:line="24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（三）取水量和取水用途；</w:t>
            </w:r>
          </w:p>
          <w:p w14:paraId="5A66EE32">
            <w:pPr>
              <w:widowControl/>
              <w:spacing w:line="24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（四）水源类型；</w:t>
            </w:r>
          </w:p>
          <w:p w14:paraId="38ABCBCD">
            <w:pPr>
              <w:widowControl/>
              <w:spacing w:line="24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（五）取水、退水地点及退水方式、退水量。</w:t>
            </w:r>
          </w:p>
          <w:p w14:paraId="3F5543C0">
            <w:pPr>
              <w:spacing w:line="240" w:lineRule="exact"/>
              <w:ind w:firstLine="360" w:firstLineChars="200"/>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前款第（三）项规定的取水量是在江河、湖泊、地下水多年平均水量情况下允许的取水单位或者个人的最大取水量。取水许可证由国务院水行政主管部门统一制作，审批机关核发取水许可证只能收取工本费。</w:t>
            </w:r>
          </w:p>
          <w:p w14:paraId="49B0DFDF">
            <w:pPr>
              <w:spacing w:line="240" w:lineRule="exact"/>
              <w:ind w:firstLine="360" w:firstLineChars="200"/>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《河北省小水电站生态流量监督管理办法》（试行）第三十条  市县水行政主管部门和生态环境主管部门要严格取水许可监管和建设项目环评审批，将小水电站按要求泄放生态流量作为取水许可审批和监管、项目环评审批和流域水环境保护监管的重要内容，确保小水电站持续将生态流量落实到位。</w:t>
            </w:r>
          </w:p>
        </w:tc>
        <w:tc>
          <w:tcPr>
            <w:tcW w:w="1613" w:type="dxa"/>
            <w:vMerge w:val="restart"/>
            <w:tcBorders>
              <w:top w:val="single" w:color="auto" w:sz="4" w:space="0"/>
              <w:left w:val="single" w:color="auto" w:sz="4" w:space="0"/>
              <w:right w:val="single" w:color="auto" w:sz="4" w:space="0"/>
            </w:tcBorders>
            <w:shd w:val="clear" w:color="auto" w:fill="FFFFFF"/>
            <w:noWrap w:val="0"/>
            <w:tcMar>
              <w:top w:w="0" w:type="dxa"/>
              <w:left w:w="0" w:type="dxa"/>
              <w:bottom w:w="0" w:type="dxa"/>
              <w:right w:w="0" w:type="dxa"/>
            </w:tcMar>
            <w:vAlign w:val="center"/>
          </w:tcPr>
          <w:p w14:paraId="2CA55332">
            <w:pPr>
              <w:spacing w:line="260" w:lineRule="exact"/>
              <w:rPr>
                <w:rStyle w:val="21"/>
                <w:rFonts w:hint="eastAsia" w:ascii="宋体" w:hAnsi="宋体" w:eastAsia="宋体" w:cs="宋体"/>
                <w:sz w:val="18"/>
                <w:szCs w:val="18"/>
                <w:lang w:bidi="ar"/>
              </w:rPr>
            </w:pPr>
            <w:r>
              <w:rPr>
                <w:rStyle w:val="21"/>
                <w:rFonts w:hint="eastAsia" w:ascii="宋体" w:hAnsi="宋体" w:eastAsia="宋体" w:cs="宋体"/>
                <w:sz w:val="18"/>
                <w:szCs w:val="18"/>
                <w:highlight w:val="none"/>
                <w:lang w:bidi="ar"/>
              </w:rPr>
              <w:t>未经批准擅自取水</w:t>
            </w:r>
            <w:r>
              <w:rPr>
                <w:rStyle w:val="21"/>
                <w:rFonts w:hint="eastAsia" w:ascii="宋体" w:hAnsi="宋体" w:cs="宋体"/>
                <w:sz w:val="18"/>
                <w:szCs w:val="18"/>
                <w:highlight w:val="none"/>
                <w:lang w:eastAsia="zh-CN" w:bidi="ar"/>
              </w:rPr>
              <w:t>（</w:t>
            </w:r>
            <w:r>
              <w:rPr>
                <w:rStyle w:val="21"/>
                <w:rFonts w:hint="eastAsia" w:ascii="宋体" w:hAnsi="宋体" w:cs="宋体"/>
                <w:sz w:val="18"/>
                <w:szCs w:val="18"/>
                <w:highlight w:val="none"/>
                <w:lang w:val="en-US" w:eastAsia="zh-CN" w:bidi="ar"/>
              </w:rPr>
              <w:t>无证取水或证失效仍取水</w:t>
            </w: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13737A4A">
            <w:pPr>
              <w:widowControl/>
              <w:spacing w:line="240" w:lineRule="exact"/>
              <w:jc w:val="center"/>
              <w:textAlignment w:val="center"/>
              <w:rPr>
                <w:rFonts w:hint="eastAsia" w:ascii="宋体" w:hAnsi="宋体" w:eastAsia="宋体" w:cs="宋体"/>
                <w:color w:val="000000"/>
                <w:kern w:val="0"/>
                <w:sz w:val="18"/>
                <w:szCs w:val="18"/>
                <w:lang w:val="en-US" w:eastAsia="zh-CN" w:bidi="ar"/>
              </w:rPr>
            </w:pPr>
            <w:r>
              <w:rPr>
                <w:rFonts w:hint="eastAsia" w:ascii="宋体" w:hAnsi="宋体" w:eastAsia="宋体" w:cs="宋体"/>
                <w:color w:val="000000"/>
                <w:kern w:val="0"/>
                <w:sz w:val="18"/>
                <w:szCs w:val="18"/>
                <w:lang w:bidi="ar"/>
              </w:rPr>
              <w:t>轻微</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0FF6149B">
            <w:pPr>
              <w:widowControl/>
              <w:spacing w:line="240" w:lineRule="exact"/>
              <w:jc w:val="both"/>
              <w:textAlignment w:val="center"/>
              <w:rPr>
                <w:rFonts w:hint="eastAsia" w:ascii="宋体" w:hAnsi="宋体" w:eastAsia="宋体" w:cs="宋体"/>
                <w:color w:val="000000"/>
                <w:kern w:val="0"/>
                <w:sz w:val="18"/>
                <w:szCs w:val="18"/>
                <w:lang w:val="en-US" w:eastAsia="zh-CN" w:bidi="ar"/>
              </w:rPr>
            </w:pPr>
            <w:r>
              <w:rPr>
                <w:rFonts w:hint="eastAsia" w:ascii="宋体" w:hAnsi="宋体" w:eastAsia="宋体" w:cs="宋体"/>
                <w:color w:val="000000"/>
                <w:kern w:val="0"/>
                <w:sz w:val="18"/>
                <w:szCs w:val="18"/>
                <w:lang w:val="en-US" w:eastAsia="zh-CN" w:bidi="ar"/>
              </w:rPr>
              <w:t>1.首次违法（通过省政务服务网信用代证“一件事”查询，确认未发生过违法取用水行为的）；</w:t>
            </w:r>
          </w:p>
          <w:p w14:paraId="79559933">
            <w:pPr>
              <w:widowControl/>
              <w:spacing w:line="240" w:lineRule="exact"/>
              <w:jc w:val="both"/>
              <w:textAlignment w:val="center"/>
              <w:rPr>
                <w:rFonts w:hint="eastAsia" w:ascii="宋体" w:hAnsi="宋体" w:eastAsia="宋体" w:cs="宋体"/>
                <w:color w:val="000000"/>
                <w:kern w:val="0"/>
                <w:sz w:val="18"/>
                <w:szCs w:val="18"/>
                <w:lang w:val="en-US" w:eastAsia="zh-CN" w:bidi="ar"/>
              </w:rPr>
            </w:pPr>
            <w:r>
              <w:rPr>
                <w:rFonts w:hint="eastAsia" w:ascii="宋体" w:hAnsi="宋体" w:eastAsia="宋体" w:cs="宋体"/>
                <w:color w:val="000000"/>
                <w:kern w:val="0"/>
                <w:sz w:val="18"/>
                <w:szCs w:val="18"/>
                <w:lang w:val="en-US" w:eastAsia="zh-CN" w:bidi="ar"/>
              </w:rPr>
              <w:t>2.在规定的期限内停止违法行为，采取补救措施，未对社会或他人造成不良影响、违法情节明显轻微的，且签署承诺书保证不再违反同类规定的；</w:t>
            </w:r>
          </w:p>
          <w:p w14:paraId="782EBE9E">
            <w:pPr>
              <w:widowControl/>
              <w:spacing w:line="240" w:lineRule="exact"/>
              <w:jc w:val="both"/>
              <w:textAlignment w:val="center"/>
              <w:rPr>
                <w:rFonts w:hint="eastAsia" w:ascii="宋体" w:hAnsi="宋体" w:eastAsia="宋体" w:cs="宋体"/>
                <w:color w:val="000000"/>
                <w:kern w:val="0"/>
                <w:sz w:val="18"/>
                <w:szCs w:val="18"/>
                <w:lang w:val="en-US" w:eastAsia="zh-CN" w:bidi="ar"/>
              </w:rPr>
            </w:pPr>
            <w:r>
              <w:rPr>
                <w:rFonts w:hint="eastAsia" w:ascii="宋体" w:hAnsi="宋体" w:eastAsia="宋体" w:cs="宋体"/>
                <w:color w:val="000000"/>
                <w:kern w:val="0"/>
                <w:sz w:val="18"/>
                <w:szCs w:val="18"/>
                <w:lang w:val="en-US" w:eastAsia="zh-CN" w:bidi="ar"/>
              </w:rPr>
              <w:t>3.无证取水且安装计量设施的，年取地表水量小于等于1000立方米或地下水量小于等于500立方米的；无证取水且未安装计量设施的，取地表水能力小于等于50立方米/每小时或取地下水能力小于等于10立方米/每小时的；</w:t>
            </w:r>
          </w:p>
          <w:p w14:paraId="0C4BAEE8">
            <w:pPr>
              <w:widowControl/>
              <w:spacing w:line="240" w:lineRule="exact"/>
              <w:jc w:val="both"/>
              <w:textAlignment w:val="center"/>
              <w:rPr>
                <w:rFonts w:hint="eastAsia" w:ascii="宋体" w:hAnsi="宋体" w:eastAsia="宋体" w:cs="宋体"/>
                <w:color w:val="000000"/>
                <w:kern w:val="0"/>
                <w:sz w:val="18"/>
                <w:szCs w:val="18"/>
                <w:lang w:val="en-US" w:eastAsia="zh-CN" w:bidi="ar"/>
              </w:rPr>
            </w:pPr>
            <w:r>
              <w:rPr>
                <w:rFonts w:hint="eastAsia" w:ascii="宋体" w:hAnsi="宋体" w:eastAsia="宋体" w:cs="宋体"/>
                <w:color w:val="000000"/>
                <w:kern w:val="0"/>
                <w:sz w:val="18"/>
                <w:szCs w:val="18"/>
                <w:lang w:val="en-US" w:eastAsia="zh-CN" w:bidi="ar"/>
              </w:rPr>
              <w:t>符合上述所有情形的，不予处罚，并将本次违法情况进行登记备案，以后再发生类似问题的将不再适用本条件。</w:t>
            </w:r>
          </w:p>
          <w:p w14:paraId="41E2E70C">
            <w:pPr>
              <w:widowControl/>
              <w:spacing w:line="240" w:lineRule="exact"/>
              <w:jc w:val="both"/>
              <w:textAlignment w:val="center"/>
              <w:rPr>
                <w:rFonts w:hint="eastAsia" w:ascii="宋体" w:hAnsi="宋体" w:eastAsia="宋体" w:cs="宋体"/>
                <w:color w:val="000000"/>
                <w:kern w:val="0"/>
                <w:sz w:val="18"/>
                <w:szCs w:val="18"/>
                <w:lang w:val="en-US" w:eastAsia="zh-CN" w:bidi="ar"/>
              </w:rPr>
            </w:pPr>
            <w:r>
              <w:rPr>
                <w:rFonts w:hint="eastAsia" w:ascii="宋体" w:hAnsi="宋体" w:eastAsia="宋体" w:cs="宋体"/>
                <w:color w:val="000000"/>
                <w:kern w:val="0"/>
                <w:sz w:val="18"/>
                <w:szCs w:val="18"/>
                <w:lang w:val="en-US" w:eastAsia="zh-CN" w:bidi="ar"/>
              </w:rPr>
              <w:t>在省内地下水禁采区、限采区、超采区、公共管网覆盖范围内违法取用地下水的不适用本条件。</w:t>
            </w:r>
          </w:p>
          <w:p w14:paraId="4DECC986">
            <w:pPr>
              <w:widowControl/>
              <w:spacing w:line="240" w:lineRule="exact"/>
              <w:jc w:val="both"/>
              <w:textAlignment w:val="center"/>
              <w:rPr>
                <w:rFonts w:hint="eastAsia" w:ascii="宋体" w:hAnsi="宋体" w:eastAsia="宋体" w:cs="宋体"/>
                <w:color w:val="000000"/>
                <w:kern w:val="0"/>
                <w:sz w:val="18"/>
                <w:szCs w:val="18"/>
                <w:lang w:val="en-US" w:eastAsia="zh-CN" w:bidi="ar"/>
              </w:rPr>
            </w:pPr>
            <w:r>
              <w:rPr>
                <w:rFonts w:hint="eastAsia" w:ascii="宋体" w:hAnsi="宋体" w:eastAsia="宋体" w:cs="宋体"/>
                <w:color w:val="000000"/>
                <w:kern w:val="0"/>
                <w:sz w:val="18"/>
                <w:szCs w:val="18"/>
                <w:lang w:val="en-US" w:eastAsia="zh-CN" w:bidi="ar"/>
              </w:rPr>
              <w:t>无证取水水量符合轻微情形的，但非首次违法的适用较轻裁量幅度。</w:t>
            </w: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0905FA8C">
            <w:pPr>
              <w:widowControl/>
              <w:spacing w:line="240" w:lineRule="exact"/>
              <w:jc w:val="both"/>
              <w:textAlignment w:val="center"/>
              <w:rPr>
                <w:rFonts w:hint="eastAsia" w:ascii="宋体" w:hAnsi="宋体" w:eastAsia="宋体" w:cs="宋体"/>
                <w:color w:val="000000"/>
                <w:kern w:val="0"/>
                <w:sz w:val="18"/>
                <w:szCs w:val="18"/>
                <w:lang w:val="en-US" w:eastAsia="zh-CN" w:bidi="ar"/>
              </w:rPr>
            </w:pPr>
            <w:r>
              <w:rPr>
                <w:rFonts w:hint="eastAsia" w:ascii="宋体" w:hAnsi="宋体" w:eastAsia="宋体" w:cs="宋体"/>
                <w:color w:val="000000"/>
                <w:kern w:val="0"/>
                <w:sz w:val="18"/>
                <w:szCs w:val="18"/>
                <w:lang w:bidi="ar"/>
              </w:rPr>
              <w:t>不予处罚</w:t>
            </w:r>
          </w:p>
        </w:tc>
        <w:tc>
          <w:tcPr>
            <w:tcW w:w="563" w:type="dxa"/>
            <w:vMerge w:val="restart"/>
            <w:tcBorders>
              <w:top w:val="single" w:color="auto" w:sz="4" w:space="0"/>
              <w:left w:val="single" w:color="auto" w:sz="4" w:space="0"/>
              <w:right w:val="single" w:color="auto" w:sz="4" w:space="0"/>
            </w:tcBorders>
            <w:shd w:val="clear" w:color="auto" w:fill="FFFFFF"/>
            <w:noWrap w:val="0"/>
            <w:tcMar>
              <w:top w:w="0" w:type="dxa"/>
              <w:left w:w="0" w:type="dxa"/>
              <w:bottom w:w="0" w:type="dxa"/>
              <w:right w:w="0" w:type="dxa"/>
            </w:tcMar>
            <w:vAlign w:val="center"/>
          </w:tcPr>
          <w:p w14:paraId="498437A0">
            <w:pPr>
              <w:spacing w:line="260" w:lineRule="exact"/>
              <w:rPr>
                <w:rStyle w:val="21"/>
                <w:rFonts w:hint="eastAsia" w:ascii="宋体" w:hAnsi="宋体" w:eastAsia="宋体" w:cs="宋体"/>
                <w:sz w:val="18"/>
                <w:szCs w:val="18"/>
                <w:lang w:bidi="ar"/>
              </w:rPr>
            </w:pPr>
          </w:p>
        </w:tc>
      </w:tr>
      <w:tr w14:paraId="3E537D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720" w:hRule="atLeast"/>
          <w:jc w:val="center"/>
        </w:trPr>
        <w:tc>
          <w:tcPr>
            <w:tcW w:w="495"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5E62ED0C">
            <w:pPr>
              <w:spacing w:line="260" w:lineRule="exact"/>
              <w:jc w:val="center"/>
              <w:rPr>
                <w:rFonts w:hint="eastAsia" w:ascii="宋体" w:hAnsi="宋体" w:eastAsia="宋体" w:cs="宋体"/>
                <w:sz w:val="18"/>
                <w:szCs w:val="18"/>
              </w:rPr>
            </w:pPr>
          </w:p>
        </w:tc>
        <w:tc>
          <w:tcPr>
            <w:tcW w:w="1211"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605409CF">
            <w:pPr>
              <w:spacing w:line="260" w:lineRule="exact"/>
              <w:rPr>
                <w:rFonts w:hint="eastAsia" w:ascii="宋体" w:hAnsi="宋体" w:eastAsia="宋体" w:cs="宋体"/>
                <w:sz w:val="18"/>
                <w:szCs w:val="18"/>
              </w:rPr>
            </w:pPr>
          </w:p>
        </w:tc>
        <w:tc>
          <w:tcPr>
            <w:tcW w:w="4862"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5FBFB419">
            <w:pPr>
              <w:spacing w:line="260" w:lineRule="exact"/>
              <w:ind w:firstLine="360" w:firstLineChars="200"/>
              <w:rPr>
                <w:rFonts w:hint="eastAsia" w:ascii="宋体" w:hAnsi="宋体" w:eastAsia="宋体" w:cs="宋体"/>
                <w:sz w:val="18"/>
                <w:szCs w:val="18"/>
              </w:rPr>
            </w:pPr>
          </w:p>
        </w:tc>
        <w:tc>
          <w:tcPr>
            <w:tcW w:w="161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2EF1366E">
            <w:pPr>
              <w:spacing w:line="260" w:lineRule="exact"/>
              <w:ind w:firstLine="360" w:firstLineChars="200"/>
              <w:rPr>
                <w:rFonts w:hint="eastAsia" w:ascii="宋体" w:hAnsi="宋体" w:eastAsia="宋体" w:cs="宋体"/>
                <w:sz w:val="18"/>
                <w:szCs w:val="18"/>
              </w:rPr>
            </w:pP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1E2528BC">
            <w:pPr>
              <w:widowControl/>
              <w:spacing w:line="240" w:lineRule="exact"/>
              <w:jc w:val="center"/>
              <w:textAlignment w:val="center"/>
              <w:rPr>
                <w:rFonts w:hint="eastAsia" w:ascii="宋体" w:hAnsi="宋体" w:eastAsia="宋体" w:cs="宋体"/>
                <w:color w:val="000000"/>
                <w:kern w:val="0"/>
                <w:sz w:val="18"/>
                <w:szCs w:val="18"/>
                <w:lang w:val="en-US" w:eastAsia="zh-CN" w:bidi="ar"/>
              </w:rPr>
            </w:pPr>
            <w:r>
              <w:rPr>
                <w:rFonts w:hint="eastAsia" w:ascii="宋体" w:hAnsi="宋体" w:eastAsia="宋体" w:cs="宋体"/>
                <w:color w:val="000000"/>
                <w:kern w:val="0"/>
                <w:sz w:val="18"/>
                <w:szCs w:val="18"/>
                <w:lang w:bidi="ar"/>
              </w:rPr>
              <w:t>较轻</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46E53CAB">
            <w:pPr>
              <w:widowControl/>
              <w:spacing w:line="240" w:lineRule="exact"/>
              <w:jc w:val="both"/>
              <w:textAlignment w:val="center"/>
              <w:rPr>
                <w:rFonts w:hint="eastAsia" w:ascii="宋体" w:hAnsi="宋体" w:eastAsia="宋体" w:cs="宋体"/>
                <w:color w:val="000000"/>
                <w:kern w:val="0"/>
                <w:sz w:val="18"/>
                <w:szCs w:val="18"/>
                <w:lang w:val="en-US" w:eastAsia="zh-CN" w:bidi="ar"/>
              </w:rPr>
            </w:pPr>
            <w:r>
              <w:rPr>
                <w:rFonts w:hint="eastAsia" w:ascii="宋体" w:hAnsi="宋体" w:eastAsia="宋体" w:cs="宋体"/>
                <w:color w:val="000000"/>
                <w:kern w:val="0"/>
                <w:sz w:val="18"/>
                <w:szCs w:val="18"/>
                <w:lang w:val="en-US" w:eastAsia="zh-CN" w:bidi="ar"/>
              </w:rPr>
              <w:t>无证取水且安装计量设施的，年取地表水量大于1000立方米小于等于2000立方米或年取地下水量大于500立方米小于等于1000立方米的；无证取水且未安装计量设施的，取地表水能力大于50立方米/每小时小于等于80立方米/每小时或取地下水能力大于10立方米/每小时小于等于30立方米/每小时的，且在规定期限内停止违法行为，采取补救措施的；</w:t>
            </w:r>
          </w:p>
          <w:p w14:paraId="37961C91">
            <w:pPr>
              <w:widowControl/>
              <w:spacing w:line="240" w:lineRule="exact"/>
              <w:jc w:val="both"/>
              <w:textAlignment w:val="center"/>
              <w:rPr>
                <w:rFonts w:hint="eastAsia" w:ascii="宋体" w:hAnsi="宋体" w:eastAsia="宋体" w:cs="宋体"/>
                <w:color w:val="000000"/>
                <w:kern w:val="0"/>
                <w:sz w:val="18"/>
                <w:szCs w:val="18"/>
                <w:lang w:val="en-US" w:eastAsia="zh-CN" w:bidi="ar"/>
              </w:rPr>
            </w:pPr>
            <w:r>
              <w:rPr>
                <w:rFonts w:hint="eastAsia" w:ascii="宋体" w:hAnsi="宋体" w:eastAsia="宋体" w:cs="宋体"/>
                <w:color w:val="000000"/>
                <w:kern w:val="0"/>
                <w:sz w:val="18"/>
                <w:szCs w:val="18"/>
                <w:lang w:val="en-US" w:eastAsia="zh-CN" w:bidi="ar"/>
              </w:rPr>
              <w:t>符合本适用条件，但未能在规定期限内停止违法行为，采取补救措施的，提高一档裁量幅度进行处罚。</w:t>
            </w: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69721BCA">
            <w:pPr>
              <w:widowControl/>
              <w:spacing w:line="240" w:lineRule="exact"/>
              <w:jc w:val="both"/>
              <w:textAlignment w:val="center"/>
              <w:rPr>
                <w:rFonts w:hint="eastAsia" w:ascii="宋体" w:hAnsi="宋体" w:eastAsia="宋体" w:cs="宋体"/>
                <w:color w:val="000000"/>
                <w:kern w:val="0"/>
                <w:sz w:val="18"/>
                <w:szCs w:val="18"/>
                <w:lang w:val="en-US" w:eastAsia="zh-CN" w:bidi="ar"/>
              </w:rPr>
            </w:pPr>
            <w:r>
              <w:rPr>
                <w:rFonts w:hint="eastAsia" w:ascii="宋体" w:hAnsi="宋体" w:eastAsia="宋体" w:cs="宋体"/>
                <w:color w:val="000000"/>
                <w:kern w:val="0"/>
                <w:sz w:val="18"/>
                <w:szCs w:val="18"/>
                <w:lang w:bidi="ar"/>
              </w:rPr>
              <w:t>处</w:t>
            </w:r>
            <w:r>
              <w:rPr>
                <w:rFonts w:hint="eastAsia" w:ascii="宋体" w:hAnsi="宋体" w:eastAsia="宋体" w:cs="宋体"/>
                <w:color w:val="000000"/>
                <w:kern w:val="0"/>
                <w:sz w:val="18"/>
                <w:szCs w:val="18"/>
                <w:lang w:val="en-US" w:eastAsia="zh-CN" w:bidi="ar"/>
              </w:rPr>
              <w:t>2</w:t>
            </w:r>
            <w:r>
              <w:rPr>
                <w:rFonts w:hint="eastAsia" w:ascii="宋体" w:hAnsi="宋体" w:eastAsia="宋体" w:cs="宋体"/>
                <w:color w:val="000000"/>
                <w:kern w:val="0"/>
                <w:sz w:val="18"/>
                <w:szCs w:val="18"/>
                <w:lang w:bidi="ar"/>
              </w:rPr>
              <w:t>万元以上</w:t>
            </w:r>
            <w:r>
              <w:rPr>
                <w:rFonts w:hint="eastAsia" w:ascii="宋体" w:hAnsi="宋体" w:eastAsia="宋体" w:cs="宋体"/>
                <w:color w:val="000000"/>
                <w:kern w:val="0"/>
                <w:sz w:val="18"/>
                <w:szCs w:val="18"/>
                <w:lang w:val="en-US" w:eastAsia="zh-CN" w:bidi="ar"/>
              </w:rPr>
              <w:t>3</w:t>
            </w:r>
            <w:r>
              <w:rPr>
                <w:rFonts w:hint="eastAsia" w:ascii="宋体" w:hAnsi="宋体" w:eastAsia="宋体" w:cs="宋体"/>
                <w:color w:val="000000"/>
                <w:kern w:val="0"/>
                <w:sz w:val="18"/>
                <w:szCs w:val="18"/>
                <w:lang w:bidi="ar"/>
              </w:rPr>
              <w:t>万元以下罚款</w:t>
            </w:r>
          </w:p>
        </w:tc>
        <w:tc>
          <w:tcPr>
            <w:tcW w:w="56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1C82CB6F">
            <w:pPr>
              <w:spacing w:line="260" w:lineRule="exact"/>
              <w:rPr>
                <w:rStyle w:val="21"/>
                <w:rFonts w:hint="eastAsia" w:ascii="宋体" w:hAnsi="宋体" w:eastAsia="宋体" w:cs="宋体"/>
                <w:sz w:val="18"/>
                <w:szCs w:val="18"/>
                <w:lang w:bidi="ar"/>
              </w:rPr>
            </w:pPr>
          </w:p>
        </w:tc>
      </w:tr>
      <w:tr w14:paraId="7C1389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5" w:hRule="atLeast"/>
          <w:jc w:val="center"/>
        </w:trPr>
        <w:tc>
          <w:tcPr>
            <w:tcW w:w="495" w:type="dxa"/>
            <w:vMerge w:val="restart"/>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168D90FF">
            <w:pPr>
              <w:spacing w:line="260" w:lineRule="exact"/>
              <w:jc w:val="center"/>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1</w:t>
            </w:r>
          </w:p>
        </w:tc>
        <w:tc>
          <w:tcPr>
            <w:tcW w:w="1211" w:type="dxa"/>
            <w:vMerge w:val="restart"/>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4FECABA1">
            <w:pPr>
              <w:spacing w:line="260" w:lineRule="exact"/>
              <w:rPr>
                <w:rFonts w:hint="eastAsia" w:ascii="宋体" w:hAnsi="宋体" w:eastAsia="宋体" w:cs="宋体"/>
                <w:sz w:val="18"/>
                <w:szCs w:val="18"/>
              </w:rPr>
            </w:pPr>
            <w:r>
              <w:rPr>
                <w:rFonts w:hint="eastAsia" w:ascii="宋体" w:hAnsi="宋体" w:eastAsia="宋体" w:cs="宋体"/>
                <w:sz w:val="18"/>
                <w:szCs w:val="18"/>
              </w:rPr>
              <w:t>对未经批准擅自取水、未依照批准的取水许可规定条件取水行为的行政处罚</w:t>
            </w:r>
          </w:p>
        </w:tc>
        <w:tc>
          <w:tcPr>
            <w:tcW w:w="4862" w:type="dxa"/>
            <w:vMerge w:val="restart"/>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1C4BFB97">
            <w:pPr>
              <w:widowControl/>
              <w:spacing w:line="24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《中华人民共和国水法》第六十九条 有下列行为之一的，由县级以上人民政府水行政主管部门或者流域管理机构依据职权，责令停止违法行为，限期采取补救措施，处二万元以上十万元以下的罚款；情节严重的，吊销其取水许可证：</w:t>
            </w:r>
          </w:p>
          <w:p w14:paraId="5B4F58AA">
            <w:pPr>
              <w:widowControl/>
              <w:spacing w:line="24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（一）未经批准擅自取水的；</w:t>
            </w:r>
          </w:p>
          <w:p w14:paraId="01BDB7F3">
            <w:pPr>
              <w:widowControl/>
              <w:spacing w:line="24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（二）未依照批准的取水许可规定条件取水的。</w:t>
            </w:r>
          </w:p>
          <w:p w14:paraId="5157E594">
            <w:pPr>
              <w:widowControl/>
              <w:spacing w:line="24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《取水许可和水资源费征收管理条例》第四十八条 未经批准擅自取水，或者未依照批准的取水许可规定条件取水的，依照《中华人民共和国水法》第六十九条规定处罚；给他人造成妨碍或者损失的，应当排除妨碍、赔偿损失。</w:t>
            </w:r>
          </w:p>
          <w:p w14:paraId="5A276A11">
            <w:pPr>
              <w:widowControl/>
              <w:spacing w:line="24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《取水许可和水资源费征收管理条例》第二十四条 取水许可证应当包括下列内容：</w:t>
            </w:r>
          </w:p>
          <w:p w14:paraId="3B8AE35D">
            <w:pPr>
              <w:widowControl/>
              <w:spacing w:line="24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（一）取水单位或者个人的名称（姓名）；</w:t>
            </w:r>
          </w:p>
          <w:p w14:paraId="74B00773">
            <w:pPr>
              <w:widowControl/>
              <w:spacing w:line="24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（二）取水期限；</w:t>
            </w:r>
          </w:p>
          <w:p w14:paraId="7ECD3BD1">
            <w:pPr>
              <w:widowControl/>
              <w:spacing w:line="24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（三）取水量和取水用途；</w:t>
            </w:r>
          </w:p>
          <w:p w14:paraId="5F92C5FD">
            <w:pPr>
              <w:widowControl/>
              <w:spacing w:line="24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（四）水源类型；</w:t>
            </w:r>
          </w:p>
          <w:p w14:paraId="3A701794">
            <w:pPr>
              <w:widowControl/>
              <w:spacing w:line="24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（五）取水、退水地点及退水方式、退水量。</w:t>
            </w:r>
          </w:p>
          <w:p w14:paraId="6DF913C8">
            <w:pPr>
              <w:spacing w:line="240" w:lineRule="exact"/>
              <w:ind w:firstLine="360" w:firstLineChars="200"/>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前款第（三）项规定的取水量是在江河、湖泊、地下水多年平均水量情况下允许的取水单位或者个人的最大取水量。取水许可证由国务院水行政主管部门统一制作，审批机关核发取水许可证只能收取工本费。</w:t>
            </w:r>
          </w:p>
          <w:p w14:paraId="0ECBED7E">
            <w:pPr>
              <w:spacing w:line="260" w:lineRule="exact"/>
              <w:rPr>
                <w:rFonts w:hint="eastAsia" w:ascii="宋体" w:hAnsi="宋体" w:eastAsia="宋体" w:cs="宋体"/>
                <w:sz w:val="18"/>
                <w:szCs w:val="18"/>
              </w:rPr>
            </w:pPr>
            <w:r>
              <w:rPr>
                <w:rFonts w:hint="eastAsia" w:ascii="宋体" w:hAnsi="宋体" w:eastAsia="宋体" w:cs="宋体"/>
                <w:color w:val="000000"/>
                <w:kern w:val="0"/>
                <w:sz w:val="18"/>
                <w:szCs w:val="18"/>
                <w:lang w:bidi="ar"/>
              </w:rPr>
              <w:t>《河北省小水电站生态流量监督管理办法》（试行）第三十条  市县水行政主管部门和生态环境主管部门要严格取水许可监管和建设项目环评审批，将小水电站按要求泄放生态流量作为取水许可审批和监管、项目环评审批和流域水环境保护监管的重要内容，确保小水电站持续将生态流量落实到位。</w:t>
            </w:r>
          </w:p>
        </w:tc>
        <w:tc>
          <w:tcPr>
            <w:tcW w:w="1613" w:type="dxa"/>
            <w:vMerge w:val="restart"/>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550F983B">
            <w:pPr>
              <w:spacing w:line="260" w:lineRule="exact"/>
              <w:rPr>
                <w:rFonts w:hint="eastAsia" w:ascii="宋体" w:hAnsi="宋体" w:eastAsia="宋体" w:cs="宋体"/>
                <w:sz w:val="18"/>
                <w:szCs w:val="18"/>
              </w:rPr>
            </w:pPr>
            <w:r>
              <w:rPr>
                <w:rStyle w:val="21"/>
                <w:rFonts w:hint="eastAsia" w:ascii="宋体" w:hAnsi="宋体" w:eastAsia="宋体" w:cs="宋体"/>
                <w:sz w:val="18"/>
                <w:szCs w:val="18"/>
                <w:highlight w:val="none"/>
                <w:lang w:bidi="ar"/>
              </w:rPr>
              <w:t>未经批准擅自取水</w:t>
            </w:r>
            <w:r>
              <w:rPr>
                <w:rStyle w:val="21"/>
                <w:rFonts w:hint="eastAsia" w:ascii="宋体" w:hAnsi="宋体" w:cs="宋体"/>
                <w:sz w:val="18"/>
                <w:szCs w:val="18"/>
                <w:highlight w:val="none"/>
                <w:lang w:eastAsia="zh-CN" w:bidi="ar"/>
              </w:rPr>
              <w:t>（</w:t>
            </w:r>
            <w:r>
              <w:rPr>
                <w:rStyle w:val="21"/>
                <w:rFonts w:hint="eastAsia" w:ascii="宋体" w:hAnsi="宋体" w:cs="宋体"/>
                <w:sz w:val="18"/>
                <w:szCs w:val="18"/>
                <w:highlight w:val="none"/>
                <w:lang w:val="en-US" w:eastAsia="zh-CN" w:bidi="ar"/>
              </w:rPr>
              <w:t>无证取水或证失效仍取水</w:t>
            </w: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49514AB0">
            <w:pPr>
              <w:widowControl/>
              <w:spacing w:line="240" w:lineRule="exact"/>
              <w:jc w:val="center"/>
              <w:textAlignment w:val="center"/>
              <w:rPr>
                <w:rFonts w:hint="eastAsia" w:ascii="宋体" w:hAnsi="宋体" w:eastAsia="宋体" w:cs="宋体"/>
                <w:color w:val="000000"/>
                <w:kern w:val="0"/>
                <w:sz w:val="18"/>
                <w:szCs w:val="18"/>
                <w:lang w:val="en-US" w:eastAsia="zh-CN" w:bidi="ar"/>
              </w:rPr>
            </w:pPr>
            <w:r>
              <w:rPr>
                <w:rFonts w:hint="eastAsia" w:ascii="宋体" w:hAnsi="宋体" w:eastAsia="宋体" w:cs="宋体"/>
                <w:color w:val="000000"/>
                <w:kern w:val="0"/>
                <w:sz w:val="18"/>
                <w:szCs w:val="18"/>
                <w:lang w:bidi="ar"/>
              </w:rPr>
              <w:t>一般</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453770CF">
            <w:pPr>
              <w:widowControl/>
              <w:spacing w:line="240" w:lineRule="exact"/>
              <w:jc w:val="both"/>
              <w:textAlignment w:val="center"/>
              <w:rPr>
                <w:rFonts w:hint="eastAsia" w:ascii="宋体" w:hAnsi="宋体" w:eastAsia="宋体" w:cs="宋体"/>
                <w:color w:val="000000"/>
                <w:kern w:val="0"/>
                <w:sz w:val="18"/>
                <w:szCs w:val="18"/>
                <w:lang w:val="en-US" w:eastAsia="zh-CN" w:bidi="ar"/>
              </w:rPr>
            </w:pPr>
            <w:r>
              <w:rPr>
                <w:rFonts w:hint="eastAsia" w:ascii="宋体" w:hAnsi="宋体" w:eastAsia="宋体" w:cs="宋体"/>
                <w:color w:val="000000"/>
                <w:kern w:val="0"/>
                <w:sz w:val="18"/>
                <w:szCs w:val="18"/>
                <w:lang w:val="en-US" w:eastAsia="zh-CN" w:bidi="ar"/>
              </w:rPr>
              <w:t>无证取水且安装计量设施的，年取地表水量大于2000立方米小于等于5000立方米或年取地下水量大于1000立方米小于等于2000立方米的；无证取水且未安装计量设施的，取地表水能力大于80立方米/每小时小于等于100立方米/每小时或取地下水能力大于30立方米每小时小于等于50立方米/每小时的，且在规定期限内停止违法行为，采取补救措施的；</w:t>
            </w:r>
          </w:p>
          <w:p w14:paraId="3B89C62E">
            <w:pPr>
              <w:widowControl/>
              <w:spacing w:line="240" w:lineRule="exact"/>
              <w:jc w:val="both"/>
              <w:textAlignment w:val="center"/>
              <w:rPr>
                <w:rFonts w:hint="eastAsia" w:ascii="宋体" w:hAnsi="宋体" w:eastAsia="宋体" w:cs="宋体"/>
                <w:color w:val="000000"/>
                <w:kern w:val="0"/>
                <w:sz w:val="18"/>
                <w:szCs w:val="18"/>
                <w:lang w:val="en-US" w:eastAsia="zh-CN" w:bidi="ar"/>
              </w:rPr>
            </w:pPr>
            <w:r>
              <w:rPr>
                <w:rFonts w:hint="eastAsia" w:ascii="宋体" w:hAnsi="宋体" w:eastAsia="宋体" w:cs="宋体"/>
                <w:color w:val="000000"/>
                <w:kern w:val="0"/>
                <w:sz w:val="18"/>
                <w:szCs w:val="18"/>
                <w:lang w:val="en-US" w:eastAsia="zh-CN" w:bidi="ar"/>
              </w:rPr>
              <w:t>符合本适用条件，但未能在规定期限内停止违法行为，采取补救措施的，提高一档裁量幅度进行处罚。</w:t>
            </w: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2B35C785">
            <w:pPr>
              <w:widowControl/>
              <w:spacing w:line="240" w:lineRule="exact"/>
              <w:jc w:val="both"/>
              <w:textAlignment w:val="center"/>
              <w:rPr>
                <w:rFonts w:hint="eastAsia" w:ascii="宋体" w:hAnsi="宋体" w:eastAsia="宋体" w:cs="宋体"/>
                <w:color w:val="000000"/>
                <w:kern w:val="0"/>
                <w:sz w:val="18"/>
                <w:szCs w:val="18"/>
                <w:lang w:val="en-US" w:eastAsia="zh-CN" w:bidi="ar"/>
              </w:rPr>
            </w:pPr>
            <w:r>
              <w:rPr>
                <w:rFonts w:hint="eastAsia" w:ascii="宋体" w:hAnsi="宋体" w:eastAsia="宋体" w:cs="宋体"/>
                <w:color w:val="000000"/>
                <w:kern w:val="0"/>
                <w:sz w:val="18"/>
                <w:szCs w:val="18"/>
                <w:lang w:bidi="ar"/>
              </w:rPr>
              <w:t>处</w:t>
            </w:r>
            <w:r>
              <w:rPr>
                <w:rFonts w:hint="eastAsia" w:ascii="宋体" w:hAnsi="宋体" w:eastAsia="宋体" w:cs="宋体"/>
                <w:color w:val="000000"/>
                <w:kern w:val="0"/>
                <w:sz w:val="18"/>
                <w:szCs w:val="18"/>
                <w:lang w:val="en-US" w:eastAsia="zh-CN" w:bidi="ar"/>
              </w:rPr>
              <w:t>3</w:t>
            </w:r>
            <w:r>
              <w:rPr>
                <w:rFonts w:hint="eastAsia" w:ascii="宋体" w:hAnsi="宋体" w:eastAsia="宋体" w:cs="宋体"/>
                <w:color w:val="000000"/>
                <w:kern w:val="0"/>
                <w:sz w:val="18"/>
                <w:szCs w:val="18"/>
                <w:lang w:bidi="ar"/>
              </w:rPr>
              <w:t>万元以上</w:t>
            </w:r>
            <w:r>
              <w:rPr>
                <w:rFonts w:hint="eastAsia" w:ascii="宋体" w:hAnsi="宋体" w:eastAsia="宋体" w:cs="宋体"/>
                <w:color w:val="000000"/>
                <w:kern w:val="0"/>
                <w:sz w:val="18"/>
                <w:szCs w:val="18"/>
                <w:lang w:val="en-US" w:eastAsia="zh-CN" w:bidi="ar"/>
              </w:rPr>
              <w:t>6</w:t>
            </w:r>
            <w:r>
              <w:rPr>
                <w:rFonts w:hint="eastAsia" w:ascii="宋体" w:hAnsi="宋体" w:eastAsia="宋体" w:cs="宋体"/>
                <w:color w:val="000000"/>
                <w:kern w:val="0"/>
                <w:sz w:val="18"/>
                <w:szCs w:val="18"/>
                <w:lang w:bidi="ar"/>
              </w:rPr>
              <w:t>万元以下罚款</w:t>
            </w:r>
          </w:p>
        </w:tc>
        <w:tc>
          <w:tcPr>
            <w:tcW w:w="56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3193197D">
            <w:pPr>
              <w:spacing w:line="260" w:lineRule="exact"/>
              <w:rPr>
                <w:rStyle w:val="21"/>
                <w:rFonts w:hint="eastAsia" w:ascii="宋体" w:hAnsi="宋体" w:eastAsia="宋体" w:cs="宋体"/>
                <w:sz w:val="18"/>
                <w:szCs w:val="18"/>
                <w:lang w:bidi="ar"/>
              </w:rPr>
            </w:pPr>
          </w:p>
        </w:tc>
      </w:tr>
      <w:tr w14:paraId="7BAE93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965" w:hRule="atLeast"/>
          <w:jc w:val="center"/>
        </w:trPr>
        <w:tc>
          <w:tcPr>
            <w:tcW w:w="495"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4830F485">
            <w:pPr>
              <w:spacing w:line="260" w:lineRule="exact"/>
              <w:jc w:val="center"/>
              <w:rPr>
                <w:rFonts w:hint="eastAsia" w:ascii="宋体" w:hAnsi="宋体" w:eastAsia="宋体" w:cs="宋体"/>
                <w:sz w:val="18"/>
                <w:szCs w:val="18"/>
              </w:rPr>
            </w:pPr>
          </w:p>
        </w:tc>
        <w:tc>
          <w:tcPr>
            <w:tcW w:w="1211"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3298E35C">
            <w:pPr>
              <w:spacing w:line="260" w:lineRule="exact"/>
              <w:rPr>
                <w:rFonts w:hint="eastAsia" w:ascii="宋体" w:hAnsi="宋体" w:eastAsia="宋体" w:cs="宋体"/>
                <w:sz w:val="18"/>
                <w:szCs w:val="18"/>
              </w:rPr>
            </w:pPr>
          </w:p>
        </w:tc>
        <w:tc>
          <w:tcPr>
            <w:tcW w:w="4862"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088F0314">
            <w:pPr>
              <w:spacing w:line="260" w:lineRule="exact"/>
              <w:rPr>
                <w:rFonts w:hint="eastAsia" w:ascii="宋体" w:hAnsi="宋体" w:eastAsia="宋体" w:cs="宋体"/>
                <w:sz w:val="18"/>
                <w:szCs w:val="18"/>
              </w:rPr>
            </w:pPr>
          </w:p>
        </w:tc>
        <w:tc>
          <w:tcPr>
            <w:tcW w:w="161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6AE4EC24">
            <w:pPr>
              <w:spacing w:line="260" w:lineRule="exact"/>
              <w:rPr>
                <w:rFonts w:hint="eastAsia" w:ascii="宋体" w:hAnsi="宋体" w:eastAsia="宋体" w:cs="宋体"/>
                <w:sz w:val="18"/>
                <w:szCs w:val="18"/>
              </w:rPr>
            </w:pP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774881B6">
            <w:pPr>
              <w:widowControl/>
              <w:spacing w:line="240" w:lineRule="exact"/>
              <w:jc w:val="center"/>
              <w:textAlignment w:val="center"/>
              <w:rPr>
                <w:rFonts w:hint="eastAsia" w:ascii="宋体" w:hAnsi="宋体" w:eastAsia="宋体" w:cs="宋体"/>
                <w:color w:val="000000"/>
                <w:kern w:val="0"/>
                <w:sz w:val="18"/>
                <w:szCs w:val="18"/>
                <w:lang w:val="en-US" w:eastAsia="zh-CN" w:bidi="ar"/>
              </w:rPr>
            </w:pPr>
            <w:r>
              <w:rPr>
                <w:rFonts w:hint="eastAsia" w:ascii="宋体" w:hAnsi="宋体" w:eastAsia="宋体" w:cs="宋体"/>
                <w:color w:val="000000"/>
                <w:kern w:val="0"/>
                <w:sz w:val="18"/>
                <w:szCs w:val="18"/>
                <w:lang w:eastAsia="zh-CN" w:bidi="ar"/>
              </w:rPr>
              <w:t>较重</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3506CD14">
            <w:pPr>
              <w:widowControl/>
              <w:spacing w:line="240" w:lineRule="exact"/>
              <w:jc w:val="both"/>
              <w:textAlignment w:val="center"/>
              <w:rPr>
                <w:rFonts w:hint="eastAsia" w:ascii="宋体" w:hAnsi="宋体" w:eastAsia="宋体" w:cs="宋体"/>
                <w:color w:val="000000"/>
                <w:kern w:val="0"/>
                <w:sz w:val="18"/>
                <w:szCs w:val="18"/>
                <w:lang w:val="en-US" w:eastAsia="zh-CN" w:bidi="ar"/>
              </w:rPr>
            </w:pPr>
            <w:r>
              <w:rPr>
                <w:rFonts w:hint="eastAsia" w:ascii="宋体" w:hAnsi="宋体" w:eastAsia="宋体" w:cs="宋体"/>
                <w:color w:val="000000"/>
                <w:kern w:val="0"/>
                <w:sz w:val="18"/>
                <w:szCs w:val="18"/>
                <w:lang w:val="en-US" w:eastAsia="zh-CN" w:bidi="ar"/>
              </w:rPr>
              <w:t>无证取水且安装计量设施的，年取地表水量大于5000立方米小于等于10000立方米或年取地下水量大于2000立方米小于等于5000立方米的；无证取水且未安装计量设施的，取地表水能力大于100立方米/每小时小于等于150立方米/每小时或取地下水能力大于50立方米/每小时小于等于80立方米/每小时的，且在规定期限内停止违法行为，采取补救措施的；</w:t>
            </w:r>
          </w:p>
          <w:p w14:paraId="5F777E07">
            <w:pPr>
              <w:widowControl/>
              <w:spacing w:line="240" w:lineRule="exact"/>
              <w:jc w:val="both"/>
              <w:textAlignment w:val="center"/>
              <w:rPr>
                <w:rFonts w:hint="eastAsia" w:ascii="宋体" w:hAnsi="宋体" w:eastAsia="宋体" w:cs="宋体"/>
                <w:color w:val="000000"/>
                <w:kern w:val="0"/>
                <w:sz w:val="18"/>
                <w:szCs w:val="18"/>
                <w:lang w:val="en-US" w:eastAsia="zh-CN" w:bidi="ar"/>
              </w:rPr>
            </w:pPr>
            <w:r>
              <w:rPr>
                <w:rFonts w:hint="eastAsia" w:ascii="宋体" w:hAnsi="宋体" w:eastAsia="宋体" w:cs="宋体"/>
                <w:color w:val="000000"/>
                <w:kern w:val="0"/>
                <w:sz w:val="18"/>
                <w:szCs w:val="18"/>
                <w:lang w:val="en-US" w:eastAsia="zh-CN" w:bidi="ar"/>
              </w:rPr>
              <w:t>符合本适用条件，但未能在规定期限内停止违法行为，采取补救措施的，提高一档裁量幅度进行处罚。</w:t>
            </w: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1C7AE212">
            <w:pPr>
              <w:widowControl/>
              <w:spacing w:line="240" w:lineRule="exact"/>
              <w:jc w:val="both"/>
              <w:textAlignment w:val="center"/>
              <w:rPr>
                <w:rFonts w:hint="eastAsia" w:ascii="宋体" w:hAnsi="宋体" w:eastAsia="宋体" w:cs="宋体"/>
                <w:color w:val="000000"/>
                <w:kern w:val="0"/>
                <w:sz w:val="18"/>
                <w:szCs w:val="18"/>
                <w:lang w:val="en-US" w:eastAsia="zh-CN" w:bidi="ar"/>
              </w:rPr>
            </w:pPr>
            <w:r>
              <w:rPr>
                <w:rFonts w:hint="eastAsia" w:ascii="宋体" w:hAnsi="宋体" w:eastAsia="宋体" w:cs="宋体"/>
                <w:color w:val="000000"/>
                <w:kern w:val="0"/>
                <w:sz w:val="18"/>
                <w:szCs w:val="18"/>
                <w:lang w:bidi="ar"/>
              </w:rPr>
              <w:t>处</w:t>
            </w:r>
            <w:r>
              <w:rPr>
                <w:rFonts w:hint="eastAsia" w:ascii="宋体" w:hAnsi="宋体" w:eastAsia="宋体" w:cs="宋体"/>
                <w:color w:val="000000"/>
                <w:kern w:val="0"/>
                <w:sz w:val="18"/>
                <w:szCs w:val="18"/>
                <w:lang w:val="en-US" w:eastAsia="zh-CN" w:bidi="ar"/>
              </w:rPr>
              <w:t>6</w:t>
            </w:r>
            <w:r>
              <w:rPr>
                <w:rFonts w:hint="eastAsia" w:ascii="宋体" w:hAnsi="宋体" w:eastAsia="宋体" w:cs="宋体"/>
                <w:color w:val="000000"/>
                <w:kern w:val="0"/>
                <w:sz w:val="18"/>
                <w:szCs w:val="18"/>
                <w:lang w:bidi="ar"/>
              </w:rPr>
              <w:t>万元以上</w:t>
            </w:r>
            <w:r>
              <w:rPr>
                <w:rFonts w:hint="eastAsia" w:ascii="宋体" w:hAnsi="宋体" w:eastAsia="宋体" w:cs="宋体"/>
                <w:color w:val="000000"/>
                <w:kern w:val="0"/>
                <w:sz w:val="18"/>
                <w:szCs w:val="18"/>
                <w:lang w:val="en-US" w:eastAsia="zh-CN" w:bidi="ar"/>
              </w:rPr>
              <w:t>9</w:t>
            </w:r>
            <w:r>
              <w:rPr>
                <w:rFonts w:hint="eastAsia" w:ascii="宋体" w:hAnsi="宋体" w:eastAsia="宋体" w:cs="宋体"/>
                <w:color w:val="000000"/>
                <w:kern w:val="0"/>
                <w:sz w:val="18"/>
                <w:szCs w:val="18"/>
                <w:lang w:bidi="ar"/>
              </w:rPr>
              <w:t>万元以下罚款</w:t>
            </w:r>
          </w:p>
        </w:tc>
        <w:tc>
          <w:tcPr>
            <w:tcW w:w="56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370C657E">
            <w:pPr>
              <w:spacing w:line="260" w:lineRule="exact"/>
              <w:rPr>
                <w:rStyle w:val="21"/>
                <w:rFonts w:hint="eastAsia" w:ascii="宋体" w:hAnsi="宋体" w:eastAsia="宋体" w:cs="宋体"/>
                <w:sz w:val="18"/>
                <w:szCs w:val="18"/>
                <w:lang w:bidi="ar"/>
              </w:rPr>
            </w:pPr>
          </w:p>
        </w:tc>
      </w:tr>
      <w:tr w14:paraId="23D4EE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630" w:hRule="atLeast"/>
          <w:jc w:val="center"/>
        </w:trPr>
        <w:tc>
          <w:tcPr>
            <w:tcW w:w="495"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6690544B">
            <w:pPr>
              <w:spacing w:line="260" w:lineRule="exact"/>
              <w:jc w:val="center"/>
              <w:rPr>
                <w:rFonts w:hint="eastAsia" w:ascii="宋体" w:hAnsi="宋体" w:eastAsia="宋体" w:cs="宋体"/>
                <w:sz w:val="18"/>
                <w:szCs w:val="18"/>
              </w:rPr>
            </w:pPr>
          </w:p>
        </w:tc>
        <w:tc>
          <w:tcPr>
            <w:tcW w:w="1211"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4565BF4E">
            <w:pPr>
              <w:spacing w:line="260" w:lineRule="exact"/>
              <w:rPr>
                <w:rFonts w:hint="eastAsia" w:ascii="宋体" w:hAnsi="宋体" w:eastAsia="宋体" w:cs="宋体"/>
                <w:sz w:val="18"/>
                <w:szCs w:val="18"/>
              </w:rPr>
            </w:pPr>
          </w:p>
        </w:tc>
        <w:tc>
          <w:tcPr>
            <w:tcW w:w="4862"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0577FE0A">
            <w:pPr>
              <w:spacing w:line="260" w:lineRule="exact"/>
              <w:rPr>
                <w:rFonts w:hint="eastAsia" w:ascii="宋体" w:hAnsi="宋体" w:eastAsia="宋体" w:cs="宋体"/>
                <w:sz w:val="18"/>
                <w:szCs w:val="18"/>
              </w:rPr>
            </w:pPr>
          </w:p>
        </w:tc>
        <w:tc>
          <w:tcPr>
            <w:tcW w:w="1613" w:type="dxa"/>
            <w:vMerge w:val="continue"/>
            <w:tcBorders>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2B7F9B7E">
            <w:pPr>
              <w:spacing w:line="260" w:lineRule="exact"/>
              <w:rPr>
                <w:rFonts w:hint="eastAsia" w:ascii="宋体" w:hAnsi="宋体" w:eastAsia="宋体" w:cs="宋体"/>
                <w:sz w:val="18"/>
                <w:szCs w:val="18"/>
              </w:rPr>
            </w:pP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4C065B79">
            <w:pPr>
              <w:widowControl/>
              <w:spacing w:line="240" w:lineRule="exact"/>
              <w:jc w:val="center"/>
              <w:textAlignment w:val="center"/>
              <w:rPr>
                <w:rFonts w:hint="eastAsia" w:ascii="宋体" w:hAnsi="宋体" w:eastAsia="宋体" w:cs="宋体"/>
                <w:color w:val="000000"/>
                <w:kern w:val="0"/>
                <w:sz w:val="18"/>
                <w:szCs w:val="18"/>
                <w:lang w:val="en-US" w:eastAsia="zh-CN" w:bidi="ar"/>
              </w:rPr>
            </w:pPr>
            <w:r>
              <w:rPr>
                <w:rFonts w:hint="eastAsia" w:ascii="宋体" w:hAnsi="宋体" w:eastAsia="宋体" w:cs="宋体"/>
                <w:color w:val="000000"/>
                <w:kern w:val="0"/>
                <w:sz w:val="18"/>
                <w:szCs w:val="18"/>
                <w:lang w:bidi="ar"/>
              </w:rPr>
              <w:t>严重</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19D362C5">
            <w:pPr>
              <w:widowControl/>
              <w:spacing w:line="240" w:lineRule="exact"/>
              <w:jc w:val="both"/>
              <w:textAlignment w:val="center"/>
              <w:rPr>
                <w:rFonts w:hint="eastAsia" w:ascii="宋体" w:hAnsi="宋体" w:eastAsia="宋体" w:cs="宋体"/>
                <w:color w:val="000000"/>
                <w:kern w:val="0"/>
                <w:sz w:val="18"/>
                <w:szCs w:val="18"/>
                <w:lang w:val="en-US" w:eastAsia="zh-CN" w:bidi="ar"/>
              </w:rPr>
            </w:pPr>
            <w:r>
              <w:rPr>
                <w:rFonts w:hint="eastAsia" w:ascii="宋体" w:hAnsi="宋体" w:eastAsia="宋体" w:cs="宋体"/>
                <w:color w:val="000000"/>
                <w:kern w:val="0"/>
                <w:sz w:val="18"/>
                <w:szCs w:val="18"/>
                <w:lang w:val="en-US" w:eastAsia="zh-CN" w:bidi="ar"/>
              </w:rPr>
              <w:t>1.无证取水且安装计量设施的，年取地表水量大于10000立方米或年取地下水大于5000立方米的；无证取水且未安装计量设施的，取地表水能力大于150立方米/小时或取地下水能力大于80立方米/每小时的；</w:t>
            </w:r>
          </w:p>
          <w:p w14:paraId="71E75AC7">
            <w:pPr>
              <w:widowControl/>
              <w:spacing w:line="240" w:lineRule="exact"/>
              <w:jc w:val="both"/>
              <w:textAlignment w:val="center"/>
              <w:rPr>
                <w:rFonts w:hint="eastAsia" w:ascii="宋体" w:hAnsi="宋体" w:eastAsia="宋体" w:cs="宋体"/>
                <w:color w:val="000000"/>
                <w:kern w:val="0"/>
                <w:sz w:val="18"/>
                <w:szCs w:val="18"/>
                <w:lang w:val="en-US" w:eastAsia="zh-CN" w:bidi="ar"/>
              </w:rPr>
            </w:pPr>
            <w:r>
              <w:rPr>
                <w:rFonts w:hint="eastAsia" w:ascii="宋体" w:hAnsi="宋体" w:eastAsia="宋体" w:cs="宋体"/>
                <w:color w:val="000000"/>
                <w:kern w:val="0"/>
                <w:sz w:val="18"/>
                <w:szCs w:val="18"/>
                <w:lang w:val="en-US" w:eastAsia="zh-CN" w:bidi="ar"/>
              </w:rPr>
              <w:t>2.拒不停止违法行为、采取补救措施的；</w:t>
            </w:r>
          </w:p>
          <w:p w14:paraId="5C0E378A">
            <w:pPr>
              <w:widowControl/>
              <w:spacing w:line="240" w:lineRule="exact"/>
              <w:jc w:val="both"/>
              <w:textAlignment w:val="center"/>
              <w:rPr>
                <w:rFonts w:hint="eastAsia" w:ascii="宋体" w:hAnsi="宋体" w:eastAsia="宋体" w:cs="宋体"/>
                <w:color w:val="000000"/>
                <w:kern w:val="0"/>
                <w:sz w:val="18"/>
                <w:szCs w:val="18"/>
                <w:lang w:val="en-US" w:eastAsia="zh-CN" w:bidi="ar"/>
              </w:rPr>
            </w:pPr>
            <w:r>
              <w:rPr>
                <w:rFonts w:hint="eastAsia" w:ascii="宋体" w:hAnsi="宋体" w:eastAsia="宋体" w:cs="宋体"/>
                <w:color w:val="000000"/>
                <w:kern w:val="0"/>
                <w:sz w:val="18"/>
                <w:szCs w:val="18"/>
                <w:lang w:val="en-US" w:eastAsia="zh-CN" w:bidi="ar"/>
              </w:rPr>
              <w:t>3.连续两年以上或一年内两次以上违法取水的；</w:t>
            </w:r>
          </w:p>
          <w:p w14:paraId="26D26990">
            <w:pPr>
              <w:widowControl/>
              <w:spacing w:line="240" w:lineRule="exact"/>
              <w:jc w:val="both"/>
              <w:textAlignment w:val="center"/>
              <w:rPr>
                <w:rFonts w:hint="eastAsia" w:ascii="宋体" w:hAnsi="宋体" w:eastAsia="宋体" w:cs="宋体"/>
                <w:color w:val="000000"/>
                <w:kern w:val="0"/>
                <w:sz w:val="18"/>
                <w:szCs w:val="18"/>
                <w:lang w:val="en-US" w:eastAsia="zh-CN" w:bidi="ar"/>
              </w:rPr>
            </w:pPr>
            <w:r>
              <w:rPr>
                <w:rFonts w:hint="eastAsia" w:ascii="宋体" w:hAnsi="宋体" w:eastAsia="宋体" w:cs="宋体"/>
                <w:color w:val="000000"/>
                <w:kern w:val="0"/>
                <w:sz w:val="18"/>
                <w:szCs w:val="18"/>
                <w:lang w:val="en-US" w:eastAsia="zh-CN" w:bidi="ar"/>
              </w:rPr>
              <w:t>只要符合以上三个条件其中一个的，即可适用本裁量幅度。</w:t>
            </w: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449A05F5">
            <w:pPr>
              <w:widowControl/>
              <w:spacing w:line="240" w:lineRule="exact"/>
              <w:jc w:val="both"/>
              <w:textAlignment w:val="center"/>
              <w:rPr>
                <w:rFonts w:hint="eastAsia" w:ascii="宋体" w:hAnsi="宋体" w:eastAsia="宋体" w:cs="宋体"/>
                <w:color w:val="000000"/>
                <w:kern w:val="0"/>
                <w:sz w:val="18"/>
                <w:szCs w:val="18"/>
                <w:lang w:val="en-US" w:eastAsia="zh-CN" w:bidi="ar"/>
              </w:rPr>
            </w:pPr>
            <w:r>
              <w:rPr>
                <w:rFonts w:hint="eastAsia" w:ascii="宋体" w:hAnsi="宋体" w:eastAsia="宋体" w:cs="宋体"/>
                <w:color w:val="000000"/>
                <w:kern w:val="0"/>
                <w:sz w:val="18"/>
                <w:szCs w:val="18"/>
                <w:lang w:bidi="ar"/>
              </w:rPr>
              <w:t>处</w:t>
            </w:r>
            <w:r>
              <w:rPr>
                <w:rFonts w:hint="eastAsia" w:ascii="宋体" w:hAnsi="宋体" w:eastAsia="宋体" w:cs="宋体"/>
                <w:color w:val="000000"/>
                <w:kern w:val="0"/>
                <w:sz w:val="18"/>
                <w:szCs w:val="18"/>
                <w:lang w:val="en-US" w:eastAsia="zh-CN" w:bidi="ar"/>
              </w:rPr>
              <w:t>9</w:t>
            </w:r>
            <w:r>
              <w:rPr>
                <w:rFonts w:hint="eastAsia" w:ascii="宋体" w:hAnsi="宋体" w:eastAsia="宋体" w:cs="宋体"/>
                <w:color w:val="000000"/>
                <w:kern w:val="0"/>
                <w:sz w:val="18"/>
                <w:szCs w:val="18"/>
                <w:lang w:bidi="ar"/>
              </w:rPr>
              <w:t>万元以上</w:t>
            </w:r>
            <w:r>
              <w:rPr>
                <w:rFonts w:hint="eastAsia" w:ascii="宋体" w:hAnsi="宋体" w:eastAsia="宋体" w:cs="宋体"/>
                <w:color w:val="000000"/>
                <w:kern w:val="0"/>
                <w:sz w:val="18"/>
                <w:szCs w:val="18"/>
                <w:lang w:val="en-US" w:eastAsia="zh-CN" w:bidi="ar"/>
              </w:rPr>
              <w:t>10</w:t>
            </w:r>
            <w:r>
              <w:rPr>
                <w:rFonts w:hint="eastAsia" w:ascii="宋体" w:hAnsi="宋体" w:eastAsia="宋体" w:cs="宋体"/>
                <w:color w:val="000000"/>
                <w:kern w:val="0"/>
                <w:sz w:val="18"/>
                <w:szCs w:val="18"/>
                <w:lang w:bidi="ar"/>
              </w:rPr>
              <w:t>万元以下罚款</w:t>
            </w:r>
          </w:p>
        </w:tc>
        <w:tc>
          <w:tcPr>
            <w:tcW w:w="56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5E7C40EF">
            <w:pPr>
              <w:spacing w:line="260" w:lineRule="exact"/>
              <w:rPr>
                <w:rStyle w:val="21"/>
                <w:rFonts w:hint="eastAsia" w:ascii="宋体" w:hAnsi="宋体" w:eastAsia="宋体" w:cs="宋体"/>
                <w:sz w:val="18"/>
                <w:szCs w:val="18"/>
                <w:lang w:bidi="ar"/>
              </w:rPr>
            </w:pPr>
          </w:p>
        </w:tc>
      </w:tr>
      <w:tr w14:paraId="26D00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567" w:hRule="atLeast"/>
          <w:jc w:val="center"/>
        </w:trPr>
        <w:tc>
          <w:tcPr>
            <w:tcW w:w="495" w:type="dxa"/>
            <w:vMerge w:val="restart"/>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12DDF3A3">
            <w:pPr>
              <w:spacing w:line="260" w:lineRule="exact"/>
              <w:jc w:val="center"/>
              <w:rPr>
                <w:rFonts w:hint="eastAsia" w:ascii="宋体" w:hAnsi="宋体" w:eastAsia="宋体" w:cs="宋体"/>
                <w:sz w:val="18"/>
                <w:szCs w:val="18"/>
              </w:rPr>
            </w:pPr>
            <w:r>
              <w:rPr>
                <w:rFonts w:hint="eastAsia" w:ascii="宋体" w:hAnsi="宋体" w:eastAsia="宋体" w:cs="宋体"/>
                <w:sz w:val="18"/>
                <w:szCs w:val="18"/>
                <w:lang w:val="en-US" w:eastAsia="zh-CN"/>
              </w:rPr>
              <w:t>1</w:t>
            </w:r>
          </w:p>
        </w:tc>
        <w:tc>
          <w:tcPr>
            <w:tcW w:w="1211" w:type="dxa"/>
            <w:vMerge w:val="restart"/>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5988A897">
            <w:pPr>
              <w:spacing w:line="260" w:lineRule="exact"/>
              <w:rPr>
                <w:rFonts w:hint="eastAsia" w:ascii="宋体" w:hAnsi="宋体" w:eastAsia="宋体" w:cs="宋体"/>
                <w:sz w:val="18"/>
                <w:szCs w:val="18"/>
              </w:rPr>
            </w:pPr>
            <w:r>
              <w:rPr>
                <w:rFonts w:hint="eastAsia" w:ascii="宋体" w:hAnsi="宋体" w:eastAsia="宋体" w:cs="宋体"/>
                <w:sz w:val="18"/>
                <w:szCs w:val="18"/>
              </w:rPr>
              <w:t>对未经批准擅自取水、未依照批准的取水许可规定条件取水行为的行政处罚</w:t>
            </w:r>
          </w:p>
        </w:tc>
        <w:tc>
          <w:tcPr>
            <w:tcW w:w="4862" w:type="dxa"/>
            <w:vMerge w:val="restart"/>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19111B75">
            <w:pPr>
              <w:widowControl/>
              <w:spacing w:line="24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《中华人民共和国水法》第六十九条 有下列行为之一的，由县级以上人民政府水行政主管部门或者流域管理机构依据职权，责令停止违法行为，限期采取补救措施，处二万元以上十万元以下的罚款；情节严重的，吊销其取水许可证：</w:t>
            </w:r>
          </w:p>
          <w:p w14:paraId="025F0AF8">
            <w:pPr>
              <w:widowControl/>
              <w:spacing w:line="24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（一）未经批准擅自取水的；</w:t>
            </w:r>
          </w:p>
          <w:p w14:paraId="05C5B34F">
            <w:pPr>
              <w:widowControl/>
              <w:spacing w:line="24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（二）未依照批准的取水许可规定条件取水的。</w:t>
            </w:r>
          </w:p>
          <w:p w14:paraId="2E19628E">
            <w:pPr>
              <w:widowControl/>
              <w:spacing w:line="24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《取水许可和水资源费征收管理条例》第四十八条 未经批准擅自取水，或者未依照批准的取水许可规定条件取水的，依照《中华人民共和国水法》第六十九条规定处罚；给他人造成妨碍或者损失的，应当排除妨碍、赔偿损失。</w:t>
            </w:r>
          </w:p>
          <w:p w14:paraId="6AC574B1">
            <w:pPr>
              <w:widowControl/>
              <w:spacing w:line="24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《取水许可和水资源费征收管理条例》第二十四条 取水许可证应当包括下列内容：</w:t>
            </w:r>
          </w:p>
          <w:p w14:paraId="4D2CF8C3">
            <w:pPr>
              <w:widowControl/>
              <w:spacing w:line="24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（一）取水单位或者个人的名称（姓名）；</w:t>
            </w:r>
          </w:p>
          <w:p w14:paraId="08AAC462">
            <w:pPr>
              <w:widowControl/>
              <w:spacing w:line="24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（二）取水期限；</w:t>
            </w:r>
          </w:p>
          <w:p w14:paraId="03C44473">
            <w:pPr>
              <w:widowControl/>
              <w:spacing w:line="24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（三）取水量和取水用途；</w:t>
            </w:r>
          </w:p>
          <w:p w14:paraId="6D983680">
            <w:pPr>
              <w:widowControl/>
              <w:spacing w:line="24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（四）水源类型；</w:t>
            </w:r>
          </w:p>
          <w:p w14:paraId="2B526C7E">
            <w:pPr>
              <w:widowControl/>
              <w:spacing w:line="24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（五）取水、退水地点及退水方式、退水量。</w:t>
            </w:r>
          </w:p>
          <w:p w14:paraId="55787263">
            <w:pPr>
              <w:spacing w:line="240" w:lineRule="exact"/>
              <w:ind w:firstLine="360" w:firstLineChars="200"/>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前款第（三）项规定的取水量是在江河、湖泊、地下水多年平均水量情况下允许的取水单位或者个人的最大取水量。取水许可证由国务院水行政主管部门统一制作，审批机关核发取水许可证只能收取工本费。</w:t>
            </w:r>
          </w:p>
          <w:p w14:paraId="4F4F0E86">
            <w:pPr>
              <w:spacing w:line="260" w:lineRule="exact"/>
              <w:ind w:firstLine="360" w:firstLineChars="200"/>
              <w:rPr>
                <w:rFonts w:hint="eastAsia" w:ascii="宋体" w:hAnsi="宋体" w:eastAsia="宋体" w:cs="宋体"/>
                <w:sz w:val="18"/>
                <w:szCs w:val="18"/>
              </w:rPr>
            </w:pPr>
            <w:r>
              <w:rPr>
                <w:rFonts w:hint="eastAsia" w:ascii="宋体" w:hAnsi="宋体" w:eastAsia="宋体" w:cs="宋体"/>
                <w:color w:val="000000"/>
                <w:kern w:val="0"/>
                <w:sz w:val="18"/>
                <w:szCs w:val="18"/>
                <w:lang w:bidi="ar"/>
              </w:rPr>
              <w:t>《河北省小水电站生态流量监督管理办法》（试行）第三十条  市县水行政主管部门和生态环境主管部门要严格取水许可监管和建设项目环评审批，将小水电站按要求泄放生态流量作为取水许可审批和监管、项目环评审批和流域水环境保护监管的重要内容，确保小水电站持续将生态流量落实到位。</w:t>
            </w:r>
          </w:p>
        </w:tc>
        <w:tc>
          <w:tcPr>
            <w:tcW w:w="1613" w:type="dxa"/>
            <w:vMerge w:val="restart"/>
            <w:tcBorders>
              <w:top w:val="single" w:color="auto" w:sz="4" w:space="0"/>
              <w:left w:val="single" w:color="auto" w:sz="4" w:space="0"/>
              <w:right w:val="single" w:color="auto" w:sz="4" w:space="0"/>
            </w:tcBorders>
            <w:shd w:val="clear" w:color="auto" w:fill="FFFFFF"/>
            <w:noWrap w:val="0"/>
            <w:tcMar>
              <w:top w:w="0" w:type="dxa"/>
              <w:left w:w="0" w:type="dxa"/>
              <w:bottom w:w="0" w:type="dxa"/>
              <w:right w:w="0" w:type="dxa"/>
            </w:tcMar>
            <w:vAlign w:val="center"/>
          </w:tcPr>
          <w:p w14:paraId="4BF57265">
            <w:pPr>
              <w:spacing w:line="260" w:lineRule="exact"/>
              <w:rPr>
                <w:rStyle w:val="21"/>
                <w:rFonts w:hint="eastAsia" w:ascii="宋体" w:hAnsi="宋体" w:eastAsia="宋体" w:cs="宋体"/>
                <w:sz w:val="18"/>
                <w:szCs w:val="18"/>
                <w:lang w:bidi="ar"/>
              </w:rPr>
            </w:pPr>
            <w:r>
              <w:rPr>
                <w:rStyle w:val="21"/>
                <w:rFonts w:hint="eastAsia" w:ascii="宋体" w:hAnsi="宋体" w:eastAsia="宋体" w:cs="宋体"/>
                <w:sz w:val="18"/>
                <w:szCs w:val="18"/>
                <w:lang w:bidi="ar"/>
              </w:rPr>
              <w:t>超许可取水量取水的</w:t>
            </w: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07A3BFFA">
            <w:pPr>
              <w:spacing w:line="260" w:lineRule="exact"/>
              <w:jc w:val="center"/>
              <w:rPr>
                <w:rFonts w:hint="eastAsia" w:ascii="宋体" w:hAnsi="宋体" w:eastAsia="宋体" w:cs="宋体"/>
                <w:kern w:val="2"/>
                <w:sz w:val="18"/>
                <w:szCs w:val="18"/>
                <w:highlight w:val="none"/>
                <w:lang w:val="en-US" w:eastAsia="zh-CN" w:bidi="ar-SA"/>
              </w:rPr>
            </w:pPr>
            <w:r>
              <w:rPr>
                <w:rFonts w:hint="eastAsia" w:ascii="宋体" w:hAnsi="宋体" w:eastAsia="宋体" w:cs="宋体"/>
                <w:sz w:val="18"/>
                <w:szCs w:val="18"/>
                <w:highlight w:val="none"/>
              </w:rPr>
              <w:t>轻微</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15208513">
            <w:pPr>
              <w:spacing w:line="260" w:lineRule="exact"/>
              <w:rPr>
                <w:rStyle w:val="21"/>
                <w:rFonts w:hint="eastAsia" w:ascii="宋体" w:hAnsi="宋体" w:eastAsia="宋体" w:cs="宋体"/>
                <w:sz w:val="18"/>
                <w:szCs w:val="18"/>
                <w:lang w:val="en-US" w:eastAsia="zh-CN" w:bidi="ar"/>
              </w:rPr>
            </w:pPr>
            <w:r>
              <w:rPr>
                <w:rStyle w:val="21"/>
                <w:rFonts w:hint="eastAsia" w:ascii="宋体" w:hAnsi="宋体" w:eastAsia="宋体" w:cs="宋体"/>
                <w:sz w:val="18"/>
                <w:szCs w:val="18"/>
                <w:lang w:val="en-US" w:eastAsia="zh-CN" w:bidi="ar"/>
              </w:rPr>
              <w:t>1.首次违法（通过省政务服务网信用代证“一件事”查询，确认未发生过违法取用水行为的）；</w:t>
            </w:r>
          </w:p>
          <w:p w14:paraId="118163E9">
            <w:pPr>
              <w:spacing w:line="260" w:lineRule="exact"/>
              <w:rPr>
                <w:rStyle w:val="21"/>
                <w:rFonts w:hint="eastAsia" w:ascii="宋体" w:hAnsi="宋体" w:eastAsia="宋体" w:cs="宋体"/>
                <w:sz w:val="18"/>
                <w:szCs w:val="18"/>
                <w:lang w:val="en-US" w:eastAsia="zh-CN" w:bidi="ar"/>
              </w:rPr>
            </w:pPr>
            <w:r>
              <w:rPr>
                <w:rStyle w:val="21"/>
                <w:rFonts w:hint="eastAsia" w:ascii="宋体" w:hAnsi="宋体" w:eastAsia="宋体" w:cs="宋体"/>
                <w:sz w:val="18"/>
                <w:szCs w:val="18"/>
                <w:lang w:val="en-US" w:eastAsia="zh-CN" w:bidi="ar"/>
              </w:rPr>
              <w:t>2.</w:t>
            </w:r>
            <w:r>
              <w:rPr>
                <w:rStyle w:val="21"/>
                <w:rFonts w:hint="eastAsia" w:ascii="宋体" w:hAnsi="宋体" w:eastAsia="宋体" w:cs="宋体"/>
                <w:sz w:val="18"/>
                <w:szCs w:val="18"/>
                <w:lang w:bidi="ar"/>
              </w:rPr>
              <w:t>超</w:t>
            </w:r>
            <w:r>
              <w:rPr>
                <w:rStyle w:val="21"/>
                <w:rFonts w:hint="eastAsia" w:ascii="宋体" w:hAnsi="宋体" w:eastAsia="宋体" w:cs="宋体"/>
                <w:sz w:val="18"/>
                <w:szCs w:val="18"/>
                <w:lang w:val="en-US" w:eastAsia="zh-CN" w:bidi="ar"/>
              </w:rPr>
              <w:t>许可水量小于等于</w:t>
            </w:r>
            <w:r>
              <w:rPr>
                <w:rStyle w:val="21"/>
                <w:rFonts w:hint="eastAsia" w:ascii="宋体" w:hAnsi="宋体" w:eastAsia="宋体" w:cs="宋体"/>
                <w:sz w:val="18"/>
                <w:szCs w:val="18"/>
                <w:lang w:bidi="ar"/>
              </w:rPr>
              <w:t>10</w:t>
            </w:r>
            <w:r>
              <w:rPr>
                <w:rStyle w:val="21"/>
                <w:rFonts w:hint="eastAsia" w:ascii="宋体" w:hAnsi="宋体" w:eastAsia="宋体" w:cs="宋体"/>
                <w:sz w:val="18"/>
                <w:szCs w:val="18"/>
                <w:lang w:val="en-US" w:eastAsia="zh-CN" w:bidi="ar"/>
              </w:rPr>
              <w:t>%</w:t>
            </w:r>
            <w:r>
              <w:rPr>
                <w:rStyle w:val="21"/>
                <w:rFonts w:hint="eastAsia" w:ascii="宋体" w:hAnsi="宋体" w:eastAsia="宋体" w:cs="宋体"/>
                <w:sz w:val="18"/>
                <w:szCs w:val="18"/>
                <w:lang w:bidi="ar"/>
              </w:rPr>
              <w:t>许可水量</w:t>
            </w:r>
            <w:r>
              <w:rPr>
                <w:rStyle w:val="21"/>
                <w:rFonts w:hint="eastAsia" w:ascii="宋体" w:hAnsi="宋体" w:eastAsia="宋体" w:cs="宋体"/>
                <w:sz w:val="18"/>
                <w:szCs w:val="18"/>
                <w:lang w:eastAsia="zh-CN" w:bidi="ar"/>
              </w:rPr>
              <w:t>，</w:t>
            </w:r>
            <w:r>
              <w:rPr>
                <w:rStyle w:val="21"/>
                <w:rFonts w:hint="eastAsia" w:ascii="宋体" w:hAnsi="宋体" w:eastAsia="宋体" w:cs="宋体"/>
                <w:sz w:val="18"/>
                <w:szCs w:val="18"/>
                <w:lang w:val="en-US" w:eastAsia="zh-CN" w:bidi="ar"/>
              </w:rPr>
              <w:t>且在规定的期限内停止违法行为，采取补救措施的；</w:t>
            </w:r>
          </w:p>
          <w:p w14:paraId="2F8A9846">
            <w:pPr>
              <w:spacing w:line="260" w:lineRule="exact"/>
              <w:rPr>
                <w:rStyle w:val="21"/>
                <w:rFonts w:hint="default" w:ascii="宋体" w:hAnsi="宋体" w:eastAsia="宋体" w:cs="宋体"/>
                <w:sz w:val="18"/>
                <w:szCs w:val="18"/>
                <w:lang w:val="en-US" w:eastAsia="zh-CN" w:bidi="ar"/>
              </w:rPr>
            </w:pPr>
            <w:r>
              <w:rPr>
                <w:rStyle w:val="21"/>
                <w:rFonts w:hint="eastAsia" w:ascii="宋体" w:hAnsi="宋体" w:eastAsia="宋体" w:cs="宋体"/>
                <w:sz w:val="18"/>
                <w:szCs w:val="18"/>
                <w:lang w:val="en-US" w:eastAsia="zh-CN" w:bidi="ar"/>
              </w:rPr>
              <w:t>3.未对社会或他人造成不良影响、违法情节明显轻微的，且签署承诺书保证不再违反同类规定的；</w:t>
            </w:r>
          </w:p>
          <w:p w14:paraId="207526C5">
            <w:pPr>
              <w:spacing w:line="260" w:lineRule="exact"/>
              <w:rPr>
                <w:rStyle w:val="21"/>
                <w:rFonts w:hint="eastAsia" w:ascii="宋体" w:hAnsi="宋体" w:eastAsia="宋体" w:cs="宋体"/>
                <w:sz w:val="18"/>
                <w:szCs w:val="18"/>
                <w:lang w:val="en-US" w:eastAsia="zh-CN" w:bidi="ar"/>
              </w:rPr>
            </w:pPr>
            <w:r>
              <w:rPr>
                <w:rStyle w:val="21"/>
                <w:rFonts w:hint="eastAsia" w:ascii="宋体" w:hAnsi="宋体" w:eastAsia="宋体" w:cs="宋体"/>
                <w:sz w:val="18"/>
                <w:szCs w:val="18"/>
                <w:lang w:val="en-US" w:eastAsia="zh-CN" w:bidi="ar"/>
              </w:rPr>
              <w:t>符合上述所有情形的，不予处罚，并将本次违法情况进行登记备案，以后再发生类似问题的将不再适用本条件。</w:t>
            </w:r>
          </w:p>
          <w:p w14:paraId="4B9FC2A4">
            <w:pPr>
              <w:spacing w:line="260" w:lineRule="exact"/>
              <w:rPr>
                <w:rStyle w:val="21"/>
                <w:rFonts w:hint="eastAsia" w:ascii="宋体" w:hAnsi="宋体" w:eastAsia="宋体" w:cs="宋体"/>
                <w:sz w:val="18"/>
                <w:szCs w:val="18"/>
                <w:lang w:val="en-US" w:eastAsia="zh-CN" w:bidi="ar"/>
              </w:rPr>
            </w:pPr>
            <w:r>
              <w:rPr>
                <w:rStyle w:val="21"/>
                <w:rFonts w:hint="eastAsia" w:ascii="宋体" w:hAnsi="宋体" w:eastAsia="宋体" w:cs="宋体"/>
                <w:sz w:val="18"/>
                <w:szCs w:val="18"/>
                <w:lang w:val="en-US" w:eastAsia="zh-CN" w:bidi="ar"/>
              </w:rPr>
              <w:t>超许可取水水量符合轻微情形的，但非首次违法的适用较轻裁量幅度。</w:t>
            </w: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46E6B549">
            <w:pPr>
              <w:spacing w:line="260" w:lineRule="exact"/>
              <w:rPr>
                <w:rStyle w:val="21"/>
                <w:rFonts w:hint="eastAsia" w:ascii="宋体" w:hAnsi="宋体" w:eastAsia="宋体" w:cs="宋体"/>
                <w:sz w:val="18"/>
                <w:szCs w:val="18"/>
                <w:lang w:val="en-US" w:eastAsia="zh-CN" w:bidi="ar"/>
              </w:rPr>
            </w:pPr>
            <w:r>
              <w:rPr>
                <w:rStyle w:val="21"/>
                <w:rFonts w:hint="eastAsia" w:ascii="宋体" w:hAnsi="宋体" w:eastAsia="宋体" w:cs="宋体"/>
                <w:sz w:val="18"/>
                <w:szCs w:val="18"/>
                <w:lang w:bidi="ar"/>
              </w:rPr>
              <w:t>不予处罚</w:t>
            </w:r>
          </w:p>
        </w:tc>
        <w:tc>
          <w:tcPr>
            <w:tcW w:w="56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1EA1A089">
            <w:pPr>
              <w:spacing w:line="260" w:lineRule="exact"/>
              <w:rPr>
                <w:rStyle w:val="21"/>
                <w:rFonts w:hint="eastAsia" w:ascii="宋体" w:hAnsi="宋体" w:eastAsia="宋体" w:cs="宋体"/>
                <w:sz w:val="18"/>
                <w:szCs w:val="18"/>
                <w:lang w:bidi="ar"/>
              </w:rPr>
            </w:pPr>
          </w:p>
        </w:tc>
      </w:tr>
      <w:tr w14:paraId="181C32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567" w:hRule="atLeast"/>
          <w:jc w:val="center"/>
        </w:trPr>
        <w:tc>
          <w:tcPr>
            <w:tcW w:w="495"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1B1BEA0D">
            <w:pPr>
              <w:spacing w:line="260" w:lineRule="exact"/>
              <w:jc w:val="center"/>
              <w:rPr>
                <w:rFonts w:hint="eastAsia" w:ascii="宋体" w:hAnsi="宋体" w:eastAsia="宋体" w:cs="宋体"/>
                <w:sz w:val="18"/>
                <w:szCs w:val="18"/>
              </w:rPr>
            </w:pPr>
          </w:p>
        </w:tc>
        <w:tc>
          <w:tcPr>
            <w:tcW w:w="1211"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422C0FD4">
            <w:pPr>
              <w:spacing w:line="260" w:lineRule="exact"/>
              <w:rPr>
                <w:rFonts w:hint="eastAsia" w:ascii="宋体" w:hAnsi="宋体" w:eastAsia="宋体" w:cs="宋体"/>
                <w:sz w:val="18"/>
                <w:szCs w:val="18"/>
              </w:rPr>
            </w:pPr>
          </w:p>
        </w:tc>
        <w:tc>
          <w:tcPr>
            <w:tcW w:w="4862"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7E6CAB83">
            <w:pPr>
              <w:spacing w:line="260" w:lineRule="exact"/>
              <w:ind w:firstLine="360" w:firstLineChars="200"/>
              <w:rPr>
                <w:rFonts w:hint="eastAsia" w:ascii="宋体" w:hAnsi="宋体" w:eastAsia="宋体" w:cs="宋体"/>
                <w:sz w:val="18"/>
                <w:szCs w:val="18"/>
              </w:rPr>
            </w:pPr>
          </w:p>
        </w:tc>
        <w:tc>
          <w:tcPr>
            <w:tcW w:w="161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5BF860C2">
            <w:pPr>
              <w:spacing w:line="260" w:lineRule="exact"/>
              <w:ind w:firstLine="360" w:firstLineChars="200"/>
              <w:rPr>
                <w:rFonts w:hint="eastAsia" w:ascii="宋体" w:hAnsi="宋体" w:eastAsia="宋体" w:cs="宋体"/>
                <w:sz w:val="18"/>
                <w:szCs w:val="18"/>
              </w:rPr>
            </w:pP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46BBFB81">
            <w:pPr>
              <w:spacing w:line="260" w:lineRule="exact"/>
              <w:jc w:val="center"/>
              <w:rPr>
                <w:rFonts w:hint="eastAsia" w:ascii="黑体" w:hAnsi="黑体" w:eastAsia="黑体" w:cs="黑体"/>
                <w:kern w:val="2"/>
                <w:sz w:val="18"/>
                <w:szCs w:val="18"/>
                <w:highlight w:val="none"/>
                <w:lang w:val="en-US" w:eastAsia="zh-CN" w:bidi="ar-SA"/>
              </w:rPr>
            </w:pPr>
            <w:r>
              <w:rPr>
                <w:rFonts w:hint="eastAsia" w:ascii="宋体" w:hAnsi="宋体" w:eastAsia="宋体" w:cs="宋体"/>
                <w:sz w:val="18"/>
                <w:szCs w:val="18"/>
                <w:highlight w:val="none"/>
              </w:rPr>
              <w:t>较轻</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4109FB29">
            <w:pPr>
              <w:spacing w:line="260" w:lineRule="exact"/>
              <w:rPr>
                <w:rStyle w:val="21"/>
                <w:rFonts w:hint="eastAsia" w:ascii="宋体" w:hAnsi="宋体" w:eastAsia="宋体" w:cs="宋体"/>
                <w:sz w:val="18"/>
                <w:szCs w:val="18"/>
                <w:lang w:val="en-US" w:eastAsia="zh-CN" w:bidi="ar"/>
              </w:rPr>
            </w:pPr>
            <w:r>
              <w:rPr>
                <w:rStyle w:val="21"/>
                <w:rFonts w:hint="eastAsia" w:ascii="宋体" w:hAnsi="宋体" w:eastAsia="宋体" w:cs="宋体"/>
                <w:sz w:val="18"/>
                <w:szCs w:val="18"/>
                <w:lang w:bidi="ar"/>
              </w:rPr>
              <w:t>超</w:t>
            </w:r>
            <w:r>
              <w:rPr>
                <w:rStyle w:val="21"/>
                <w:rFonts w:hint="eastAsia" w:ascii="宋体" w:hAnsi="宋体" w:eastAsia="宋体" w:cs="宋体"/>
                <w:sz w:val="18"/>
                <w:szCs w:val="18"/>
                <w:lang w:val="en-US" w:eastAsia="zh-CN" w:bidi="ar"/>
              </w:rPr>
              <w:t>许可水量大于10%小于等于20%许可水量的。</w:t>
            </w:r>
          </w:p>
          <w:p w14:paraId="1A08CBAD">
            <w:pPr>
              <w:spacing w:line="260" w:lineRule="exact"/>
              <w:rPr>
                <w:rStyle w:val="21"/>
                <w:rFonts w:hint="eastAsia" w:ascii="宋体" w:hAnsi="宋体" w:eastAsia="宋体" w:cs="宋体"/>
                <w:sz w:val="18"/>
                <w:szCs w:val="18"/>
                <w:lang w:val="en-US" w:eastAsia="zh-CN" w:bidi="ar"/>
              </w:rPr>
            </w:pPr>
            <w:r>
              <w:rPr>
                <w:rStyle w:val="21"/>
                <w:rFonts w:hint="eastAsia" w:ascii="宋体" w:hAnsi="宋体" w:eastAsia="宋体" w:cs="宋体"/>
                <w:sz w:val="18"/>
                <w:szCs w:val="18"/>
                <w:lang w:val="en-US" w:eastAsia="zh-CN" w:bidi="ar"/>
              </w:rPr>
              <w:t>符合本适用条件，但未能在规定期限内停止违法行为，采取补救措施的，提高一档裁量幅度进行处罚。</w:t>
            </w: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294AB0F9">
            <w:pPr>
              <w:spacing w:line="260" w:lineRule="exact"/>
              <w:rPr>
                <w:rStyle w:val="21"/>
                <w:rFonts w:hint="eastAsia" w:ascii="宋体" w:hAnsi="宋体" w:eastAsia="宋体" w:cs="宋体"/>
                <w:sz w:val="18"/>
                <w:szCs w:val="18"/>
                <w:lang w:val="en-US" w:eastAsia="zh-CN" w:bidi="ar"/>
              </w:rPr>
            </w:pPr>
            <w:r>
              <w:rPr>
                <w:rStyle w:val="21"/>
                <w:rFonts w:hint="eastAsia" w:ascii="宋体" w:hAnsi="宋体" w:eastAsia="宋体" w:cs="宋体"/>
                <w:sz w:val="18"/>
                <w:szCs w:val="18"/>
                <w:lang w:bidi="ar"/>
              </w:rPr>
              <w:t>处</w:t>
            </w:r>
            <w:r>
              <w:rPr>
                <w:rStyle w:val="21"/>
                <w:rFonts w:hint="eastAsia" w:ascii="宋体" w:hAnsi="宋体" w:eastAsia="宋体" w:cs="宋体"/>
                <w:sz w:val="18"/>
                <w:szCs w:val="18"/>
                <w:lang w:val="en-US" w:eastAsia="zh-CN" w:bidi="ar"/>
              </w:rPr>
              <w:t>2</w:t>
            </w:r>
            <w:r>
              <w:rPr>
                <w:rStyle w:val="21"/>
                <w:rFonts w:hint="eastAsia" w:ascii="宋体" w:hAnsi="宋体" w:eastAsia="宋体" w:cs="宋体"/>
                <w:sz w:val="18"/>
                <w:szCs w:val="18"/>
                <w:lang w:bidi="ar"/>
              </w:rPr>
              <w:t>万元以上</w:t>
            </w:r>
            <w:r>
              <w:rPr>
                <w:rStyle w:val="21"/>
                <w:rFonts w:hint="eastAsia" w:ascii="宋体" w:hAnsi="宋体" w:eastAsia="宋体" w:cs="宋体"/>
                <w:sz w:val="18"/>
                <w:szCs w:val="18"/>
                <w:lang w:val="en-US" w:eastAsia="zh-CN" w:bidi="ar"/>
              </w:rPr>
              <w:t>3</w:t>
            </w:r>
            <w:r>
              <w:rPr>
                <w:rStyle w:val="21"/>
                <w:rFonts w:hint="eastAsia" w:ascii="宋体" w:hAnsi="宋体" w:eastAsia="宋体" w:cs="宋体"/>
                <w:sz w:val="18"/>
                <w:szCs w:val="18"/>
                <w:lang w:bidi="ar"/>
              </w:rPr>
              <w:t>万元以下的罚款</w:t>
            </w:r>
          </w:p>
        </w:tc>
        <w:tc>
          <w:tcPr>
            <w:tcW w:w="56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47D57474">
            <w:pPr>
              <w:spacing w:line="260" w:lineRule="exact"/>
              <w:rPr>
                <w:rStyle w:val="21"/>
                <w:rFonts w:hint="eastAsia" w:ascii="宋体" w:hAnsi="宋体" w:eastAsia="宋体" w:cs="宋体"/>
                <w:sz w:val="18"/>
                <w:szCs w:val="18"/>
                <w:lang w:bidi="ar"/>
              </w:rPr>
            </w:pPr>
          </w:p>
        </w:tc>
      </w:tr>
      <w:tr w14:paraId="37EC82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567" w:hRule="atLeast"/>
          <w:jc w:val="center"/>
        </w:trPr>
        <w:tc>
          <w:tcPr>
            <w:tcW w:w="495"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34D83B50">
            <w:pPr>
              <w:spacing w:line="260" w:lineRule="exact"/>
              <w:jc w:val="center"/>
              <w:rPr>
                <w:rFonts w:hint="eastAsia" w:ascii="宋体" w:hAnsi="宋体" w:eastAsia="宋体" w:cs="宋体"/>
                <w:sz w:val="18"/>
                <w:szCs w:val="18"/>
              </w:rPr>
            </w:pPr>
          </w:p>
        </w:tc>
        <w:tc>
          <w:tcPr>
            <w:tcW w:w="1211"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621FF856">
            <w:pPr>
              <w:spacing w:line="260" w:lineRule="exact"/>
              <w:rPr>
                <w:rFonts w:hint="eastAsia" w:ascii="宋体" w:hAnsi="宋体" w:eastAsia="宋体" w:cs="宋体"/>
                <w:sz w:val="18"/>
                <w:szCs w:val="18"/>
              </w:rPr>
            </w:pPr>
          </w:p>
        </w:tc>
        <w:tc>
          <w:tcPr>
            <w:tcW w:w="4862"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74BC2838">
            <w:pPr>
              <w:spacing w:line="260" w:lineRule="exact"/>
              <w:rPr>
                <w:rFonts w:hint="eastAsia" w:ascii="宋体" w:hAnsi="宋体" w:eastAsia="宋体" w:cs="宋体"/>
                <w:sz w:val="18"/>
                <w:szCs w:val="18"/>
              </w:rPr>
            </w:pPr>
          </w:p>
        </w:tc>
        <w:tc>
          <w:tcPr>
            <w:tcW w:w="161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792EF090">
            <w:pPr>
              <w:spacing w:line="260" w:lineRule="exact"/>
              <w:rPr>
                <w:rFonts w:hint="eastAsia" w:ascii="宋体" w:hAnsi="宋体" w:eastAsia="宋体" w:cs="宋体"/>
                <w:sz w:val="18"/>
                <w:szCs w:val="18"/>
              </w:rPr>
            </w:pP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441626AE">
            <w:pPr>
              <w:spacing w:line="260" w:lineRule="exact"/>
              <w:jc w:val="center"/>
              <w:rPr>
                <w:rFonts w:hint="eastAsia" w:ascii="宋体" w:hAnsi="宋体" w:eastAsia="宋体" w:cs="宋体"/>
                <w:kern w:val="2"/>
                <w:sz w:val="18"/>
                <w:szCs w:val="18"/>
                <w:highlight w:val="none"/>
                <w:lang w:val="en-US" w:eastAsia="zh-CN" w:bidi="ar-SA"/>
              </w:rPr>
            </w:pPr>
            <w:r>
              <w:rPr>
                <w:rFonts w:hint="eastAsia" w:ascii="宋体" w:hAnsi="宋体" w:eastAsia="宋体" w:cs="宋体"/>
                <w:sz w:val="18"/>
                <w:szCs w:val="18"/>
                <w:highlight w:val="none"/>
              </w:rPr>
              <w:t>一般</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11A73B46">
            <w:pPr>
              <w:spacing w:line="260" w:lineRule="exact"/>
              <w:rPr>
                <w:rStyle w:val="21"/>
                <w:rFonts w:hint="eastAsia" w:ascii="宋体" w:hAnsi="宋体" w:eastAsia="宋体" w:cs="宋体"/>
                <w:sz w:val="18"/>
                <w:szCs w:val="18"/>
                <w:lang w:val="en-US" w:eastAsia="zh-CN" w:bidi="ar"/>
              </w:rPr>
            </w:pPr>
            <w:r>
              <w:rPr>
                <w:rStyle w:val="21"/>
                <w:rFonts w:hint="eastAsia" w:ascii="宋体" w:hAnsi="宋体" w:eastAsia="宋体" w:cs="宋体"/>
                <w:sz w:val="18"/>
                <w:szCs w:val="18"/>
                <w:lang w:bidi="ar"/>
              </w:rPr>
              <w:t>超</w:t>
            </w:r>
            <w:r>
              <w:rPr>
                <w:rStyle w:val="21"/>
                <w:rFonts w:hint="eastAsia" w:ascii="宋体" w:hAnsi="宋体" w:eastAsia="宋体" w:cs="宋体"/>
                <w:sz w:val="18"/>
                <w:szCs w:val="18"/>
                <w:lang w:val="en-US" w:eastAsia="zh-CN" w:bidi="ar"/>
              </w:rPr>
              <w:t>许可水量大于20%小于等于50%许可水量的。</w:t>
            </w:r>
          </w:p>
          <w:p w14:paraId="05639ED4">
            <w:pPr>
              <w:spacing w:line="260" w:lineRule="exact"/>
              <w:rPr>
                <w:rStyle w:val="21"/>
                <w:rFonts w:hint="eastAsia" w:ascii="宋体" w:hAnsi="宋体" w:eastAsia="宋体" w:cs="宋体"/>
                <w:sz w:val="18"/>
                <w:szCs w:val="18"/>
                <w:lang w:val="en-US" w:eastAsia="zh-CN" w:bidi="ar"/>
              </w:rPr>
            </w:pPr>
            <w:r>
              <w:rPr>
                <w:rStyle w:val="21"/>
                <w:rFonts w:hint="eastAsia" w:ascii="宋体" w:hAnsi="宋体" w:eastAsia="宋体" w:cs="宋体"/>
                <w:sz w:val="18"/>
                <w:szCs w:val="18"/>
                <w:lang w:val="en-US" w:eastAsia="zh-CN" w:bidi="ar"/>
              </w:rPr>
              <w:t>符合本适用条件，但未能在规定期限内停止违法行为，采取补救措施的，提高一档裁量幅度进行处罚。</w:t>
            </w: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1767E019">
            <w:pPr>
              <w:spacing w:line="260" w:lineRule="exact"/>
              <w:rPr>
                <w:rStyle w:val="21"/>
                <w:rFonts w:hint="eastAsia" w:ascii="宋体" w:hAnsi="宋体" w:eastAsia="宋体" w:cs="宋体"/>
                <w:sz w:val="18"/>
                <w:szCs w:val="18"/>
                <w:lang w:val="en-US" w:eastAsia="zh-CN" w:bidi="ar"/>
              </w:rPr>
            </w:pPr>
            <w:r>
              <w:rPr>
                <w:rStyle w:val="21"/>
                <w:rFonts w:hint="eastAsia" w:ascii="宋体" w:hAnsi="宋体" w:eastAsia="宋体" w:cs="宋体"/>
                <w:sz w:val="18"/>
                <w:szCs w:val="18"/>
                <w:lang w:bidi="ar"/>
              </w:rPr>
              <w:t>处</w:t>
            </w:r>
            <w:r>
              <w:rPr>
                <w:rStyle w:val="21"/>
                <w:rFonts w:hint="eastAsia" w:ascii="宋体" w:hAnsi="宋体" w:eastAsia="宋体" w:cs="宋体"/>
                <w:sz w:val="18"/>
                <w:szCs w:val="18"/>
                <w:lang w:val="en-US" w:eastAsia="zh-CN" w:bidi="ar"/>
              </w:rPr>
              <w:t>3</w:t>
            </w:r>
            <w:r>
              <w:rPr>
                <w:rStyle w:val="21"/>
                <w:rFonts w:hint="eastAsia" w:ascii="宋体" w:hAnsi="宋体" w:eastAsia="宋体" w:cs="宋体"/>
                <w:sz w:val="18"/>
                <w:szCs w:val="18"/>
                <w:lang w:bidi="ar"/>
              </w:rPr>
              <w:t>万元以上</w:t>
            </w:r>
            <w:r>
              <w:rPr>
                <w:rStyle w:val="21"/>
                <w:rFonts w:hint="eastAsia" w:ascii="宋体" w:hAnsi="宋体" w:eastAsia="宋体" w:cs="宋体"/>
                <w:sz w:val="18"/>
                <w:szCs w:val="18"/>
                <w:lang w:val="en-US" w:eastAsia="zh-CN" w:bidi="ar"/>
              </w:rPr>
              <w:t>6</w:t>
            </w:r>
            <w:r>
              <w:rPr>
                <w:rStyle w:val="21"/>
                <w:rFonts w:hint="eastAsia" w:ascii="宋体" w:hAnsi="宋体" w:eastAsia="宋体" w:cs="宋体"/>
                <w:sz w:val="18"/>
                <w:szCs w:val="18"/>
                <w:lang w:bidi="ar"/>
              </w:rPr>
              <w:t>万元以下的罚款</w:t>
            </w:r>
          </w:p>
        </w:tc>
        <w:tc>
          <w:tcPr>
            <w:tcW w:w="56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7E01154C">
            <w:pPr>
              <w:spacing w:line="260" w:lineRule="exact"/>
              <w:rPr>
                <w:rStyle w:val="21"/>
                <w:rFonts w:hint="eastAsia" w:ascii="宋体" w:hAnsi="宋体" w:eastAsia="宋体" w:cs="宋体"/>
                <w:sz w:val="18"/>
                <w:szCs w:val="18"/>
                <w:lang w:bidi="ar"/>
              </w:rPr>
            </w:pPr>
          </w:p>
        </w:tc>
      </w:tr>
      <w:tr w14:paraId="4D6256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95"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420326E5">
            <w:pPr>
              <w:spacing w:line="260" w:lineRule="exact"/>
              <w:jc w:val="center"/>
              <w:rPr>
                <w:rFonts w:hint="eastAsia" w:ascii="宋体" w:hAnsi="宋体" w:eastAsia="宋体" w:cs="宋体"/>
                <w:sz w:val="18"/>
                <w:szCs w:val="18"/>
              </w:rPr>
            </w:pPr>
          </w:p>
        </w:tc>
        <w:tc>
          <w:tcPr>
            <w:tcW w:w="1211"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2CFE04A2">
            <w:pPr>
              <w:spacing w:line="260" w:lineRule="exact"/>
              <w:rPr>
                <w:rFonts w:hint="eastAsia" w:ascii="宋体" w:hAnsi="宋体" w:eastAsia="宋体" w:cs="宋体"/>
                <w:sz w:val="18"/>
                <w:szCs w:val="18"/>
              </w:rPr>
            </w:pPr>
          </w:p>
        </w:tc>
        <w:tc>
          <w:tcPr>
            <w:tcW w:w="4862"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29AF9DCF">
            <w:pPr>
              <w:spacing w:line="260" w:lineRule="exact"/>
              <w:rPr>
                <w:rFonts w:hint="eastAsia" w:ascii="宋体" w:hAnsi="宋体" w:eastAsia="宋体" w:cs="宋体"/>
                <w:sz w:val="18"/>
                <w:szCs w:val="18"/>
              </w:rPr>
            </w:pPr>
          </w:p>
        </w:tc>
        <w:tc>
          <w:tcPr>
            <w:tcW w:w="161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602927BF">
            <w:pPr>
              <w:spacing w:line="260" w:lineRule="exact"/>
              <w:rPr>
                <w:rFonts w:hint="eastAsia" w:ascii="宋体" w:hAnsi="宋体" w:eastAsia="宋体" w:cs="宋体"/>
                <w:sz w:val="18"/>
                <w:szCs w:val="18"/>
              </w:rPr>
            </w:pP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170601D4">
            <w:pPr>
              <w:spacing w:line="260" w:lineRule="exact"/>
              <w:jc w:val="center"/>
              <w:rPr>
                <w:rFonts w:hint="eastAsia" w:ascii="宋体" w:hAnsi="宋体" w:eastAsia="宋体" w:cs="宋体"/>
                <w:kern w:val="2"/>
                <w:sz w:val="18"/>
                <w:szCs w:val="18"/>
                <w:highlight w:val="none"/>
                <w:lang w:val="en-US" w:eastAsia="zh-CN" w:bidi="ar-SA"/>
              </w:rPr>
            </w:pPr>
            <w:r>
              <w:rPr>
                <w:rFonts w:hint="eastAsia" w:ascii="宋体" w:hAnsi="宋体" w:eastAsia="宋体" w:cs="宋体"/>
                <w:sz w:val="18"/>
                <w:szCs w:val="18"/>
                <w:highlight w:val="none"/>
                <w:lang w:eastAsia="zh-CN"/>
              </w:rPr>
              <w:t>较重</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41502116">
            <w:pPr>
              <w:spacing w:line="260" w:lineRule="exact"/>
              <w:rPr>
                <w:rStyle w:val="21"/>
                <w:rFonts w:hint="eastAsia" w:ascii="宋体" w:hAnsi="宋体" w:eastAsia="宋体" w:cs="宋体"/>
                <w:sz w:val="18"/>
                <w:szCs w:val="18"/>
                <w:lang w:val="en-US" w:eastAsia="zh-CN" w:bidi="ar"/>
              </w:rPr>
            </w:pPr>
            <w:r>
              <w:rPr>
                <w:rStyle w:val="21"/>
                <w:rFonts w:hint="eastAsia" w:ascii="宋体" w:hAnsi="宋体" w:eastAsia="宋体" w:cs="宋体"/>
                <w:sz w:val="18"/>
                <w:szCs w:val="18"/>
                <w:lang w:bidi="ar"/>
              </w:rPr>
              <w:t>超</w:t>
            </w:r>
            <w:r>
              <w:rPr>
                <w:rStyle w:val="21"/>
                <w:rFonts w:hint="eastAsia" w:ascii="宋体" w:hAnsi="宋体" w:eastAsia="宋体" w:cs="宋体"/>
                <w:sz w:val="18"/>
                <w:szCs w:val="18"/>
                <w:lang w:val="en-US" w:eastAsia="zh-CN" w:bidi="ar"/>
              </w:rPr>
              <w:t>许可水量大于50%小于等于80%许可水量的。</w:t>
            </w:r>
          </w:p>
          <w:p w14:paraId="0D9B55F8">
            <w:pPr>
              <w:spacing w:line="260" w:lineRule="exact"/>
              <w:rPr>
                <w:rStyle w:val="21"/>
                <w:rFonts w:hint="eastAsia" w:ascii="宋体" w:hAnsi="宋体" w:eastAsia="宋体" w:cs="宋体"/>
                <w:sz w:val="18"/>
                <w:szCs w:val="18"/>
                <w:lang w:val="en-US" w:eastAsia="zh-CN" w:bidi="ar"/>
              </w:rPr>
            </w:pPr>
            <w:r>
              <w:rPr>
                <w:rStyle w:val="21"/>
                <w:rFonts w:hint="eastAsia" w:ascii="宋体" w:hAnsi="宋体" w:eastAsia="宋体" w:cs="宋体"/>
                <w:sz w:val="18"/>
                <w:szCs w:val="18"/>
                <w:lang w:val="en-US" w:eastAsia="zh-CN" w:bidi="ar"/>
              </w:rPr>
              <w:t>符合本适用条件，但未能在规定期限内停止违法行为，采取补救措施的，提高一档裁量幅度进行处罚。</w:t>
            </w: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220575E5">
            <w:pPr>
              <w:spacing w:line="260" w:lineRule="exact"/>
              <w:rPr>
                <w:rStyle w:val="21"/>
                <w:rFonts w:hint="eastAsia" w:ascii="宋体" w:hAnsi="宋体" w:eastAsia="宋体" w:cs="宋体"/>
                <w:sz w:val="18"/>
                <w:szCs w:val="18"/>
                <w:lang w:val="en-US" w:eastAsia="zh-CN" w:bidi="ar"/>
              </w:rPr>
            </w:pPr>
            <w:r>
              <w:rPr>
                <w:rStyle w:val="21"/>
                <w:rFonts w:hint="eastAsia" w:ascii="宋体" w:hAnsi="宋体" w:eastAsia="宋体" w:cs="宋体"/>
                <w:sz w:val="18"/>
                <w:szCs w:val="18"/>
                <w:lang w:bidi="ar"/>
              </w:rPr>
              <w:t>处</w:t>
            </w:r>
            <w:r>
              <w:rPr>
                <w:rStyle w:val="21"/>
                <w:rFonts w:hint="eastAsia" w:ascii="宋体" w:hAnsi="宋体" w:eastAsia="宋体" w:cs="宋体"/>
                <w:sz w:val="18"/>
                <w:szCs w:val="18"/>
                <w:lang w:val="en-US" w:eastAsia="zh-CN" w:bidi="ar"/>
              </w:rPr>
              <w:t>6</w:t>
            </w:r>
            <w:r>
              <w:rPr>
                <w:rStyle w:val="21"/>
                <w:rFonts w:hint="eastAsia" w:ascii="宋体" w:hAnsi="宋体" w:eastAsia="宋体" w:cs="宋体"/>
                <w:sz w:val="18"/>
                <w:szCs w:val="18"/>
                <w:lang w:bidi="ar"/>
              </w:rPr>
              <w:t>万元以上</w:t>
            </w:r>
            <w:r>
              <w:rPr>
                <w:rStyle w:val="21"/>
                <w:rFonts w:hint="eastAsia" w:ascii="宋体" w:hAnsi="宋体" w:eastAsia="宋体" w:cs="宋体"/>
                <w:sz w:val="18"/>
                <w:szCs w:val="18"/>
                <w:lang w:val="en-US" w:eastAsia="zh-CN" w:bidi="ar"/>
              </w:rPr>
              <w:t>9</w:t>
            </w:r>
            <w:r>
              <w:rPr>
                <w:rStyle w:val="21"/>
                <w:rFonts w:hint="eastAsia" w:ascii="宋体" w:hAnsi="宋体" w:eastAsia="宋体" w:cs="宋体"/>
                <w:sz w:val="18"/>
                <w:szCs w:val="18"/>
                <w:lang w:bidi="ar"/>
              </w:rPr>
              <w:t>万元以下的罚款</w:t>
            </w:r>
          </w:p>
        </w:tc>
        <w:tc>
          <w:tcPr>
            <w:tcW w:w="56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3BC93204">
            <w:pPr>
              <w:spacing w:line="260" w:lineRule="exact"/>
              <w:rPr>
                <w:rStyle w:val="21"/>
                <w:rFonts w:hint="eastAsia" w:ascii="宋体" w:hAnsi="宋体" w:eastAsia="宋体" w:cs="宋体"/>
                <w:sz w:val="18"/>
                <w:szCs w:val="18"/>
                <w:lang w:bidi="ar"/>
              </w:rPr>
            </w:pPr>
          </w:p>
        </w:tc>
      </w:tr>
      <w:tr w14:paraId="155426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95"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76C70BA5">
            <w:pPr>
              <w:spacing w:line="260" w:lineRule="exact"/>
              <w:jc w:val="center"/>
              <w:rPr>
                <w:rFonts w:hint="eastAsia" w:ascii="宋体" w:hAnsi="宋体" w:eastAsia="宋体" w:cs="宋体"/>
                <w:sz w:val="18"/>
                <w:szCs w:val="18"/>
              </w:rPr>
            </w:pPr>
          </w:p>
        </w:tc>
        <w:tc>
          <w:tcPr>
            <w:tcW w:w="1211"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794E162F">
            <w:pPr>
              <w:spacing w:line="260" w:lineRule="exact"/>
              <w:rPr>
                <w:rFonts w:hint="eastAsia" w:ascii="宋体" w:hAnsi="宋体" w:eastAsia="宋体" w:cs="宋体"/>
                <w:sz w:val="18"/>
                <w:szCs w:val="18"/>
              </w:rPr>
            </w:pPr>
          </w:p>
        </w:tc>
        <w:tc>
          <w:tcPr>
            <w:tcW w:w="4862"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314BE84E">
            <w:pPr>
              <w:spacing w:line="260" w:lineRule="exact"/>
              <w:rPr>
                <w:rFonts w:hint="eastAsia" w:ascii="宋体" w:hAnsi="宋体" w:eastAsia="宋体" w:cs="宋体"/>
                <w:sz w:val="18"/>
                <w:szCs w:val="18"/>
              </w:rPr>
            </w:pPr>
          </w:p>
        </w:tc>
        <w:tc>
          <w:tcPr>
            <w:tcW w:w="1613" w:type="dxa"/>
            <w:vMerge w:val="continue"/>
            <w:tcBorders>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7C9164DA">
            <w:pPr>
              <w:spacing w:line="260" w:lineRule="exact"/>
              <w:rPr>
                <w:rFonts w:hint="eastAsia" w:ascii="宋体" w:hAnsi="宋体" w:eastAsia="宋体" w:cs="宋体"/>
                <w:sz w:val="18"/>
                <w:szCs w:val="18"/>
              </w:rPr>
            </w:pP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42A64993">
            <w:pPr>
              <w:spacing w:line="260" w:lineRule="exact"/>
              <w:jc w:val="center"/>
              <w:rPr>
                <w:rFonts w:hint="eastAsia" w:ascii="宋体" w:hAnsi="宋体" w:eastAsia="宋体" w:cs="宋体"/>
                <w:kern w:val="2"/>
                <w:sz w:val="18"/>
                <w:szCs w:val="18"/>
                <w:highlight w:val="none"/>
                <w:lang w:val="en-US" w:eastAsia="zh-CN" w:bidi="ar-SA"/>
              </w:rPr>
            </w:pPr>
            <w:r>
              <w:rPr>
                <w:rFonts w:hint="eastAsia" w:ascii="宋体" w:hAnsi="宋体" w:eastAsia="宋体" w:cs="宋体"/>
                <w:sz w:val="18"/>
                <w:szCs w:val="18"/>
                <w:highlight w:val="none"/>
              </w:rPr>
              <w:t>严重</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7542D2D8">
            <w:pPr>
              <w:spacing w:line="260" w:lineRule="exact"/>
              <w:rPr>
                <w:rStyle w:val="21"/>
                <w:rFonts w:hint="eastAsia" w:ascii="宋体" w:hAnsi="宋体" w:eastAsia="宋体" w:cs="宋体"/>
                <w:sz w:val="18"/>
                <w:szCs w:val="18"/>
                <w:lang w:val="en-US" w:eastAsia="zh-CN" w:bidi="ar"/>
              </w:rPr>
            </w:pPr>
            <w:r>
              <w:rPr>
                <w:rStyle w:val="21"/>
                <w:rFonts w:hint="eastAsia" w:ascii="宋体" w:hAnsi="宋体" w:eastAsia="宋体" w:cs="宋体"/>
                <w:sz w:val="18"/>
                <w:szCs w:val="18"/>
                <w:lang w:val="en-US" w:eastAsia="zh-CN" w:bidi="ar"/>
              </w:rPr>
              <w:t>1.</w:t>
            </w:r>
            <w:r>
              <w:rPr>
                <w:rStyle w:val="21"/>
                <w:rFonts w:hint="eastAsia" w:ascii="宋体" w:hAnsi="宋体" w:eastAsia="宋体" w:cs="宋体"/>
                <w:sz w:val="18"/>
                <w:szCs w:val="18"/>
                <w:lang w:bidi="ar"/>
              </w:rPr>
              <w:t>超</w:t>
            </w:r>
            <w:r>
              <w:rPr>
                <w:rStyle w:val="21"/>
                <w:rFonts w:hint="eastAsia" w:ascii="宋体" w:hAnsi="宋体" w:eastAsia="宋体" w:cs="宋体"/>
                <w:sz w:val="18"/>
                <w:szCs w:val="18"/>
                <w:lang w:val="en-US" w:eastAsia="zh-CN" w:bidi="ar"/>
              </w:rPr>
              <w:t>许可水量大于80%许可水量的；</w:t>
            </w:r>
          </w:p>
          <w:p w14:paraId="71662996">
            <w:pPr>
              <w:spacing w:line="260" w:lineRule="exact"/>
              <w:rPr>
                <w:rStyle w:val="21"/>
                <w:rFonts w:hint="eastAsia" w:ascii="宋体" w:hAnsi="宋体" w:eastAsia="宋体" w:cs="宋体"/>
                <w:sz w:val="18"/>
                <w:szCs w:val="18"/>
                <w:lang w:val="en-US" w:eastAsia="zh-CN" w:bidi="ar"/>
              </w:rPr>
            </w:pPr>
            <w:r>
              <w:rPr>
                <w:rStyle w:val="21"/>
                <w:rFonts w:hint="eastAsia" w:ascii="宋体" w:hAnsi="宋体" w:eastAsia="宋体" w:cs="宋体"/>
                <w:sz w:val="18"/>
                <w:szCs w:val="18"/>
                <w:lang w:val="en-US" w:eastAsia="zh-CN" w:bidi="ar"/>
              </w:rPr>
              <w:t>2.拒不停止违法行为、采取补救措施的；</w:t>
            </w:r>
          </w:p>
          <w:p w14:paraId="3AA7E734">
            <w:pPr>
              <w:spacing w:line="260" w:lineRule="exact"/>
              <w:rPr>
                <w:rStyle w:val="21"/>
                <w:rFonts w:hint="eastAsia" w:ascii="宋体" w:hAnsi="宋体" w:eastAsia="宋体" w:cs="宋体"/>
                <w:sz w:val="18"/>
                <w:szCs w:val="18"/>
                <w:lang w:val="en-US" w:eastAsia="zh-CN" w:bidi="ar"/>
              </w:rPr>
            </w:pPr>
            <w:r>
              <w:rPr>
                <w:rStyle w:val="21"/>
                <w:rFonts w:hint="eastAsia" w:ascii="宋体" w:hAnsi="宋体" w:eastAsia="宋体" w:cs="宋体"/>
                <w:sz w:val="18"/>
                <w:szCs w:val="18"/>
                <w:lang w:val="en-US" w:eastAsia="zh-CN" w:bidi="ar"/>
              </w:rPr>
              <w:t>3.连续两年以上或一年内两次以上超许可水量取水的；</w:t>
            </w:r>
          </w:p>
          <w:p w14:paraId="6C9A373E">
            <w:pPr>
              <w:spacing w:line="260" w:lineRule="exact"/>
              <w:rPr>
                <w:rStyle w:val="21"/>
                <w:rFonts w:hint="eastAsia" w:ascii="宋体" w:hAnsi="宋体" w:eastAsia="宋体" w:cs="宋体"/>
                <w:sz w:val="18"/>
                <w:szCs w:val="18"/>
                <w:lang w:val="en-US" w:eastAsia="zh-CN" w:bidi="ar"/>
              </w:rPr>
            </w:pPr>
            <w:r>
              <w:rPr>
                <w:rStyle w:val="21"/>
                <w:rFonts w:hint="eastAsia" w:ascii="宋体" w:hAnsi="宋体" w:eastAsia="宋体" w:cs="宋体"/>
                <w:sz w:val="18"/>
                <w:szCs w:val="18"/>
                <w:lang w:val="en-US" w:eastAsia="zh-CN" w:bidi="ar"/>
              </w:rPr>
              <w:t>只要符合以上三个条件其中一个的，即可适用本裁量幅度。</w:t>
            </w: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1BDC0350">
            <w:pPr>
              <w:spacing w:line="260" w:lineRule="exact"/>
              <w:rPr>
                <w:rStyle w:val="21"/>
                <w:rFonts w:hint="eastAsia" w:ascii="宋体" w:hAnsi="宋体" w:eastAsia="宋体" w:cs="宋体"/>
                <w:sz w:val="18"/>
                <w:szCs w:val="18"/>
                <w:lang w:val="en-US" w:eastAsia="zh-CN" w:bidi="ar"/>
              </w:rPr>
            </w:pPr>
            <w:r>
              <w:rPr>
                <w:rStyle w:val="21"/>
                <w:rFonts w:hint="eastAsia" w:ascii="宋体" w:hAnsi="宋体" w:eastAsia="宋体" w:cs="宋体"/>
                <w:sz w:val="18"/>
                <w:szCs w:val="18"/>
                <w:lang w:bidi="ar"/>
              </w:rPr>
              <w:t>处</w:t>
            </w:r>
            <w:r>
              <w:rPr>
                <w:rStyle w:val="21"/>
                <w:rFonts w:hint="eastAsia" w:ascii="宋体" w:hAnsi="宋体" w:eastAsia="宋体" w:cs="宋体"/>
                <w:sz w:val="18"/>
                <w:szCs w:val="18"/>
                <w:lang w:val="en-US" w:eastAsia="zh-CN" w:bidi="ar"/>
              </w:rPr>
              <w:t>9</w:t>
            </w:r>
            <w:r>
              <w:rPr>
                <w:rStyle w:val="21"/>
                <w:rFonts w:hint="eastAsia" w:ascii="宋体" w:hAnsi="宋体" w:eastAsia="宋体" w:cs="宋体"/>
                <w:sz w:val="18"/>
                <w:szCs w:val="18"/>
                <w:lang w:bidi="ar"/>
              </w:rPr>
              <w:t>万元以上</w:t>
            </w:r>
            <w:r>
              <w:rPr>
                <w:rStyle w:val="21"/>
                <w:rFonts w:hint="eastAsia" w:ascii="宋体" w:hAnsi="宋体" w:eastAsia="宋体" w:cs="宋体"/>
                <w:sz w:val="18"/>
                <w:szCs w:val="18"/>
                <w:lang w:val="en-US" w:eastAsia="zh-CN" w:bidi="ar"/>
              </w:rPr>
              <w:t>10</w:t>
            </w:r>
            <w:r>
              <w:rPr>
                <w:rStyle w:val="21"/>
                <w:rFonts w:hint="eastAsia" w:ascii="宋体" w:hAnsi="宋体" w:eastAsia="宋体" w:cs="宋体"/>
                <w:sz w:val="18"/>
                <w:szCs w:val="18"/>
                <w:lang w:bidi="ar"/>
              </w:rPr>
              <w:t>万元以下的罚款，并吊销其取水许可证</w:t>
            </w:r>
          </w:p>
        </w:tc>
        <w:tc>
          <w:tcPr>
            <w:tcW w:w="56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7BFEC0A9">
            <w:pPr>
              <w:spacing w:line="260" w:lineRule="exact"/>
              <w:rPr>
                <w:rStyle w:val="21"/>
                <w:rFonts w:hint="eastAsia" w:ascii="宋体" w:hAnsi="宋体" w:eastAsia="宋体" w:cs="宋体"/>
                <w:sz w:val="18"/>
                <w:szCs w:val="18"/>
                <w:lang w:bidi="ar"/>
              </w:rPr>
            </w:pPr>
          </w:p>
        </w:tc>
      </w:tr>
      <w:tr w14:paraId="0FB802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95"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3B0145BC">
            <w:pPr>
              <w:spacing w:line="260" w:lineRule="exact"/>
              <w:jc w:val="center"/>
              <w:rPr>
                <w:rFonts w:hint="eastAsia" w:ascii="宋体" w:hAnsi="宋体" w:eastAsia="宋体" w:cs="宋体"/>
                <w:sz w:val="18"/>
                <w:szCs w:val="18"/>
              </w:rPr>
            </w:pPr>
          </w:p>
        </w:tc>
        <w:tc>
          <w:tcPr>
            <w:tcW w:w="1211"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7CF3D0DE">
            <w:pPr>
              <w:spacing w:line="260" w:lineRule="exact"/>
              <w:rPr>
                <w:rFonts w:hint="eastAsia" w:ascii="宋体" w:hAnsi="宋体" w:eastAsia="宋体" w:cs="宋体"/>
                <w:sz w:val="18"/>
                <w:szCs w:val="18"/>
              </w:rPr>
            </w:pPr>
          </w:p>
        </w:tc>
        <w:tc>
          <w:tcPr>
            <w:tcW w:w="4862"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00F19DCD">
            <w:pPr>
              <w:spacing w:line="260" w:lineRule="exact"/>
              <w:rPr>
                <w:rFonts w:hint="eastAsia" w:ascii="宋体" w:hAnsi="宋体" w:eastAsia="宋体" w:cs="宋体"/>
                <w:sz w:val="18"/>
                <w:szCs w:val="18"/>
              </w:rPr>
            </w:pPr>
          </w:p>
        </w:tc>
        <w:tc>
          <w:tcPr>
            <w:tcW w:w="1613" w:type="dxa"/>
            <w:tcBorders>
              <w:top w:val="single" w:color="auto" w:sz="4" w:space="0"/>
              <w:left w:val="single" w:color="auto" w:sz="4" w:space="0"/>
              <w:right w:val="single" w:color="auto" w:sz="4" w:space="0"/>
            </w:tcBorders>
            <w:shd w:val="clear" w:color="auto" w:fill="FFFFFF"/>
            <w:noWrap w:val="0"/>
            <w:tcMar>
              <w:top w:w="0" w:type="dxa"/>
              <w:left w:w="0" w:type="dxa"/>
              <w:bottom w:w="0" w:type="dxa"/>
              <w:right w:w="0" w:type="dxa"/>
            </w:tcMar>
            <w:vAlign w:val="center"/>
          </w:tcPr>
          <w:p w14:paraId="1D3B3122">
            <w:pPr>
              <w:spacing w:line="260" w:lineRule="exact"/>
              <w:rPr>
                <w:rFonts w:hint="eastAsia" w:ascii="宋体" w:hAnsi="宋体" w:eastAsia="宋体" w:cs="宋体"/>
                <w:sz w:val="18"/>
                <w:szCs w:val="18"/>
              </w:rPr>
            </w:pPr>
            <w:r>
              <w:rPr>
                <w:rFonts w:hint="eastAsia" w:ascii="宋体" w:hAnsi="宋体" w:eastAsia="宋体" w:cs="宋体"/>
                <w:color w:val="000000"/>
                <w:kern w:val="0"/>
                <w:sz w:val="18"/>
                <w:szCs w:val="18"/>
                <w:lang w:bidi="ar"/>
              </w:rPr>
              <w:t>未按取水许可批准的取水期限、取水用途、水源类型、取水、退水地点、退水方式、退水量的</w:t>
            </w: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2E589D7C">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轻微</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53ABE9AB">
            <w:pPr>
              <w:spacing w:line="240" w:lineRule="exact"/>
              <w:rPr>
                <w:rStyle w:val="21"/>
                <w:rFonts w:hint="eastAsia" w:ascii="宋体" w:hAnsi="宋体" w:eastAsia="宋体" w:cs="宋体"/>
                <w:sz w:val="18"/>
                <w:szCs w:val="18"/>
                <w:lang w:bidi="ar"/>
              </w:rPr>
            </w:pPr>
            <w:r>
              <w:rPr>
                <w:rStyle w:val="21"/>
                <w:rFonts w:hint="eastAsia" w:ascii="宋体" w:hAnsi="宋体" w:eastAsia="宋体" w:cs="宋体"/>
                <w:sz w:val="18"/>
                <w:szCs w:val="18"/>
                <w:lang w:bidi="ar"/>
              </w:rPr>
              <w:t>1.初次违法；</w:t>
            </w:r>
          </w:p>
          <w:p w14:paraId="3462FD60">
            <w:pPr>
              <w:spacing w:line="240" w:lineRule="exact"/>
              <w:rPr>
                <w:rStyle w:val="21"/>
                <w:rFonts w:hint="eastAsia" w:ascii="宋体" w:hAnsi="宋体" w:eastAsia="宋体" w:cs="宋体"/>
                <w:sz w:val="18"/>
                <w:szCs w:val="18"/>
                <w:lang w:bidi="ar"/>
              </w:rPr>
            </w:pPr>
            <w:r>
              <w:rPr>
                <w:rStyle w:val="21"/>
                <w:rFonts w:hint="eastAsia" w:ascii="宋体" w:hAnsi="宋体" w:eastAsia="宋体" w:cs="宋体"/>
                <w:sz w:val="18"/>
                <w:szCs w:val="18"/>
                <w:lang w:bidi="ar"/>
              </w:rPr>
              <w:t>2.</w:t>
            </w:r>
            <w:r>
              <w:rPr>
                <w:rStyle w:val="21"/>
                <w:rFonts w:hint="eastAsia" w:ascii="宋体" w:hAnsi="宋体" w:eastAsia="宋体" w:cs="宋体"/>
                <w:sz w:val="18"/>
                <w:szCs w:val="18"/>
                <w:lang w:val="en-US" w:eastAsia="zh-CN" w:bidi="ar"/>
              </w:rPr>
              <w:t>立即</w:t>
            </w:r>
            <w:r>
              <w:rPr>
                <w:rStyle w:val="21"/>
                <w:rFonts w:hint="eastAsia" w:ascii="宋体" w:hAnsi="宋体" w:eastAsia="宋体" w:cs="宋体"/>
                <w:sz w:val="18"/>
                <w:szCs w:val="18"/>
                <w:lang w:bidi="ar"/>
              </w:rPr>
              <w:t>停止违法行为，签署承诺书保证不再违反同类规定，限期采取补救措施；</w:t>
            </w:r>
          </w:p>
          <w:p w14:paraId="54244143">
            <w:pPr>
              <w:spacing w:line="240" w:lineRule="exact"/>
              <w:rPr>
                <w:rStyle w:val="21"/>
                <w:rFonts w:hint="eastAsia" w:ascii="宋体" w:hAnsi="宋体" w:eastAsia="宋体" w:cs="宋体"/>
                <w:sz w:val="18"/>
                <w:szCs w:val="18"/>
                <w:lang w:bidi="ar"/>
              </w:rPr>
            </w:pPr>
            <w:r>
              <w:rPr>
                <w:rStyle w:val="21"/>
                <w:rFonts w:hint="eastAsia" w:ascii="宋体" w:hAnsi="宋体" w:eastAsia="宋体" w:cs="宋体"/>
                <w:sz w:val="18"/>
                <w:szCs w:val="18"/>
                <w:lang w:bidi="ar"/>
              </w:rPr>
              <w:t>3.取水许可证逾期后的30</w:t>
            </w:r>
            <w:r>
              <w:rPr>
                <w:rStyle w:val="21"/>
                <w:rFonts w:hint="eastAsia" w:ascii="宋体" w:hAnsi="宋体" w:eastAsia="宋体" w:cs="宋体"/>
                <w:sz w:val="18"/>
                <w:szCs w:val="18"/>
                <w:lang w:eastAsia="zh-CN" w:bidi="ar"/>
              </w:rPr>
              <w:t>日</w:t>
            </w:r>
            <w:r>
              <w:rPr>
                <w:rStyle w:val="21"/>
                <w:rFonts w:hint="eastAsia" w:ascii="宋体" w:hAnsi="宋体" w:eastAsia="宋体" w:cs="宋体"/>
                <w:sz w:val="18"/>
                <w:szCs w:val="18"/>
                <w:lang w:bidi="ar"/>
              </w:rPr>
              <w:t>内取得取水许可延续申请批复的；</w:t>
            </w:r>
          </w:p>
          <w:p w14:paraId="2045CE54">
            <w:pPr>
              <w:pStyle w:val="2"/>
              <w:spacing w:line="240" w:lineRule="exact"/>
              <w:rPr>
                <w:rFonts w:hint="eastAsia" w:ascii="宋体" w:hAnsi="宋体" w:eastAsia="宋体" w:cs="宋体"/>
                <w:sz w:val="18"/>
                <w:szCs w:val="18"/>
                <w:lang w:eastAsia="zh-CN"/>
              </w:rPr>
            </w:pPr>
            <w:r>
              <w:rPr>
                <w:rStyle w:val="21"/>
                <w:rFonts w:hint="eastAsia" w:ascii="宋体" w:hAnsi="宋体" w:eastAsia="宋体" w:cs="宋体"/>
                <w:sz w:val="18"/>
                <w:szCs w:val="18"/>
                <w:lang w:val="en-US" w:eastAsia="zh-CN" w:bidi="ar"/>
              </w:rPr>
              <w:t>（注：符合上述所有情形的，不予处罚，应将本次违法情况进行登记备案，以后再发生类似问题的将不再适用本条件）</w:t>
            </w: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6983B797">
            <w:pPr>
              <w:spacing w:line="240" w:lineRule="exact"/>
              <w:rPr>
                <w:rStyle w:val="21"/>
                <w:rFonts w:hint="eastAsia" w:ascii="宋体" w:hAnsi="宋体" w:eastAsia="宋体" w:cs="宋体"/>
                <w:sz w:val="18"/>
                <w:szCs w:val="18"/>
                <w:lang w:bidi="ar"/>
              </w:rPr>
            </w:pPr>
            <w:r>
              <w:rPr>
                <w:rStyle w:val="21"/>
                <w:rFonts w:hint="eastAsia" w:ascii="宋体" w:hAnsi="宋体" w:eastAsia="宋体" w:cs="宋体"/>
                <w:sz w:val="18"/>
                <w:szCs w:val="18"/>
                <w:lang w:bidi="ar"/>
              </w:rPr>
              <w:t>不予处罚</w:t>
            </w:r>
          </w:p>
        </w:tc>
        <w:tc>
          <w:tcPr>
            <w:tcW w:w="56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717F04D8">
            <w:pPr>
              <w:spacing w:line="260" w:lineRule="exact"/>
              <w:rPr>
                <w:rStyle w:val="21"/>
                <w:rFonts w:hint="eastAsia" w:ascii="宋体" w:hAnsi="宋体" w:eastAsia="宋体" w:cs="宋体"/>
                <w:sz w:val="18"/>
                <w:szCs w:val="18"/>
                <w:lang w:bidi="ar"/>
              </w:rPr>
            </w:pPr>
          </w:p>
        </w:tc>
      </w:tr>
      <w:tr w14:paraId="20603C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95" w:type="dxa"/>
            <w:vMerge w:val="restart"/>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29846023">
            <w:pPr>
              <w:spacing w:line="260" w:lineRule="exact"/>
              <w:jc w:val="center"/>
              <w:rPr>
                <w:rFonts w:hint="eastAsia" w:ascii="宋体" w:hAnsi="宋体" w:eastAsia="宋体" w:cs="宋体"/>
                <w:sz w:val="18"/>
                <w:szCs w:val="18"/>
              </w:rPr>
            </w:pPr>
            <w:r>
              <w:rPr>
                <w:rFonts w:hint="eastAsia" w:ascii="宋体" w:hAnsi="宋体" w:eastAsia="宋体" w:cs="宋体"/>
                <w:sz w:val="18"/>
                <w:szCs w:val="18"/>
                <w:lang w:val="en-US" w:eastAsia="zh-CN"/>
              </w:rPr>
              <w:t>1</w:t>
            </w:r>
          </w:p>
        </w:tc>
        <w:tc>
          <w:tcPr>
            <w:tcW w:w="1211" w:type="dxa"/>
            <w:vMerge w:val="restart"/>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3BB64B35">
            <w:pPr>
              <w:spacing w:line="260" w:lineRule="exact"/>
              <w:rPr>
                <w:rFonts w:hint="eastAsia" w:ascii="宋体" w:hAnsi="宋体" w:eastAsia="宋体" w:cs="宋体"/>
                <w:sz w:val="18"/>
                <w:szCs w:val="18"/>
              </w:rPr>
            </w:pPr>
            <w:r>
              <w:rPr>
                <w:rFonts w:hint="eastAsia" w:ascii="宋体" w:hAnsi="宋体" w:eastAsia="宋体" w:cs="宋体"/>
                <w:sz w:val="18"/>
                <w:szCs w:val="18"/>
              </w:rPr>
              <w:t>对未经批准擅自取水、未依照批准的取水许可规定条件取水行为的行政处罚</w:t>
            </w:r>
          </w:p>
        </w:tc>
        <w:tc>
          <w:tcPr>
            <w:tcW w:w="4862" w:type="dxa"/>
            <w:vMerge w:val="restart"/>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3CE945D8">
            <w:pPr>
              <w:widowControl/>
              <w:spacing w:line="24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《中华人民共和国水法》第六十九条 有下列行为之一的，由县级以上人民政府水行政主管部门或者流域管理机构依据职权，责令停止违法行为，限期采取补救措施，处二万元以上十万元以下的罚款；情节严重的，吊销其取水许可证：</w:t>
            </w:r>
          </w:p>
          <w:p w14:paraId="115C31ED">
            <w:pPr>
              <w:widowControl/>
              <w:spacing w:line="24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（一）未经批准擅自取水的；</w:t>
            </w:r>
          </w:p>
          <w:p w14:paraId="66529846">
            <w:pPr>
              <w:widowControl/>
              <w:spacing w:line="24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（二）未依照批准的取水许可规定条件取水的。</w:t>
            </w:r>
          </w:p>
          <w:p w14:paraId="54FB6287">
            <w:pPr>
              <w:widowControl/>
              <w:spacing w:line="24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《取水许可和水资源费征收管理条例》第四十八条 未经批准擅自取水，或者未依照批准的取水许可规定条件取水的，依照《中华人民共和国水法》第六十九条规定处罚；给他人造成妨碍或者损失的，应当排除妨碍、赔偿损失。</w:t>
            </w:r>
          </w:p>
          <w:p w14:paraId="60326AE7">
            <w:pPr>
              <w:widowControl/>
              <w:spacing w:line="24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《取水许可和水资源费征收管理条例》第二十四条 取水许可证应当包括下列内容：</w:t>
            </w:r>
          </w:p>
          <w:p w14:paraId="3DA9452D">
            <w:pPr>
              <w:widowControl/>
              <w:spacing w:line="24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（一）取水单位或者个人的名称（姓名）；</w:t>
            </w:r>
          </w:p>
          <w:p w14:paraId="63178A20">
            <w:pPr>
              <w:widowControl/>
              <w:spacing w:line="24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（二）取水期限；</w:t>
            </w:r>
          </w:p>
          <w:p w14:paraId="1AC48B4B">
            <w:pPr>
              <w:widowControl/>
              <w:spacing w:line="24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（三）取水量和取水用途；</w:t>
            </w:r>
          </w:p>
          <w:p w14:paraId="469DA59D">
            <w:pPr>
              <w:widowControl/>
              <w:spacing w:line="24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（四）水源类型；</w:t>
            </w:r>
          </w:p>
          <w:p w14:paraId="099DB6A2">
            <w:pPr>
              <w:widowControl/>
              <w:spacing w:line="24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（五）取水、退水地点及退水方式、退水量。</w:t>
            </w:r>
          </w:p>
          <w:p w14:paraId="149EB2DF">
            <w:pPr>
              <w:spacing w:line="240" w:lineRule="exact"/>
              <w:ind w:firstLine="360" w:firstLineChars="200"/>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前款第（三）项规定的取水量是在江河、湖泊、地下水多年平均水量情况下允许的取水单位或者个人的最大取水量。取水许可证由国务院水行政主管部门统一制作，审批机关核发取水许可证只能收取工本费。</w:t>
            </w:r>
          </w:p>
          <w:p w14:paraId="66219C5A">
            <w:pPr>
              <w:spacing w:line="260" w:lineRule="exact"/>
              <w:rPr>
                <w:rFonts w:hint="eastAsia" w:ascii="宋体" w:hAnsi="宋体" w:eastAsia="宋体" w:cs="宋体"/>
                <w:sz w:val="18"/>
                <w:szCs w:val="18"/>
              </w:rPr>
            </w:pPr>
            <w:r>
              <w:rPr>
                <w:rFonts w:hint="eastAsia" w:ascii="宋体" w:hAnsi="宋体" w:eastAsia="宋体" w:cs="宋体"/>
                <w:color w:val="000000"/>
                <w:kern w:val="0"/>
                <w:sz w:val="18"/>
                <w:szCs w:val="18"/>
                <w:lang w:bidi="ar"/>
              </w:rPr>
              <w:t>《河北省小水电站生态流量监督管理办法》（试行）第三十条  市县水行政主管部门和生态环境主管部门要严格取水许可监管和建设项目环评审批，将小水电站按要求泄放生态流量作为取水许可审批和监管、项目环评审批和流域水环境保护监管的重要内容，确保小水电站持续将生态流量落实到位。</w:t>
            </w:r>
          </w:p>
        </w:tc>
        <w:tc>
          <w:tcPr>
            <w:tcW w:w="1613" w:type="dxa"/>
            <w:vMerge w:val="restart"/>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25FDF06E">
            <w:pPr>
              <w:spacing w:line="260" w:lineRule="exact"/>
              <w:rPr>
                <w:rFonts w:hint="eastAsia" w:ascii="宋体" w:hAnsi="宋体" w:eastAsia="宋体" w:cs="宋体"/>
                <w:sz w:val="18"/>
                <w:szCs w:val="18"/>
              </w:rPr>
            </w:pPr>
            <w:r>
              <w:rPr>
                <w:rFonts w:hint="eastAsia" w:ascii="宋体" w:hAnsi="宋体" w:eastAsia="宋体" w:cs="宋体"/>
                <w:color w:val="000000"/>
                <w:kern w:val="0"/>
                <w:sz w:val="18"/>
                <w:szCs w:val="18"/>
                <w:lang w:bidi="ar"/>
              </w:rPr>
              <w:t>未按取水许可批准的取水期限、取水用途、水源类型、取水、退水地点、退水方式、退水量的</w:t>
            </w: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69B1B64E">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较轻</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124196FF">
            <w:pPr>
              <w:spacing w:line="240" w:lineRule="exact"/>
              <w:rPr>
                <w:rStyle w:val="21"/>
                <w:rFonts w:hint="eastAsia" w:ascii="宋体" w:hAnsi="宋体" w:eastAsia="宋体" w:cs="宋体"/>
                <w:sz w:val="18"/>
                <w:szCs w:val="18"/>
                <w:lang w:val="en-US" w:eastAsia="zh-CN" w:bidi="ar"/>
              </w:rPr>
            </w:pPr>
            <w:r>
              <w:rPr>
                <w:rStyle w:val="21"/>
                <w:rFonts w:hint="eastAsia" w:ascii="宋体" w:hAnsi="宋体" w:eastAsia="宋体" w:cs="宋体"/>
                <w:sz w:val="18"/>
                <w:szCs w:val="18"/>
                <w:lang w:bidi="ar"/>
              </w:rPr>
              <w:t>立即停止违法行为、在限期采取补救措施的</w:t>
            </w: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6BF081D8">
            <w:pPr>
              <w:spacing w:line="240" w:lineRule="exact"/>
              <w:rPr>
                <w:rStyle w:val="21"/>
                <w:rFonts w:hint="eastAsia" w:ascii="宋体" w:hAnsi="宋体" w:eastAsia="宋体" w:cs="宋体"/>
                <w:sz w:val="18"/>
                <w:szCs w:val="18"/>
                <w:lang w:val="en-US" w:eastAsia="zh-CN" w:bidi="ar"/>
              </w:rPr>
            </w:pPr>
            <w:r>
              <w:rPr>
                <w:rStyle w:val="21"/>
                <w:rFonts w:hint="eastAsia" w:ascii="宋体" w:hAnsi="宋体" w:eastAsia="宋体" w:cs="宋体"/>
                <w:sz w:val="18"/>
                <w:szCs w:val="18"/>
                <w:lang w:bidi="ar"/>
              </w:rPr>
              <w:t>处</w:t>
            </w:r>
            <w:r>
              <w:rPr>
                <w:rStyle w:val="21"/>
                <w:rFonts w:hint="eastAsia" w:ascii="宋体" w:hAnsi="宋体" w:eastAsia="宋体" w:cs="宋体"/>
                <w:sz w:val="18"/>
                <w:szCs w:val="18"/>
                <w:lang w:val="en-US" w:eastAsia="zh-CN" w:bidi="ar"/>
              </w:rPr>
              <w:t>2</w:t>
            </w:r>
            <w:r>
              <w:rPr>
                <w:rStyle w:val="21"/>
                <w:rFonts w:hint="eastAsia" w:ascii="宋体" w:hAnsi="宋体" w:eastAsia="宋体" w:cs="宋体"/>
                <w:sz w:val="18"/>
                <w:szCs w:val="18"/>
                <w:lang w:bidi="ar"/>
              </w:rPr>
              <w:t>万元以上</w:t>
            </w:r>
            <w:r>
              <w:rPr>
                <w:rStyle w:val="21"/>
                <w:rFonts w:hint="eastAsia" w:ascii="宋体" w:hAnsi="宋体" w:eastAsia="宋体" w:cs="宋体"/>
                <w:sz w:val="18"/>
                <w:szCs w:val="18"/>
                <w:lang w:val="en-US" w:eastAsia="zh-CN" w:bidi="ar"/>
              </w:rPr>
              <w:t>3</w:t>
            </w:r>
            <w:r>
              <w:rPr>
                <w:rStyle w:val="21"/>
                <w:rFonts w:hint="eastAsia" w:ascii="宋体" w:hAnsi="宋体" w:eastAsia="宋体" w:cs="宋体"/>
                <w:sz w:val="18"/>
                <w:szCs w:val="18"/>
                <w:lang w:bidi="ar"/>
              </w:rPr>
              <w:t>万元以下的罚款</w:t>
            </w:r>
          </w:p>
        </w:tc>
        <w:tc>
          <w:tcPr>
            <w:tcW w:w="56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46BB9173">
            <w:pPr>
              <w:spacing w:line="260" w:lineRule="exact"/>
              <w:rPr>
                <w:rStyle w:val="21"/>
                <w:rFonts w:hint="eastAsia" w:ascii="宋体" w:hAnsi="宋体" w:eastAsia="宋体" w:cs="宋体"/>
                <w:sz w:val="18"/>
                <w:szCs w:val="18"/>
                <w:lang w:bidi="ar"/>
              </w:rPr>
            </w:pPr>
          </w:p>
        </w:tc>
      </w:tr>
      <w:tr w14:paraId="459D7D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677" w:hRule="atLeast"/>
          <w:jc w:val="center"/>
        </w:trPr>
        <w:tc>
          <w:tcPr>
            <w:tcW w:w="495"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29198508">
            <w:pPr>
              <w:spacing w:line="260" w:lineRule="exact"/>
              <w:jc w:val="center"/>
              <w:rPr>
                <w:rFonts w:hint="eastAsia" w:ascii="宋体" w:hAnsi="宋体" w:eastAsia="宋体" w:cs="宋体"/>
                <w:sz w:val="18"/>
                <w:szCs w:val="18"/>
              </w:rPr>
            </w:pPr>
          </w:p>
        </w:tc>
        <w:tc>
          <w:tcPr>
            <w:tcW w:w="1211"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004A813F">
            <w:pPr>
              <w:spacing w:line="260" w:lineRule="exact"/>
              <w:rPr>
                <w:rFonts w:hint="eastAsia" w:ascii="宋体" w:hAnsi="宋体" w:eastAsia="宋体" w:cs="宋体"/>
                <w:sz w:val="18"/>
                <w:szCs w:val="18"/>
              </w:rPr>
            </w:pPr>
          </w:p>
        </w:tc>
        <w:tc>
          <w:tcPr>
            <w:tcW w:w="4862"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55469973">
            <w:pPr>
              <w:spacing w:line="260" w:lineRule="exact"/>
              <w:rPr>
                <w:rFonts w:hint="eastAsia" w:ascii="宋体" w:hAnsi="宋体" w:eastAsia="宋体" w:cs="宋体"/>
                <w:sz w:val="18"/>
                <w:szCs w:val="18"/>
              </w:rPr>
            </w:pPr>
          </w:p>
        </w:tc>
        <w:tc>
          <w:tcPr>
            <w:tcW w:w="161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0594EE68">
            <w:pPr>
              <w:spacing w:line="260" w:lineRule="exact"/>
              <w:rPr>
                <w:rFonts w:hint="eastAsia" w:ascii="宋体" w:hAnsi="宋体" w:eastAsia="宋体" w:cs="宋体"/>
                <w:sz w:val="18"/>
                <w:szCs w:val="18"/>
              </w:rPr>
            </w:pP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4D5C220C">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一般</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5E7C3DE2">
            <w:pPr>
              <w:spacing w:line="240" w:lineRule="exact"/>
              <w:rPr>
                <w:rStyle w:val="21"/>
                <w:rFonts w:hint="eastAsia" w:ascii="宋体" w:hAnsi="宋体" w:eastAsia="宋体" w:cs="宋体"/>
                <w:sz w:val="18"/>
                <w:szCs w:val="18"/>
                <w:lang w:bidi="ar"/>
              </w:rPr>
            </w:pPr>
            <w:r>
              <w:rPr>
                <w:rStyle w:val="21"/>
                <w:rFonts w:hint="eastAsia" w:ascii="宋体" w:hAnsi="宋体" w:eastAsia="宋体" w:cs="宋体"/>
                <w:sz w:val="18"/>
                <w:szCs w:val="18"/>
                <w:lang w:bidi="ar"/>
              </w:rPr>
              <w:t>立即停止违法行为</w:t>
            </w:r>
            <w:r>
              <w:rPr>
                <w:rStyle w:val="21"/>
                <w:rFonts w:hint="eastAsia" w:ascii="宋体" w:hAnsi="宋体" w:eastAsia="宋体" w:cs="宋体"/>
                <w:sz w:val="18"/>
                <w:szCs w:val="18"/>
                <w:lang w:eastAsia="zh-CN" w:bidi="ar"/>
              </w:rPr>
              <w:t>，</w:t>
            </w:r>
            <w:r>
              <w:rPr>
                <w:rStyle w:val="21"/>
                <w:rFonts w:hint="eastAsia" w:ascii="宋体" w:hAnsi="宋体" w:eastAsia="宋体" w:cs="宋体"/>
                <w:sz w:val="18"/>
                <w:szCs w:val="18"/>
                <w:lang w:bidi="ar"/>
              </w:rPr>
              <w:t>未在限期采取补救措施或者采取的补救措施不到位的</w:t>
            </w: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1D955ACB">
            <w:pPr>
              <w:spacing w:line="240" w:lineRule="exact"/>
              <w:rPr>
                <w:rFonts w:hint="eastAsia" w:ascii="宋体" w:hAnsi="宋体" w:eastAsia="宋体" w:cs="宋体"/>
                <w:color w:val="000000"/>
                <w:sz w:val="18"/>
                <w:szCs w:val="18"/>
                <w:lang w:bidi="ar"/>
              </w:rPr>
            </w:pPr>
            <w:r>
              <w:rPr>
                <w:rStyle w:val="21"/>
                <w:rFonts w:hint="eastAsia" w:ascii="宋体" w:hAnsi="宋体" w:eastAsia="宋体" w:cs="宋体"/>
                <w:sz w:val="18"/>
                <w:szCs w:val="18"/>
                <w:lang w:bidi="ar"/>
              </w:rPr>
              <w:t>处</w:t>
            </w:r>
            <w:r>
              <w:rPr>
                <w:rStyle w:val="21"/>
                <w:rFonts w:hint="eastAsia" w:ascii="宋体" w:hAnsi="宋体" w:eastAsia="宋体" w:cs="宋体"/>
                <w:sz w:val="18"/>
                <w:szCs w:val="18"/>
                <w:lang w:val="en-US" w:eastAsia="zh-CN" w:bidi="ar"/>
              </w:rPr>
              <w:t>3</w:t>
            </w:r>
            <w:r>
              <w:rPr>
                <w:rStyle w:val="21"/>
                <w:rFonts w:hint="eastAsia" w:ascii="宋体" w:hAnsi="宋体" w:eastAsia="宋体" w:cs="宋体"/>
                <w:sz w:val="18"/>
                <w:szCs w:val="18"/>
                <w:lang w:bidi="ar"/>
              </w:rPr>
              <w:t>万元以上</w:t>
            </w:r>
            <w:r>
              <w:rPr>
                <w:rStyle w:val="21"/>
                <w:rFonts w:hint="eastAsia" w:ascii="宋体" w:hAnsi="宋体" w:eastAsia="宋体" w:cs="宋体"/>
                <w:sz w:val="18"/>
                <w:szCs w:val="18"/>
                <w:lang w:val="en-US" w:eastAsia="zh-CN" w:bidi="ar"/>
              </w:rPr>
              <w:t>6</w:t>
            </w:r>
            <w:r>
              <w:rPr>
                <w:rStyle w:val="21"/>
                <w:rFonts w:hint="eastAsia" w:ascii="宋体" w:hAnsi="宋体" w:eastAsia="宋体" w:cs="宋体"/>
                <w:sz w:val="18"/>
                <w:szCs w:val="18"/>
                <w:lang w:bidi="ar"/>
              </w:rPr>
              <w:t>万元以下罚款</w:t>
            </w:r>
          </w:p>
        </w:tc>
        <w:tc>
          <w:tcPr>
            <w:tcW w:w="56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7618961E">
            <w:pPr>
              <w:spacing w:line="260" w:lineRule="exact"/>
              <w:rPr>
                <w:rStyle w:val="21"/>
                <w:rFonts w:hint="eastAsia" w:ascii="宋体" w:hAnsi="宋体" w:eastAsia="宋体" w:cs="宋体"/>
                <w:sz w:val="18"/>
                <w:szCs w:val="18"/>
                <w:lang w:bidi="ar"/>
              </w:rPr>
            </w:pPr>
          </w:p>
        </w:tc>
      </w:tr>
      <w:tr w14:paraId="457FD4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692" w:hRule="atLeast"/>
          <w:jc w:val="center"/>
        </w:trPr>
        <w:tc>
          <w:tcPr>
            <w:tcW w:w="495"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1F340B01">
            <w:pPr>
              <w:spacing w:line="260" w:lineRule="exact"/>
              <w:jc w:val="center"/>
              <w:rPr>
                <w:rFonts w:hint="eastAsia" w:ascii="宋体" w:hAnsi="宋体" w:eastAsia="宋体" w:cs="宋体"/>
                <w:sz w:val="18"/>
                <w:szCs w:val="18"/>
              </w:rPr>
            </w:pPr>
          </w:p>
        </w:tc>
        <w:tc>
          <w:tcPr>
            <w:tcW w:w="1211"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7FDA6D5E">
            <w:pPr>
              <w:spacing w:line="260" w:lineRule="exact"/>
              <w:rPr>
                <w:rFonts w:hint="eastAsia" w:ascii="宋体" w:hAnsi="宋体" w:eastAsia="宋体" w:cs="宋体"/>
                <w:sz w:val="18"/>
                <w:szCs w:val="18"/>
              </w:rPr>
            </w:pPr>
          </w:p>
        </w:tc>
        <w:tc>
          <w:tcPr>
            <w:tcW w:w="4862"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4037D0BA">
            <w:pPr>
              <w:spacing w:line="260" w:lineRule="exact"/>
              <w:rPr>
                <w:rFonts w:hint="eastAsia" w:ascii="宋体" w:hAnsi="宋体" w:eastAsia="宋体" w:cs="宋体"/>
                <w:sz w:val="18"/>
                <w:szCs w:val="18"/>
              </w:rPr>
            </w:pPr>
          </w:p>
        </w:tc>
        <w:tc>
          <w:tcPr>
            <w:tcW w:w="161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6FBD88D0">
            <w:pPr>
              <w:spacing w:line="260" w:lineRule="exact"/>
              <w:rPr>
                <w:rFonts w:hint="eastAsia" w:ascii="宋体" w:hAnsi="宋体" w:eastAsia="宋体" w:cs="宋体"/>
                <w:sz w:val="18"/>
                <w:szCs w:val="18"/>
              </w:rPr>
            </w:pP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452A7AF4">
            <w:pPr>
              <w:spacing w:line="260" w:lineRule="exact"/>
              <w:jc w:val="center"/>
              <w:rPr>
                <w:rFonts w:hint="eastAsia" w:ascii="宋体" w:hAnsi="宋体" w:eastAsia="宋体" w:cs="宋体"/>
                <w:sz w:val="18"/>
                <w:szCs w:val="18"/>
                <w:lang w:eastAsia="zh-CN"/>
              </w:rPr>
            </w:pPr>
            <w:r>
              <w:rPr>
                <w:rFonts w:hint="eastAsia" w:ascii="宋体" w:hAnsi="宋体" w:eastAsia="宋体" w:cs="宋体"/>
                <w:sz w:val="18"/>
                <w:szCs w:val="18"/>
                <w:lang w:eastAsia="zh-CN"/>
              </w:rPr>
              <w:t>较重</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01C0608F">
            <w:pPr>
              <w:spacing w:line="240" w:lineRule="exact"/>
              <w:rPr>
                <w:rStyle w:val="21"/>
                <w:rFonts w:hint="eastAsia" w:ascii="宋体" w:hAnsi="宋体" w:eastAsia="宋体" w:cs="宋体"/>
                <w:sz w:val="18"/>
                <w:szCs w:val="18"/>
                <w:lang w:bidi="ar"/>
              </w:rPr>
            </w:pPr>
            <w:r>
              <w:rPr>
                <w:rStyle w:val="21"/>
                <w:rFonts w:hint="eastAsia" w:ascii="宋体" w:hAnsi="宋体" w:eastAsia="宋体" w:cs="宋体"/>
                <w:sz w:val="18"/>
                <w:szCs w:val="18"/>
                <w:lang w:bidi="ar"/>
              </w:rPr>
              <w:t>未在规定期限内停止违法行为、采取补救措施的</w:t>
            </w: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24B8A034">
            <w:pPr>
              <w:spacing w:line="240" w:lineRule="exact"/>
              <w:rPr>
                <w:rFonts w:hint="eastAsia" w:ascii="宋体" w:hAnsi="宋体" w:eastAsia="宋体" w:cs="宋体"/>
                <w:color w:val="000000"/>
                <w:sz w:val="18"/>
                <w:szCs w:val="18"/>
                <w:lang w:bidi="ar"/>
              </w:rPr>
            </w:pPr>
            <w:r>
              <w:rPr>
                <w:rStyle w:val="21"/>
                <w:rFonts w:hint="eastAsia" w:ascii="宋体" w:hAnsi="宋体" w:eastAsia="宋体" w:cs="宋体"/>
                <w:sz w:val="18"/>
                <w:szCs w:val="18"/>
                <w:lang w:bidi="ar"/>
              </w:rPr>
              <w:t>处</w:t>
            </w:r>
            <w:r>
              <w:rPr>
                <w:rStyle w:val="21"/>
                <w:rFonts w:hint="eastAsia" w:ascii="宋体" w:hAnsi="宋体" w:eastAsia="宋体" w:cs="宋体"/>
                <w:sz w:val="18"/>
                <w:szCs w:val="18"/>
                <w:lang w:val="en-US" w:eastAsia="zh-CN" w:bidi="ar"/>
              </w:rPr>
              <w:t>6</w:t>
            </w:r>
            <w:r>
              <w:rPr>
                <w:rStyle w:val="21"/>
                <w:rFonts w:hint="eastAsia" w:ascii="宋体" w:hAnsi="宋体" w:eastAsia="宋体" w:cs="宋体"/>
                <w:sz w:val="18"/>
                <w:szCs w:val="18"/>
                <w:lang w:bidi="ar"/>
              </w:rPr>
              <w:t>万元以上</w:t>
            </w:r>
            <w:r>
              <w:rPr>
                <w:rStyle w:val="21"/>
                <w:rFonts w:hint="eastAsia" w:ascii="宋体" w:hAnsi="宋体" w:eastAsia="宋体" w:cs="宋体"/>
                <w:sz w:val="18"/>
                <w:szCs w:val="18"/>
                <w:lang w:val="en-US" w:eastAsia="zh-CN" w:bidi="ar"/>
              </w:rPr>
              <w:t>9</w:t>
            </w:r>
            <w:r>
              <w:rPr>
                <w:rStyle w:val="21"/>
                <w:rFonts w:hint="eastAsia" w:ascii="宋体" w:hAnsi="宋体" w:eastAsia="宋体" w:cs="宋体"/>
                <w:sz w:val="18"/>
                <w:szCs w:val="18"/>
                <w:lang w:bidi="ar"/>
              </w:rPr>
              <w:t>万元以下的罚款</w:t>
            </w:r>
          </w:p>
        </w:tc>
        <w:tc>
          <w:tcPr>
            <w:tcW w:w="56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3756D675">
            <w:pPr>
              <w:spacing w:line="260" w:lineRule="exact"/>
              <w:rPr>
                <w:rStyle w:val="21"/>
                <w:rFonts w:hint="eastAsia" w:ascii="宋体" w:hAnsi="宋体" w:eastAsia="宋体" w:cs="宋体"/>
                <w:sz w:val="18"/>
                <w:szCs w:val="18"/>
                <w:lang w:bidi="ar"/>
              </w:rPr>
            </w:pPr>
          </w:p>
        </w:tc>
      </w:tr>
      <w:tr w14:paraId="14F343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95"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6B2207BF">
            <w:pPr>
              <w:spacing w:line="260" w:lineRule="exact"/>
              <w:jc w:val="center"/>
              <w:rPr>
                <w:rFonts w:hint="eastAsia" w:ascii="宋体" w:hAnsi="宋体" w:eastAsia="宋体" w:cs="宋体"/>
                <w:sz w:val="18"/>
                <w:szCs w:val="18"/>
              </w:rPr>
            </w:pPr>
          </w:p>
        </w:tc>
        <w:tc>
          <w:tcPr>
            <w:tcW w:w="1211"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3A98BD13">
            <w:pPr>
              <w:spacing w:line="260" w:lineRule="exact"/>
              <w:rPr>
                <w:rFonts w:hint="eastAsia" w:ascii="宋体" w:hAnsi="宋体" w:eastAsia="宋体" w:cs="宋体"/>
                <w:sz w:val="18"/>
                <w:szCs w:val="18"/>
              </w:rPr>
            </w:pPr>
          </w:p>
        </w:tc>
        <w:tc>
          <w:tcPr>
            <w:tcW w:w="4862"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48C41E19">
            <w:pPr>
              <w:spacing w:line="260" w:lineRule="exact"/>
              <w:rPr>
                <w:rFonts w:hint="eastAsia" w:ascii="宋体" w:hAnsi="宋体" w:eastAsia="宋体" w:cs="宋体"/>
                <w:sz w:val="18"/>
                <w:szCs w:val="18"/>
              </w:rPr>
            </w:pPr>
          </w:p>
        </w:tc>
        <w:tc>
          <w:tcPr>
            <w:tcW w:w="1613" w:type="dxa"/>
            <w:vMerge w:val="continue"/>
            <w:tcBorders>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0686AA53">
            <w:pPr>
              <w:spacing w:line="260" w:lineRule="exact"/>
              <w:rPr>
                <w:rFonts w:hint="eastAsia" w:ascii="宋体" w:hAnsi="宋体" w:eastAsia="宋体" w:cs="宋体"/>
                <w:sz w:val="18"/>
                <w:szCs w:val="18"/>
              </w:rPr>
            </w:pP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5FB6B18E">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严重</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0FD57AC8">
            <w:pPr>
              <w:spacing w:line="240" w:lineRule="exact"/>
              <w:rPr>
                <w:rStyle w:val="21"/>
                <w:rFonts w:hint="eastAsia" w:ascii="宋体" w:hAnsi="宋体" w:eastAsia="宋体" w:cs="宋体"/>
                <w:sz w:val="18"/>
                <w:szCs w:val="18"/>
                <w:lang w:bidi="ar"/>
              </w:rPr>
            </w:pPr>
            <w:r>
              <w:rPr>
                <w:rStyle w:val="21"/>
                <w:rFonts w:hint="eastAsia" w:ascii="宋体" w:hAnsi="宋体" w:eastAsia="宋体" w:cs="宋体"/>
                <w:sz w:val="18"/>
                <w:szCs w:val="18"/>
                <w:lang w:bidi="ar"/>
              </w:rPr>
              <w:t>拒不停止违法行为，不采取补救措施的</w:t>
            </w: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373FF40C">
            <w:pPr>
              <w:spacing w:line="240" w:lineRule="exact"/>
              <w:rPr>
                <w:rFonts w:hint="eastAsia" w:ascii="宋体" w:hAnsi="宋体" w:eastAsia="宋体" w:cs="宋体"/>
                <w:color w:val="000000"/>
                <w:sz w:val="18"/>
                <w:szCs w:val="18"/>
                <w:lang w:bidi="ar"/>
              </w:rPr>
            </w:pPr>
            <w:r>
              <w:rPr>
                <w:rStyle w:val="21"/>
                <w:rFonts w:hint="eastAsia" w:ascii="宋体" w:hAnsi="宋体" w:eastAsia="宋体" w:cs="宋体"/>
                <w:sz w:val="18"/>
                <w:szCs w:val="18"/>
                <w:lang w:bidi="ar"/>
              </w:rPr>
              <w:t>处</w:t>
            </w:r>
            <w:r>
              <w:rPr>
                <w:rStyle w:val="21"/>
                <w:rFonts w:hint="eastAsia" w:ascii="宋体" w:hAnsi="宋体" w:eastAsia="宋体" w:cs="宋体"/>
                <w:sz w:val="18"/>
                <w:szCs w:val="18"/>
                <w:lang w:val="en-US" w:eastAsia="zh-CN" w:bidi="ar"/>
              </w:rPr>
              <w:t>9</w:t>
            </w:r>
            <w:r>
              <w:rPr>
                <w:rStyle w:val="21"/>
                <w:rFonts w:hint="eastAsia" w:ascii="宋体" w:hAnsi="宋体" w:eastAsia="宋体" w:cs="宋体"/>
                <w:sz w:val="18"/>
                <w:szCs w:val="18"/>
                <w:lang w:bidi="ar"/>
              </w:rPr>
              <w:t>万元以上</w:t>
            </w:r>
            <w:r>
              <w:rPr>
                <w:rStyle w:val="21"/>
                <w:rFonts w:hint="eastAsia" w:ascii="宋体" w:hAnsi="宋体" w:eastAsia="宋体" w:cs="宋体"/>
                <w:sz w:val="18"/>
                <w:szCs w:val="18"/>
                <w:lang w:val="en-US" w:eastAsia="zh-CN" w:bidi="ar"/>
              </w:rPr>
              <w:t>10</w:t>
            </w:r>
            <w:r>
              <w:rPr>
                <w:rStyle w:val="21"/>
                <w:rFonts w:hint="eastAsia" w:ascii="宋体" w:hAnsi="宋体" w:eastAsia="宋体" w:cs="宋体"/>
                <w:sz w:val="18"/>
                <w:szCs w:val="18"/>
                <w:lang w:bidi="ar"/>
              </w:rPr>
              <w:t>万元以下的罚款，并吊销其取水许可证</w:t>
            </w:r>
          </w:p>
        </w:tc>
        <w:tc>
          <w:tcPr>
            <w:tcW w:w="563" w:type="dxa"/>
            <w:vMerge w:val="continue"/>
            <w:tcBorders>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1FB3D40A">
            <w:pPr>
              <w:spacing w:line="260" w:lineRule="exact"/>
              <w:rPr>
                <w:rStyle w:val="21"/>
                <w:rFonts w:hint="eastAsia" w:ascii="宋体" w:hAnsi="宋体" w:eastAsia="宋体" w:cs="宋体"/>
                <w:sz w:val="18"/>
                <w:szCs w:val="18"/>
                <w:lang w:bidi="ar"/>
              </w:rPr>
            </w:pPr>
          </w:p>
        </w:tc>
      </w:tr>
      <w:tr w14:paraId="48FDDD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7" w:hRule="atLeast"/>
          <w:jc w:val="center"/>
        </w:trPr>
        <w:tc>
          <w:tcPr>
            <w:tcW w:w="495"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74AAAA2D">
            <w:pPr>
              <w:spacing w:line="260" w:lineRule="exact"/>
              <w:jc w:val="center"/>
              <w:rPr>
                <w:rFonts w:hint="eastAsia" w:ascii="宋体" w:hAnsi="宋体" w:eastAsia="宋体" w:cs="宋体"/>
                <w:sz w:val="18"/>
                <w:szCs w:val="18"/>
              </w:rPr>
            </w:pPr>
          </w:p>
        </w:tc>
        <w:tc>
          <w:tcPr>
            <w:tcW w:w="1211"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3EE5C951">
            <w:pPr>
              <w:spacing w:line="260" w:lineRule="exact"/>
              <w:rPr>
                <w:rFonts w:hint="eastAsia" w:ascii="宋体" w:hAnsi="宋体" w:eastAsia="宋体" w:cs="宋体"/>
                <w:sz w:val="18"/>
                <w:szCs w:val="18"/>
              </w:rPr>
            </w:pPr>
          </w:p>
        </w:tc>
        <w:tc>
          <w:tcPr>
            <w:tcW w:w="4862"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47F6A234">
            <w:pPr>
              <w:spacing w:line="260" w:lineRule="exact"/>
              <w:rPr>
                <w:rFonts w:hint="eastAsia" w:ascii="宋体" w:hAnsi="宋体" w:eastAsia="宋体" w:cs="宋体"/>
                <w:sz w:val="18"/>
                <w:szCs w:val="18"/>
              </w:rPr>
            </w:pPr>
          </w:p>
        </w:tc>
        <w:tc>
          <w:tcPr>
            <w:tcW w:w="1613" w:type="dxa"/>
            <w:vMerge w:val="restart"/>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27FC9869">
            <w:pPr>
              <w:spacing w:line="260" w:lineRule="exact"/>
              <w:rPr>
                <w:rFonts w:hint="eastAsia" w:ascii="宋体" w:hAnsi="宋体" w:eastAsia="宋体" w:cs="宋体"/>
                <w:color w:val="auto"/>
                <w:sz w:val="18"/>
                <w:szCs w:val="18"/>
              </w:rPr>
            </w:pPr>
            <w:r>
              <w:rPr>
                <w:rFonts w:hint="eastAsia" w:ascii="宋体" w:hAnsi="宋体" w:eastAsia="宋体" w:cs="宋体"/>
                <w:color w:val="auto"/>
                <w:sz w:val="18"/>
                <w:szCs w:val="18"/>
              </w:rPr>
              <w:t>未按照取水许可审批条件足额泄放生态流量的</w:t>
            </w: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3C9DB4D6">
            <w:pPr>
              <w:spacing w:line="260" w:lineRule="exact"/>
              <w:jc w:val="center"/>
              <w:rPr>
                <w:rFonts w:hint="eastAsia" w:ascii="宋体" w:hAnsi="宋体" w:eastAsia="宋体" w:cs="宋体"/>
                <w:color w:val="auto"/>
                <w:sz w:val="18"/>
                <w:szCs w:val="18"/>
              </w:rPr>
            </w:pPr>
            <w:r>
              <w:rPr>
                <w:rFonts w:hint="eastAsia" w:ascii="宋体" w:hAnsi="宋体" w:eastAsia="宋体" w:cs="宋体"/>
                <w:color w:val="auto"/>
                <w:sz w:val="18"/>
                <w:szCs w:val="18"/>
              </w:rPr>
              <w:t>轻微</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2BDB0854">
            <w:pPr>
              <w:spacing w:line="280" w:lineRule="exact"/>
              <w:rPr>
                <w:rStyle w:val="21"/>
                <w:rFonts w:hint="eastAsia" w:ascii="宋体" w:hAnsi="宋体" w:eastAsia="宋体" w:cs="宋体"/>
                <w:color w:val="auto"/>
                <w:sz w:val="18"/>
                <w:szCs w:val="18"/>
                <w:lang w:bidi="ar"/>
              </w:rPr>
            </w:pPr>
            <w:r>
              <w:rPr>
                <w:rStyle w:val="21"/>
                <w:rFonts w:hint="eastAsia" w:ascii="宋体" w:hAnsi="宋体" w:eastAsia="宋体" w:cs="宋体"/>
                <w:color w:val="auto"/>
                <w:sz w:val="18"/>
                <w:szCs w:val="18"/>
                <w:lang w:bidi="ar"/>
              </w:rPr>
              <w:t>1.初次违法；</w:t>
            </w:r>
          </w:p>
          <w:p w14:paraId="0DF92112">
            <w:pPr>
              <w:spacing w:line="280" w:lineRule="exact"/>
              <w:rPr>
                <w:rStyle w:val="21"/>
                <w:rFonts w:hint="eastAsia" w:ascii="宋体" w:hAnsi="宋体" w:eastAsia="宋体" w:cs="宋体"/>
                <w:color w:val="auto"/>
                <w:sz w:val="18"/>
                <w:szCs w:val="18"/>
                <w:lang w:bidi="ar"/>
              </w:rPr>
            </w:pPr>
            <w:r>
              <w:rPr>
                <w:rStyle w:val="21"/>
                <w:rFonts w:hint="eastAsia" w:ascii="宋体" w:hAnsi="宋体" w:eastAsia="宋体" w:cs="宋体"/>
                <w:color w:val="auto"/>
                <w:sz w:val="18"/>
                <w:szCs w:val="18"/>
                <w:lang w:bidi="ar"/>
              </w:rPr>
              <w:t>2.</w:t>
            </w:r>
            <w:r>
              <w:rPr>
                <w:rStyle w:val="21"/>
                <w:rFonts w:hint="eastAsia" w:ascii="宋体" w:hAnsi="宋体" w:eastAsia="宋体" w:cs="宋体"/>
                <w:color w:val="auto"/>
                <w:sz w:val="18"/>
                <w:szCs w:val="18"/>
                <w:lang w:val="en-US" w:eastAsia="zh-CN" w:bidi="ar"/>
              </w:rPr>
              <w:t>立即</w:t>
            </w:r>
            <w:r>
              <w:rPr>
                <w:rStyle w:val="21"/>
                <w:rFonts w:hint="eastAsia" w:ascii="宋体" w:hAnsi="宋体" w:eastAsia="宋体" w:cs="宋体"/>
                <w:color w:val="auto"/>
                <w:sz w:val="18"/>
                <w:szCs w:val="18"/>
                <w:lang w:bidi="ar"/>
              </w:rPr>
              <w:t>停止违法行为，签署承诺书保证不再违反同类规定，限期采取补救措施；</w:t>
            </w:r>
          </w:p>
          <w:p w14:paraId="7214F3BC">
            <w:pPr>
              <w:spacing w:line="280" w:lineRule="exact"/>
              <w:rPr>
                <w:rStyle w:val="21"/>
                <w:rFonts w:hint="eastAsia" w:ascii="宋体" w:hAnsi="宋体" w:eastAsia="宋体" w:cs="宋体"/>
                <w:color w:val="auto"/>
                <w:sz w:val="18"/>
                <w:szCs w:val="18"/>
                <w:lang w:bidi="ar"/>
              </w:rPr>
            </w:pPr>
            <w:r>
              <w:rPr>
                <w:rStyle w:val="21"/>
                <w:rFonts w:hint="eastAsia" w:ascii="宋体" w:hAnsi="宋体" w:eastAsia="宋体" w:cs="宋体"/>
                <w:color w:val="auto"/>
                <w:sz w:val="18"/>
                <w:szCs w:val="18"/>
                <w:lang w:val="en-US" w:eastAsia="zh-CN" w:bidi="ar"/>
              </w:rPr>
              <w:t>3.</w:t>
            </w:r>
            <w:r>
              <w:rPr>
                <w:rStyle w:val="21"/>
                <w:rFonts w:hint="eastAsia" w:ascii="宋体" w:hAnsi="宋体" w:eastAsia="宋体" w:cs="宋体"/>
                <w:color w:val="auto"/>
                <w:sz w:val="18"/>
                <w:szCs w:val="18"/>
                <w:lang w:bidi="ar"/>
              </w:rPr>
              <w:t>未造成明显河道减水</w:t>
            </w:r>
          </w:p>
          <w:p w14:paraId="28D4F5DB">
            <w:pPr>
              <w:pStyle w:val="2"/>
              <w:spacing w:line="280" w:lineRule="exact"/>
              <w:rPr>
                <w:rFonts w:hint="eastAsia" w:ascii="宋体" w:hAnsi="宋体" w:eastAsia="宋体" w:cs="宋体"/>
                <w:sz w:val="18"/>
                <w:szCs w:val="18"/>
              </w:rPr>
            </w:pPr>
            <w:r>
              <w:rPr>
                <w:rStyle w:val="21"/>
                <w:rFonts w:hint="eastAsia" w:ascii="宋体" w:hAnsi="宋体" w:eastAsia="宋体" w:cs="宋体"/>
                <w:sz w:val="18"/>
                <w:szCs w:val="18"/>
                <w:lang w:val="en-US" w:eastAsia="zh-CN" w:bidi="ar"/>
              </w:rPr>
              <w:t>（注：符合上述所有情形的，不予处罚，应将本次违法情况进行登记备案，以后再发生类似问题的将不再适用本条件）</w:t>
            </w: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778E5123">
            <w:pPr>
              <w:spacing w:line="280" w:lineRule="exact"/>
              <w:rPr>
                <w:rStyle w:val="21"/>
                <w:rFonts w:hint="eastAsia" w:ascii="宋体" w:hAnsi="宋体" w:eastAsia="宋体" w:cs="宋体"/>
                <w:color w:val="auto"/>
                <w:sz w:val="18"/>
                <w:szCs w:val="18"/>
                <w:lang w:bidi="ar"/>
              </w:rPr>
            </w:pPr>
            <w:r>
              <w:rPr>
                <w:rStyle w:val="21"/>
                <w:rFonts w:hint="eastAsia" w:ascii="宋体" w:hAnsi="宋体" w:eastAsia="宋体" w:cs="宋体"/>
                <w:color w:val="auto"/>
                <w:sz w:val="18"/>
                <w:szCs w:val="18"/>
                <w:lang w:bidi="ar"/>
              </w:rPr>
              <w:t>不予处罚</w:t>
            </w:r>
          </w:p>
        </w:tc>
        <w:tc>
          <w:tcPr>
            <w:tcW w:w="563" w:type="dxa"/>
            <w:vMerge w:val="restart"/>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1E978DA2">
            <w:pPr>
              <w:spacing w:line="260" w:lineRule="exact"/>
              <w:rPr>
                <w:rStyle w:val="21"/>
                <w:rFonts w:hint="eastAsia" w:ascii="宋体" w:hAnsi="宋体" w:eastAsia="宋体" w:cs="宋体"/>
                <w:sz w:val="18"/>
                <w:szCs w:val="18"/>
                <w:lang w:bidi="ar"/>
              </w:rPr>
            </w:pPr>
          </w:p>
        </w:tc>
      </w:tr>
      <w:tr w14:paraId="038D77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790" w:hRule="atLeast"/>
          <w:jc w:val="center"/>
        </w:trPr>
        <w:tc>
          <w:tcPr>
            <w:tcW w:w="495"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4A899B2F">
            <w:pPr>
              <w:spacing w:line="260" w:lineRule="exact"/>
              <w:jc w:val="center"/>
              <w:rPr>
                <w:rFonts w:hint="eastAsia" w:ascii="宋体" w:hAnsi="宋体" w:eastAsia="宋体" w:cs="宋体"/>
                <w:sz w:val="18"/>
                <w:szCs w:val="18"/>
              </w:rPr>
            </w:pPr>
          </w:p>
        </w:tc>
        <w:tc>
          <w:tcPr>
            <w:tcW w:w="1211"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5DAD7394">
            <w:pPr>
              <w:spacing w:line="260" w:lineRule="exact"/>
              <w:rPr>
                <w:rFonts w:hint="eastAsia" w:ascii="宋体" w:hAnsi="宋体" w:eastAsia="宋体" w:cs="宋体"/>
                <w:sz w:val="18"/>
                <w:szCs w:val="18"/>
              </w:rPr>
            </w:pPr>
          </w:p>
        </w:tc>
        <w:tc>
          <w:tcPr>
            <w:tcW w:w="4862"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77FBABAE">
            <w:pPr>
              <w:spacing w:line="260" w:lineRule="exact"/>
              <w:rPr>
                <w:rFonts w:hint="eastAsia" w:ascii="宋体" w:hAnsi="宋体" w:eastAsia="宋体" w:cs="宋体"/>
                <w:sz w:val="18"/>
                <w:szCs w:val="18"/>
              </w:rPr>
            </w:pPr>
          </w:p>
        </w:tc>
        <w:tc>
          <w:tcPr>
            <w:tcW w:w="161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5887EF87">
            <w:pPr>
              <w:spacing w:line="260" w:lineRule="exact"/>
              <w:rPr>
                <w:rFonts w:hint="eastAsia" w:ascii="宋体" w:hAnsi="宋体" w:eastAsia="宋体" w:cs="宋体"/>
                <w:color w:val="auto"/>
                <w:sz w:val="18"/>
                <w:szCs w:val="18"/>
              </w:rPr>
            </w:pP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049F003A">
            <w:pPr>
              <w:spacing w:line="260" w:lineRule="exact"/>
              <w:jc w:val="center"/>
              <w:rPr>
                <w:rFonts w:hint="eastAsia" w:ascii="宋体" w:hAnsi="宋体" w:eastAsia="宋体" w:cs="宋体"/>
                <w:color w:val="auto"/>
                <w:sz w:val="18"/>
                <w:szCs w:val="18"/>
              </w:rPr>
            </w:pPr>
            <w:r>
              <w:rPr>
                <w:rFonts w:hint="eastAsia" w:ascii="宋体" w:hAnsi="宋体" w:eastAsia="宋体" w:cs="宋体"/>
                <w:color w:val="auto"/>
                <w:sz w:val="18"/>
                <w:szCs w:val="18"/>
              </w:rPr>
              <w:t>较轻</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44FC5BF4">
            <w:pPr>
              <w:spacing w:line="280" w:lineRule="exact"/>
              <w:rPr>
                <w:rStyle w:val="21"/>
                <w:rFonts w:hint="eastAsia" w:ascii="宋体" w:hAnsi="宋体" w:eastAsia="宋体" w:cs="宋体"/>
                <w:color w:val="auto"/>
                <w:sz w:val="18"/>
                <w:szCs w:val="18"/>
                <w:lang w:bidi="ar"/>
              </w:rPr>
            </w:pPr>
            <w:r>
              <w:rPr>
                <w:rStyle w:val="21"/>
                <w:rFonts w:hint="eastAsia" w:ascii="宋体" w:hAnsi="宋体" w:eastAsia="宋体" w:cs="宋体"/>
                <w:color w:val="auto"/>
                <w:sz w:val="18"/>
                <w:szCs w:val="18"/>
                <w:lang w:bidi="ar"/>
              </w:rPr>
              <w:t>未造成明显河道减水，在规定时间内改正的</w:t>
            </w: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30D86D4E">
            <w:pPr>
              <w:spacing w:line="280" w:lineRule="exact"/>
              <w:rPr>
                <w:rStyle w:val="21"/>
                <w:rFonts w:hint="eastAsia" w:ascii="宋体" w:hAnsi="宋体" w:eastAsia="宋体" w:cs="宋体"/>
                <w:color w:val="auto"/>
                <w:sz w:val="18"/>
                <w:szCs w:val="18"/>
                <w:lang w:bidi="ar"/>
              </w:rPr>
            </w:pPr>
            <w:r>
              <w:rPr>
                <w:rStyle w:val="21"/>
                <w:rFonts w:hint="eastAsia" w:ascii="宋体" w:hAnsi="宋体" w:eastAsia="宋体" w:cs="宋体"/>
                <w:color w:val="auto"/>
                <w:sz w:val="18"/>
                <w:szCs w:val="18"/>
                <w:lang w:bidi="ar"/>
              </w:rPr>
              <w:t>处</w:t>
            </w:r>
            <w:r>
              <w:rPr>
                <w:rStyle w:val="21"/>
                <w:rFonts w:hint="eastAsia" w:ascii="宋体" w:hAnsi="宋体" w:eastAsia="宋体" w:cs="宋体"/>
                <w:color w:val="auto"/>
                <w:sz w:val="18"/>
                <w:szCs w:val="18"/>
                <w:lang w:val="en-US" w:eastAsia="zh-CN" w:bidi="ar"/>
              </w:rPr>
              <w:t>2</w:t>
            </w:r>
            <w:r>
              <w:rPr>
                <w:rStyle w:val="21"/>
                <w:rFonts w:hint="eastAsia" w:ascii="宋体" w:hAnsi="宋体" w:eastAsia="宋体" w:cs="宋体"/>
                <w:color w:val="auto"/>
                <w:sz w:val="18"/>
                <w:szCs w:val="18"/>
                <w:lang w:bidi="ar"/>
              </w:rPr>
              <w:t>万元以上</w:t>
            </w:r>
            <w:r>
              <w:rPr>
                <w:rStyle w:val="21"/>
                <w:rFonts w:hint="eastAsia" w:ascii="宋体" w:hAnsi="宋体" w:eastAsia="宋体" w:cs="宋体"/>
                <w:color w:val="auto"/>
                <w:sz w:val="18"/>
                <w:szCs w:val="18"/>
                <w:lang w:val="en-US" w:eastAsia="zh-CN" w:bidi="ar"/>
              </w:rPr>
              <w:t>4</w:t>
            </w:r>
            <w:r>
              <w:rPr>
                <w:rStyle w:val="21"/>
                <w:rFonts w:hint="eastAsia" w:ascii="宋体" w:hAnsi="宋体" w:eastAsia="宋体" w:cs="宋体"/>
                <w:color w:val="auto"/>
                <w:sz w:val="18"/>
                <w:szCs w:val="18"/>
                <w:lang w:bidi="ar"/>
              </w:rPr>
              <w:t>万元以下罚款</w:t>
            </w:r>
          </w:p>
        </w:tc>
        <w:tc>
          <w:tcPr>
            <w:tcW w:w="56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71AE8756">
            <w:pPr>
              <w:spacing w:line="260" w:lineRule="exact"/>
              <w:rPr>
                <w:rStyle w:val="21"/>
                <w:rFonts w:hint="eastAsia" w:ascii="宋体" w:hAnsi="宋体" w:eastAsia="宋体" w:cs="宋体"/>
                <w:sz w:val="18"/>
                <w:szCs w:val="18"/>
                <w:lang w:bidi="ar"/>
              </w:rPr>
            </w:pPr>
          </w:p>
        </w:tc>
      </w:tr>
      <w:tr w14:paraId="185329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jc w:val="center"/>
        </w:trPr>
        <w:tc>
          <w:tcPr>
            <w:tcW w:w="495"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2A505742">
            <w:pPr>
              <w:spacing w:line="260" w:lineRule="exact"/>
              <w:jc w:val="center"/>
              <w:rPr>
                <w:rFonts w:hint="eastAsia" w:ascii="宋体" w:hAnsi="宋体" w:eastAsia="宋体" w:cs="宋体"/>
                <w:sz w:val="18"/>
                <w:szCs w:val="18"/>
              </w:rPr>
            </w:pPr>
          </w:p>
        </w:tc>
        <w:tc>
          <w:tcPr>
            <w:tcW w:w="1211"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14B06879">
            <w:pPr>
              <w:spacing w:line="260" w:lineRule="exact"/>
              <w:rPr>
                <w:rFonts w:hint="eastAsia" w:ascii="宋体" w:hAnsi="宋体" w:eastAsia="宋体" w:cs="宋体"/>
                <w:sz w:val="18"/>
                <w:szCs w:val="18"/>
              </w:rPr>
            </w:pPr>
          </w:p>
        </w:tc>
        <w:tc>
          <w:tcPr>
            <w:tcW w:w="4862"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0A8B4226">
            <w:pPr>
              <w:spacing w:line="260" w:lineRule="exact"/>
              <w:rPr>
                <w:rFonts w:hint="eastAsia" w:ascii="宋体" w:hAnsi="宋体" w:eastAsia="宋体" w:cs="宋体"/>
                <w:sz w:val="18"/>
                <w:szCs w:val="18"/>
              </w:rPr>
            </w:pPr>
          </w:p>
        </w:tc>
        <w:tc>
          <w:tcPr>
            <w:tcW w:w="161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4BC1F82B">
            <w:pPr>
              <w:spacing w:line="260" w:lineRule="exact"/>
              <w:rPr>
                <w:rFonts w:hint="eastAsia" w:ascii="宋体" w:hAnsi="宋体" w:eastAsia="宋体" w:cs="宋体"/>
                <w:color w:val="auto"/>
                <w:sz w:val="18"/>
                <w:szCs w:val="18"/>
              </w:rPr>
            </w:pP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75C54EBF">
            <w:pPr>
              <w:spacing w:line="260" w:lineRule="exact"/>
              <w:jc w:val="center"/>
              <w:rPr>
                <w:rFonts w:hint="eastAsia" w:ascii="宋体" w:hAnsi="宋体" w:eastAsia="宋体" w:cs="宋体"/>
                <w:color w:val="auto"/>
                <w:sz w:val="18"/>
                <w:szCs w:val="18"/>
              </w:rPr>
            </w:pPr>
            <w:r>
              <w:rPr>
                <w:rFonts w:hint="eastAsia" w:ascii="宋体" w:hAnsi="宋体" w:eastAsia="宋体" w:cs="宋体"/>
                <w:color w:val="auto"/>
                <w:sz w:val="18"/>
                <w:szCs w:val="18"/>
              </w:rPr>
              <w:t>一般</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2D0D910B">
            <w:pPr>
              <w:spacing w:line="280" w:lineRule="exact"/>
              <w:rPr>
                <w:rStyle w:val="21"/>
                <w:rFonts w:hint="eastAsia" w:ascii="宋体" w:hAnsi="宋体" w:eastAsia="宋体" w:cs="宋体"/>
                <w:color w:val="auto"/>
                <w:sz w:val="18"/>
                <w:szCs w:val="18"/>
                <w:lang w:bidi="ar"/>
              </w:rPr>
            </w:pPr>
            <w:r>
              <w:rPr>
                <w:rStyle w:val="21"/>
                <w:rFonts w:hint="eastAsia" w:ascii="宋体" w:hAnsi="宋体" w:eastAsia="宋体" w:cs="宋体"/>
                <w:color w:val="auto"/>
                <w:sz w:val="18"/>
                <w:szCs w:val="18"/>
                <w:lang w:bidi="ar"/>
              </w:rPr>
              <w:t>未造成明显河道减水，未在规定时间内改正的</w:t>
            </w: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55852B11">
            <w:pPr>
              <w:spacing w:line="280" w:lineRule="exact"/>
              <w:rPr>
                <w:rStyle w:val="21"/>
                <w:rFonts w:hint="eastAsia" w:ascii="宋体" w:hAnsi="宋体" w:eastAsia="宋体" w:cs="宋体"/>
                <w:color w:val="auto"/>
                <w:sz w:val="18"/>
                <w:szCs w:val="18"/>
                <w:lang w:bidi="ar"/>
              </w:rPr>
            </w:pPr>
            <w:r>
              <w:rPr>
                <w:rStyle w:val="21"/>
                <w:rFonts w:hint="eastAsia" w:ascii="宋体" w:hAnsi="宋体" w:eastAsia="宋体" w:cs="宋体"/>
                <w:color w:val="auto"/>
                <w:sz w:val="18"/>
                <w:szCs w:val="18"/>
                <w:lang w:bidi="ar"/>
              </w:rPr>
              <w:t>处</w:t>
            </w:r>
            <w:r>
              <w:rPr>
                <w:rStyle w:val="21"/>
                <w:rFonts w:hint="eastAsia" w:ascii="宋体" w:hAnsi="宋体" w:eastAsia="宋体" w:cs="宋体"/>
                <w:color w:val="auto"/>
                <w:sz w:val="18"/>
                <w:szCs w:val="18"/>
                <w:lang w:val="en-US" w:eastAsia="zh-CN" w:bidi="ar"/>
              </w:rPr>
              <w:t>4</w:t>
            </w:r>
            <w:r>
              <w:rPr>
                <w:rStyle w:val="21"/>
                <w:rFonts w:hint="eastAsia" w:ascii="宋体" w:hAnsi="宋体" w:eastAsia="宋体" w:cs="宋体"/>
                <w:color w:val="auto"/>
                <w:sz w:val="18"/>
                <w:szCs w:val="18"/>
                <w:lang w:bidi="ar"/>
              </w:rPr>
              <w:t>万元以上</w:t>
            </w:r>
            <w:r>
              <w:rPr>
                <w:rStyle w:val="21"/>
                <w:rFonts w:hint="eastAsia" w:ascii="宋体" w:hAnsi="宋体" w:eastAsia="宋体" w:cs="宋体"/>
                <w:color w:val="auto"/>
                <w:sz w:val="18"/>
                <w:szCs w:val="18"/>
                <w:lang w:val="en-US" w:eastAsia="zh-CN" w:bidi="ar"/>
              </w:rPr>
              <w:t>6</w:t>
            </w:r>
            <w:r>
              <w:rPr>
                <w:rStyle w:val="21"/>
                <w:rFonts w:hint="eastAsia" w:ascii="宋体" w:hAnsi="宋体" w:eastAsia="宋体" w:cs="宋体"/>
                <w:color w:val="auto"/>
                <w:sz w:val="18"/>
                <w:szCs w:val="18"/>
                <w:lang w:bidi="ar"/>
              </w:rPr>
              <w:t>万元以下的罚款</w:t>
            </w:r>
          </w:p>
        </w:tc>
        <w:tc>
          <w:tcPr>
            <w:tcW w:w="56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37259AE4">
            <w:pPr>
              <w:spacing w:line="260" w:lineRule="exact"/>
              <w:rPr>
                <w:rStyle w:val="21"/>
                <w:rFonts w:hint="eastAsia" w:ascii="宋体" w:hAnsi="宋体" w:eastAsia="宋体" w:cs="宋体"/>
                <w:sz w:val="18"/>
                <w:szCs w:val="18"/>
                <w:lang w:bidi="ar"/>
              </w:rPr>
            </w:pPr>
          </w:p>
        </w:tc>
      </w:tr>
      <w:tr w14:paraId="696D8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jc w:val="center"/>
        </w:trPr>
        <w:tc>
          <w:tcPr>
            <w:tcW w:w="495"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72B2DC85">
            <w:pPr>
              <w:spacing w:line="260" w:lineRule="exact"/>
              <w:jc w:val="center"/>
              <w:rPr>
                <w:rFonts w:hint="eastAsia" w:ascii="宋体" w:hAnsi="宋体" w:eastAsia="宋体" w:cs="宋体"/>
                <w:sz w:val="18"/>
                <w:szCs w:val="18"/>
              </w:rPr>
            </w:pPr>
          </w:p>
        </w:tc>
        <w:tc>
          <w:tcPr>
            <w:tcW w:w="1211"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363E9DD0">
            <w:pPr>
              <w:spacing w:line="260" w:lineRule="exact"/>
              <w:rPr>
                <w:rFonts w:hint="eastAsia" w:ascii="宋体" w:hAnsi="宋体" w:eastAsia="宋体" w:cs="宋体"/>
                <w:sz w:val="18"/>
                <w:szCs w:val="18"/>
              </w:rPr>
            </w:pPr>
          </w:p>
        </w:tc>
        <w:tc>
          <w:tcPr>
            <w:tcW w:w="4862"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632CEA5D">
            <w:pPr>
              <w:spacing w:line="260" w:lineRule="exact"/>
              <w:rPr>
                <w:rFonts w:hint="eastAsia" w:ascii="宋体" w:hAnsi="宋体" w:eastAsia="宋体" w:cs="宋体"/>
                <w:sz w:val="18"/>
                <w:szCs w:val="18"/>
              </w:rPr>
            </w:pPr>
          </w:p>
        </w:tc>
        <w:tc>
          <w:tcPr>
            <w:tcW w:w="161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0B849576">
            <w:pPr>
              <w:spacing w:line="260" w:lineRule="exact"/>
              <w:rPr>
                <w:rFonts w:hint="eastAsia" w:ascii="宋体" w:hAnsi="宋体" w:eastAsia="宋体" w:cs="宋体"/>
                <w:color w:val="auto"/>
                <w:sz w:val="18"/>
                <w:szCs w:val="18"/>
              </w:rPr>
            </w:pP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103D15F0">
            <w:pPr>
              <w:spacing w:line="260" w:lineRule="exact"/>
              <w:jc w:val="center"/>
              <w:rPr>
                <w:rFonts w:hint="eastAsia" w:ascii="宋体" w:hAnsi="宋体" w:eastAsia="宋体" w:cs="宋体"/>
                <w:color w:val="auto"/>
                <w:sz w:val="18"/>
                <w:szCs w:val="18"/>
                <w:lang w:eastAsia="zh-CN"/>
              </w:rPr>
            </w:pPr>
            <w:r>
              <w:rPr>
                <w:rFonts w:hint="eastAsia" w:ascii="宋体" w:hAnsi="宋体" w:eastAsia="宋体" w:cs="宋体"/>
                <w:color w:val="auto"/>
                <w:sz w:val="18"/>
                <w:szCs w:val="18"/>
                <w:lang w:eastAsia="zh-CN"/>
              </w:rPr>
              <w:t>较重</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3052974B">
            <w:pPr>
              <w:spacing w:line="280" w:lineRule="exact"/>
              <w:rPr>
                <w:rFonts w:hint="eastAsia" w:ascii="宋体" w:hAnsi="宋体" w:eastAsia="宋体" w:cs="宋体"/>
                <w:color w:val="auto"/>
                <w:sz w:val="18"/>
                <w:szCs w:val="18"/>
                <w:lang w:bidi="ar"/>
              </w:rPr>
            </w:pPr>
            <w:r>
              <w:rPr>
                <w:rStyle w:val="21"/>
                <w:rFonts w:hint="eastAsia" w:ascii="宋体" w:hAnsi="宋体" w:eastAsia="宋体" w:cs="宋体"/>
                <w:color w:val="auto"/>
                <w:sz w:val="18"/>
                <w:szCs w:val="18"/>
                <w:lang w:bidi="ar"/>
              </w:rPr>
              <w:t>造成明显河道减水或者河道断流的，在规定时间改正的</w:t>
            </w: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2E719210">
            <w:pPr>
              <w:spacing w:line="280" w:lineRule="exact"/>
              <w:rPr>
                <w:rFonts w:hint="eastAsia" w:ascii="宋体" w:hAnsi="宋体" w:eastAsia="宋体" w:cs="宋体"/>
                <w:color w:val="auto"/>
                <w:sz w:val="18"/>
                <w:szCs w:val="18"/>
                <w:lang w:bidi="ar"/>
              </w:rPr>
            </w:pPr>
            <w:r>
              <w:rPr>
                <w:rStyle w:val="21"/>
                <w:rFonts w:hint="eastAsia" w:ascii="宋体" w:hAnsi="宋体" w:eastAsia="宋体" w:cs="宋体"/>
                <w:color w:val="auto"/>
                <w:sz w:val="18"/>
                <w:szCs w:val="18"/>
                <w:lang w:bidi="ar"/>
              </w:rPr>
              <w:t>处</w:t>
            </w:r>
            <w:r>
              <w:rPr>
                <w:rStyle w:val="21"/>
                <w:rFonts w:hint="eastAsia" w:ascii="宋体" w:hAnsi="宋体" w:eastAsia="宋体" w:cs="宋体"/>
                <w:color w:val="auto"/>
                <w:sz w:val="18"/>
                <w:szCs w:val="18"/>
                <w:lang w:val="en-US" w:eastAsia="zh-CN" w:bidi="ar"/>
              </w:rPr>
              <w:t>6</w:t>
            </w:r>
            <w:r>
              <w:rPr>
                <w:rStyle w:val="21"/>
                <w:rFonts w:hint="eastAsia" w:ascii="宋体" w:hAnsi="宋体" w:eastAsia="宋体" w:cs="宋体"/>
                <w:color w:val="auto"/>
                <w:sz w:val="18"/>
                <w:szCs w:val="18"/>
                <w:lang w:bidi="ar"/>
              </w:rPr>
              <w:t>万元以上</w:t>
            </w:r>
            <w:r>
              <w:rPr>
                <w:rStyle w:val="21"/>
                <w:rFonts w:hint="eastAsia" w:ascii="宋体" w:hAnsi="宋体" w:eastAsia="宋体" w:cs="宋体"/>
                <w:color w:val="auto"/>
                <w:sz w:val="18"/>
                <w:szCs w:val="18"/>
                <w:lang w:val="en-US" w:eastAsia="zh-CN" w:bidi="ar"/>
              </w:rPr>
              <w:t>9</w:t>
            </w:r>
            <w:r>
              <w:rPr>
                <w:rStyle w:val="21"/>
                <w:rFonts w:hint="eastAsia" w:ascii="宋体" w:hAnsi="宋体" w:eastAsia="宋体" w:cs="宋体"/>
                <w:color w:val="auto"/>
                <w:sz w:val="18"/>
                <w:szCs w:val="18"/>
                <w:lang w:bidi="ar"/>
              </w:rPr>
              <w:t>万元以下的罚款</w:t>
            </w:r>
          </w:p>
        </w:tc>
        <w:tc>
          <w:tcPr>
            <w:tcW w:w="56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5F769996">
            <w:pPr>
              <w:spacing w:line="260" w:lineRule="exact"/>
              <w:rPr>
                <w:rStyle w:val="21"/>
                <w:rFonts w:hint="eastAsia" w:ascii="宋体" w:hAnsi="宋体" w:eastAsia="宋体" w:cs="宋体"/>
                <w:sz w:val="18"/>
                <w:szCs w:val="18"/>
                <w:lang w:bidi="ar"/>
              </w:rPr>
            </w:pPr>
          </w:p>
        </w:tc>
      </w:tr>
      <w:tr w14:paraId="50BA57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9" w:hRule="atLeast"/>
          <w:jc w:val="center"/>
        </w:trPr>
        <w:tc>
          <w:tcPr>
            <w:tcW w:w="495" w:type="dxa"/>
            <w:vMerge w:val="continue"/>
            <w:tcBorders>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4B4BC469">
            <w:pPr>
              <w:spacing w:line="260" w:lineRule="exact"/>
              <w:jc w:val="center"/>
              <w:rPr>
                <w:rFonts w:hint="eastAsia" w:ascii="宋体" w:hAnsi="宋体" w:eastAsia="宋体" w:cs="宋体"/>
                <w:sz w:val="18"/>
                <w:szCs w:val="18"/>
              </w:rPr>
            </w:pPr>
          </w:p>
        </w:tc>
        <w:tc>
          <w:tcPr>
            <w:tcW w:w="1211" w:type="dxa"/>
            <w:vMerge w:val="continue"/>
            <w:tcBorders>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2CC4076C">
            <w:pPr>
              <w:spacing w:line="260" w:lineRule="exact"/>
              <w:rPr>
                <w:rFonts w:hint="eastAsia" w:ascii="宋体" w:hAnsi="宋体" w:eastAsia="宋体" w:cs="宋体"/>
                <w:sz w:val="18"/>
                <w:szCs w:val="18"/>
              </w:rPr>
            </w:pPr>
          </w:p>
        </w:tc>
        <w:tc>
          <w:tcPr>
            <w:tcW w:w="4862" w:type="dxa"/>
            <w:vMerge w:val="continue"/>
            <w:tcBorders>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2145BA26">
            <w:pPr>
              <w:spacing w:line="260" w:lineRule="exact"/>
              <w:rPr>
                <w:rFonts w:hint="eastAsia" w:ascii="宋体" w:hAnsi="宋体" w:eastAsia="宋体" w:cs="宋体"/>
                <w:sz w:val="18"/>
                <w:szCs w:val="18"/>
              </w:rPr>
            </w:pPr>
          </w:p>
        </w:tc>
        <w:tc>
          <w:tcPr>
            <w:tcW w:w="1613" w:type="dxa"/>
            <w:vMerge w:val="continue"/>
            <w:tcBorders>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2C3297DF">
            <w:pPr>
              <w:spacing w:line="260" w:lineRule="exact"/>
              <w:rPr>
                <w:rFonts w:hint="eastAsia" w:ascii="宋体" w:hAnsi="宋体" w:eastAsia="宋体" w:cs="宋体"/>
                <w:color w:val="auto"/>
                <w:sz w:val="18"/>
                <w:szCs w:val="18"/>
              </w:rPr>
            </w:pP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718C39C1">
            <w:pPr>
              <w:spacing w:line="260" w:lineRule="exact"/>
              <w:jc w:val="center"/>
              <w:rPr>
                <w:rFonts w:hint="eastAsia" w:ascii="宋体" w:hAnsi="宋体" w:eastAsia="宋体" w:cs="宋体"/>
                <w:color w:val="auto"/>
                <w:sz w:val="18"/>
                <w:szCs w:val="18"/>
              </w:rPr>
            </w:pPr>
            <w:r>
              <w:rPr>
                <w:rFonts w:hint="eastAsia" w:ascii="宋体" w:hAnsi="宋体" w:eastAsia="宋体" w:cs="宋体"/>
                <w:color w:val="auto"/>
                <w:sz w:val="18"/>
                <w:szCs w:val="18"/>
              </w:rPr>
              <w:t>严重</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3257D78D">
            <w:pPr>
              <w:spacing w:line="280" w:lineRule="exact"/>
              <w:rPr>
                <w:rStyle w:val="21"/>
                <w:rFonts w:hint="eastAsia" w:ascii="宋体" w:hAnsi="宋体" w:eastAsia="宋体" w:cs="宋体"/>
                <w:color w:val="auto"/>
                <w:sz w:val="18"/>
                <w:szCs w:val="18"/>
                <w:lang w:bidi="ar"/>
              </w:rPr>
            </w:pPr>
            <w:r>
              <w:rPr>
                <w:rStyle w:val="21"/>
                <w:rFonts w:hint="eastAsia" w:ascii="宋体" w:hAnsi="宋体" w:eastAsia="宋体" w:cs="宋体"/>
                <w:color w:val="auto"/>
                <w:sz w:val="18"/>
                <w:szCs w:val="18"/>
                <w:lang w:bidi="ar"/>
              </w:rPr>
              <w:t>造成明显减水或者河道断流的，未在规定时间内改正的</w:t>
            </w: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0CE3B53E">
            <w:pPr>
              <w:spacing w:line="280" w:lineRule="exact"/>
              <w:rPr>
                <w:rStyle w:val="21"/>
                <w:rFonts w:hint="eastAsia" w:ascii="宋体" w:hAnsi="宋体" w:eastAsia="宋体" w:cs="宋体"/>
                <w:color w:val="auto"/>
                <w:sz w:val="18"/>
                <w:szCs w:val="18"/>
                <w:lang w:bidi="ar"/>
              </w:rPr>
            </w:pPr>
            <w:r>
              <w:rPr>
                <w:rStyle w:val="21"/>
                <w:rFonts w:hint="eastAsia" w:ascii="宋体" w:hAnsi="宋体" w:eastAsia="宋体" w:cs="宋体"/>
                <w:color w:val="auto"/>
                <w:sz w:val="18"/>
                <w:szCs w:val="18"/>
                <w:lang w:bidi="ar"/>
              </w:rPr>
              <w:t>处</w:t>
            </w:r>
            <w:r>
              <w:rPr>
                <w:rStyle w:val="21"/>
                <w:rFonts w:hint="eastAsia" w:ascii="宋体" w:hAnsi="宋体" w:eastAsia="宋体" w:cs="宋体"/>
                <w:color w:val="auto"/>
                <w:sz w:val="18"/>
                <w:szCs w:val="18"/>
                <w:lang w:val="en-US" w:eastAsia="zh-CN" w:bidi="ar"/>
              </w:rPr>
              <w:t>9</w:t>
            </w:r>
            <w:r>
              <w:rPr>
                <w:rStyle w:val="21"/>
                <w:rFonts w:hint="eastAsia" w:ascii="宋体" w:hAnsi="宋体" w:eastAsia="宋体" w:cs="宋体"/>
                <w:color w:val="auto"/>
                <w:sz w:val="18"/>
                <w:szCs w:val="18"/>
                <w:lang w:bidi="ar"/>
              </w:rPr>
              <w:t>万元以上</w:t>
            </w:r>
            <w:r>
              <w:rPr>
                <w:rStyle w:val="21"/>
                <w:rFonts w:hint="eastAsia" w:ascii="宋体" w:hAnsi="宋体" w:eastAsia="宋体" w:cs="宋体"/>
                <w:color w:val="auto"/>
                <w:sz w:val="18"/>
                <w:szCs w:val="18"/>
                <w:lang w:val="en-US" w:eastAsia="zh-CN" w:bidi="ar"/>
              </w:rPr>
              <w:t>10</w:t>
            </w:r>
            <w:r>
              <w:rPr>
                <w:rStyle w:val="21"/>
                <w:rFonts w:hint="eastAsia" w:ascii="宋体" w:hAnsi="宋体" w:eastAsia="宋体" w:cs="宋体"/>
                <w:color w:val="auto"/>
                <w:sz w:val="18"/>
                <w:szCs w:val="18"/>
                <w:lang w:bidi="ar"/>
              </w:rPr>
              <w:t>万元以下的罚款，吊销其取水许可证</w:t>
            </w:r>
          </w:p>
        </w:tc>
        <w:tc>
          <w:tcPr>
            <w:tcW w:w="563" w:type="dxa"/>
            <w:vMerge w:val="continue"/>
            <w:tcBorders>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05697138">
            <w:pPr>
              <w:spacing w:line="260" w:lineRule="exact"/>
              <w:rPr>
                <w:rStyle w:val="21"/>
                <w:rFonts w:hint="eastAsia" w:ascii="宋体" w:hAnsi="宋体" w:eastAsia="宋体" w:cs="宋体"/>
                <w:sz w:val="18"/>
                <w:szCs w:val="18"/>
                <w:lang w:bidi="ar"/>
              </w:rPr>
            </w:pPr>
          </w:p>
        </w:tc>
      </w:tr>
      <w:tr w14:paraId="07C57A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567" w:hRule="atLeast"/>
          <w:jc w:val="center"/>
        </w:trPr>
        <w:tc>
          <w:tcPr>
            <w:tcW w:w="495" w:type="dxa"/>
            <w:vMerge w:val="restart"/>
            <w:tcBorders>
              <w:top w:val="single" w:color="auto" w:sz="4" w:space="0"/>
              <w:left w:val="single" w:color="auto" w:sz="4" w:space="0"/>
              <w:right w:val="single" w:color="auto" w:sz="4" w:space="0"/>
            </w:tcBorders>
            <w:shd w:val="clear" w:color="auto" w:fill="FFFFFF"/>
            <w:noWrap w:val="0"/>
            <w:tcMar>
              <w:top w:w="0" w:type="dxa"/>
              <w:left w:w="0" w:type="dxa"/>
              <w:bottom w:w="0" w:type="dxa"/>
              <w:right w:w="0" w:type="dxa"/>
            </w:tcMar>
            <w:vAlign w:val="center"/>
          </w:tcPr>
          <w:p w14:paraId="01FAC504">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2</w:t>
            </w:r>
          </w:p>
        </w:tc>
        <w:tc>
          <w:tcPr>
            <w:tcW w:w="1211" w:type="dxa"/>
            <w:vMerge w:val="restart"/>
            <w:tcBorders>
              <w:top w:val="single" w:color="auto" w:sz="4" w:space="0"/>
              <w:left w:val="single" w:color="auto" w:sz="4" w:space="0"/>
              <w:right w:val="single" w:color="auto" w:sz="4" w:space="0"/>
            </w:tcBorders>
            <w:shd w:val="clear" w:color="auto" w:fill="FFFFFF"/>
            <w:noWrap w:val="0"/>
            <w:tcMar>
              <w:top w:w="0" w:type="dxa"/>
              <w:left w:w="0" w:type="dxa"/>
              <w:bottom w:w="0" w:type="dxa"/>
              <w:right w:w="0" w:type="dxa"/>
            </w:tcMar>
            <w:vAlign w:val="center"/>
          </w:tcPr>
          <w:p w14:paraId="0A6FF139">
            <w:pPr>
              <w:widowControl/>
              <w:spacing w:line="260" w:lineRule="exact"/>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越层混合开采地下水的</w:t>
            </w:r>
          </w:p>
        </w:tc>
        <w:tc>
          <w:tcPr>
            <w:tcW w:w="4862" w:type="dxa"/>
            <w:vMerge w:val="restart"/>
            <w:tcBorders>
              <w:top w:val="single" w:color="auto" w:sz="4" w:space="0"/>
              <w:left w:val="single" w:color="auto" w:sz="4" w:space="0"/>
              <w:right w:val="single" w:color="auto" w:sz="4" w:space="0"/>
            </w:tcBorders>
            <w:shd w:val="clear" w:color="auto" w:fill="FFFFFF"/>
            <w:noWrap w:val="0"/>
            <w:tcMar>
              <w:top w:w="0" w:type="dxa"/>
              <w:left w:w="0" w:type="dxa"/>
              <w:bottom w:w="0" w:type="dxa"/>
              <w:right w:w="0" w:type="dxa"/>
            </w:tcMar>
            <w:vAlign w:val="center"/>
          </w:tcPr>
          <w:p w14:paraId="1CEED110">
            <w:pPr>
              <w:widowControl/>
              <w:spacing w:line="260" w:lineRule="exact"/>
              <w:ind w:firstLine="360" w:firstLineChars="200"/>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《河北省地下水管理条例》第五十三条  违反本条例规定，越层混合开采地下水的，由县级以上人民政府水行政主管部门责令停止违法行为，限期采取补救措施，并处五万元以上十万元以下罚款。</w:t>
            </w:r>
          </w:p>
        </w:tc>
        <w:tc>
          <w:tcPr>
            <w:tcW w:w="1613" w:type="dxa"/>
            <w:vMerge w:val="restart"/>
            <w:tcBorders>
              <w:top w:val="single" w:color="auto" w:sz="4" w:space="0"/>
              <w:left w:val="single" w:color="auto" w:sz="4" w:space="0"/>
              <w:right w:val="single" w:color="auto" w:sz="4" w:space="0"/>
            </w:tcBorders>
            <w:shd w:val="clear" w:color="auto" w:fill="FFFFFF"/>
            <w:noWrap w:val="0"/>
            <w:tcMar>
              <w:top w:w="0" w:type="dxa"/>
              <w:left w:w="0" w:type="dxa"/>
              <w:bottom w:w="0" w:type="dxa"/>
              <w:right w:w="0" w:type="dxa"/>
            </w:tcMar>
            <w:vAlign w:val="center"/>
          </w:tcPr>
          <w:p w14:paraId="6111609D">
            <w:pPr>
              <w:widowControl/>
              <w:spacing w:line="260" w:lineRule="exact"/>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越层混合开采地下水</w:t>
            </w: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52506052">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轻微</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17CC7474">
            <w:pPr>
              <w:snapToGrid/>
              <w:spacing w:line="28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06969841">
            <w:pPr>
              <w:spacing w:line="280" w:lineRule="exact"/>
              <w:rPr>
                <w:rFonts w:hint="eastAsia" w:ascii="宋体" w:hAnsi="宋体" w:eastAsia="宋体" w:cs="宋体"/>
                <w:color w:val="auto"/>
                <w:kern w:val="2"/>
                <w:sz w:val="18"/>
                <w:szCs w:val="18"/>
                <w:u w:val="none"/>
                <w:lang w:val="en-US" w:eastAsia="zh-CN" w:bidi="ar"/>
              </w:rPr>
            </w:pP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207918A2">
            <w:pPr>
              <w:snapToGrid/>
              <w:spacing w:line="28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32A01EEB">
            <w:pPr>
              <w:spacing w:line="280" w:lineRule="exact"/>
              <w:rPr>
                <w:rFonts w:hint="eastAsia" w:ascii="宋体" w:hAnsi="宋体" w:eastAsia="宋体" w:cs="宋体"/>
                <w:color w:val="auto"/>
                <w:kern w:val="2"/>
                <w:sz w:val="18"/>
                <w:szCs w:val="18"/>
                <w:u w:val="none"/>
                <w:lang w:val="en-US" w:eastAsia="zh-CN" w:bidi="ar"/>
              </w:rPr>
            </w:pPr>
          </w:p>
        </w:tc>
        <w:tc>
          <w:tcPr>
            <w:tcW w:w="563" w:type="dxa"/>
            <w:vMerge w:val="restart"/>
            <w:tcBorders>
              <w:top w:val="single" w:color="auto" w:sz="4" w:space="0"/>
              <w:left w:val="single" w:color="auto" w:sz="4" w:space="0"/>
              <w:right w:val="single" w:color="auto" w:sz="4" w:space="0"/>
            </w:tcBorders>
            <w:shd w:val="clear" w:color="auto" w:fill="FFFFFF"/>
            <w:noWrap w:val="0"/>
            <w:tcMar>
              <w:top w:w="0" w:type="dxa"/>
              <w:left w:w="0" w:type="dxa"/>
              <w:bottom w:w="0" w:type="dxa"/>
              <w:right w:w="0" w:type="dxa"/>
            </w:tcMar>
            <w:vAlign w:val="center"/>
          </w:tcPr>
          <w:p w14:paraId="08E895DF">
            <w:pPr>
              <w:spacing w:line="260" w:lineRule="exact"/>
              <w:rPr>
                <w:rStyle w:val="21"/>
                <w:rFonts w:hint="eastAsia" w:ascii="宋体" w:hAnsi="宋体" w:eastAsia="宋体" w:cs="宋体"/>
                <w:sz w:val="18"/>
                <w:szCs w:val="18"/>
                <w:lang w:bidi="ar"/>
              </w:rPr>
            </w:pPr>
          </w:p>
        </w:tc>
      </w:tr>
      <w:tr w14:paraId="2F4227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jc w:val="center"/>
        </w:trPr>
        <w:tc>
          <w:tcPr>
            <w:tcW w:w="495"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1199E6EE">
            <w:pPr>
              <w:spacing w:line="260" w:lineRule="exact"/>
              <w:jc w:val="center"/>
              <w:rPr>
                <w:rFonts w:hint="eastAsia" w:ascii="宋体" w:hAnsi="宋体" w:eastAsia="宋体" w:cs="宋体"/>
                <w:sz w:val="18"/>
                <w:szCs w:val="18"/>
              </w:rPr>
            </w:pPr>
          </w:p>
        </w:tc>
        <w:tc>
          <w:tcPr>
            <w:tcW w:w="1211"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5D1DDB6B">
            <w:pPr>
              <w:spacing w:line="260" w:lineRule="exact"/>
              <w:rPr>
                <w:rFonts w:hint="eastAsia" w:ascii="宋体" w:hAnsi="宋体" w:eastAsia="宋体" w:cs="宋体"/>
                <w:color w:val="000000"/>
                <w:kern w:val="0"/>
                <w:sz w:val="18"/>
                <w:szCs w:val="18"/>
                <w:lang w:bidi="ar"/>
              </w:rPr>
            </w:pPr>
          </w:p>
        </w:tc>
        <w:tc>
          <w:tcPr>
            <w:tcW w:w="4862"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31AAB93F">
            <w:pPr>
              <w:spacing w:line="260" w:lineRule="exact"/>
              <w:ind w:firstLine="360" w:firstLineChars="200"/>
              <w:rPr>
                <w:rFonts w:hint="eastAsia" w:ascii="宋体" w:hAnsi="宋体" w:eastAsia="宋体" w:cs="宋体"/>
                <w:color w:val="000000"/>
                <w:kern w:val="0"/>
                <w:sz w:val="18"/>
                <w:szCs w:val="18"/>
                <w:lang w:bidi="ar"/>
              </w:rPr>
            </w:pPr>
          </w:p>
        </w:tc>
        <w:tc>
          <w:tcPr>
            <w:tcW w:w="161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362E11B5">
            <w:pPr>
              <w:spacing w:line="260" w:lineRule="exact"/>
              <w:ind w:firstLine="360" w:firstLineChars="200"/>
              <w:rPr>
                <w:rFonts w:hint="eastAsia" w:ascii="宋体" w:hAnsi="宋体" w:eastAsia="宋体" w:cs="宋体"/>
                <w:color w:val="000000"/>
                <w:kern w:val="0"/>
                <w:sz w:val="18"/>
                <w:szCs w:val="18"/>
                <w:lang w:bidi="ar"/>
              </w:rPr>
            </w:pP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24E0A034">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较轻</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15FE2A22">
            <w:pPr>
              <w:spacing w:line="280" w:lineRule="exact"/>
              <w:rPr>
                <w:rFonts w:hint="eastAsia" w:ascii="宋体" w:hAnsi="宋体" w:eastAsia="宋体" w:cs="宋体"/>
                <w:color w:val="000000"/>
                <w:sz w:val="18"/>
                <w:szCs w:val="18"/>
                <w:lang w:bidi="ar"/>
              </w:rPr>
            </w:pPr>
            <w:r>
              <w:rPr>
                <w:rStyle w:val="21"/>
                <w:rFonts w:hint="eastAsia" w:ascii="宋体" w:hAnsi="宋体" w:eastAsia="宋体" w:cs="宋体"/>
                <w:sz w:val="18"/>
                <w:szCs w:val="18"/>
                <w:lang w:bidi="ar"/>
              </w:rPr>
              <w:t>立即停止违法行为、在限期采取补救措施的</w:t>
            </w: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4E84B47E">
            <w:pPr>
              <w:spacing w:line="280" w:lineRule="exact"/>
              <w:rPr>
                <w:rFonts w:hint="eastAsia" w:ascii="宋体" w:hAnsi="宋体" w:eastAsia="宋体" w:cs="宋体"/>
                <w:color w:val="000000"/>
                <w:sz w:val="18"/>
                <w:szCs w:val="18"/>
                <w:lang w:bidi="ar"/>
              </w:rPr>
            </w:pPr>
            <w:r>
              <w:rPr>
                <w:rStyle w:val="21"/>
                <w:rFonts w:hint="eastAsia" w:ascii="宋体" w:hAnsi="宋体" w:eastAsia="宋体" w:cs="宋体"/>
                <w:sz w:val="18"/>
                <w:szCs w:val="18"/>
                <w:lang w:bidi="ar"/>
              </w:rPr>
              <w:t>处</w:t>
            </w:r>
            <w:r>
              <w:rPr>
                <w:rStyle w:val="21"/>
                <w:rFonts w:hint="eastAsia" w:ascii="宋体" w:hAnsi="宋体" w:eastAsia="宋体" w:cs="宋体"/>
                <w:sz w:val="18"/>
                <w:szCs w:val="18"/>
                <w:lang w:val="en-US" w:eastAsia="zh-CN" w:bidi="ar"/>
              </w:rPr>
              <w:t>5</w:t>
            </w:r>
            <w:r>
              <w:rPr>
                <w:rStyle w:val="21"/>
                <w:rFonts w:hint="eastAsia" w:ascii="宋体" w:hAnsi="宋体" w:eastAsia="宋体" w:cs="宋体"/>
                <w:sz w:val="18"/>
                <w:szCs w:val="18"/>
                <w:lang w:bidi="ar"/>
              </w:rPr>
              <w:t>万元以上</w:t>
            </w:r>
            <w:r>
              <w:rPr>
                <w:rStyle w:val="21"/>
                <w:rFonts w:hint="eastAsia" w:ascii="宋体" w:hAnsi="宋体" w:eastAsia="宋体" w:cs="宋体"/>
                <w:sz w:val="18"/>
                <w:szCs w:val="18"/>
                <w:lang w:val="en-US" w:eastAsia="zh-CN" w:bidi="ar"/>
              </w:rPr>
              <w:t>6</w:t>
            </w:r>
            <w:r>
              <w:rPr>
                <w:rStyle w:val="21"/>
                <w:rFonts w:hint="eastAsia" w:ascii="宋体" w:hAnsi="宋体" w:eastAsia="宋体" w:cs="宋体"/>
                <w:sz w:val="18"/>
                <w:szCs w:val="18"/>
                <w:lang w:bidi="ar"/>
              </w:rPr>
              <w:t>万元以下的罚款</w:t>
            </w:r>
          </w:p>
        </w:tc>
        <w:tc>
          <w:tcPr>
            <w:tcW w:w="56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43C6AB42">
            <w:pPr>
              <w:spacing w:line="260" w:lineRule="exact"/>
              <w:rPr>
                <w:rStyle w:val="21"/>
                <w:rFonts w:hint="eastAsia" w:ascii="宋体" w:hAnsi="宋体" w:eastAsia="宋体" w:cs="宋体"/>
                <w:sz w:val="18"/>
                <w:szCs w:val="18"/>
                <w:lang w:bidi="ar"/>
              </w:rPr>
            </w:pPr>
          </w:p>
        </w:tc>
      </w:tr>
      <w:tr w14:paraId="502923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1" w:hRule="atLeast"/>
          <w:jc w:val="center"/>
        </w:trPr>
        <w:tc>
          <w:tcPr>
            <w:tcW w:w="495"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157941E1">
            <w:pPr>
              <w:spacing w:line="260" w:lineRule="exact"/>
              <w:jc w:val="center"/>
              <w:rPr>
                <w:rFonts w:hint="eastAsia" w:ascii="宋体" w:hAnsi="宋体" w:eastAsia="宋体" w:cs="宋体"/>
                <w:sz w:val="18"/>
                <w:szCs w:val="18"/>
              </w:rPr>
            </w:pPr>
          </w:p>
        </w:tc>
        <w:tc>
          <w:tcPr>
            <w:tcW w:w="1211"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6370A7A3">
            <w:pPr>
              <w:spacing w:line="260" w:lineRule="exact"/>
              <w:rPr>
                <w:rFonts w:hint="eastAsia" w:ascii="宋体" w:hAnsi="宋体" w:eastAsia="宋体" w:cs="宋体"/>
                <w:color w:val="000000"/>
                <w:kern w:val="0"/>
                <w:sz w:val="18"/>
                <w:szCs w:val="18"/>
                <w:lang w:bidi="ar"/>
              </w:rPr>
            </w:pPr>
          </w:p>
        </w:tc>
        <w:tc>
          <w:tcPr>
            <w:tcW w:w="4862"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63E115CE">
            <w:pPr>
              <w:spacing w:line="260" w:lineRule="exact"/>
              <w:ind w:firstLine="360" w:firstLineChars="200"/>
              <w:rPr>
                <w:rFonts w:hint="eastAsia" w:ascii="宋体" w:hAnsi="宋体" w:eastAsia="宋体" w:cs="宋体"/>
                <w:color w:val="000000"/>
                <w:kern w:val="0"/>
                <w:sz w:val="18"/>
                <w:szCs w:val="18"/>
                <w:lang w:bidi="ar"/>
              </w:rPr>
            </w:pPr>
          </w:p>
        </w:tc>
        <w:tc>
          <w:tcPr>
            <w:tcW w:w="161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75F856D9">
            <w:pPr>
              <w:spacing w:line="260" w:lineRule="exact"/>
              <w:ind w:firstLine="360" w:firstLineChars="200"/>
              <w:rPr>
                <w:rFonts w:hint="eastAsia" w:ascii="宋体" w:hAnsi="宋体" w:eastAsia="宋体" w:cs="宋体"/>
                <w:color w:val="000000"/>
                <w:kern w:val="0"/>
                <w:sz w:val="18"/>
                <w:szCs w:val="18"/>
                <w:lang w:bidi="ar"/>
              </w:rPr>
            </w:pP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28DB8D42">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一般</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3CCA4AB8">
            <w:pPr>
              <w:spacing w:line="280" w:lineRule="exact"/>
              <w:rPr>
                <w:rFonts w:hint="eastAsia" w:ascii="宋体" w:hAnsi="宋体" w:eastAsia="宋体" w:cs="宋体"/>
                <w:color w:val="000000"/>
                <w:sz w:val="18"/>
                <w:szCs w:val="18"/>
                <w:lang w:bidi="ar"/>
              </w:rPr>
            </w:pPr>
            <w:r>
              <w:rPr>
                <w:rStyle w:val="21"/>
                <w:rFonts w:hint="eastAsia" w:ascii="宋体" w:hAnsi="宋体" w:eastAsia="宋体" w:cs="宋体"/>
                <w:sz w:val="18"/>
                <w:szCs w:val="18"/>
                <w:lang w:bidi="ar"/>
              </w:rPr>
              <w:t>立即停止违法行为、未在限期采取补救措施或者采取的补救措施不到位的</w:t>
            </w: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2D9E37AA">
            <w:pPr>
              <w:spacing w:line="280" w:lineRule="exact"/>
              <w:rPr>
                <w:rFonts w:hint="eastAsia" w:ascii="宋体" w:hAnsi="宋体" w:eastAsia="宋体" w:cs="宋体"/>
                <w:color w:val="000000"/>
                <w:sz w:val="18"/>
                <w:szCs w:val="18"/>
                <w:lang w:bidi="ar"/>
              </w:rPr>
            </w:pPr>
            <w:r>
              <w:rPr>
                <w:rStyle w:val="21"/>
                <w:rFonts w:hint="eastAsia" w:ascii="宋体" w:hAnsi="宋体" w:eastAsia="宋体" w:cs="宋体"/>
                <w:sz w:val="18"/>
                <w:szCs w:val="18"/>
                <w:lang w:bidi="ar"/>
              </w:rPr>
              <w:t>处</w:t>
            </w:r>
            <w:r>
              <w:rPr>
                <w:rStyle w:val="21"/>
                <w:rFonts w:hint="eastAsia" w:ascii="宋体" w:hAnsi="宋体" w:eastAsia="宋体" w:cs="宋体"/>
                <w:sz w:val="18"/>
                <w:szCs w:val="18"/>
                <w:lang w:val="en-US" w:eastAsia="zh-CN" w:bidi="ar"/>
              </w:rPr>
              <w:t>6</w:t>
            </w:r>
            <w:r>
              <w:rPr>
                <w:rStyle w:val="21"/>
                <w:rFonts w:hint="eastAsia" w:ascii="宋体" w:hAnsi="宋体" w:eastAsia="宋体" w:cs="宋体"/>
                <w:sz w:val="18"/>
                <w:szCs w:val="18"/>
                <w:lang w:bidi="ar"/>
              </w:rPr>
              <w:t>万元以上</w:t>
            </w:r>
            <w:r>
              <w:rPr>
                <w:rStyle w:val="21"/>
                <w:rFonts w:hint="eastAsia" w:ascii="宋体" w:hAnsi="宋体" w:eastAsia="宋体" w:cs="宋体"/>
                <w:sz w:val="18"/>
                <w:szCs w:val="18"/>
                <w:lang w:val="en-US" w:eastAsia="zh-CN" w:bidi="ar"/>
              </w:rPr>
              <w:t>7</w:t>
            </w:r>
            <w:r>
              <w:rPr>
                <w:rStyle w:val="21"/>
                <w:rFonts w:hint="eastAsia" w:ascii="宋体" w:hAnsi="宋体" w:eastAsia="宋体" w:cs="宋体"/>
                <w:sz w:val="18"/>
                <w:szCs w:val="18"/>
                <w:lang w:bidi="ar"/>
              </w:rPr>
              <w:t>万元以下罚款</w:t>
            </w:r>
          </w:p>
        </w:tc>
        <w:tc>
          <w:tcPr>
            <w:tcW w:w="56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3030BCFD">
            <w:pPr>
              <w:spacing w:line="260" w:lineRule="exact"/>
              <w:rPr>
                <w:rStyle w:val="21"/>
                <w:rFonts w:hint="eastAsia" w:ascii="宋体" w:hAnsi="宋体" w:eastAsia="宋体" w:cs="宋体"/>
                <w:sz w:val="18"/>
                <w:szCs w:val="18"/>
                <w:lang w:bidi="ar"/>
              </w:rPr>
            </w:pPr>
          </w:p>
        </w:tc>
      </w:tr>
      <w:tr w14:paraId="2EB11D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824" w:hRule="atLeast"/>
          <w:jc w:val="center"/>
        </w:trPr>
        <w:tc>
          <w:tcPr>
            <w:tcW w:w="495"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29D0417A">
            <w:pPr>
              <w:spacing w:line="260" w:lineRule="exact"/>
              <w:jc w:val="center"/>
              <w:rPr>
                <w:rFonts w:hint="eastAsia" w:ascii="宋体" w:hAnsi="宋体" w:eastAsia="宋体" w:cs="宋体"/>
                <w:sz w:val="18"/>
                <w:szCs w:val="18"/>
              </w:rPr>
            </w:pPr>
          </w:p>
        </w:tc>
        <w:tc>
          <w:tcPr>
            <w:tcW w:w="1211"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1C559543">
            <w:pPr>
              <w:spacing w:line="260" w:lineRule="exact"/>
              <w:rPr>
                <w:rFonts w:hint="eastAsia" w:ascii="宋体" w:hAnsi="宋体" w:eastAsia="宋体" w:cs="宋体"/>
                <w:color w:val="000000"/>
                <w:kern w:val="0"/>
                <w:sz w:val="18"/>
                <w:szCs w:val="18"/>
                <w:lang w:bidi="ar"/>
              </w:rPr>
            </w:pPr>
          </w:p>
        </w:tc>
        <w:tc>
          <w:tcPr>
            <w:tcW w:w="4862"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582FD95F">
            <w:pPr>
              <w:spacing w:line="260" w:lineRule="exact"/>
              <w:ind w:firstLine="360" w:firstLineChars="200"/>
              <w:rPr>
                <w:rFonts w:hint="eastAsia" w:ascii="宋体" w:hAnsi="宋体" w:eastAsia="宋体" w:cs="宋体"/>
                <w:color w:val="000000"/>
                <w:kern w:val="0"/>
                <w:sz w:val="18"/>
                <w:szCs w:val="18"/>
                <w:lang w:bidi="ar"/>
              </w:rPr>
            </w:pPr>
          </w:p>
        </w:tc>
        <w:tc>
          <w:tcPr>
            <w:tcW w:w="161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4294EB59">
            <w:pPr>
              <w:spacing w:line="260" w:lineRule="exact"/>
              <w:ind w:firstLine="360" w:firstLineChars="200"/>
              <w:rPr>
                <w:rFonts w:hint="eastAsia" w:ascii="宋体" w:hAnsi="宋体" w:eastAsia="宋体" w:cs="宋体"/>
                <w:color w:val="000000"/>
                <w:kern w:val="0"/>
                <w:sz w:val="18"/>
                <w:szCs w:val="18"/>
                <w:lang w:bidi="ar"/>
              </w:rPr>
            </w:pP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63069781">
            <w:pPr>
              <w:spacing w:line="260" w:lineRule="exact"/>
              <w:jc w:val="center"/>
              <w:rPr>
                <w:rFonts w:hint="eastAsia" w:ascii="宋体" w:hAnsi="宋体" w:eastAsia="宋体" w:cs="宋体"/>
                <w:sz w:val="18"/>
                <w:szCs w:val="18"/>
                <w:lang w:eastAsia="zh-CN"/>
              </w:rPr>
            </w:pPr>
            <w:r>
              <w:rPr>
                <w:rFonts w:hint="eastAsia" w:ascii="宋体" w:hAnsi="宋体" w:eastAsia="宋体" w:cs="宋体"/>
                <w:sz w:val="18"/>
                <w:szCs w:val="18"/>
                <w:lang w:eastAsia="zh-CN"/>
              </w:rPr>
              <w:t>较重</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678AEE4D">
            <w:pPr>
              <w:spacing w:line="280" w:lineRule="exact"/>
              <w:rPr>
                <w:rFonts w:hint="eastAsia" w:ascii="宋体" w:hAnsi="宋体" w:eastAsia="宋体" w:cs="宋体"/>
                <w:color w:val="000000"/>
                <w:sz w:val="18"/>
                <w:szCs w:val="18"/>
                <w:lang w:bidi="ar"/>
              </w:rPr>
            </w:pPr>
            <w:r>
              <w:rPr>
                <w:rStyle w:val="21"/>
                <w:rFonts w:hint="eastAsia" w:ascii="宋体" w:hAnsi="宋体" w:eastAsia="宋体" w:cs="宋体"/>
                <w:sz w:val="18"/>
                <w:szCs w:val="18"/>
                <w:lang w:bidi="ar"/>
              </w:rPr>
              <w:t>未在规定期限内停止违法行为、采取补救措施的</w:t>
            </w: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64E68200">
            <w:pPr>
              <w:spacing w:line="280" w:lineRule="exact"/>
              <w:rPr>
                <w:rFonts w:hint="eastAsia" w:ascii="宋体" w:hAnsi="宋体" w:eastAsia="宋体" w:cs="宋体"/>
                <w:color w:val="000000"/>
                <w:sz w:val="18"/>
                <w:szCs w:val="18"/>
                <w:lang w:bidi="ar"/>
              </w:rPr>
            </w:pPr>
            <w:r>
              <w:rPr>
                <w:rStyle w:val="21"/>
                <w:rFonts w:hint="eastAsia" w:ascii="宋体" w:hAnsi="宋体" w:eastAsia="宋体" w:cs="宋体"/>
                <w:sz w:val="18"/>
                <w:szCs w:val="18"/>
                <w:lang w:bidi="ar"/>
              </w:rPr>
              <w:t>处</w:t>
            </w:r>
            <w:r>
              <w:rPr>
                <w:rStyle w:val="21"/>
                <w:rFonts w:hint="eastAsia" w:ascii="宋体" w:hAnsi="宋体" w:eastAsia="宋体" w:cs="宋体"/>
                <w:sz w:val="18"/>
                <w:szCs w:val="18"/>
                <w:lang w:val="en-US" w:eastAsia="zh-CN" w:bidi="ar"/>
              </w:rPr>
              <w:t>7</w:t>
            </w:r>
            <w:r>
              <w:rPr>
                <w:rStyle w:val="21"/>
                <w:rFonts w:hint="eastAsia" w:ascii="宋体" w:hAnsi="宋体" w:eastAsia="宋体" w:cs="宋体"/>
                <w:sz w:val="18"/>
                <w:szCs w:val="18"/>
                <w:lang w:bidi="ar"/>
              </w:rPr>
              <w:t>万元以上</w:t>
            </w:r>
            <w:r>
              <w:rPr>
                <w:rStyle w:val="21"/>
                <w:rFonts w:hint="eastAsia" w:ascii="宋体" w:hAnsi="宋体" w:eastAsia="宋体" w:cs="宋体"/>
                <w:sz w:val="18"/>
                <w:szCs w:val="18"/>
                <w:lang w:val="en-US" w:eastAsia="zh-CN" w:bidi="ar"/>
              </w:rPr>
              <w:t>9</w:t>
            </w:r>
            <w:r>
              <w:rPr>
                <w:rStyle w:val="21"/>
                <w:rFonts w:hint="eastAsia" w:ascii="宋体" w:hAnsi="宋体" w:eastAsia="宋体" w:cs="宋体"/>
                <w:sz w:val="18"/>
                <w:szCs w:val="18"/>
                <w:lang w:bidi="ar"/>
              </w:rPr>
              <w:t>万元以下的罚款</w:t>
            </w:r>
          </w:p>
        </w:tc>
        <w:tc>
          <w:tcPr>
            <w:tcW w:w="56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3571A8CB">
            <w:pPr>
              <w:spacing w:line="260" w:lineRule="exact"/>
              <w:rPr>
                <w:rStyle w:val="21"/>
                <w:rFonts w:hint="eastAsia" w:ascii="宋体" w:hAnsi="宋体" w:eastAsia="宋体" w:cs="宋体"/>
                <w:sz w:val="18"/>
                <w:szCs w:val="18"/>
                <w:lang w:bidi="ar"/>
              </w:rPr>
            </w:pPr>
          </w:p>
        </w:tc>
      </w:tr>
      <w:tr w14:paraId="067BF0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9" w:hRule="atLeast"/>
          <w:jc w:val="center"/>
        </w:trPr>
        <w:tc>
          <w:tcPr>
            <w:tcW w:w="495" w:type="dxa"/>
            <w:vMerge w:val="continue"/>
            <w:tcBorders>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5CD75C7A">
            <w:pPr>
              <w:spacing w:line="260" w:lineRule="exact"/>
              <w:jc w:val="center"/>
              <w:rPr>
                <w:rFonts w:hint="eastAsia" w:ascii="宋体" w:hAnsi="宋体" w:eastAsia="宋体" w:cs="宋体"/>
                <w:sz w:val="18"/>
                <w:szCs w:val="18"/>
              </w:rPr>
            </w:pPr>
          </w:p>
        </w:tc>
        <w:tc>
          <w:tcPr>
            <w:tcW w:w="1211" w:type="dxa"/>
            <w:vMerge w:val="continue"/>
            <w:tcBorders>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7AE439C1">
            <w:pPr>
              <w:spacing w:line="260" w:lineRule="exact"/>
              <w:rPr>
                <w:rFonts w:hint="eastAsia" w:ascii="宋体" w:hAnsi="宋体" w:eastAsia="宋体" w:cs="宋体"/>
                <w:color w:val="000000"/>
                <w:kern w:val="0"/>
                <w:sz w:val="18"/>
                <w:szCs w:val="18"/>
                <w:lang w:bidi="ar"/>
              </w:rPr>
            </w:pPr>
          </w:p>
        </w:tc>
        <w:tc>
          <w:tcPr>
            <w:tcW w:w="4862" w:type="dxa"/>
            <w:vMerge w:val="continue"/>
            <w:tcBorders>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2C297389">
            <w:pPr>
              <w:spacing w:line="260" w:lineRule="exact"/>
              <w:ind w:firstLine="360" w:firstLineChars="200"/>
              <w:rPr>
                <w:rFonts w:hint="eastAsia" w:ascii="宋体" w:hAnsi="宋体" w:eastAsia="宋体" w:cs="宋体"/>
                <w:color w:val="000000"/>
                <w:kern w:val="0"/>
                <w:sz w:val="18"/>
                <w:szCs w:val="18"/>
                <w:lang w:bidi="ar"/>
              </w:rPr>
            </w:pPr>
          </w:p>
        </w:tc>
        <w:tc>
          <w:tcPr>
            <w:tcW w:w="1613" w:type="dxa"/>
            <w:vMerge w:val="continue"/>
            <w:tcBorders>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5B545461">
            <w:pPr>
              <w:spacing w:line="260" w:lineRule="exact"/>
              <w:ind w:firstLine="360" w:firstLineChars="200"/>
              <w:rPr>
                <w:rFonts w:hint="eastAsia" w:ascii="宋体" w:hAnsi="宋体" w:eastAsia="宋体" w:cs="宋体"/>
                <w:color w:val="000000"/>
                <w:kern w:val="0"/>
                <w:sz w:val="18"/>
                <w:szCs w:val="18"/>
                <w:lang w:bidi="ar"/>
              </w:rPr>
            </w:pP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1C5A8A6C">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严重</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30345554">
            <w:pPr>
              <w:spacing w:line="280" w:lineRule="exact"/>
              <w:rPr>
                <w:rFonts w:hint="eastAsia" w:ascii="宋体" w:hAnsi="宋体" w:eastAsia="宋体" w:cs="宋体"/>
                <w:color w:val="000000"/>
                <w:sz w:val="18"/>
                <w:szCs w:val="18"/>
                <w:lang w:bidi="ar"/>
              </w:rPr>
            </w:pPr>
            <w:r>
              <w:rPr>
                <w:rStyle w:val="21"/>
                <w:rFonts w:hint="eastAsia" w:ascii="宋体" w:hAnsi="宋体" w:eastAsia="宋体" w:cs="宋体"/>
                <w:sz w:val="18"/>
                <w:szCs w:val="18"/>
                <w:lang w:bidi="ar"/>
              </w:rPr>
              <w:t>拒不停止违法行为，不采取补救措施的</w:t>
            </w: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2173F896">
            <w:pPr>
              <w:spacing w:line="280" w:lineRule="exact"/>
              <w:rPr>
                <w:rFonts w:hint="eastAsia" w:ascii="宋体" w:hAnsi="宋体" w:eastAsia="宋体" w:cs="宋体"/>
                <w:color w:val="000000"/>
                <w:sz w:val="18"/>
                <w:szCs w:val="18"/>
                <w:lang w:bidi="ar"/>
              </w:rPr>
            </w:pPr>
            <w:r>
              <w:rPr>
                <w:rStyle w:val="21"/>
                <w:rFonts w:hint="eastAsia" w:ascii="宋体" w:hAnsi="宋体" w:eastAsia="宋体" w:cs="宋体"/>
                <w:sz w:val="18"/>
                <w:szCs w:val="18"/>
                <w:lang w:bidi="ar"/>
              </w:rPr>
              <w:t>处</w:t>
            </w:r>
            <w:r>
              <w:rPr>
                <w:rStyle w:val="21"/>
                <w:rFonts w:hint="eastAsia" w:ascii="宋体" w:hAnsi="宋体" w:eastAsia="宋体" w:cs="宋体"/>
                <w:sz w:val="18"/>
                <w:szCs w:val="18"/>
                <w:lang w:val="en-US" w:eastAsia="zh-CN" w:bidi="ar"/>
              </w:rPr>
              <w:t>9</w:t>
            </w:r>
            <w:r>
              <w:rPr>
                <w:rStyle w:val="21"/>
                <w:rFonts w:hint="eastAsia" w:ascii="宋体" w:hAnsi="宋体" w:eastAsia="宋体" w:cs="宋体"/>
                <w:sz w:val="18"/>
                <w:szCs w:val="18"/>
                <w:lang w:bidi="ar"/>
              </w:rPr>
              <w:t>万元以上</w:t>
            </w:r>
            <w:r>
              <w:rPr>
                <w:rStyle w:val="21"/>
                <w:rFonts w:hint="eastAsia" w:ascii="宋体" w:hAnsi="宋体" w:eastAsia="宋体" w:cs="宋体"/>
                <w:sz w:val="18"/>
                <w:szCs w:val="18"/>
                <w:lang w:val="en-US" w:eastAsia="zh-CN" w:bidi="ar"/>
              </w:rPr>
              <w:t>10</w:t>
            </w:r>
            <w:r>
              <w:rPr>
                <w:rStyle w:val="21"/>
                <w:rFonts w:hint="eastAsia" w:ascii="宋体" w:hAnsi="宋体" w:eastAsia="宋体" w:cs="宋体"/>
                <w:sz w:val="18"/>
                <w:szCs w:val="18"/>
                <w:lang w:bidi="ar"/>
              </w:rPr>
              <w:t>万元以下的罚款</w:t>
            </w:r>
          </w:p>
        </w:tc>
        <w:tc>
          <w:tcPr>
            <w:tcW w:w="563" w:type="dxa"/>
            <w:vMerge w:val="continue"/>
            <w:tcBorders>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4306E6D1">
            <w:pPr>
              <w:spacing w:line="260" w:lineRule="exact"/>
              <w:rPr>
                <w:rStyle w:val="21"/>
                <w:rFonts w:hint="eastAsia" w:ascii="宋体" w:hAnsi="宋体" w:eastAsia="宋体" w:cs="宋体"/>
                <w:sz w:val="18"/>
                <w:szCs w:val="18"/>
                <w:lang w:bidi="ar"/>
              </w:rPr>
            </w:pPr>
          </w:p>
        </w:tc>
      </w:tr>
      <w:tr w14:paraId="4272D9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567" w:hRule="atLeast"/>
          <w:jc w:val="center"/>
        </w:trPr>
        <w:tc>
          <w:tcPr>
            <w:tcW w:w="495" w:type="dxa"/>
            <w:vMerge w:val="restart"/>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762DD951">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3</w:t>
            </w:r>
          </w:p>
        </w:tc>
        <w:tc>
          <w:tcPr>
            <w:tcW w:w="1211" w:type="dxa"/>
            <w:vMerge w:val="restart"/>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59FB7FF2">
            <w:pPr>
              <w:widowControl/>
              <w:spacing w:line="260" w:lineRule="exact"/>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利用地下水源热泵系统违法取用地下水的</w:t>
            </w:r>
          </w:p>
        </w:tc>
        <w:tc>
          <w:tcPr>
            <w:tcW w:w="4862" w:type="dxa"/>
            <w:vMerge w:val="restart"/>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14BDE897">
            <w:pPr>
              <w:widowControl/>
              <w:spacing w:line="260" w:lineRule="exact"/>
              <w:ind w:firstLine="360" w:firstLineChars="200"/>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河北省地下水管理条例》第五十五条违反本条例规定，有下列行为之一的，由县级以上人民政府水行政主管部门责令限期封闭取水井和回灌井，并处五万元以上十万元以下罚款；逾期未封闭的，依照《中华人民共和国行政强制法》的规定，申请人民法院强制执行；造成地下水污染的，由县级以上人民政府环境保护主管部门依照水污染防治有关法律、法规予以处罚：</w:t>
            </w:r>
          </w:p>
          <w:p w14:paraId="7040FFC2">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(一)在地下水饮用水水源保护区将地下水作为地下水源热泵系统水源的；</w:t>
            </w:r>
          </w:p>
          <w:p w14:paraId="75CF04FE">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(二)在地下水禁止开采区将地下水作为地下水源热泵系统水源的；</w:t>
            </w:r>
          </w:p>
          <w:p w14:paraId="40699E55">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(三)将深层地下水作为地下水源热泵系统水源的；</w:t>
            </w:r>
          </w:p>
          <w:p w14:paraId="345EDB02">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(四)利用地下水源热泵系统取水不回灌、不能全部回灌，或者不能全部回灌到同一含水层的。</w:t>
            </w:r>
          </w:p>
        </w:tc>
        <w:tc>
          <w:tcPr>
            <w:tcW w:w="1613" w:type="dxa"/>
            <w:vMerge w:val="restart"/>
            <w:tcBorders>
              <w:top w:val="single" w:color="auto" w:sz="4" w:space="0"/>
              <w:left w:val="single" w:color="auto" w:sz="4" w:space="0"/>
              <w:right w:val="single" w:color="auto" w:sz="4" w:space="0"/>
            </w:tcBorders>
            <w:shd w:val="clear" w:color="auto" w:fill="FFFFFF"/>
            <w:noWrap w:val="0"/>
            <w:tcMar>
              <w:top w:w="0" w:type="dxa"/>
              <w:left w:w="0" w:type="dxa"/>
              <w:bottom w:w="0" w:type="dxa"/>
              <w:right w:w="0" w:type="dxa"/>
            </w:tcMar>
            <w:vAlign w:val="center"/>
          </w:tcPr>
          <w:p w14:paraId="48043A2B">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(一)在地下水饮用水水源保护区将地下水作为地下水源热泵系统水源的；</w:t>
            </w:r>
          </w:p>
          <w:p w14:paraId="72FDCBF6">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(二)在地下水禁止开采区将地下水作为地下水源热泵系统水源的；</w:t>
            </w:r>
          </w:p>
          <w:p w14:paraId="1497B41B">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(三)将深层地下水作为地下水源热泵系统水源的；</w:t>
            </w:r>
          </w:p>
          <w:p w14:paraId="0139ACFF">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(四)利用地下水源热泵系统取水不回灌、不能全部回灌，或者不能全部回灌到同一含水层的。</w:t>
            </w: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6B1B2380">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轻微</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38EAE359">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40C2DBA8">
            <w:pPr>
              <w:spacing w:line="260" w:lineRule="exact"/>
              <w:rPr>
                <w:rFonts w:hint="eastAsia" w:ascii="宋体" w:hAnsi="宋体" w:eastAsia="宋体" w:cs="宋体"/>
                <w:color w:val="auto"/>
                <w:kern w:val="2"/>
                <w:sz w:val="18"/>
                <w:szCs w:val="18"/>
                <w:u w:val="none"/>
                <w:lang w:val="en-US" w:eastAsia="zh-CN" w:bidi="ar"/>
              </w:rPr>
            </w:pP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15B2E540">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1C009860">
            <w:pPr>
              <w:spacing w:line="260" w:lineRule="exact"/>
              <w:rPr>
                <w:rStyle w:val="21"/>
                <w:rFonts w:hint="eastAsia" w:ascii="宋体" w:hAnsi="宋体" w:eastAsia="宋体" w:cs="宋体"/>
                <w:sz w:val="18"/>
                <w:szCs w:val="18"/>
                <w:lang w:bidi="ar"/>
              </w:rPr>
            </w:pPr>
          </w:p>
        </w:tc>
        <w:tc>
          <w:tcPr>
            <w:tcW w:w="563" w:type="dxa"/>
            <w:vMerge w:val="restart"/>
            <w:tcBorders>
              <w:top w:val="single" w:color="auto" w:sz="4" w:space="0"/>
              <w:left w:val="single" w:color="auto" w:sz="4" w:space="0"/>
              <w:right w:val="single" w:color="auto" w:sz="4" w:space="0"/>
            </w:tcBorders>
            <w:shd w:val="clear" w:color="auto" w:fill="FFFFFF"/>
            <w:noWrap w:val="0"/>
            <w:tcMar>
              <w:top w:w="0" w:type="dxa"/>
              <w:left w:w="0" w:type="dxa"/>
              <w:bottom w:w="0" w:type="dxa"/>
              <w:right w:w="0" w:type="dxa"/>
            </w:tcMar>
            <w:vAlign w:val="center"/>
          </w:tcPr>
          <w:p w14:paraId="7F26E348">
            <w:pPr>
              <w:spacing w:line="260" w:lineRule="exact"/>
              <w:rPr>
                <w:rStyle w:val="21"/>
                <w:rFonts w:hint="eastAsia" w:ascii="宋体" w:hAnsi="宋体" w:eastAsia="宋体" w:cs="宋体"/>
                <w:sz w:val="18"/>
                <w:szCs w:val="18"/>
                <w:lang w:bidi="ar"/>
              </w:rPr>
            </w:pPr>
          </w:p>
        </w:tc>
      </w:tr>
      <w:tr w14:paraId="57E7DD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567" w:hRule="atLeast"/>
          <w:jc w:val="center"/>
        </w:trPr>
        <w:tc>
          <w:tcPr>
            <w:tcW w:w="495"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2366F698">
            <w:pPr>
              <w:spacing w:line="260" w:lineRule="exact"/>
              <w:jc w:val="center"/>
              <w:rPr>
                <w:rFonts w:hint="eastAsia" w:ascii="宋体" w:hAnsi="宋体" w:eastAsia="宋体" w:cs="宋体"/>
                <w:sz w:val="18"/>
                <w:szCs w:val="18"/>
              </w:rPr>
            </w:pPr>
          </w:p>
        </w:tc>
        <w:tc>
          <w:tcPr>
            <w:tcW w:w="1211"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6D1F6281">
            <w:pPr>
              <w:spacing w:line="260" w:lineRule="exact"/>
              <w:rPr>
                <w:rFonts w:hint="eastAsia" w:ascii="宋体" w:hAnsi="宋体" w:eastAsia="宋体" w:cs="宋体"/>
                <w:color w:val="000000"/>
                <w:kern w:val="0"/>
                <w:sz w:val="18"/>
                <w:szCs w:val="18"/>
                <w:lang w:bidi="ar"/>
              </w:rPr>
            </w:pPr>
          </w:p>
        </w:tc>
        <w:tc>
          <w:tcPr>
            <w:tcW w:w="4862"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74BBD993">
            <w:pPr>
              <w:spacing w:line="260" w:lineRule="exact"/>
              <w:ind w:firstLine="360" w:firstLineChars="200"/>
              <w:rPr>
                <w:rFonts w:hint="eastAsia" w:ascii="宋体" w:hAnsi="宋体" w:eastAsia="宋体" w:cs="宋体"/>
                <w:color w:val="000000"/>
                <w:kern w:val="0"/>
                <w:sz w:val="18"/>
                <w:szCs w:val="18"/>
                <w:lang w:bidi="ar"/>
              </w:rPr>
            </w:pPr>
          </w:p>
        </w:tc>
        <w:tc>
          <w:tcPr>
            <w:tcW w:w="161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14287D1A">
            <w:pPr>
              <w:spacing w:line="260" w:lineRule="exact"/>
              <w:ind w:firstLine="360" w:firstLineChars="200"/>
              <w:rPr>
                <w:rFonts w:hint="eastAsia" w:ascii="宋体" w:hAnsi="宋体" w:eastAsia="宋体" w:cs="宋体"/>
                <w:color w:val="000000"/>
                <w:kern w:val="0"/>
                <w:sz w:val="18"/>
                <w:szCs w:val="18"/>
                <w:lang w:bidi="ar"/>
              </w:rPr>
            </w:pP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65E9D8A5">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较轻</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23D2FA98">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4BA32777">
            <w:pPr>
              <w:spacing w:line="260" w:lineRule="exact"/>
              <w:rPr>
                <w:rFonts w:hint="eastAsia" w:ascii="宋体" w:hAnsi="宋体" w:eastAsia="宋体" w:cs="宋体"/>
                <w:color w:val="auto"/>
                <w:kern w:val="2"/>
                <w:sz w:val="18"/>
                <w:szCs w:val="18"/>
                <w:u w:val="none"/>
                <w:lang w:val="en-US" w:eastAsia="zh-CN" w:bidi="ar"/>
              </w:rPr>
            </w:pP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744539BA">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03658A64">
            <w:pPr>
              <w:spacing w:line="260" w:lineRule="exact"/>
              <w:rPr>
                <w:rStyle w:val="21"/>
                <w:rFonts w:hint="eastAsia" w:ascii="宋体" w:hAnsi="宋体" w:eastAsia="宋体" w:cs="宋体"/>
                <w:sz w:val="18"/>
                <w:szCs w:val="18"/>
                <w:lang w:bidi="ar"/>
              </w:rPr>
            </w:pPr>
          </w:p>
        </w:tc>
        <w:tc>
          <w:tcPr>
            <w:tcW w:w="56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3ED53C7D">
            <w:pPr>
              <w:spacing w:line="260" w:lineRule="exact"/>
              <w:rPr>
                <w:rStyle w:val="21"/>
                <w:rFonts w:hint="eastAsia" w:ascii="宋体" w:hAnsi="宋体" w:eastAsia="宋体" w:cs="宋体"/>
                <w:sz w:val="18"/>
                <w:szCs w:val="18"/>
                <w:lang w:bidi="ar"/>
              </w:rPr>
            </w:pPr>
          </w:p>
        </w:tc>
      </w:tr>
      <w:tr w14:paraId="104D6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4" w:hRule="atLeast"/>
          <w:jc w:val="center"/>
        </w:trPr>
        <w:tc>
          <w:tcPr>
            <w:tcW w:w="495"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718B56D2">
            <w:pPr>
              <w:spacing w:line="260" w:lineRule="exact"/>
              <w:jc w:val="center"/>
              <w:rPr>
                <w:rFonts w:hint="eastAsia" w:ascii="宋体" w:hAnsi="宋体" w:eastAsia="宋体" w:cs="宋体"/>
                <w:sz w:val="18"/>
                <w:szCs w:val="18"/>
              </w:rPr>
            </w:pPr>
          </w:p>
        </w:tc>
        <w:tc>
          <w:tcPr>
            <w:tcW w:w="1211"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4F03D426">
            <w:pPr>
              <w:spacing w:line="260" w:lineRule="exact"/>
              <w:rPr>
                <w:rFonts w:hint="eastAsia" w:ascii="宋体" w:hAnsi="宋体" w:eastAsia="宋体" w:cs="宋体"/>
                <w:color w:val="000000"/>
                <w:kern w:val="0"/>
                <w:sz w:val="18"/>
                <w:szCs w:val="18"/>
                <w:lang w:bidi="ar"/>
              </w:rPr>
            </w:pPr>
          </w:p>
        </w:tc>
        <w:tc>
          <w:tcPr>
            <w:tcW w:w="4862"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60D1369D">
            <w:pPr>
              <w:spacing w:line="260" w:lineRule="exact"/>
              <w:ind w:firstLine="360" w:firstLineChars="200"/>
              <w:rPr>
                <w:rFonts w:hint="eastAsia" w:ascii="宋体" w:hAnsi="宋体" w:eastAsia="宋体" w:cs="宋体"/>
                <w:color w:val="000000"/>
                <w:kern w:val="0"/>
                <w:sz w:val="18"/>
                <w:szCs w:val="18"/>
                <w:lang w:bidi="ar"/>
              </w:rPr>
            </w:pPr>
          </w:p>
        </w:tc>
        <w:tc>
          <w:tcPr>
            <w:tcW w:w="161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51011783">
            <w:pPr>
              <w:spacing w:line="260" w:lineRule="exact"/>
              <w:ind w:firstLine="360" w:firstLineChars="200"/>
              <w:rPr>
                <w:rFonts w:hint="eastAsia" w:ascii="宋体" w:hAnsi="宋体" w:eastAsia="宋体" w:cs="宋体"/>
                <w:color w:val="000000"/>
                <w:kern w:val="0"/>
                <w:sz w:val="18"/>
                <w:szCs w:val="18"/>
                <w:lang w:bidi="ar"/>
              </w:rPr>
            </w:pP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3402A0D2">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一般</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5CAAE932">
            <w:pPr>
              <w:spacing w:line="260" w:lineRule="exact"/>
              <w:rPr>
                <w:rFonts w:hint="eastAsia" w:ascii="宋体" w:hAnsi="宋体" w:eastAsia="宋体" w:cs="宋体"/>
                <w:color w:val="000000"/>
                <w:sz w:val="18"/>
                <w:szCs w:val="18"/>
                <w:lang w:bidi="ar"/>
              </w:rPr>
            </w:pPr>
            <w:r>
              <w:rPr>
                <w:rStyle w:val="21"/>
                <w:rFonts w:hint="eastAsia" w:ascii="宋体" w:hAnsi="宋体" w:eastAsia="宋体" w:cs="宋体"/>
                <w:sz w:val="18"/>
                <w:szCs w:val="18"/>
                <w:lang w:bidi="ar"/>
              </w:rPr>
              <w:t>立即停止取水行为、在限期内关停取水井和回灌井的</w:t>
            </w: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277AB19E">
            <w:pPr>
              <w:spacing w:line="260" w:lineRule="exact"/>
              <w:rPr>
                <w:rFonts w:hint="eastAsia" w:ascii="宋体" w:hAnsi="宋体" w:eastAsia="宋体" w:cs="宋体"/>
                <w:color w:val="000000"/>
                <w:sz w:val="18"/>
                <w:szCs w:val="18"/>
                <w:lang w:bidi="ar"/>
              </w:rPr>
            </w:pPr>
            <w:r>
              <w:rPr>
                <w:rStyle w:val="21"/>
                <w:rFonts w:hint="eastAsia" w:ascii="宋体" w:hAnsi="宋体" w:eastAsia="宋体" w:cs="宋体"/>
                <w:sz w:val="18"/>
                <w:szCs w:val="18"/>
                <w:lang w:bidi="ar"/>
              </w:rPr>
              <w:t>处</w:t>
            </w:r>
            <w:r>
              <w:rPr>
                <w:rStyle w:val="21"/>
                <w:rFonts w:hint="eastAsia" w:ascii="宋体" w:hAnsi="宋体" w:eastAsia="宋体" w:cs="宋体"/>
                <w:sz w:val="18"/>
                <w:szCs w:val="18"/>
                <w:lang w:val="en-US" w:eastAsia="zh-CN" w:bidi="ar"/>
              </w:rPr>
              <w:t>5</w:t>
            </w:r>
            <w:r>
              <w:rPr>
                <w:rStyle w:val="21"/>
                <w:rFonts w:hint="eastAsia" w:ascii="宋体" w:hAnsi="宋体" w:eastAsia="宋体" w:cs="宋体"/>
                <w:sz w:val="18"/>
                <w:szCs w:val="18"/>
                <w:lang w:bidi="ar"/>
              </w:rPr>
              <w:t>万元以上</w:t>
            </w:r>
            <w:r>
              <w:rPr>
                <w:rStyle w:val="21"/>
                <w:rFonts w:hint="eastAsia" w:ascii="宋体" w:hAnsi="宋体" w:eastAsia="宋体" w:cs="宋体"/>
                <w:sz w:val="18"/>
                <w:szCs w:val="18"/>
                <w:lang w:val="en-US" w:eastAsia="zh-CN" w:bidi="ar"/>
              </w:rPr>
              <w:t>8</w:t>
            </w:r>
            <w:r>
              <w:rPr>
                <w:rStyle w:val="21"/>
                <w:rFonts w:hint="eastAsia" w:ascii="宋体" w:hAnsi="宋体" w:eastAsia="宋体" w:cs="宋体"/>
                <w:sz w:val="18"/>
                <w:szCs w:val="18"/>
                <w:lang w:bidi="ar"/>
              </w:rPr>
              <w:t>万元以下罚款</w:t>
            </w:r>
          </w:p>
        </w:tc>
        <w:tc>
          <w:tcPr>
            <w:tcW w:w="56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4910DE01">
            <w:pPr>
              <w:spacing w:line="260" w:lineRule="exact"/>
              <w:rPr>
                <w:rStyle w:val="21"/>
                <w:rFonts w:hint="eastAsia" w:ascii="宋体" w:hAnsi="宋体" w:eastAsia="宋体" w:cs="宋体"/>
                <w:sz w:val="18"/>
                <w:szCs w:val="18"/>
                <w:lang w:bidi="ar"/>
              </w:rPr>
            </w:pPr>
          </w:p>
        </w:tc>
      </w:tr>
      <w:tr w14:paraId="48546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6" w:hRule="atLeast"/>
          <w:jc w:val="center"/>
        </w:trPr>
        <w:tc>
          <w:tcPr>
            <w:tcW w:w="495"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368B911D">
            <w:pPr>
              <w:spacing w:line="260" w:lineRule="exact"/>
              <w:jc w:val="center"/>
              <w:rPr>
                <w:rFonts w:hint="eastAsia" w:ascii="宋体" w:hAnsi="宋体" w:eastAsia="宋体" w:cs="宋体"/>
                <w:sz w:val="18"/>
                <w:szCs w:val="18"/>
              </w:rPr>
            </w:pPr>
          </w:p>
        </w:tc>
        <w:tc>
          <w:tcPr>
            <w:tcW w:w="1211"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6EDF72E4">
            <w:pPr>
              <w:spacing w:line="260" w:lineRule="exact"/>
              <w:rPr>
                <w:rFonts w:hint="eastAsia" w:ascii="宋体" w:hAnsi="宋体" w:eastAsia="宋体" w:cs="宋体"/>
                <w:color w:val="000000"/>
                <w:kern w:val="0"/>
                <w:sz w:val="18"/>
                <w:szCs w:val="18"/>
                <w:lang w:bidi="ar"/>
              </w:rPr>
            </w:pPr>
          </w:p>
        </w:tc>
        <w:tc>
          <w:tcPr>
            <w:tcW w:w="4862"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644AC563">
            <w:pPr>
              <w:spacing w:line="260" w:lineRule="exact"/>
              <w:ind w:firstLine="360" w:firstLineChars="200"/>
              <w:rPr>
                <w:rFonts w:hint="eastAsia" w:ascii="宋体" w:hAnsi="宋体" w:eastAsia="宋体" w:cs="宋体"/>
                <w:color w:val="000000"/>
                <w:kern w:val="0"/>
                <w:sz w:val="18"/>
                <w:szCs w:val="18"/>
                <w:lang w:bidi="ar"/>
              </w:rPr>
            </w:pPr>
          </w:p>
        </w:tc>
        <w:tc>
          <w:tcPr>
            <w:tcW w:w="161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6F562DC3">
            <w:pPr>
              <w:spacing w:line="260" w:lineRule="exact"/>
              <w:ind w:firstLine="360" w:firstLineChars="200"/>
              <w:rPr>
                <w:rFonts w:hint="eastAsia" w:ascii="宋体" w:hAnsi="宋体" w:eastAsia="宋体" w:cs="宋体"/>
                <w:color w:val="000000"/>
                <w:kern w:val="0"/>
                <w:sz w:val="18"/>
                <w:szCs w:val="18"/>
                <w:lang w:bidi="ar"/>
              </w:rPr>
            </w:pP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28036E29">
            <w:pPr>
              <w:spacing w:line="260" w:lineRule="exact"/>
              <w:jc w:val="center"/>
              <w:rPr>
                <w:rFonts w:hint="eastAsia" w:ascii="宋体" w:hAnsi="宋体" w:eastAsia="宋体" w:cs="宋体"/>
                <w:sz w:val="18"/>
                <w:szCs w:val="18"/>
                <w:lang w:eastAsia="zh-CN"/>
              </w:rPr>
            </w:pPr>
            <w:r>
              <w:rPr>
                <w:rFonts w:hint="eastAsia" w:ascii="宋体" w:hAnsi="宋体" w:eastAsia="宋体" w:cs="宋体"/>
                <w:sz w:val="18"/>
                <w:szCs w:val="18"/>
                <w:lang w:eastAsia="zh-CN"/>
              </w:rPr>
              <w:t>较重</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17B5E8AC">
            <w:pPr>
              <w:spacing w:line="260" w:lineRule="exact"/>
              <w:rPr>
                <w:rFonts w:hint="eastAsia" w:ascii="宋体" w:hAnsi="宋体" w:eastAsia="宋体" w:cs="宋体"/>
                <w:color w:val="000000"/>
                <w:sz w:val="18"/>
                <w:szCs w:val="18"/>
                <w:lang w:bidi="ar"/>
              </w:rPr>
            </w:pPr>
            <w:r>
              <w:rPr>
                <w:rStyle w:val="21"/>
                <w:rFonts w:hint="eastAsia" w:ascii="宋体" w:hAnsi="宋体" w:eastAsia="宋体" w:cs="宋体"/>
                <w:sz w:val="18"/>
                <w:szCs w:val="18"/>
                <w:lang w:bidi="ar"/>
              </w:rPr>
              <w:t>立即停止取水行为、未在限期内关停取水井和回灌井的</w:t>
            </w: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5027FF02">
            <w:pPr>
              <w:spacing w:line="260" w:lineRule="exact"/>
              <w:rPr>
                <w:rFonts w:hint="eastAsia" w:ascii="宋体" w:hAnsi="宋体" w:eastAsia="宋体" w:cs="宋体"/>
                <w:color w:val="000000"/>
                <w:sz w:val="18"/>
                <w:szCs w:val="18"/>
                <w:lang w:bidi="ar"/>
              </w:rPr>
            </w:pPr>
            <w:r>
              <w:rPr>
                <w:rStyle w:val="21"/>
                <w:rFonts w:hint="eastAsia" w:ascii="宋体" w:hAnsi="宋体" w:eastAsia="宋体" w:cs="宋体"/>
                <w:sz w:val="18"/>
                <w:szCs w:val="18"/>
                <w:lang w:bidi="ar"/>
              </w:rPr>
              <w:t>处</w:t>
            </w:r>
            <w:r>
              <w:rPr>
                <w:rStyle w:val="21"/>
                <w:rFonts w:hint="eastAsia" w:ascii="宋体" w:hAnsi="宋体" w:eastAsia="宋体" w:cs="宋体"/>
                <w:sz w:val="18"/>
                <w:szCs w:val="18"/>
                <w:lang w:val="en-US" w:eastAsia="zh-CN" w:bidi="ar"/>
              </w:rPr>
              <w:t>8</w:t>
            </w:r>
            <w:r>
              <w:rPr>
                <w:rStyle w:val="21"/>
                <w:rFonts w:hint="eastAsia" w:ascii="宋体" w:hAnsi="宋体" w:eastAsia="宋体" w:cs="宋体"/>
                <w:sz w:val="18"/>
                <w:szCs w:val="18"/>
                <w:lang w:bidi="ar"/>
              </w:rPr>
              <w:t>万元以上</w:t>
            </w:r>
            <w:r>
              <w:rPr>
                <w:rStyle w:val="21"/>
                <w:rFonts w:hint="eastAsia" w:ascii="宋体" w:hAnsi="宋体" w:eastAsia="宋体" w:cs="宋体"/>
                <w:sz w:val="18"/>
                <w:szCs w:val="18"/>
                <w:lang w:val="en-US" w:eastAsia="zh-CN" w:bidi="ar"/>
              </w:rPr>
              <w:t>9</w:t>
            </w:r>
            <w:r>
              <w:rPr>
                <w:rStyle w:val="21"/>
                <w:rFonts w:hint="eastAsia" w:ascii="宋体" w:hAnsi="宋体" w:eastAsia="宋体" w:cs="宋体"/>
                <w:sz w:val="18"/>
                <w:szCs w:val="18"/>
                <w:lang w:bidi="ar"/>
              </w:rPr>
              <w:t>万元以下罚款</w:t>
            </w:r>
          </w:p>
        </w:tc>
        <w:tc>
          <w:tcPr>
            <w:tcW w:w="56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710F2C83">
            <w:pPr>
              <w:spacing w:line="260" w:lineRule="exact"/>
              <w:rPr>
                <w:rStyle w:val="21"/>
                <w:rFonts w:hint="eastAsia" w:ascii="宋体" w:hAnsi="宋体" w:eastAsia="宋体" w:cs="宋体"/>
                <w:sz w:val="18"/>
                <w:szCs w:val="18"/>
                <w:lang w:bidi="ar"/>
              </w:rPr>
            </w:pPr>
          </w:p>
        </w:tc>
      </w:tr>
      <w:tr w14:paraId="4AA5AF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2" w:hRule="atLeast"/>
          <w:jc w:val="center"/>
        </w:trPr>
        <w:tc>
          <w:tcPr>
            <w:tcW w:w="495" w:type="dxa"/>
            <w:vMerge w:val="continue"/>
            <w:tcBorders>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3B8D8B2B">
            <w:pPr>
              <w:spacing w:line="260" w:lineRule="exact"/>
              <w:jc w:val="center"/>
              <w:rPr>
                <w:rFonts w:hint="eastAsia" w:ascii="宋体" w:hAnsi="宋体" w:eastAsia="宋体" w:cs="宋体"/>
                <w:sz w:val="18"/>
                <w:szCs w:val="18"/>
              </w:rPr>
            </w:pPr>
          </w:p>
        </w:tc>
        <w:tc>
          <w:tcPr>
            <w:tcW w:w="1211" w:type="dxa"/>
            <w:vMerge w:val="continue"/>
            <w:tcBorders>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5347B553">
            <w:pPr>
              <w:spacing w:line="260" w:lineRule="exact"/>
              <w:rPr>
                <w:rFonts w:hint="eastAsia" w:ascii="宋体" w:hAnsi="宋体" w:eastAsia="宋体" w:cs="宋体"/>
                <w:color w:val="000000"/>
                <w:kern w:val="0"/>
                <w:sz w:val="18"/>
                <w:szCs w:val="18"/>
                <w:lang w:bidi="ar"/>
              </w:rPr>
            </w:pPr>
          </w:p>
        </w:tc>
        <w:tc>
          <w:tcPr>
            <w:tcW w:w="4862" w:type="dxa"/>
            <w:vMerge w:val="continue"/>
            <w:tcBorders>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2BC95D8E">
            <w:pPr>
              <w:spacing w:line="260" w:lineRule="exact"/>
              <w:ind w:firstLine="360" w:firstLineChars="200"/>
              <w:rPr>
                <w:rFonts w:hint="eastAsia" w:ascii="宋体" w:hAnsi="宋体" w:eastAsia="宋体" w:cs="宋体"/>
                <w:color w:val="000000"/>
                <w:kern w:val="0"/>
                <w:sz w:val="18"/>
                <w:szCs w:val="18"/>
                <w:lang w:bidi="ar"/>
              </w:rPr>
            </w:pPr>
          </w:p>
        </w:tc>
        <w:tc>
          <w:tcPr>
            <w:tcW w:w="1613" w:type="dxa"/>
            <w:vMerge w:val="continue"/>
            <w:tcBorders>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6DE021EA">
            <w:pPr>
              <w:spacing w:line="260" w:lineRule="exact"/>
              <w:ind w:firstLine="360" w:firstLineChars="200"/>
              <w:rPr>
                <w:rFonts w:hint="eastAsia" w:ascii="宋体" w:hAnsi="宋体" w:eastAsia="宋体" w:cs="宋体"/>
                <w:color w:val="000000"/>
                <w:kern w:val="0"/>
                <w:sz w:val="18"/>
                <w:szCs w:val="18"/>
                <w:lang w:bidi="ar"/>
              </w:rPr>
            </w:pP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3AA59FB8">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严重</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78D6E079">
            <w:pPr>
              <w:spacing w:line="260" w:lineRule="exact"/>
              <w:rPr>
                <w:rFonts w:hint="eastAsia" w:ascii="宋体" w:hAnsi="宋体" w:eastAsia="宋体" w:cs="宋体"/>
                <w:color w:val="000000"/>
                <w:sz w:val="18"/>
                <w:szCs w:val="18"/>
                <w:lang w:bidi="ar"/>
              </w:rPr>
            </w:pPr>
            <w:r>
              <w:rPr>
                <w:rStyle w:val="21"/>
                <w:rFonts w:hint="eastAsia" w:ascii="宋体" w:hAnsi="宋体" w:eastAsia="宋体" w:cs="宋体"/>
                <w:sz w:val="18"/>
                <w:szCs w:val="18"/>
                <w:lang w:bidi="ar"/>
              </w:rPr>
              <w:t>拒不停止取水行为</w:t>
            </w: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3FADD90D">
            <w:pPr>
              <w:spacing w:line="260" w:lineRule="exact"/>
              <w:rPr>
                <w:rFonts w:hint="eastAsia" w:ascii="宋体" w:hAnsi="宋体" w:eastAsia="宋体" w:cs="宋体"/>
                <w:color w:val="000000"/>
                <w:sz w:val="18"/>
                <w:szCs w:val="18"/>
                <w:lang w:bidi="ar"/>
              </w:rPr>
            </w:pPr>
            <w:r>
              <w:rPr>
                <w:rStyle w:val="21"/>
                <w:rFonts w:hint="eastAsia" w:ascii="宋体" w:hAnsi="宋体" w:eastAsia="宋体" w:cs="宋体"/>
                <w:sz w:val="18"/>
                <w:szCs w:val="18"/>
                <w:lang w:bidi="ar"/>
              </w:rPr>
              <w:t>处</w:t>
            </w:r>
            <w:r>
              <w:rPr>
                <w:rStyle w:val="21"/>
                <w:rFonts w:hint="eastAsia" w:ascii="宋体" w:hAnsi="宋体" w:eastAsia="宋体" w:cs="宋体"/>
                <w:sz w:val="18"/>
                <w:szCs w:val="18"/>
                <w:lang w:val="en-US" w:eastAsia="zh-CN" w:bidi="ar"/>
              </w:rPr>
              <w:t>9</w:t>
            </w:r>
            <w:r>
              <w:rPr>
                <w:rStyle w:val="21"/>
                <w:rFonts w:hint="eastAsia" w:ascii="宋体" w:hAnsi="宋体" w:eastAsia="宋体" w:cs="宋体"/>
                <w:sz w:val="18"/>
                <w:szCs w:val="18"/>
                <w:lang w:bidi="ar"/>
              </w:rPr>
              <w:t>万元以上</w:t>
            </w:r>
            <w:r>
              <w:rPr>
                <w:rStyle w:val="21"/>
                <w:rFonts w:hint="eastAsia" w:ascii="宋体" w:hAnsi="宋体" w:eastAsia="宋体" w:cs="宋体"/>
                <w:sz w:val="18"/>
                <w:szCs w:val="18"/>
                <w:lang w:val="en-US" w:eastAsia="zh-CN" w:bidi="ar"/>
              </w:rPr>
              <w:t>10</w:t>
            </w:r>
            <w:r>
              <w:rPr>
                <w:rStyle w:val="21"/>
                <w:rFonts w:hint="eastAsia" w:ascii="宋体" w:hAnsi="宋体" w:eastAsia="宋体" w:cs="宋体"/>
                <w:sz w:val="18"/>
                <w:szCs w:val="18"/>
                <w:lang w:bidi="ar"/>
              </w:rPr>
              <w:t>万元以下罚款</w:t>
            </w:r>
          </w:p>
        </w:tc>
        <w:tc>
          <w:tcPr>
            <w:tcW w:w="563" w:type="dxa"/>
            <w:vMerge w:val="continue"/>
            <w:tcBorders>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023264AF">
            <w:pPr>
              <w:spacing w:line="260" w:lineRule="exact"/>
              <w:rPr>
                <w:rStyle w:val="21"/>
                <w:rFonts w:hint="eastAsia" w:ascii="宋体" w:hAnsi="宋体" w:eastAsia="宋体" w:cs="宋体"/>
                <w:sz w:val="18"/>
                <w:szCs w:val="18"/>
                <w:lang w:bidi="ar"/>
              </w:rPr>
            </w:pPr>
          </w:p>
        </w:tc>
      </w:tr>
      <w:tr w14:paraId="5DB094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495" w:type="dxa"/>
            <w:vMerge w:val="restart"/>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52E3FD2C">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4</w:t>
            </w:r>
          </w:p>
        </w:tc>
        <w:tc>
          <w:tcPr>
            <w:tcW w:w="1211" w:type="dxa"/>
            <w:vMerge w:val="restart"/>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11B5E06A">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对经营洗浴、洗车等高耗水的服务行业，擅自改变用水性质、私接管道取水，擅自拆改计量设施行为的行政处罚</w:t>
            </w:r>
          </w:p>
        </w:tc>
        <w:tc>
          <w:tcPr>
            <w:tcW w:w="4862" w:type="dxa"/>
            <w:vMerge w:val="restart"/>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1B958B46">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《河北省实施〈中华人民共和国水法〉办法》第五十一条第二款 经营洗浴、洗车等高耗水的服务行业，不得擅自改变用水性质、私接管道取水，严禁擅自拆改计量设施。</w:t>
            </w:r>
          </w:p>
          <w:p w14:paraId="2D1F36FA">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第六十四条 违反本办法第五十一条第二款规定的，由县级以上人民政府水行政主管部门责令停止违法行为，限期改正，没收违法所得，并处二万元以上十万元以下的罚款。</w:t>
            </w:r>
          </w:p>
        </w:tc>
        <w:tc>
          <w:tcPr>
            <w:tcW w:w="1613" w:type="dxa"/>
            <w:vMerge w:val="restart"/>
            <w:tcBorders>
              <w:top w:val="single" w:color="auto" w:sz="4" w:space="0"/>
              <w:left w:val="single" w:color="auto" w:sz="4" w:space="0"/>
              <w:right w:val="single" w:color="auto" w:sz="4" w:space="0"/>
            </w:tcBorders>
            <w:shd w:val="clear" w:color="auto" w:fill="FFFFFF"/>
            <w:noWrap w:val="0"/>
            <w:tcMar>
              <w:top w:w="0" w:type="dxa"/>
              <w:left w:w="0" w:type="dxa"/>
              <w:bottom w:w="0" w:type="dxa"/>
              <w:right w:w="0" w:type="dxa"/>
            </w:tcMar>
            <w:vAlign w:val="center"/>
          </w:tcPr>
          <w:p w14:paraId="14925324">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经营洗浴、洗车等高耗水的服务行业，擅自改变用水性质、私接管道取水，擅自拆改计量设施的</w:t>
            </w: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77E79845">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轻微</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43DAB599">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39DA4A27">
            <w:pPr>
              <w:spacing w:line="260" w:lineRule="exact"/>
              <w:rPr>
                <w:rFonts w:hint="eastAsia" w:ascii="宋体" w:hAnsi="宋体" w:eastAsia="宋体" w:cs="宋体"/>
                <w:color w:val="auto"/>
                <w:kern w:val="2"/>
                <w:sz w:val="18"/>
                <w:szCs w:val="18"/>
                <w:u w:val="none"/>
                <w:lang w:val="en-US" w:eastAsia="zh-CN" w:bidi="ar"/>
              </w:rPr>
            </w:pP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38384B05">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2E8F91DA">
            <w:pPr>
              <w:spacing w:line="260" w:lineRule="exact"/>
              <w:rPr>
                <w:rFonts w:hint="eastAsia" w:ascii="宋体" w:hAnsi="宋体" w:eastAsia="宋体" w:cs="宋体"/>
                <w:color w:val="auto"/>
                <w:kern w:val="2"/>
                <w:sz w:val="18"/>
                <w:szCs w:val="18"/>
                <w:u w:val="none"/>
                <w:lang w:val="en-US" w:eastAsia="zh-CN" w:bidi="ar"/>
              </w:rPr>
            </w:pPr>
          </w:p>
        </w:tc>
        <w:tc>
          <w:tcPr>
            <w:tcW w:w="563" w:type="dxa"/>
            <w:vMerge w:val="restart"/>
            <w:tcBorders>
              <w:top w:val="single" w:color="auto" w:sz="4" w:space="0"/>
              <w:left w:val="single" w:color="auto" w:sz="4" w:space="0"/>
              <w:right w:val="single" w:color="auto" w:sz="4" w:space="0"/>
            </w:tcBorders>
            <w:shd w:val="clear" w:color="auto" w:fill="FFFFFF"/>
            <w:noWrap w:val="0"/>
            <w:tcMar>
              <w:top w:w="0" w:type="dxa"/>
              <w:left w:w="0" w:type="dxa"/>
              <w:bottom w:w="0" w:type="dxa"/>
              <w:right w:w="0" w:type="dxa"/>
            </w:tcMar>
            <w:vAlign w:val="center"/>
          </w:tcPr>
          <w:p w14:paraId="0CB919F7">
            <w:pPr>
              <w:spacing w:line="260" w:lineRule="exact"/>
              <w:rPr>
                <w:rStyle w:val="21"/>
                <w:rFonts w:hint="eastAsia" w:ascii="宋体" w:hAnsi="宋体" w:eastAsia="宋体" w:cs="宋体"/>
                <w:sz w:val="18"/>
                <w:szCs w:val="18"/>
                <w:lang w:bidi="ar"/>
              </w:rPr>
            </w:pPr>
          </w:p>
        </w:tc>
      </w:tr>
      <w:tr w14:paraId="7DBB4F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1052" w:hRule="atLeast"/>
          <w:jc w:val="center"/>
        </w:trPr>
        <w:tc>
          <w:tcPr>
            <w:tcW w:w="495"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2794DC36">
            <w:pPr>
              <w:spacing w:line="260" w:lineRule="exact"/>
              <w:jc w:val="center"/>
              <w:rPr>
                <w:rFonts w:hint="eastAsia" w:ascii="宋体" w:hAnsi="宋体" w:eastAsia="宋体" w:cs="宋体"/>
                <w:sz w:val="18"/>
                <w:szCs w:val="18"/>
              </w:rPr>
            </w:pPr>
          </w:p>
        </w:tc>
        <w:tc>
          <w:tcPr>
            <w:tcW w:w="1211"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359329D4">
            <w:pPr>
              <w:spacing w:line="260" w:lineRule="exact"/>
              <w:rPr>
                <w:rFonts w:hint="eastAsia" w:ascii="宋体" w:hAnsi="宋体" w:eastAsia="宋体" w:cs="宋体"/>
                <w:color w:val="000000"/>
                <w:kern w:val="0"/>
                <w:sz w:val="18"/>
                <w:szCs w:val="18"/>
                <w:lang w:bidi="ar"/>
              </w:rPr>
            </w:pPr>
          </w:p>
        </w:tc>
        <w:tc>
          <w:tcPr>
            <w:tcW w:w="4862"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0B533E57">
            <w:pPr>
              <w:spacing w:line="260" w:lineRule="exact"/>
              <w:ind w:firstLine="360" w:firstLineChars="200"/>
              <w:rPr>
                <w:rFonts w:hint="eastAsia" w:ascii="宋体" w:hAnsi="宋体" w:eastAsia="宋体" w:cs="宋体"/>
                <w:color w:val="000000"/>
                <w:kern w:val="0"/>
                <w:sz w:val="18"/>
                <w:szCs w:val="18"/>
                <w:lang w:bidi="ar"/>
              </w:rPr>
            </w:pPr>
          </w:p>
        </w:tc>
        <w:tc>
          <w:tcPr>
            <w:tcW w:w="161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00F92851">
            <w:pPr>
              <w:spacing w:line="260" w:lineRule="exact"/>
              <w:ind w:firstLine="360" w:firstLineChars="200"/>
              <w:rPr>
                <w:rFonts w:hint="eastAsia" w:ascii="宋体" w:hAnsi="宋体" w:eastAsia="宋体" w:cs="宋体"/>
                <w:color w:val="000000"/>
                <w:kern w:val="0"/>
                <w:sz w:val="18"/>
                <w:szCs w:val="18"/>
                <w:lang w:bidi="ar"/>
              </w:rPr>
            </w:pP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601A9EFD">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较轻</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2267472B">
            <w:pPr>
              <w:spacing w:line="260" w:lineRule="exact"/>
              <w:rPr>
                <w:rFonts w:hint="eastAsia" w:ascii="宋体" w:hAnsi="宋体" w:eastAsia="宋体" w:cs="宋体"/>
                <w:color w:val="000000"/>
                <w:sz w:val="18"/>
                <w:szCs w:val="18"/>
                <w:lang w:bidi="ar"/>
              </w:rPr>
            </w:pPr>
            <w:r>
              <w:rPr>
                <w:rStyle w:val="21"/>
                <w:rFonts w:hint="eastAsia" w:ascii="宋体" w:hAnsi="宋体" w:eastAsia="宋体" w:cs="宋体"/>
                <w:sz w:val="18"/>
                <w:szCs w:val="18"/>
                <w:lang w:bidi="ar"/>
              </w:rPr>
              <w:t>立即停止违法行为，在限期内改正的</w:t>
            </w: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747D9150">
            <w:pPr>
              <w:spacing w:line="260" w:lineRule="exact"/>
              <w:rPr>
                <w:rFonts w:hint="eastAsia" w:ascii="宋体" w:hAnsi="宋体" w:eastAsia="宋体" w:cs="宋体"/>
                <w:color w:val="000000"/>
                <w:sz w:val="18"/>
                <w:szCs w:val="18"/>
                <w:lang w:bidi="ar"/>
              </w:rPr>
            </w:pPr>
            <w:r>
              <w:rPr>
                <w:rStyle w:val="21"/>
                <w:rFonts w:hint="eastAsia" w:ascii="宋体" w:hAnsi="宋体" w:eastAsia="宋体" w:cs="宋体"/>
                <w:sz w:val="18"/>
                <w:szCs w:val="18"/>
                <w:lang w:bidi="ar"/>
              </w:rPr>
              <w:t>没收违法所得，并处</w:t>
            </w:r>
            <w:r>
              <w:rPr>
                <w:rStyle w:val="21"/>
                <w:rFonts w:hint="eastAsia" w:ascii="宋体" w:hAnsi="宋体" w:eastAsia="宋体" w:cs="宋体"/>
                <w:sz w:val="18"/>
                <w:szCs w:val="18"/>
                <w:lang w:val="en-US" w:eastAsia="zh-CN" w:bidi="ar"/>
              </w:rPr>
              <w:t>2</w:t>
            </w:r>
            <w:r>
              <w:rPr>
                <w:rStyle w:val="21"/>
                <w:rFonts w:hint="eastAsia" w:ascii="宋体" w:hAnsi="宋体" w:eastAsia="宋体" w:cs="宋体"/>
                <w:sz w:val="18"/>
                <w:szCs w:val="18"/>
                <w:lang w:bidi="ar"/>
              </w:rPr>
              <w:t>万元以上</w:t>
            </w:r>
            <w:r>
              <w:rPr>
                <w:rStyle w:val="21"/>
                <w:rFonts w:hint="eastAsia" w:ascii="宋体" w:hAnsi="宋体" w:eastAsia="宋体" w:cs="宋体"/>
                <w:sz w:val="18"/>
                <w:szCs w:val="18"/>
                <w:lang w:val="en-US" w:eastAsia="zh-CN" w:bidi="ar"/>
              </w:rPr>
              <w:t>3</w:t>
            </w:r>
            <w:r>
              <w:rPr>
                <w:rStyle w:val="21"/>
                <w:rFonts w:hint="eastAsia" w:ascii="宋体" w:hAnsi="宋体" w:eastAsia="宋体" w:cs="宋体"/>
                <w:sz w:val="18"/>
                <w:szCs w:val="18"/>
                <w:lang w:bidi="ar"/>
              </w:rPr>
              <w:t>万元以下罚款</w:t>
            </w:r>
          </w:p>
        </w:tc>
        <w:tc>
          <w:tcPr>
            <w:tcW w:w="56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7D5C18EF">
            <w:pPr>
              <w:spacing w:line="260" w:lineRule="exact"/>
              <w:rPr>
                <w:rStyle w:val="21"/>
                <w:rFonts w:hint="eastAsia" w:ascii="宋体" w:hAnsi="宋体" w:eastAsia="宋体" w:cs="宋体"/>
                <w:sz w:val="18"/>
                <w:szCs w:val="18"/>
                <w:lang w:bidi="ar"/>
              </w:rPr>
            </w:pPr>
          </w:p>
        </w:tc>
      </w:tr>
      <w:tr w14:paraId="44221B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1090" w:hRule="atLeast"/>
          <w:jc w:val="center"/>
        </w:trPr>
        <w:tc>
          <w:tcPr>
            <w:tcW w:w="495"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7D622E5E">
            <w:pPr>
              <w:spacing w:line="260" w:lineRule="exact"/>
              <w:jc w:val="center"/>
              <w:rPr>
                <w:rFonts w:hint="eastAsia" w:ascii="宋体" w:hAnsi="宋体" w:eastAsia="宋体" w:cs="宋体"/>
                <w:sz w:val="18"/>
                <w:szCs w:val="18"/>
              </w:rPr>
            </w:pPr>
          </w:p>
        </w:tc>
        <w:tc>
          <w:tcPr>
            <w:tcW w:w="1211"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152A329A">
            <w:pPr>
              <w:spacing w:line="260" w:lineRule="exact"/>
              <w:rPr>
                <w:rFonts w:hint="eastAsia" w:ascii="宋体" w:hAnsi="宋体" w:eastAsia="宋体" w:cs="宋体"/>
                <w:color w:val="000000"/>
                <w:kern w:val="0"/>
                <w:sz w:val="18"/>
                <w:szCs w:val="18"/>
                <w:lang w:bidi="ar"/>
              </w:rPr>
            </w:pPr>
          </w:p>
        </w:tc>
        <w:tc>
          <w:tcPr>
            <w:tcW w:w="4862"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71A4CBE2">
            <w:pPr>
              <w:spacing w:line="260" w:lineRule="exact"/>
              <w:ind w:firstLine="360" w:firstLineChars="200"/>
              <w:rPr>
                <w:rFonts w:hint="eastAsia" w:ascii="宋体" w:hAnsi="宋体" w:eastAsia="宋体" w:cs="宋体"/>
                <w:color w:val="000000"/>
                <w:kern w:val="0"/>
                <w:sz w:val="18"/>
                <w:szCs w:val="18"/>
                <w:lang w:bidi="ar"/>
              </w:rPr>
            </w:pPr>
          </w:p>
        </w:tc>
        <w:tc>
          <w:tcPr>
            <w:tcW w:w="161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08DE6D0F">
            <w:pPr>
              <w:spacing w:line="260" w:lineRule="exact"/>
              <w:ind w:firstLine="360" w:firstLineChars="200"/>
              <w:rPr>
                <w:rFonts w:hint="eastAsia" w:ascii="宋体" w:hAnsi="宋体" w:eastAsia="宋体" w:cs="宋体"/>
                <w:color w:val="000000"/>
                <w:kern w:val="0"/>
                <w:sz w:val="18"/>
                <w:szCs w:val="18"/>
                <w:lang w:bidi="ar"/>
              </w:rPr>
            </w:pP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7838A041">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一般</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47B7C94D">
            <w:pPr>
              <w:spacing w:line="260" w:lineRule="exact"/>
              <w:rPr>
                <w:rFonts w:hint="eastAsia" w:ascii="宋体" w:hAnsi="宋体" w:eastAsia="宋体" w:cs="宋体"/>
                <w:color w:val="000000"/>
                <w:sz w:val="18"/>
                <w:szCs w:val="18"/>
                <w:lang w:bidi="ar"/>
              </w:rPr>
            </w:pPr>
            <w:r>
              <w:rPr>
                <w:rStyle w:val="21"/>
                <w:rFonts w:hint="eastAsia" w:ascii="宋体" w:hAnsi="宋体" w:eastAsia="宋体" w:cs="宋体"/>
                <w:sz w:val="18"/>
                <w:szCs w:val="18"/>
                <w:lang w:bidi="ar"/>
              </w:rPr>
              <w:t>立即停止违法行为，但未在限期内改正的</w:t>
            </w: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4A2C8CEE">
            <w:pPr>
              <w:spacing w:line="260" w:lineRule="exact"/>
              <w:rPr>
                <w:rFonts w:hint="eastAsia" w:ascii="宋体" w:hAnsi="宋体" w:eastAsia="宋体" w:cs="宋体"/>
                <w:color w:val="000000"/>
                <w:sz w:val="18"/>
                <w:szCs w:val="18"/>
                <w:lang w:bidi="ar"/>
              </w:rPr>
            </w:pPr>
            <w:r>
              <w:rPr>
                <w:rStyle w:val="21"/>
                <w:rFonts w:hint="eastAsia" w:ascii="宋体" w:hAnsi="宋体" w:eastAsia="宋体" w:cs="宋体"/>
                <w:sz w:val="18"/>
                <w:szCs w:val="18"/>
                <w:lang w:bidi="ar"/>
              </w:rPr>
              <w:t>没收违法所得，并处</w:t>
            </w:r>
            <w:r>
              <w:rPr>
                <w:rStyle w:val="21"/>
                <w:rFonts w:hint="eastAsia" w:ascii="宋体" w:hAnsi="宋体" w:eastAsia="宋体" w:cs="宋体"/>
                <w:sz w:val="18"/>
                <w:szCs w:val="18"/>
                <w:lang w:val="en-US" w:eastAsia="zh-CN" w:bidi="ar"/>
              </w:rPr>
              <w:t>3</w:t>
            </w:r>
            <w:r>
              <w:rPr>
                <w:rStyle w:val="21"/>
                <w:rFonts w:hint="eastAsia" w:ascii="宋体" w:hAnsi="宋体" w:eastAsia="宋体" w:cs="宋体"/>
                <w:sz w:val="18"/>
                <w:szCs w:val="18"/>
                <w:lang w:bidi="ar"/>
              </w:rPr>
              <w:t>万元以上</w:t>
            </w:r>
            <w:r>
              <w:rPr>
                <w:rStyle w:val="21"/>
                <w:rFonts w:hint="eastAsia" w:ascii="宋体" w:hAnsi="宋体" w:eastAsia="宋体" w:cs="宋体"/>
                <w:sz w:val="18"/>
                <w:szCs w:val="18"/>
                <w:lang w:val="en-US" w:eastAsia="zh-CN" w:bidi="ar"/>
              </w:rPr>
              <w:t>6</w:t>
            </w:r>
            <w:r>
              <w:rPr>
                <w:rStyle w:val="21"/>
                <w:rFonts w:hint="eastAsia" w:ascii="宋体" w:hAnsi="宋体" w:eastAsia="宋体" w:cs="宋体"/>
                <w:sz w:val="18"/>
                <w:szCs w:val="18"/>
                <w:lang w:bidi="ar"/>
              </w:rPr>
              <w:t>万以下罚款</w:t>
            </w:r>
          </w:p>
        </w:tc>
        <w:tc>
          <w:tcPr>
            <w:tcW w:w="56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43FEFA19">
            <w:pPr>
              <w:spacing w:line="260" w:lineRule="exact"/>
              <w:rPr>
                <w:rStyle w:val="21"/>
                <w:rFonts w:hint="eastAsia" w:ascii="宋体" w:hAnsi="宋体" w:eastAsia="宋体" w:cs="宋体"/>
                <w:sz w:val="18"/>
                <w:szCs w:val="18"/>
                <w:lang w:bidi="ar"/>
              </w:rPr>
            </w:pPr>
          </w:p>
        </w:tc>
      </w:tr>
      <w:tr w14:paraId="3ABED3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9" w:hRule="atLeast"/>
          <w:jc w:val="center"/>
        </w:trPr>
        <w:tc>
          <w:tcPr>
            <w:tcW w:w="495"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68BB52A7">
            <w:pPr>
              <w:spacing w:line="260" w:lineRule="exact"/>
              <w:jc w:val="center"/>
              <w:rPr>
                <w:rFonts w:hint="eastAsia" w:ascii="宋体" w:hAnsi="宋体" w:eastAsia="宋体" w:cs="宋体"/>
                <w:sz w:val="18"/>
                <w:szCs w:val="18"/>
              </w:rPr>
            </w:pPr>
          </w:p>
        </w:tc>
        <w:tc>
          <w:tcPr>
            <w:tcW w:w="1211"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2854CE0B">
            <w:pPr>
              <w:spacing w:line="260" w:lineRule="exact"/>
              <w:rPr>
                <w:rFonts w:hint="eastAsia" w:ascii="宋体" w:hAnsi="宋体" w:eastAsia="宋体" w:cs="宋体"/>
                <w:color w:val="000000"/>
                <w:kern w:val="0"/>
                <w:sz w:val="18"/>
                <w:szCs w:val="18"/>
                <w:lang w:bidi="ar"/>
              </w:rPr>
            </w:pPr>
          </w:p>
        </w:tc>
        <w:tc>
          <w:tcPr>
            <w:tcW w:w="4862"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750E4DB6">
            <w:pPr>
              <w:spacing w:line="260" w:lineRule="exact"/>
              <w:ind w:firstLine="360" w:firstLineChars="200"/>
              <w:rPr>
                <w:rFonts w:hint="eastAsia" w:ascii="宋体" w:hAnsi="宋体" w:eastAsia="宋体" w:cs="宋体"/>
                <w:color w:val="000000"/>
                <w:kern w:val="0"/>
                <w:sz w:val="18"/>
                <w:szCs w:val="18"/>
                <w:lang w:bidi="ar"/>
              </w:rPr>
            </w:pPr>
          </w:p>
        </w:tc>
        <w:tc>
          <w:tcPr>
            <w:tcW w:w="161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2447832F">
            <w:pPr>
              <w:spacing w:line="260" w:lineRule="exact"/>
              <w:ind w:firstLine="360" w:firstLineChars="200"/>
              <w:rPr>
                <w:rFonts w:hint="eastAsia" w:ascii="宋体" w:hAnsi="宋体" w:eastAsia="宋体" w:cs="宋体"/>
                <w:color w:val="000000"/>
                <w:kern w:val="0"/>
                <w:sz w:val="18"/>
                <w:szCs w:val="18"/>
                <w:lang w:bidi="ar"/>
              </w:rPr>
            </w:pP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70A9EBE3">
            <w:pPr>
              <w:spacing w:line="260" w:lineRule="exact"/>
              <w:jc w:val="center"/>
              <w:rPr>
                <w:rFonts w:hint="eastAsia" w:ascii="宋体" w:hAnsi="宋体" w:eastAsia="宋体" w:cs="宋体"/>
                <w:sz w:val="18"/>
                <w:szCs w:val="18"/>
                <w:lang w:eastAsia="zh-CN"/>
              </w:rPr>
            </w:pPr>
            <w:r>
              <w:rPr>
                <w:rFonts w:hint="eastAsia" w:ascii="宋体" w:hAnsi="宋体" w:eastAsia="宋体" w:cs="宋体"/>
                <w:sz w:val="18"/>
                <w:szCs w:val="18"/>
                <w:lang w:eastAsia="zh-CN"/>
              </w:rPr>
              <w:t>较重</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4047A242">
            <w:pPr>
              <w:spacing w:line="260" w:lineRule="exact"/>
              <w:rPr>
                <w:rFonts w:hint="eastAsia" w:ascii="宋体" w:hAnsi="宋体" w:eastAsia="宋体" w:cs="宋体"/>
                <w:color w:val="000000"/>
                <w:sz w:val="18"/>
                <w:szCs w:val="18"/>
                <w:lang w:bidi="ar"/>
              </w:rPr>
            </w:pPr>
            <w:r>
              <w:rPr>
                <w:rStyle w:val="21"/>
                <w:rFonts w:hint="eastAsia" w:ascii="宋体" w:hAnsi="宋体" w:eastAsia="宋体" w:cs="宋体"/>
                <w:sz w:val="18"/>
                <w:szCs w:val="18"/>
                <w:lang w:bidi="ar"/>
              </w:rPr>
              <w:t>未立即停止违法行为，在限期内改正的</w:t>
            </w: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75072EA4">
            <w:pPr>
              <w:spacing w:line="260" w:lineRule="exact"/>
              <w:rPr>
                <w:rFonts w:hint="eastAsia" w:ascii="宋体" w:hAnsi="宋体" w:eastAsia="宋体" w:cs="宋体"/>
                <w:color w:val="000000"/>
                <w:sz w:val="18"/>
                <w:szCs w:val="18"/>
                <w:lang w:bidi="ar"/>
              </w:rPr>
            </w:pPr>
            <w:r>
              <w:rPr>
                <w:rStyle w:val="21"/>
                <w:rFonts w:hint="eastAsia" w:ascii="宋体" w:hAnsi="宋体" w:eastAsia="宋体" w:cs="宋体"/>
                <w:sz w:val="18"/>
                <w:szCs w:val="18"/>
                <w:lang w:bidi="ar"/>
              </w:rPr>
              <w:t>没收违法所得，并处</w:t>
            </w:r>
            <w:r>
              <w:rPr>
                <w:rStyle w:val="21"/>
                <w:rFonts w:hint="eastAsia" w:ascii="宋体" w:hAnsi="宋体" w:eastAsia="宋体" w:cs="宋体"/>
                <w:sz w:val="18"/>
                <w:szCs w:val="18"/>
                <w:lang w:val="en-US" w:eastAsia="zh-CN" w:bidi="ar"/>
              </w:rPr>
              <w:t>6</w:t>
            </w:r>
            <w:r>
              <w:rPr>
                <w:rStyle w:val="21"/>
                <w:rFonts w:hint="eastAsia" w:ascii="宋体" w:hAnsi="宋体" w:eastAsia="宋体" w:cs="宋体"/>
                <w:sz w:val="18"/>
                <w:szCs w:val="18"/>
                <w:lang w:bidi="ar"/>
              </w:rPr>
              <w:t>万元以上</w:t>
            </w:r>
            <w:r>
              <w:rPr>
                <w:rStyle w:val="21"/>
                <w:rFonts w:hint="eastAsia" w:ascii="宋体" w:hAnsi="宋体" w:eastAsia="宋体" w:cs="宋体"/>
                <w:sz w:val="18"/>
                <w:szCs w:val="18"/>
                <w:lang w:val="en-US" w:eastAsia="zh-CN" w:bidi="ar"/>
              </w:rPr>
              <w:t>9</w:t>
            </w:r>
            <w:r>
              <w:rPr>
                <w:rStyle w:val="21"/>
                <w:rFonts w:hint="eastAsia" w:ascii="宋体" w:hAnsi="宋体" w:eastAsia="宋体" w:cs="宋体"/>
                <w:sz w:val="18"/>
                <w:szCs w:val="18"/>
                <w:lang w:bidi="ar"/>
              </w:rPr>
              <w:t>万元以下罚款</w:t>
            </w:r>
          </w:p>
        </w:tc>
        <w:tc>
          <w:tcPr>
            <w:tcW w:w="56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03B0172A">
            <w:pPr>
              <w:spacing w:line="260" w:lineRule="exact"/>
              <w:rPr>
                <w:rStyle w:val="21"/>
                <w:rFonts w:hint="eastAsia" w:ascii="宋体" w:hAnsi="宋体" w:eastAsia="宋体" w:cs="宋体"/>
                <w:sz w:val="18"/>
                <w:szCs w:val="18"/>
                <w:lang w:bidi="ar"/>
              </w:rPr>
            </w:pPr>
          </w:p>
        </w:tc>
      </w:tr>
      <w:tr w14:paraId="7D1BF2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1076" w:hRule="atLeast"/>
          <w:jc w:val="center"/>
        </w:trPr>
        <w:tc>
          <w:tcPr>
            <w:tcW w:w="495" w:type="dxa"/>
            <w:vMerge w:val="continue"/>
            <w:tcBorders>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473ED7D9">
            <w:pPr>
              <w:spacing w:line="260" w:lineRule="exact"/>
              <w:jc w:val="center"/>
              <w:rPr>
                <w:rFonts w:hint="eastAsia" w:ascii="宋体" w:hAnsi="宋体" w:eastAsia="宋体" w:cs="宋体"/>
                <w:sz w:val="18"/>
                <w:szCs w:val="18"/>
              </w:rPr>
            </w:pPr>
          </w:p>
        </w:tc>
        <w:tc>
          <w:tcPr>
            <w:tcW w:w="1211" w:type="dxa"/>
            <w:vMerge w:val="continue"/>
            <w:tcBorders>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14E0F3EE">
            <w:pPr>
              <w:spacing w:line="260" w:lineRule="exact"/>
              <w:rPr>
                <w:rFonts w:hint="eastAsia" w:ascii="宋体" w:hAnsi="宋体" w:eastAsia="宋体" w:cs="宋体"/>
                <w:color w:val="000000"/>
                <w:kern w:val="0"/>
                <w:sz w:val="18"/>
                <w:szCs w:val="18"/>
                <w:lang w:bidi="ar"/>
              </w:rPr>
            </w:pPr>
          </w:p>
        </w:tc>
        <w:tc>
          <w:tcPr>
            <w:tcW w:w="4862" w:type="dxa"/>
            <w:vMerge w:val="continue"/>
            <w:tcBorders>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2FB29076">
            <w:pPr>
              <w:spacing w:line="260" w:lineRule="exact"/>
              <w:ind w:firstLine="360" w:firstLineChars="200"/>
              <w:rPr>
                <w:rFonts w:hint="eastAsia" w:ascii="宋体" w:hAnsi="宋体" w:eastAsia="宋体" w:cs="宋体"/>
                <w:color w:val="000000"/>
                <w:kern w:val="0"/>
                <w:sz w:val="18"/>
                <w:szCs w:val="18"/>
                <w:lang w:bidi="ar"/>
              </w:rPr>
            </w:pPr>
          </w:p>
        </w:tc>
        <w:tc>
          <w:tcPr>
            <w:tcW w:w="1613" w:type="dxa"/>
            <w:vMerge w:val="continue"/>
            <w:tcBorders>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7A78428B">
            <w:pPr>
              <w:spacing w:line="260" w:lineRule="exact"/>
              <w:ind w:firstLine="360" w:firstLineChars="200"/>
              <w:rPr>
                <w:rFonts w:hint="eastAsia" w:ascii="宋体" w:hAnsi="宋体" w:eastAsia="宋体" w:cs="宋体"/>
                <w:color w:val="000000"/>
                <w:kern w:val="0"/>
                <w:sz w:val="18"/>
                <w:szCs w:val="18"/>
                <w:lang w:bidi="ar"/>
              </w:rPr>
            </w:pP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17F87646">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严重</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6ED031EC">
            <w:pPr>
              <w:spacing w:line="260" w:lineRule="exact"/>
              <w:rPr>
                <w:rFonts w:hint="eastAsia" w:ascii="宋体" w:hAnsi="宋体" w:eastAsia="宋体" w:cs="宋体"/>
                <w:color w:val="000000"/>
                <w:sz w:val="18"/>
                <w:szCs w:val="18"/>
                <w:lang w:bidi="ar"/>
              </w:rPr>
            </w:pPr>
            <w:r>
              <w:rPr>
                <w:rStyle w:val="21"/>
                <w:rFonts w:hint="eastAsia" w:ascii="宋体" w:hAnsi="宋体" w:eastAsia="宋体" w:cs="宋体"/>
                <w:sz w:val="18"/>
                <w:szCs w:val="18"/>
                <w:lang w:bidi="ar"/>
              </w:rPr>
              <w:t>违法行为人拒不停止违法行为，或者在一年内实施同一违法行为两次以上（含两次）的</w:t>
            </w: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24FDAA8F">
            <w:pPr>
              <w:spacing w:line="260" w:lineRule="exact"/>
              <w:rPr>
                <w:rFonts w:hint="eastAsia" w:ascii="宋体" w:hAnsi="宋体" w:eastAsia="宋体" w:cs="宋体"/>
                <w:color w:val="000000"/>
                <w:sz w:val="18"/>
                <w:szCs w:val="18"/>
                <w:lang w:bidi="ar"/>
              </w:rPr>
            </w:pPr>
            <w:r>
              <w:rPr>
                <w:rStyle w:val="21"/>
                <w:rFonts w:hint="eastAsia" w:ascii="宋体" w:hAnsi="宋体" w:eastAsia="宋体" w:cs="宋体"/>
                <w:sz w:val="18"/>
                <w:szCs w:val="18"/>
                <w:lang w:bidi="ar"/>
              </w:rPr>
              <w:t>没收违法所得，并处</w:t>
            </w:r>
            <w:r>
              <w:rPr>
                <w:rStyle w:val="21"/>
                <w:rFonts w:hint="eastAsia" w:ascii="宋体" w:hAnsi="宋体" w:eastAsia="宋体" w:cs="宋体"/>
                <w:sz w:val="18"/>
                <w:szCs w:val="18"/>
                <w:lang w:val="en-US" w:eastAsia="zh-CN" w:bidi="ar"/>
              </w:rPr>
              <w:t>9</w:t>
            </w:r>
            <w:r>
              <w:rPr>
                <w:rStyle w:val="21"/>
                <w:rFonts w:hint="eastAsia" w:ascii="宋体" w:hAnsi="宋体" w:eastAsia="宋体" w:cs="宋体"/>
                <w:sz w:val="18"/>
                <w:szCs w:val="18"/>
                <w:lang w:bidi="ar"/>
              </w:rPr>
              <w:t>万元以上</w:t>
            </w:r>
            <w:r>
              <w:rPr>
                <w:rStyle w:val="21"/>
                <w:rFonts w:hint="eastAsia" w:ascii="宋体" w:hAnsi="宋体" w:eastAsia="宋体" w:cs="宋体"/>
                <w:sz w:val="18"/>
                <w:szCs w:val="18"/>
                <w:lang w:val="en-US" w:eastAsia="zh-CN" w:bidi="ar"/>
              </w:rPr>
              <w:t>10</w:t>
            </w:r>
            <w:r>
              <w:rPr>
                <w:rStyle w:val="21"/>
                <w:rFonts w:hint="eastAsia" w:ascii="宋体" w:hAnsi="宋体" w:eastAsia="宋体" w:cs="宋体"/>
                <w:sz w:val="18"/>
                <w:szCs w:val="18"/>
                <w:lang w:bidi="ar"/>
              </w:rPr>
              <w:t>万元以下罚款</w:t>
            </w:r>
          </w:p>
        </w:tc>
        <w:tc>
          <w:tcPr>
            <w:tcW w:w="563" w:type="dxa"/>
            <w:vMerge w:val="continue"/>
            <w:tcBorders>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213E2524">
            <w:pPr>
              <w:spacing w:line="260" w:lineRule="exact"/>
              <w:rPr>
                <w:rStyle w:val="21"/>
                <w:rFonts w:hint="eastAsia" w:ascii="宋体" w:hAnsi="宋体" w:eastAsia="宋体" w:cs="宋体"/>
                <w:sz w:val="18"/>
                <w:szCs w:val="18"/>
                <w:lang w:bidi="ar"/>
              </w:rPr>
            </w:pPr>
          </w:p>
        </w:tc>
      </w:tr>
      <w:tr w14:paraId="3158BC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454" w:hRule="atLeast"/>
          <w:jc w:val="center"/>
        </w:trPr>
        <w:tc>
          <w:tcPr>
            <w:tcW w:w="495" w:type="dxa"/>
            <w:vMerge w:val="restart"/>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6A99D51A">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5</w:t>
            </w:r>
          </w:p>
        </w:tc>
        <w:tc>
          <w:tcPr>
            <w:tcW w:w="1211" w:type="dxa"/>
            <w:vMerge w:val="restart"/>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47B80B70">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对拒不执行审批机关作出的取水量限制决定或者未经批准擅自转让取水权行为的行政处罚</w:t>
            </w:r>
          </w:p>
        </w:tc>
        <w:tc>
          <w:tcPr>
            <w:tcW w:w="4862" w:type="dxa"/>
            <w:vMerge w:val="restart"/>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1F48C104">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《取水许可和水资源费征收管理条例》第五十一条 拒不执行审批机关作出的取水量限制决定，或者未经批准擅自转让取水权的，责令停止违法行为，限期改正，处2万元以上10万元以下罚款；逾期拒不改正或者情节严重的，吊销取水许可证。</w:t>
            </w:r>
          </w:p>
        </w:tc>
        <w:tc>
          <w:tcPr>
            <w:tcW w:w="1613" w:type="dxa"/>
            <w:vMerge w:val="restart"/>
            <w:tcBorders>
              <w:top w:val="single" w:color="auto" w:sz="4" w:space="0"/>
              <w:left w:val="single" w:color="auto" w:sz="4" w:space="0"/>
              <w:right w:val="single" w:color="auto" w:sz="4" w:space="0"/>
            </w:tcBorders>
            <w:shd w:val="clear" w:color="auto" w:fill="FFFFFF"/>
            <w:noWrap w:val="0"/>
            <w:tcMar>
              <w:top w:w="0" w:type="dxa"/>
              <w:left w:w="0" w:type="dxa"/>
              <w:bottom w:w="0" w:type="dxa"/>
              <w:right w:w="0" w:type="dxa"/>
            </w:tcMar>
            <w:vAlign w:val="center"/>
          </w:tcPr>
          <w:p w14:paraId="23F204B6">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拒不执行审批机关作出的取水量限制决定，或者未经批准擅自转让取水权的</w:t>
            </w: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6CA7A11D">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轻微</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1B24187F">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4148201E">
            <w:pPr>
              <w:spacing w:line="260" w:lineRule="exact"/>
              <w:rPr>
                <w:rStyle w:val="21"/>
                <w:rFonts w:hint="eastAsia" w:ascii="宋体" w:hAnsi="宋体" w:eastAsia="宋体" w:cs="宋体"/>
                <w:sz w:val="18"/>
                <w:szCs w:val="18"/>
                <w:lang w:bidi="ar"/>
              </w:rPr>
            </w:pP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7A16E8A3">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6A17310E">
            <w:pPr>
              <w:spacing w:line="260" w:lineRule="exact"/>
              <w:rPr>
                <w:rStyle w:val="21"/>
                <w:rFonts w:hint="eastAsia" w:ascii="宋体" w:hAnsi="宋体" w:eastAsia="宋体" w:cs="宋体"/>
                <w:sz w:val="18"/>
                <w:szCs w:val="18"/>
                <w:lang w:bidi="ar"/>
              </w:rPr>
            </w:pPr>
          </w:p>
        </w:tc>
        <w:tc>
          <w:tcPr>
            <w:tcW w:w="563" w:type="dxa"/>
            <w:vMerge w:val="restart"/>
            <w:tcBorders>
              <w:top w:val="single" w:color="auto" w:sz="4" w:space="0"/>
              <w:left w:val="single" w:color="auto" w:sz="4" w:space="0"/>
              <w:right w:val="single" w:color="auto" w:sz="4" w:space="0"/>
            </w:tcBorders>
            <w:shd w:val="clear" w:color="auto" w:fill="FFFFFF"/>
            <w:noWrap w:val="0"/>
            <w:tcMar>
              <w:top w:w="0" w:type="dxa"/>
              <w:left w:w="0" w:type="dxa"/>
              <w:bottom w:w="0" w:type="dxa"/>
              <w:right w:w="0" w:type="dxa"/>
            </w:tcMar>
            <w:vAlign w:val="center"/>
          </w:tcPr>
          <w:p w14:paraId="1A9D022A">
            <w:pPr>
              <w:spacing w:line="260" w:lineRule="exact"/>
              <w:rPr>
                <w:rStyle w:val="21"/>
                <w:rFonts w:hint="eastAsia" w:ascii="宋体" w:hAnsi="宋体" w:eastAsia="宋体" w:cs="宋体"/>
                <w:sz w:val="18"/>
                <w:szCs w:val="18"/>
                <w:lang w:bidi="ar"/>
              </w:rPr>
            </w:pPr>
          </w:p>
        </w:tc>
      </w:tr>
      <w:tr w14:paraId="62CA2A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95"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225BCF30">
            <w:pPr>
              <w:spacing w:line="260" w:lineRule="exact"/>
              <w:jc w:val="center"/>
              <w:rPr>
                <w:rFonts w:hint="eastAsia" w:ascii="宋体" w:hAnsi="宋体" w:eastAsia="宋体" w:cs="宋体"/>
                <w:sz w:val="18"/>
                <w:szCs w:val="18"/>
              </w:rPr>
            </w:pPr>
          </w:p>
        </w:tc>
        <w:tc>
          <w:tcPr>
            <w:tcW w:w="1211"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61574CAF">
            <w:pPr>
              <w:spacing w:line="260" w:lineRule="exact"/>
              <w:rPr>
                <w:rFonts w:hint="eastAsia" w:ascii="宋体" w:hAnsi="宋体" w:eastAsia="宋体" w:cs="宋体"/>
                <w:color w:val="000000"/>
                <w:kern w:val="0"/>
                <w:sz w:val="18"/>
                <w:szCs w:val="18"/>
                <w:lang w:bidi="ar"/>
              </w:rPr>
            </w:pPr>
          </w:p>
        </w:tc>
        <w:tc>
          <w:tcPr>
            <w:tcW w:w="4862"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565DAA4F">
            <w:pPr>
              <w:spacing w:line="260" w:lineRule="exact"/>
              <w:ind w:firstLine="360" w:firstLineChars="200"/>
              <w:rPr>
                <w:rFonts w:hint="eastAsia" w:ascii="宋体" w:hAnsi="宋体" w:eastAsia="宋体" w:cs="宋体"/>
                <w:color w:val="000000"/>
                <w:kern w:val="0"/>
                <w:sz w:val="18"/>
                <w:szCs w:val="18"/>
                <w:lang w:bidi="ar"/>
              </w:rPr>
            </w:pPr>
          </w:p>
        </w:tc>
        <w:tc>
          <w:tcPr>
            <w:tcW w:w="161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663022F4">
            <w:pPr>
              <w:spacing w:line="260" w:lineRule="exact"/>
              <w:ind w:firstLine="360" w:firstLineChars="200"/>
              <w:rPr>
                <w:rFonts w:hint="eastAsia" w:ascii="宋体" w:hAnsi="宋体" w:eastAsia="宋体" w:cs="宋体"/>
                <w:color w:val="000000"/>
                <w:kern w:val="0"/>
                <w:sz w:val="18"/>
                <w:szCs w:val="18"/>
                <w:lang w:bidi="ar"/>
              </w:rPr>
            </w:pP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4391691A">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较轻</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730ECD4D">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046CD9B6">
            <w:pPr>
              <w:spacing w:line="260" w:lineRule="exact"/>
              <w:rPr>
                <w:rStyle w:val="21"/>
                <w:rFonts w:hint="eastAsia" w:ascii="宋体" w:hAnsi="宋体" w:eastAsia="宋体" w:cs="宋体"/>
                <w:sz w:val="18"/>
                <w:szCs w:val="18"/>
                <w:lang w:bidi="ar"/>
              </w:rPr>
            </w:pP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43D63C9F">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7D2811C3">
            <w:pPr>
              <w:spacing w:line="260" w:lineRule="exact"/>
              <w:rPr>
                <w:rStyle w:val="21"/>
                <w:rFonts w:hint="eastAsia" w:ascii="宋体" w:hAnsi="宋体" w:eastAsia="宋体" w:cs="宋体"/>
                <w:sz w:val="18"/>
                <w:szCs w:val="18"/>
                <w:lang w:bidi="ar"/>
              </w:rPr>
            </w:pPr>
          </w:p>
        </w:tc>
        <w:tc>
          <w:tcPr>
            <w:tcW w:w="56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3A457B5C">
            <w:pPr>
              <w:spacing w:line="260" w:lineRule="exact"/>
              <w:rPr>
                <w:rStyle w:val="21"/>
                <w:rFonts w:hint="eastAsia" w:ascii="宋体" w:hAnsi="宋体" w:eastAsia="宋体" w:cs="宋体"/>
                <w:sz w:val="18"/>
                <w:szCs w:val="18"/>
                <w:lang w:bidi="ar"/>
              </w:rPr>
            </w:pPr>
          </w:p>
        </w:tc>
      </w:tr>
      <w:tr w14:paraId="39E1EE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2" w:hRule="atLeast"/>
          <w:jc w:val="center"/>
        </w:trPr>
        <w:tc>
          <w:tcPr>
            <w:tcW w:w="495"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6BA64C6A">
            <w:pPr>
              <w:spacing w:line="260" w:lineRule="exact"/>
              <w:jc w:val="center"/>
              <w:rPr>
                <w:rFonts w:hint="eastAsia" w:ascii="宋体" w:hAnsi="宋体" w:eastAsia="宋体" w:cs="宋体"/>
                <w:sz w:val="18"/>
                <w:szCs w:val="18"/>
              </w:rPr>
            </w:pPr>
          </w:p>
        </w:tc>
        <w:tc>
          <w:tcPr>
            <w:tcW w:w="1211"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010602ED">
            <w:pPr>
              <w:spacing w:line="260" w:lineRule="exact"/>
              <w:rPr>
                <w:rFonts w:hint="eastAsia" w:ascii="宋体" w:hAnsi="宋体" w:eastAsia="宋体" w:cs="宋体"/>
                <w:color w:val="000000"/>
                <w:kern w:val="0"/>
                <w:sz w:val="18"/>
                <w:szCs w:val="18"/>
                <w:lang w:bidi="ar"/>
              </w:rPr>
            </w:pPr>
          </w:p>
        </w:tc>
        <w:tc>
          <w:tcPr>
            <w:tcW w:w="4862"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495A7CC8">
            <w:pPr>
              <w:spacing w:line="260" w:lineRule="exact"/>
              <w:ind w:firstLine="360" w:firstLineChars="200"/>
              <w:rPr>
                <w:rFonts w:hint="eastAsia" w:ascii="宋体" w:hAnsi="宋体" w:eastAsia="宋体" w:cs="宋体"/>
                <w:color w:val="000000"/>
                <w:kern w:val="0"/>
                <w:sz w:val="18"/>
                <w:szCs w:val="18"/>
                <w:lang w:bidi="ar"/>
              </w:rPr>
            </w:pPr>
          </w:p>
        </w:tc>
        <w:tc>
          <w:tcPr>
            <w:tcW w:w="161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507755FD">
            <w:pPr>
              <w:spacing w:line="260" w:lineRule="exact"/>
              <w:ind w:firstLine="360" w:firstLineChars="200"/>
              <w:rPr>
                <w:rFonts w:hint="eastAsia" w:ascii="宋体" w:hAnsi="宋体" w:eastAsia="宋体" w:cs="宋体"/>
                <w:color w:val="000000"/>
                <w:kern w:val="0"/>
                <w:sz w:val="18"/>
                <w:szCs w:val="18"/>
                <w:lang w:bidi="ar"/>
              </w:rPr>
            </w:pP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166027A0">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一般</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2F4FF135">
            <w:pPr>
              <w:spacing w:line="260" w:lineRule="exact"/>
              <w:rPr>
                <w:rFonts w:hint="eastAsia" w:ascii="宋体" w:hAnsi="宋体" w:eastAsia="宋体" w:cs="宋体"/>
                <w:color w:val="000000"/>
                <w:sz w:val="18"/>
                <w:szCs w:val="18"/>
                <w:lang w:bidi="ar"/>
              </w:rPr>
            </w:pPr>
            <w:r>
              <w:rPr>
                <w:rStyle w:val="21"/>
                <w:rFonts w:hint="eastAsia" w:ascii="宋体" w:hAnsi="宋体" w:eastAsia="宋体" w:cs="宋体"/>
                <w:sz w:val="18"/>
                <w:szCs w:val="18"/>
                <w:lang w:bidi="ar"/>
              </w:rPr>
              <w:t>立即停止违法行为，在限期内改正的</w:t>
            </w: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555B2F46">
            <w:pPr>
              <w:spacing w:line="240" w:lineRule="exact"/>
              <w:rPr>
                <w:rFonts w:hint="eastAsia" w:ascii="宋体" w:hAnsi="宋体" w:eastAsia="宋体" w:cs="宋体"/>
                <w:color w:val="000000"/>
                <w:sz w:val="18"/>
                <w:szCs w:val="18"/>
                <w:lang w:bidi="ar"/>
              </w:rPr>
            </w:pPr>
            <w:r>
              <w:rPr>
                <w:rStyle w:val="21"/>
                <w:rFonts w:hint="eastAsia" w:ascii="宋体" w:hAnsi="宋体" w:eastAsia="宋体" w:cs="宋体"/>
                <w:sz w:val="18"/>
                <w:szCs w:val="18"/>
                <w:lang w:bidi="ar"/>
              </w:rPr>
              <w:t>处</w:t>
            </w:r>
            <w:r>
              <w:rPr>
                <w:rStyle w:val="21"/>
                <w:rFonts w:hint="eastAsia" w:ascii="宋体" w:hAnsi="宋体" w:eastAsia="宋体" w:cs="宋体"/>
                <w:sz w:val="18"/>
                <w:szCs w:val="18"/>
                <w:lang w:val="en-US" w:eastAsia="zh-CN" w:bidi="ar"/>
              </w:rPr>
              <w:t>2</w:t>
            </w:r>
            <w:r>
              <w:rPr>
                <w:rStyle w:val="21"/>
                <w:rFonts w:hint="eastAsia" w:ascii="宋体" w:hAnsi="宋体" w:eastAsia="宋体" w:cs="宋体"/>
                <w:sz w:val="18"/>
                <w:szCs w:val="18"/>
                <w:lang w:bidi="ar"/>
              </w:rPr>
              <w:t>万元以上</w:t>
            </w:r>
            <w:r>
              <w:rPr>
                <w:rStyle w:val="21"/>
                <w:rFonts w:hint="eastAsia" w:ascii="宋体" w:hAnsi="宋体" w:eastAsia="宋体" w:cs="宋体"/>
                <w:sz w:val="18"/>
                <w:szCs w:val="18"/>
                <w:lang w:val="en-US" w:eastAsia="zh-CN" w:bidi="ar"/>
              </w:rPr>
              <w:t>4</w:t>
            </w:r>
            <w:r>
              <w:rPr>
                <w:rStyle w:val="21"/>
                <w:rFonts w:hint="eastAsia" w:ascii="宋体" w:hAnsi="宋体" w:eastAsia="宋体" w:cs="宋体"/>
                <w:sz w:val="18"/>
                <w:szCs w:val="18"/>
                <w:lang w:bidi="ar"/>
              </w:rPr>
              <w:t>万元以下罚款</w:t>
            </w:r>
          </w:p>
        </w:tc>
        <w:tc>
          <w:tcPr>
            <w:tcW w:w="56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5D57B116">
            <w:pPr>
              <w:spacing w:line="260" w:lineRule="exact"/>
              <w:rPr>
                <w:rStyle w:val="21"/>
                <w:rFonts w:hint="eastAsia" w:ascii="宋体" w:hAnsi="宋体" w:eastAsia="宋体" w:cs="宋体"/>
                <w:sz w:val="18"/>
                <w:szCs w:val="18"/>
                <w:lang w:bidi="ar"/>
              </w:rPr>
            </w:pPr>
          </w:p>
        </w:tc>
      </w:tr>
      <w:tr w14:paraId="6EC7E4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2" w:hRule="atLeast"/>
          <w:jc w:val="center"/>
        </w:trPr>
        <w:tc>
          <w:tcPr>
            <w:tcW w:w="495"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2FDAAC69">
            <w:pPr>
              <w:spacing w:line="260" w:lineRule="exact"/>
              <w:jc w:val="center"/>
              <w:rPr>
                <w:rFonts w:hint="eastAsia" w:ascii="宋体" w:hAnsi="宋体" w:eastAsia="宋体" w:cs="宋体"/>
                <w:sz w:val="18"/>
                <w:szCs w:val="18"/>
              </w:rPr>
            </w:pPr>
          </w:p>
        </w:tc>
        <w:tc>
          <w:tcPr>
            <w:tcW w:w="1211"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5D28E9E1">
            <w:pPr>
              <w:spacing w:line="260" w:lineRule="exact"/>
              <w:rPr>
                <w:rFonts w:hint="eastAsia" w:ascii="宋体" w:hAnsi="宋体" w:eastAsia="宋体" w:cs="宋体"/>
                <w:color w:val="000000"/>
                <w:kern w:val="0"/>
                <w:sz w:val="18"/>
                <w:szCs w:val="18"/>
                <w:lang w:bidi="ar"/>
              </w:rPr>
            </w:pPr>
          </w:p>
        </w:tc>
        <w:tc>
          <w:tcPr>
            <w:tcW w:w="4862"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3ACCD103">
            <w:pPr>
              <w:spacing w:line="260" w:lineRule="exact"/>
              <w:ind w:firstLine="360" w:firstLineChars="200"/>
              <w:rPr>
                <w:rFonts w:hint="eastAsia" w:ascii="宋体" w:hAnsi="宋体" w:eastAsia="宋体" w:cs="宋体"/>
                <w:color w:val="000000"/>
                <w:kern w:val="0"/>
                <w:sz w:val="18"/>
                <w:szCs w:val="18"/>
                <w:lang w:bidi="ar"/>
              </w:rPr>
            </w:pPr>
          </w:p>
        </w:tc>
        <w:tc>
          <w:tcPr>
            <w:tcW w:w="161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3E9033EE">
            <w:pPr>
              <w:spacing w:line="260" w:lineRule="exact"/>
              <w:ind w:firstLine="360" w:firstLineChars="200"/>
              <w:rPr>
                <w:rFonts w:hint="eastAsia" w:ascii="宋体" w:hAnsi="宋体" w:eastAsia="宋体" w:cs="宋体"/>
                <w:color w:val="000000"/>
                <w:kern w:val="0"/>
                <w:sz w:val="18"/>
                <w:szCs w:val="18"/>
                <w:lang w:bidi="ar"/>
              </w:rPr>
            </w:pP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1CA3E6A4">
            <w:pPr>
              <w:spacing w:line="260" w:lineRule="exact"/>
              <w:jc w:val="center"/>
              <w:rPr>
                <w:rFonts w:hint="eastAsia" w:ascii="宋体" w:hAnsi="宋体" w:eastAsia="宋体" w:cs="宋体"/>
                <w:sz w:val="18"/>
                <w:szCs w:val="18"/>
                <w:lang w:eastAsia="zh-CN"/>
              </w:rPr>
            </w:pPr>
            <w:r>
              <w:rPr>
                <w:rFonts w:hint="eastAsia" w:ascii="宋体" w:hAnsi="宋体" w:eastAsia="宋体" w:cs="宋体"/>
                <w:sz w:val="18"/>
                <w:szCs w:val="18"/>
                <w:lang w:eastAsia="zh-CN"/>
              </w:rPr>
              <w:t>较重</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54F06A99">
            <w:pPr>
              <w:spacing w:line="260" w:lineRule="exact"/>
              <w:rPr>
                <w:rFonts w:hint="eastAsia" w:ascii="宋体" w:hAnsi="宋体" w:eastAsia="宋体" w:cs="宋体"/>
                <w:color w:val="000000"/>
                <w:sz w:val="18"/>
                <w:szCs w:val="18"/>
                <w:lang w:bidi="ar"/>
              </w:rPr>
            </w:pPr>
            <w:r>
              <w:rPr>
                <w:rStyle w:val="21"/>
                <w:rFonts w:hint="eastAsia" w:ascii="宋体" w:hAnsi="宋体" w:eastAsia="宋体" w:cs="宋体"/>
                <w:sz w:val="18"/>
                <w:szCs w:val="18"/>
                <w:lang w:bidi="ar"/>
              </w:rPr>
              <w:t>未立即停止违法行为，在限期内改正的</w:t>
            </w: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717323E5">
            <w:pPr>
              <w:spacing w:line="240" w:lineRule="exact"/>
              <w:rPr>
                <w:rFonts w:hint="eastAsia" w:ascii="宋体" w:hAnsi="宋体" w:eastAsia="宋体" w:cs="宋体"/>
                <w:color w:val="000000"/>
                <w:sz w:val="18"/>
                <w:szCs w:val="18"/>
                <w:lang w:bidi="ar"/>
              </w:rPr>
            </w:pPr>
            <w:r>
              <w:rPr>
                <w:rStyle w:val="21"/>
                <w:rFonts w:hint="eastAsia" w:ascii="宋体" w:hAnsi="宋体" w:eastAsia="宋体" w:cs="宋体"/>
                <w:sz w:val="18"/>
                <w:szCs w:val="18"/>
                <w:lang w:bidi="ar"/>
              </w:rPr>
              <w:t>处</w:t>
            </w:r>
            <w:r>
              <w:rPr>
                <w:rStyle w:val="21"/>
                <w:rFonts w:hint="eastAsia" w:ascii="宋体" w:hAnsi="宋体" w:eastAsia="宋体" w:cs="宋体"/>
                <w:sz w:val="18"/>
                <w:szCs w:val="18"/>
                <w:lang w:val="en-US" w:eastAsia="zh-CN" w:bidi="ar"/>
              </w:rPr>
              <w:t>4</w:t>
            </w:r>
            <w:r>
              <w:rPr>
                <w:rStyle w:val="21"/>
                <w:rFonts w:hint="eastAsia" w:ascii="宋体" w:hAnsi="宋体" w:eastAsia="宋体" w:cs="宋体"/>
                <w:sz w:val="18"/>
                <w:szCs w:val="18"/>
                <w:lang w:bidi="ar"/>
              </w:rPr>
              <w:t>万元以上</w:t>
            </w:r>
            <w:r>
              <w:rPr>
                <w:rStyle w:val="21"/>
                <w:rFonts w:hint="eastAsia" w:ascii="宋体" w:hAnsi="宋体" w:eastAsia="宋体" w:cs="宋体"/>
                <w:sz w:val="18"/>
                <w:szCs w:val="18"/>
                <w:lang w:val="en-US" w:eastAsia="zh-CN" w:bidi="ar"/>
              </w:rPr>
              <w:t>7</w:t>
            </w:r>
            <w:r>
              <w:rPr>
                <w:rStyle w:val="21"/>
                <w:rFonts w:hint="eastAsia" w:ascii="宋体" w:hAnsi="宋体" w:eastAsia="宋体" w:cs="宋体"/>
                <w:sz w:val="18"/>
                <w:szCs w:val="18"/>
                <w:lang w:bidi="ar"/>
              </w:rPr>
              <w:t>万元以下罚款</w:t>
            </w:r>
          </w:p>
        </w:tc>
        <w:tc>
          <w:tcPr>
            <w:tcW w:w="56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47FFABED">
            <w:pPr>
              <w:spacing w:line="260" w:lineRule="exact"/>
              <w:rPr>
                <w:rStyle w:val="21"/>
                <w:rFonts w:hint="eastAsia" w:ascii="宋体" w:hAnsi="宋体" w:eastAsia="宋体" w:cs="宋体"/>
                <w:sz w:val="18"/>
                <w:szCs w:val="18"/>
                <w:lang w:bidi="ar"/>
              </w:rPr>
            </w:pPr>
          </w:p>
        </w:tc>
      </w:tr>
      <w:tr w14:paraId="761827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0" w:hRule="atLeast"/>
          <w:jc w:val="center"/>
        </w:trPr>
        <w:tc>
          <w:tcPr>
            <w:tcW w:w="495" w:type="dxa"/>
            <w:vMerge w:val="continue"/>
            <w:tcBorders>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5DD28533">
            <w:pPr>
              <w:spacing w:line="260" w:lineRule="exact"/>
              <w:jc w:val="center"/>
              <w:rPr>
                <w:rFonts w:hint="eastAsia" w:ascii="宋体" w:hAnsi="宋体" w:eastAsia="宋体" w:cs="宋体"/>
                <w:sz w:val="18"/>
                <w:szCs w:val="18"/>
              </w:rPr>
            </w:pPr>
          </w:p>
        </w:tc>
        <w:tc>
          <w:tcPr>
            <w:tcW w:w="1211" w:type="dxa"/>
            <w:vMerge w:val="continue"/>
            <w:tcBorders>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3CDE8E19">
            <w:pPr>
              <w:spacing w:line="260" w:lineRule="exact"/>
              <w:rPr>
                <w:rFonts w:hint="eastAsia" w:ascii="宋体" w:hAnsi="宋体" w:eastAsia="宋体" w:cs="宋体"/>
                <w:color w:val="000000"/>
                <w:kern w:val="0"/>
                <w:sz w:val="18"/>
                <w:szCs w:val="18"/>
                <w:lang w:bidi="ar"/>
              </w:rPr>
            </w:pPr>
          </w:p>
        </w:tc>
        <w:tc>
          <w:tcPr>
            <w:tcW w:w="4862" w:type="dxa"/>
            <w:vMerge w:val="continue"/>
            <w:tcBorders>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57554E69">
            <w:pPr>
              <w:spacing w:line="260" w:lineRule="exact"/>
              <w:ind w:firstLine="360" w:firstLineChars="200"/>
              <w:rPr>
                <w:rFonts w:hint="eastAsia" w:ascii="宋体" w:hAnsi="宋体" w:eastAsia="宋体" w:cs="宋体"/>
                <w:color w:val="000000"/>
                <w:kern w:val="0"/>
                <w:sz w:val="18"/>
                <w:szCs w:val="18"/>
                <w:lang w:bidi="ar"/>
              </w:rPr>
            </w:pPr>
          </w:p>
        </w:tc>
        <w:tc>
          <w:tcPr>
            <w:tcW w:w="1613" w:type="dxa"/>
            <w:vMerge w:val="continue"/>
            <w:tcBorders>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1C52F495">
            <w:pPr>
              <w:spacing w:line="260" w:lineRule="exact"/>
              <w:ind w:firstLine="360" w:firstLineChars="200"/>
              <w:rPr>
                <w:rFonts w:hint="eastAsia" w:ascii="宋体" w:hAnsi="宋体" w:eastAsia="宋体" w:cs="宋体"/>
                <w:color w:val="000000"/>
                <w:kern w:val="0"/>
                <w:sz w:val="18"/>
                <w:szCs w:val="18"/>
                <w:lang w:bidi="ar"/>
              </w:rPr>
            </w:pP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7C6E33FC">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严重</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4E2F983F">
            <w:pPr>
              <w:spacing w:line="260" w:lineRule="exact"/>
              <w:rPr>
                <w:rFonts w:hint="eastAsia" w:ascii="宋体" w:hAnsi="宋体" w:eastAsia="宋体" w:cs="宋体"/>
                <w:color w:val="000000"/>
                <w:sz w:val="18"/>
                <w:szCs w:val="18"/>
                <w:lang w:bidi="ar"/>
              </w:rPr>
            </w:pPr>
            <w:r>
              <w:rPr>
                <w:rStyle w:val="21"/>
                <w:rFonts w:hint="eastAsia" w:ascii="宋体" w:hAnsi="宋体" w:eastAsia="宋体" w:cs="宋体"/>
                <w:sz w:val="18"/>
                <w:szCs w:val="18"/>
              </w:rPr>
              <w:t>逾期不改正</w:t>
            </w:r>
            <w:r>
              <w:rPr>
                <w:rStyle w:val="21"/>
                <w:rFonts w:hint="eastAsia" w:ascii="宋体" w:hAnsi="宋体" w:eastAsia="宋体" w:cs="宋体"/>
                <w:sz w:val="18"/>
                <w:szCs w:val="18"/>
                <w:lang w:bidi="ar"/>
              </w:rPr>
              <w:t>的</w:t>
            </w: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01497547">
            <w:pPr>
              <w:spacing w:line="240" w:lineRule="exact"/>
              <w:rPr>
                <w:rFonts w:hint="eastAsia" w:ascii="宋体" w:hAnsi="宋体" w:eastAsia="宋体" w:cs="宋体"/>
                <w:color w:val="000000"/>
                <w:sz w:val="18"/>
                <w:szCs w:val="18"/>
                <w:lang w:bidi="ar"/>
              </w:rPr>
            </w:pPr>
            <w:r>
              <w:rPr>
                <w:rStyle w:val="21"/>
                <w:rFonts w:hint="eastAsia" w:ascii="宋体" w:hAnsi="宋体" w:eastAsia="宋体" w:cs="宋体"/>
                <w:sz w:val="18"/>
                <w:szCs w:val="18"/>
                <w:lang w:bidi="ar"/>
              </w:rPr>
              <w:t>处</w:t>
            </w:r>
            <w:r>
              <w:rPr>
                <w:rStyle w:val="21"/>
                <w:rFonts w:hint="eastAsia" w:ascii="宋体" w:hAnsi="宋体" w:eastAsia="宋体" w:cs="宋体"/>
                <w:sz w:val="18"/>
                <w:szCs w:val="18"/>
                <w:lang w:val="en-US" w:eastAsia="zh-CN" w:bidi="ar"/>
              </w:rPr>
              <w:t>7</w:t>
            </w:r>
            <w:r>
              <w:rPr>
                <w:rStyle w:val="21"/>
                <w:rFonts w:hint="eastAsia" w:ascii="宋体" w:hAnsi="宋体" w:eastAsia="宋体" w:cs="宋体"/>
                <w:sz w:val="18"/>
                <w:szCs w:val="18"/>
                <w:lang w:bidi="ar"/>
              </w:rPr>
              <w:t>万元以上</w:t>
            </w:r>
            <w:r>
              <w:rPr>
                <w:rStyle w:val="21"/>
                <w:rFonts w:hint="eastAsia" w:ascii="宋体" w:hAnsi="宋体" w:eastAsia="宋体" w:cs="宋体"/>
                <w:sz w:val="18"/>
                <w:szCs w:val="18"/>
                <w:lang w:val="en-US" w:eastAsia="zh-CN" w:bidi="ar"/>
              </w:rPr>
              <w:t>10</w:t>
            </w:r>
            <w:r>
              <w:rPr>
                <w:rStyle w:val="21"/>
                <w:rFonts w:hint="eastAsia" w:ascii="宋体" w:hAnsi="宋体" w:eastAsia="宋体" w:cs="宋体"/>
                <w:sz w:val="18"/>
                <w:szCs w:val="18"/>
                <w:lang w:bidi="ar"/>
              </w:rPr>
              <w:t>万元以下罚款，</w:t>
            </w:r>
            <w:r>
              <w:rPr>
                <w:rFonts w:hint="eastAsia" w:ascii="宋体" w:hAnsi="宋体" w:eastAsia="宋体" w:cs="宋体"/>
                <w:color w:val="000000"/>
                <w:kern w:val="0"/>
                <w:sz w:val="18"/>
                <w:szCs w:val="18"/>
                <w:lang w:bidi="ar"/>
              </w:rPr>
              <w:t>吊销取水许可证</w:t>
            </w:r>
          </w:p>
        </w:tc>
        <w:tc>
          <w:tcPr>
            <w:tcW w:w="563" w:type="dxa"/>
            <w:vMerge w:val="continue"/>
            <w:tcBorders>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251D4D40">
            <w:pPr>
              <w:spacing w:line="260" w:lineRule="exact"/>
              <w:rPr>
                <w:rStyle w:val="21"/>
                <w:rFonts w:hint="eastAsia" w:ascii="宋体" w:hAnsi="宋体" w:eastAsia="宋体" w:cs="宋体"/>
                <w:sz w:val="18"/>
                <w:szCs w:val="18"/>
                <w:lang w:bidi="ar"/>
              </w:rPr>
            </w:pPr>
          </w:p>
        </w:tc>
      </w:tr>
      <w:tr w14:paraId="076FEE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95" w:type="dxa"/>
            <w:vMerge w:val="restart"/>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2BC809B9">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6</w:t>
            </w:r>
          </w:p>
        </w:tc>
        <w:tc>
          <w:tcPr>
            <w:tcW w:w="1211" w:type="dxa"/>
            <w:vMerge w:val="restart"/>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1977A0EC">
            <w:pPr>
              <w:widowControl/>
              <w:spacing w:line="260" w:lineRule="exact"/>
              <w:jc w:val="both"/>
              <w:textAlignment w:val="center"/>
              <w:rPr>
                <w:rFonts w:hint="eastAsia" w:ascii="宋体" w:hAnsi="宋体" w:eastAsia="宋体" w:cs="宋体"/>
                <w:color w:val="000000"/>
                <w:kern w:val="0"/>
                <w:sz w:val="18"/>
                <w:szCs w:val="18"/>
                <w:highlight w:val="none"/>
                <w:lang w:bidi="ar"/>
              </w:rPr>
            </w:pPr>
            <w:r>
              <w:rPr>
                <w:rFonts w:hint="eastAsia" w:ascii="宋体" w:hAnsi="宋体" w:eastAsia="宋体" w:cs="宋体"/>
                <w:color w:val="000000"/>
                <w:kern w:val="0"/>
                <w:sz w:val="18"/>
                <w:szCs w:val="18"/>
                <w:highlight w:val="none"/>
                <w:lang w:bidi="ar"/>
              </w:rPr>
              <w:t>对未取得取水申请批准文件擅自建设取水工程或者设施行为的行政处罚</w:t>
            </w:r>
          </w:p>
        </w:tc>
        <w:tc>
          <w:tcPr>
            <w:tcW w:w="4862" w:type="dxa"/>
            <w:vMerge w:val="restart"/>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0A9AD628">
            <w:pPr>
              <w:widowControl/>
              <w:spacing w:line="260" w:lineRule="exact"/>
              <w:jc w:val="both"/>
              <w:textAlignment w:val="center"/>
              <w:rPr>
                <w:rFonts w:hint="eastAsia" w:ascii="宋体" w:hAnsi="宋体" w:eastAsia="宋体" w:cs="宋体"/>
                <w:color w:val="000000"/>
                <w:kern w:val="0"/>
                <w:sz w:val="18"/>
                <w:szCs w:val="18"/>
                <w:highlight w:val="none"/>
                <w:lang w:bidi="ar"/>
              </w:rPr>
            </w:pPr>
            <w:r>
              <w:rPr>
                <w:rFonts w:hint="eastAsia" w:ascii="宋体" w:hAnsi="宋体" w:eastAsia="宋体" w:cs="宋体"/>
                <w:color w:val="000000"/>
                <w:kern w:val="0"/>
                <w:sz w:val="18"/>
                <w:szCs w:val="18"/>
                <w:highlight w:val="none"/>
                <w:lang w:bidi="ar"/>
              </w:rPr>
              <w:t>《取水许可和水资源费征收管理条例》第四十九条 未取得取水申请批准文件擅自建设取水工程或者设施的，责令停止违法行为，限期补办有关手续；逾期不补办或者补办未被批准的，责令限期拆除或者封闭其取水工程或者设施；逾期不拆除或者不封闭其取水工程或者设施的，由县级以上地方人民政府水行政主管部门或者流域管理机构组织拆除或者封闭，所需费用由违法行为人承担，可以处5万元以下罚款。</w:t>
            </w:r>
          </w:p>
        </w:tc>
        <w:tc>
          <w:tcPr>
            <w:tcW w:w="1613" w:type="dxa"/>
            <w:vMerge w:val="restart"/>
            <w:tcBorders>
              <w:top w:val="single" w:color="auto" w:sz="4" w:space="0"/>
              <w:left w:val="single" w:color="auto" w:sz="4" w:space="0"/>
              <w:right w:val="single" w:color="auto" w:sz="4" w:space="0"/>
            </w:tcBorders>
            <w:shd w:val="clear" w:color="auto" w:fill="FFFFFF"/>
            <w:noWrap w:val="0"/>
            <w:tcMar>
              <w:top w:w="0" w:type="dxa"/>
              <w:left w:w="0" w:type="dxa"/>
              <w:bottom w:w="0" w:type="dxa"/>
              <w:right w:w="0" w:type="dxa"/>
            </w:tcMar>
            <w:vAlign w:val="center"/>
          </w:tcPr>
          <w:p w14:paraId="6F9DB549">
            <w:pPr>
              <w:widowControl/>
              <w:spacing w:line="260" w:lineRule="exact"/>
              <w:jc w:val="both"/>
              <w:textAlignment w:val="center"/>
              <w:rPr>
                <w:rFonts w:hint="eastAsia" w:ascii="宋体" w:hAnsi="宋体" w:eastAsia="宋体" w:cs="宋体"/>
                <w:color w:val="000000"/>
                <w:kern w:val="0"/>
                <w:sz w:val="18"/>
                <w:szCs w:val="18"/>
                <w:highlight w:val="none"/>
                <w:lang w:val="en-US" w:eastAsia="zh-CN" w:bidi="ar"/>
              </w:rPr>
            </w:pPr>
            <w:r>
              <w:rPr>
                <w:rFonts w:hint="eastAsia" w:ascii="宋体" w:hAnsi="宋体" w:eastAsia="宋体" w:cs="宋体"/>
                <w:color w:val="000000"/>
                <w:kern w:val="0"/>
                <w:sz w:val="18"/>
                <w:szCs w:val="18"/>
                <w:highlight w:val="none"/>
                <w:lang w:bidi="ar"/>
              </w:rPr>
              <w:t>未取得取水申请批准文件擅自建设取水工程或者设施</w:t>
            </w:r>
            <w:r>
              <w:rPr>
                <w:rFonts w:hint="eastAsia" w:ascii="宋体" w:hAnsi="宋体" w:eastAsia="宋体" w:cs="宋体"/>
                <w:color w:val="000000"/>
                <w:kern w:val="0"/>
                <w:sz w:val="18"/>
                <w:szCs w:val="18"/>
                <w:highlight w:val="none"/>
                <w:lang w:eastAsia="zh-CN" w:bidi="ar"/>
              </w:rPr>
              <w:t>，</w:t>
            </w:r>
            <w:r>
              <w:rPr>
                <w:rFonts w:hint="eastAsia" w:ascii="宋体" w:hAnsi="宋体" w:eastAsia="宋体" w:cs="宋体"/>
                <w:color w:val="000000"/>
                <w:kern w:val="0"/>
                <w:sz w:val="18"/>
                <w:szCs w:val="18"/>
                <w:highlight w:val="none"/>
                <w:lang w:bidi="ar"/>
              </w:rPr>
              <w:t>逾期不补办或者补办未被批准</w:t>
            </w:r>
            <w:r>
              <w:rPr>
                <w:rFonts w:hint="eastAsia" w:ascii="宋体" w:hAnsi="宋体" w:eastAsia="宋体" w:cs="宋体"/>
                <w:color w:val="000000"/>
                <w:kern w:val="0"/>
                <w:sz w:val="18"/>
                <w:szCs w:val="18"/>
                <w:highlight w:val="none"/>
                <w:lang w:eastAsia="zh-CN" w:bidi="ar"/>
              </w:rPr>
              <w:t>，</w:t>
            </w:r>
            <w:r>
              <w:rPr>
                <w:rFonts w:hint="eastAsia" w:ascii="宋体" w:hAnsi="宋体" w:eastAsia="宋体" w:cs="宋体"/>
                <w:color w:val="000000"/>
                <w:kern w:val="0"/>
                <w:sz w:val="18"/>
                <w:szCs w:val="18"/>
                <w:highlight w:val="none"/>
                <w:lang w:val="en-US" w:eastAsia="zh-CN" w:bidi="ar"/>
              </w:rPr>
              <w:t>且</w:t>
            </w:r>
            <w:r>
              <w:rPr>
                <w:rFonts w:hint="eastAsia" w:ascii="宋体" w:hAnsi="宋体" w:eastAsia="宋体" w:cs="宋体"/>
                <w:color w:val="000000"/>
                <w:kern w:val="0"/>
                <w:sz w:val="18"/>
                <w:szCs w:val="18"/>
                <w:highlight w:val="none"/>
                <w:lang w:bidi="ar"/>
              </w:rPr>
              <w:t>逾期不拆除或者不封闭其取水工程或者设施的</w:t>
            </w: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33832130">
            <w:pPr>
              <w:spacing w:line="260" w:lineRule="exact"/>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轻微</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2508303F">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highlight w:val="none"/>
                <w:lang w:bidi="ar"/>
              </w:rPr>
            </w:pPr>
          </w:p>
          <w:p w14:paraId="528C3E64">
            <w:pPr>
              <w:spacing w:line="260" w:lineRule="exact"/>
              <w:rPr>
                <w:rStyle w:val="21"/>
                <w:rFonts w:hint="eastAsia" w:ascii="宋体" w:hAnsi="宋体" w:eastAsia="宋体" w:cs="宋体"/>
                <w:sz w:val="18"/>
                <w:szCs w:val="18"/>
                <w:highlight w:val="none"/>
                <w:lang w:bidi="ar"/>
              </w:rPr>
            </w:pP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7C3B805C">
            <w:pPr>
              <w:snapToGrid/>
              <w:spacing w:line="240" w:lineRule="exact"/>
              <mc:AlternateContent>
                <mc:Choice Requires="wpsCustomData">
                  <wpsCustomData:diagonalParaType/>
                </mc:Choice>
              </mc:AlternateContent>
              <w:rPr>
                <w:rStyle w:val="21"/>
                <w:rFonts w:hint="eastAsia" w:ascii="宋体" w:hAnsi="宋体" w:eastAsia="宋体" w:cs="宋体"/>
                <w:color w:val="auto"/>
                <w:sz w:val="18"/>
                <w:szCs w:val="18"/>
                <w:highlight w:val="none"/>
                <w:lang w:bidi="ar"/>
              </w:rPr>
            </w:pPr>
          </w:p>
          <w:p w14:paraId="2A5E1C6D">
            <w:pPr>
              <w:spacing w:line="240" w:lineRule="exact"/>
              <w:rPr>
                <w:rStyle w:val="21"/>
                <w:rFonts w:hint="eastAsia" w:ascii="宋体" w:hAnsi="宋体" w:eastAsia="宋体" w:cs="宋体"/>
                <w:sz w:val="18"/>
                <w:szCs w:val="18"/>
                <w:highlight w:val="none"/>
                <w:lang w:bidi="ar"/>
              </w:rPr>
            </w:pPr>
          </w:p>
        </w:tc>
        <w:tc>
          <w:tcPr>
            <w:tcW w:w="563" w:type="dxa"/>
            <w:vMerge w:val="restart"/>
            <w:tcBorders>
              <w:top w:val="single" w:color="auto" w:sz="4" w:space="0"/>
              <w:left w:val="single" w:color="auto" w:sz="4" w:space="0"/>
              <w:right w:val="single" w:color="auto" w:sz="4" w:space="0"/>
            </w:tcBorders>
            <w:shd w:val="clear" w:color="auto" w:fill="FFFFFF"/>
            <w:noWrap w:val="0"/>
            <w:tcMar>
              <w:top w:w="0" w:type="dxa"/>
              <w:left w:w="0" w:type="dxa"/>
              <w:bottom w:w="0" w:type="dxa"/>
              <w:right w:w="0" w:type="dxa"/>
            </w:tcMar>
            <w:vAlign w:val="center"/>
          </w:tcPr>
          <w:p w14:paraId="06E1ACA5">
            <w:pPr>
              <w:spacing w:line="260" w:lineRule="exact"/>
              <w:rPr>
                <w:rStyle w:val="21"/>
                <w:rFonts w:hint="eastAsia" w:ascii="宋体" w:hAnsi="宋体" w:eastAsia="宋体" w:cs="宋体"/>
                <w:sz w:val="18"/>
                <w:szCs w:val="18"/>
                <w:lang w:bidi="ar"/>
              </w:rPr>
            </w:pPr>
          </w:p>
        </w:tc>
      </w:tr>
      <w:tr w14:paraId="4B1271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520" w:hRule="atLeast"/>
          <w:jc w:val="center"/>
        </w:trPr>
        <w:tc>
          <w:tcPr>
            <w:tcW w:w="495"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054474EA">
            <w:pPr>
              <w:spacing w:line="260" w:lineRule="exact"/>
              <w:jc w:val="center"/>
              <w:rPr>
                <w:rFonts w:hint="eastAsia" w:ascii="宋体" w:hAnsi="宋体" w:eastAsia="宋体" w:cs="宋体"/>
                <w:sz w:val="18"/>
                <w:szCs w:val="18"/>
              </w:rPr>
            </w:pPr>
          </w:p>
        </w:tc>
        <w:tc>
          <w:tcPr>
            <w:tcW w:w="1211"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32356E39">
            <w:pPr>
              <w:spacing w:line="260" w:lineRule="exact"/>
              <w:rPr>
                <w:rFonts w:hint="eastAsia" w:ascii="宋体" w:hAnsi="宋体" w:eastAsia="宋体" w:cs="宋体"/>
                <w:color w:val="000000"/>
                <w:kern w:val="0"/>
                <w:sz w:val="18"/>
                <w:szCs w:val="18"/>
                <w:highlight w:val="none"/>
                <w:lang w:bidi="ar"/>
              </w:rPr>
            </w:pPr>
          </w:p>
        </w:tc>
        <w:tc>
          <w:tcPr>
            <w:tcW w:w="4862"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07F27EC6">
            <w:pPr>
              <w:spacing w:line="260" w:lineRule="exact"/>
              <w:ind w:firstLine="360" w:firstLineChars="200"/>
              <w:rPr>
                <w:rFonts w:hint="eastAsia" w:ascii="宋体" w:hAnsi="宋体" w:eastAsia="宋体" w:cs="宋体"/>
                <w:color w:val="000000"/>
                <w:kern w:val="0"/>
                <w:sz w:val="18"/>
                <w:szCs w:val="18"/>
                <w:highlight w:val="none"/>
                <w:lang w:bidi="ar"/>
              </w:rPr>
            </w:pPr>
          </w:p>
        </w:tc>
        <w:tc>
          <w:tcPr>
            <w:tcW w:w="161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09DEC635">
            <w:pPr>
              <w:spacing w:line="260" w:lineRule="exact"/>
              <w:ind w:firstLine="360" w:firstLineChars="200"/>
              <w:rPr>
                <w:rFonts w:hint="eastAsia" w:ascii="宋体" w:hAnsi="宋体" w:eastAsia="宋体" w:cs="宋体"/>
                <w:color w:val="000000"/>
                <w:kern w:val="0"/>
                <w:sz w:val="18"/>
                <w:szCs w:val="18"/>
                <w:highlight w:val="none"/>
                <w:lang w:bidi="ar"/>
              </w:rPr>
            </w:pP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64A06791">
            <w:pPr>
              <w:spacing w:line="260" w:lineRule="exact"/>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较轻</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25066433">
            <w:pPr>
              <w:snapToGrid w:val="0"/>
              <w:spacing w:line="240" w:lineRule="auto"/>
              <mc:AlternateContent>
                <mc:Choice Requires="wpsCustomData">
                  <wpsCustomData:diagonalParaType/>
                </mc:Choice>
              </mc:AlternateContent>
              <w:rPr>
                <w:rFonts w:hint="eastAsia" w:ascii="宋体" w:hAnsi="宋体" w:eastAsia="宋体" w:cs="宋体"/>
                <w:color w:val="000000"/>
                <w:sz w:val="18"/>
                <w:szCs w:val="18"/>
                <w:highlight w:val="none"/>
                <w:lang w:bidi="ar"/>
              </w:rPr>
            </w:pPr>
          </w:p>
          <w:p w14:paraId="27F78CE1">
            <w:pPr>
              <w:spacing w:line="220" w:lineRule="exact"/>
              <w:rPr>
                <w:rFonts w:hint="eastAsia" w:ascii="宋体" w:hAnsi="宋体" w:eastAsia="宋体" w:cs="宋体"/>
                <w:color w:val="000000"/>
                <w:sz w:val="18"/>
                <w:szCs w:val="18"/>
                <w:highlight w:val="none"/>
                <w:lang w:bidi="ar"/>
              </w:rPr>
            </w:pP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4195B620">
            <w:pPr>
              <w:snapToGrid w:val="0"/>
              <w:spacing w:line="240" w:lineRule="auto"/>
              <mc:AlternateContent>
                <mc:Choice Requires="wpsCustomData">
                  <wpsCustomData:diagonalParaType/>
                </mc:Choice>
              </mc:AlternateContent>
              <w:rPr>
                <w:rFonts w:hint="eastAsia" w:ascii="宋体" w:hAnsi="宋体" w:eastAsia="宋体" w:cs="宋体"/>
                <w:color w:val="000000"/>
                <w:sz w:val="18"/>
                <w:szCs w:val="18"/>
                <w:highlight w:val="none"/>
                <w:lang w:bidi="ar"/>
              </w:rPr>
            </w:pPr>
          </w:p>
          <w:p w14:paraId="1572D92A">
            <w:pPr>
              <w:spacing w:line="260" w:lineRule="exact"/>
              <w:rPr>
                <w:rFonts w:hint="eastAsia" w:ascii="宋体" w:hAnsi="宋体" w:eastAsia="宋体" w:cs="宋体"/>
                <w:color w:val="000000"/>
                <w:sz w:val="18"/>
                <w:szCs w:val="18"/>
                <w:highlight w:val="none"/>
                <w:lang w:bidi="ar"/>
              </w:rPr>
            </w:pPr>
          </w:p>
        </w:tc>
        <w:tc>
          <w:tcPr>
            <w:tcW w:w="56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46AD8DDC">
            <w:pPr>
              <w:spacing w:line="260" w:lineRule="exact"/>
              <w:rPr>
                <w:rStyle w:val="21"/>
                <w:rFonts w:hint="eastAsia" w:ascii="宋体" w:hAnsi="宋体" w:eastAsia="宋体" w:cs="宋体"/>
                <w:sz w:val="18"/>
                <w:szCs w:val="18"/>
                <w:lang w:bidi="ar"/>
              </w:rPr>
            </w:pPr>
          </w:p>
        </w:tc>
      </w:tr>
      <w:tr w14:paraId="5722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jc w:val="center"/>
        </w:trPr>
        <w:tc>
          <w:tcPr>
            <w:tcW w:w="495"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29C18B4A">
            <w:pPr>
              <w:spacing w:line="260" w:lineRule="exact"/>
              <w:jc w:val="center"/>
              <w:rPr>
                <w:rFonts w:hint="eastAsia" w:ascii="宋体" w:hAnsi="宋体" w:eastAsia="宋体" w:cs="宋体"/>
                <w:sz w:val="18"/>
                <w:szCs w:val="18"/>
              </w:rPr>
            </w:pPr>
          </w:p>
        </w:tc>
        <w:tc>
          <w:tcPr>
            <w:tcW w:w="1211"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60A2C675">
            <w:pPr>
              <w:spacing w:line="260" w:lineRule="exact"/>
              <w:rPr>
                <w:rFonts w:hint="eastAsia" w:ascii="宋体" w:hAnsi="宋体" w:eastAsia="宋体" w:cs="宋体"/>
                <w:color w:val="000000"/>
                <w:kern w:val="0"/>
                <w:sz w:val="18"/>
                <w:szCs w:val="18"/>
                <w:highlight w:val="none"/>
                <w:lang w:bidi="ar"/>
              </w:rPr>
            </w:pPr>
          </w:p>
        </w:tc>
        <w:tc>
          <w:tcPr>
            <w:tcW w:w="4862"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1CA6124C">
            <w:pPr>
              <w:spacing w:line="260" w:lineRule="exact"/>
              <w:ind w:firstLine="360" w:firstLineChars="200"/>
              <w:rPr>
                <w:rFonts w:hint="eastAsia" w:ascii="宋体" w:hAnsi="宋体" w:eastAsia="宋体" w:cs="宋体"/>
                <w:color w:val="000000"/>
                <w:kern w:val="0"/>
                <w:sz w:val="18"/>
                <w:szCs w:val="18"/>
                <w:highlight w:val="none"/>
                <w:lang w:bidi="ar"/>
              </w:rPr>
            </w:pPr>
          </w:p>
        </w:tc>
        <w:tc>
          <w:tcPr>
            <w:tcW w:w="161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50E4B1B2">
            <w:pPr>
              <w:spacing w:line="260" w:lineRule="exact"/>
              <w:ind w:firstLine="360" w:firstLineChars="200"/>
              <w:rPr>
                <w:rFonts w:hint="eastAsia" w:ascii="宋体" w:hAnsi="宋体" w:eastAsia="宋体" w:cs="宋体"/>
                <w:color w:val="000000"/>
                <w:kern w:val="0"/>
                <w:sz w:val="18"/>
                <w:szCs w:val="18"/>
                <w:highlight w:val="none"/>
                <w:lang w:bidi="ar"/>
              </w:rPr>
            </w:pP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28DEAA3B">
            <w:pPr>
              <w:spacing w:line="260" w:lineRule="exact"/>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一般</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5E320558">
            <w:pPr>
              <w:spacing w:line="220" w:lineRule="exact"/>
              <w:rPr>
                <w:rFonts w:hint="eastAsia" w:ascii="宋体" w:hAnsi="宋体" w:eastAsia="宋体" w:cs="宋体"/>
                <w:color w:val="000000"/>
                <w:sz w:val="18"/>
                <w:szCs w:val="18"/>
                <w:highlight w:val="none"/>
                <w:lang w:bidi="ar"/>
              </w:rPr>
            </w:pPr>
            <w:r>
              <w:rPr>
                <w:rStyle w:val="21"/>
                <w:rFonts w:hint="eastAsia" w:ascii="宋体" w:hAnsi="宋体" w:eastAsia="宋体" w:cs="宋体"/>
                <w:sz w:val="18"/>
                <w:szCs w:val="18"/>
                <w:highlight w:val="none"/>
                <w:lang w:bidi="ar"/>
              </w:rPr>
              <w:t>逾期不拆除或者不封闭，工程或设备规模</w:t>
            </w:r>
            <w:r>
              <w:rPr>
                <w:rStyle w:val="21"/>
                <w:rFonts w:hint="eastAsia" w:ascii="宋体" w:hAnsi="宋体" w:eastAsia="宋体" w:cs="宋体"/>
                <w:sz w:val="18"/>
                <w:szCs w:val="18"/>
                <w:highlight w:val="none"/>
                <w:lang w:eastAsia="zh-CN" w:bidi="ar"/>
              </w:rPr>
              <w:t>日</w:t>
            </w:r>
            <w:r>
              <w:rPr>
                <w:rStyle w:val="21"/>
                <w:rFonts w:hint="eastAsia" w:ascii="宋体" w:hAnsi="宋体" w:eastAsia="宋体" w:cs="宋体"/>
                <w:sz w:val="18"/>
                <w:szCs w:val="18"/>
                <w:highlight w:val="none"/>
                <w:lang w:bidi="ar"/>
              </w:rPr>
              <w:t>取地表水</w:t>
            </w:r>
            <w:r>
              <w:rPr>
                <w:rStyle w:val="21"/>
                <w:rFonts w:hint="eastAsia" w:ascii="宋体" w:hAnsi="宋体" w:eastAsia="宋体" w:cs="宋体"/>
                <w:sz w:val="18"/>
                <w:szCs w:val="18"/>
                <w:highlight w:val="none"/>
                <w:lang w:val="en-US" w:eastAsia="zh-CN" w:bidi="ar"/>
              </w:rPr>
              <w:t>200</w:t>
            </w:r>
            <w:r>
              <w:rPr>
                <w:rStyle w:val="21"/>
                <w:rFonts w:hint="eastAsia" w:ascii="宋体" w:hAnsi="宋体" w:eastAsia="宋体" w:cs="宋体"/>
                <w:sz w:val="18"/>
                <w:szCs w:val="18"/>
                <w:highlight w:val="none"/>
                <w:lang w:bidi="ar"/>
              </w:rPr>
              <w:t>立方米以下、地下水</w:t>
            </w:r>
            <w:r>
              <w:rPr>
                <w:rStyle w:val="21"/>
                <w:rFonts w:hint="eastAsia" w:ascii="宋体" w:hAnsi="宋体" w:eastAsia="宋体" w:cs="宋体"/>
                <w:sz w:val="18"/>
                <w:szCs w:val="18"/>
                <w:highlight w:val="none"/>
                <w:lang w:val="en-US" w:eastAsia="zh-CN" w:bidi="ar"/>
              </w:rPr>
              <w:t>20</w:t>
            </w:r>
            <w:r>
              <w:rPr>
                <w:rStyle w:val="21"/>
                <w:rFonts w:hint="eastAsia" w:ascii="宋体" w:hAnsi="宋体" w:eastAsia="宋体" w:cs="宋体"/>
                <w:sz w:val="18"/>
                <w:szCs w:val="18"/>
                <w:highlight w:val="none"/>
                <w:lang w:bidi="ar"/>
              </w:rPr>
              <w:t>立方米以下的</w:t>
            </w: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0F369932">
            <w:pPr>
              <w:spacing w:line="260" w:lineRule="exact"/>
              <w:rPr>
                <w:rFonts w:hint="eastAsia" w:ascii="宋体" w:hAnsi="宋体" w:eastAsia="宋体" w:cs="宋体"/>
                <w:color w:val="000000"/>
                <w:sz w:val="18"/>
                <w:szCs w:val="18"/>
                <w:highlight w:val="none"/>
                <w:lang w:bidi="ar"/>
              </w:rPr>
            </w:pPr>
            <w:r>
              <w:rPr>
                <w:rStyle w:val="21"/>
                <w:rFonts w:hint="eastAsia" w:ascii="宋体" w:hAnsi="宋体" w:eastAsia="宋体" w:cs="宋体"/>
                <w:sz w:val="18"/>
                <w:szCs w:val="18"/>
                <w:highlight w:val="none"/>
                <w:lang w:bidi="ar"/>
              </w:rPr>
              <w:t>处</w:t>
            </w:r>
            <w:r>
              <w:rPr>
                <w:rStyle w:val="21"/>
                <w:rFonts w:hint="eastAsia" w:ascii="宋体" w:hAnsi="宋体" w:eastAsia="宋体" w:cs="宋体"/>
                <w:sz w:val="18"/>
                <w:szCs w:val="18"/>
                <w:highlight w:val="none"/>
                <w:lang w:val="en-US" w:eastAsia="zh-CN" w:bidi="ar"/>
              </w:rPr>
              <w:t>1</w:t>
            </w:r>
            <w:r>
              <w:rPr>
                <w:rStyle w:val="21"/>
                <w:rFonts w:hint="eastAsia" w:ascii="宋体" w:hAnsi="宋体" w:eastAsia="宋体" w:cs="宋体"/>
                <w:sz w:val="18"/>
                <w:szCs w:val="18"/>
                <w:highlight w:val="none"/>
                <w:lang w:bidi="ar"/>
              </w:rPr>
              <w:t>万元以下罚款</w:t>
            </w:r>
          </w:p>
        </w:tc>
        <w:tc>
          <w:tcPr>
            <w:tcW w:w="56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2BF21731">
            <w:pPr>
              <w:spacing w:line="260" w:lineRule="exact"/>
              <w:rPr>
                <w:rStyle w:val="21"/>
                <w:rFonts w:hint="eastAsia" w:ascii="宋体" w:hAnsi="宋体" w:eastAsia="宋体" w:cs="宋体"/>
                <w:sz w:val="18"/>
                <w:szCs w:val="18"/>
                <w:lang w:bidi="ar"/>
              </w:rPr>
            </w:pPr>
          </w:p>
        </w:tc>
      </w:tr>
      <w:tr w14:paraId="5D6195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jc w:val="center"/>
        </w:trPr>
        <w:tc>
          <w:tcPr>
            <w:tcW w:w="495"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6631F1F3">
            <w:pPr>
              <w:spacing w:line="260" w:lineRule="exact"/>
              <w:jc w:val="center"/>
              <w:rPr>
                <w:rFonts w:hint="eastAsia" w:ascii="宋体" w:hAnsi="宋体" w:eastAsia="宋体" w:cs="宋体"/>
                <w:sz w:val="18"/>
                <w:szCs w:val="18"/>
              </w:rPr>
            </w:pPr>
          </w:p>
        </w:tc>
        <w:tc>
          <w:tcPr>
            <w:tcW w:w="1211"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71984CCA">
            <w:pPr>
              <w:spacing w:line="260" w:lineRule="exact"/>
              <w:rPr>
                <w:rFonts w:hint="eastAsia" w:ascii="宋体" w:hAnsi="宋体" w:eastAsia="宋体" w:cs="宋体"/>
                <w:color w:val="000000"/>
                <w:kern w:val="0"/>
                <w:sz w:val="18"/>
                <w:szCs w:val="18"/>
                <w:highlight w:val="none"/>
                <w:lang w:bidi="ar"/>
              </w:rPr>
            </w:pPr>
          </w:p>
        </w:tc>
        <w:tc>
          <w:tcPr>
            <w:tcW w:w="4862"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6D9175F0">
            <w:pPr>
              <w:spacing w:line="260" w:lineRule="exact"/>
              <w:ind w:firstLine="360" w:firstLineChars="200"/>
              <w:rPr>
                <w:rFonts w:hint="eastAsia" w:ascii="宋体" w:hAnsi="宋体" w:eastAsia="宋体" w:cs="宋体"/>
                <w:color w:val="000000"/>
                <w:kern w:val="0"/>
                <w:sz w:val="18"/>
                <w:szCs w:val="18"/>
                <w:highlight w:val="none"/>
                <w:lang w:bidi="ar"/>
              </w:rPr>
            </w:pPr>
          </w:p>
        </w:tc>
        <w:tc>
          <w:tcPr>
            <w:tcW w:w="161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6301E15E">
            <w:pPr>
              <w:spacing w:line="260" w:lineRule="exact"/>
              <w:ind w:firstLine="360" w:firstLineChars="200"/>
              <w:rPr>
                <w:rFonts w:hint="eastAsia" w:ascii="宋体" w:hAnsi="宋体" w:eastAsia="宋体" w:cs="宋体"/>
                <w:color w:val="000000"/>
                <w:kern w:val="0"/>
                <w:sz w:val="18"/>
                <w:szCs w:val="18"/>
                <w:highlight w:val="none"/>
                <w:lang w:bidi="ar"/>
              </w:rPr>
            </w:pP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025C60FD">
            <w:pPr>
              <w:spacing w:line="260" w:lineRule="exact"/>
              <w:jc w:val="center"/>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lang w:eastAsia="zh-CN"/>
              </w:rPr>
              <w:t>较重</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165DA494">
            <w:pPr>
              <w:spacing w:line="220" w:lineRule="exact"/>
              <w:rPr>
                <w:rFonts w:hint="eastAsia" w:ascii="宋体" w:hAnsi="宋体" w:eastAsia="宋体" w:cs="宋体"/>
                <w:color w:val="000000"/>
                <w:sz w:val="18"/>
                <w:szCs w:val="18"/>
                <w:highlight w:val="none"/>
                <w:lang w:bidi="ar"/>
              </w:rPr>
            </w:pPr>
            <w:r>
              <w:rPr>
                <w:rStyle w:val="21"/>
                <w:rFonts w:hint="eastAsia" w:ascii="宋体" w:hAnsi="宋体" w:eastAsia="宋体" w:cs="宋体"/>
                <w:sz w:val="18"/>
                <w:szCs w:val="18"/>
                <w:highlight w:val="none"/>
                <w:lang w:bidi="ar"/>
              </w:rPr>
              <w:t>逾期不拆除或者不封闭，工程或设备规模</w:t>
            </w:r>
            <w:r>
              <w:rPr>
                <w:rStyle w:val="21"/>
                <w:rFonts w:hint="eastAsia" w:ascii="宋体" w:hAnsi="宋体" w:eastAsia="宋体" w:cs="宋体"/>
                <w:sz w:val="18"/>
                <w:szCs w:val="18"/>
                <w:highlight w:val="none"/>
                <w:lang w:eastAsia="zh-CN" w:bidi="ar"/>
              </w:rPr>
              <w:t>日</w:t>
            </w:r>
            <w:r>
              <w:rPr>
                <w:rStyle w:val="21"/>
                <w:rFonts w:hint="eastAsia" w:ascii="宋体" w:hAnsi="宋体" w:eastAsia="宋体" w:cs="宋体"/>
                <w:sz w:val="18"/>
                <w:szCs w:val="18"/>
                <w:highlight w:val="none"/>
                <w:lang w:bidi="ar"/>
              </w:rPr>
              <w:t>取地表水</w:t>
            </w:r>
            <w:r>
              <w:rPr>
                <w:rStyle w:val="21"/>
                <w:rFonts w:hint="eastAsia" w:ascii="宋体" w:hAnsi="宋体" w:eastAsia="宋体" w:cs="宋体"/>
                <w:sz w:val="18"/>
                <w:szCs w:val="18"/>
                <w:highlight w:val="none"/>
                <w:lang w:val="en-US" w:eastAsia="zh-CN" w:bidi="ar"/>
              </w:rPr>
              <w:t>200</w:t>
            </w:r>
            <w:r>
              <w:rPr>
                <w:rStyle w:val="21"/>
                <w:rFonts w:hint="eastAsia" w:ascii="宋体" w:hAnsi="宋体" w:eastAsia="宋体" w:cs="宋体"/>
                <w:sz w:val="18"/>
                <w:szCs w:val="18"/>
                <w:highlight w:val="none"/>
                <w:lang w:bidi="ar"/>
              </w:rPr>
              <w:t>立方米以上</w:t>
            </w:r>
            <w:r>
              <w:rPr>
                <w:rStyle w:val="21"/>
                <w:rFonts w:hint="eastAsia" w:ascii="宋体" w:hAnsi="宋体" w:eastAsia="宋体" w:cs="宋体"/>
                <w:sz w:val="18"/>
                <w:szCs w:val="18"/>
                <w:highlight w:val="none"/>
                <w:lang w:val="en-US" w:eastAsia="zh-CN" w:bidi="ar"/>
              </w:rPr>
              <w:t>500</w:t>
            </w:r>
            <w:r>
              <w:rPr>
                <w:rStyle w:val="21"/>
                <w:rFonts w:hint="eastAsia" w:ascii="宋体" w:hAnsi="宋体" w:eastAsia="宋体" w:cs="宋体"/>
                <w:sz w:val="18"/>
                <w:szCs w:val="18"/>
                <w:highlight w:val="none"/>
                <w:lang w:bidi="ar"/>
              </w:rPr>
              <w:t>立方米以下、地下水</w:t>
            </w:r>
            <w:r>
              <w:rPr>
                <w:rStyle w:val="21"/>
                <w:rFonts w:hint="eastAsia" w:ascii="宋体" w:hAnsi="宋体" w:eastAsia="宋体" w:cs="宋体"/>
                <w:sz w:val="18"/>
                <w:szCs w:val="18"/>
                <w:highlight w:val="none"/>
                <w:lang w:val="en-US" w:eastAsia="zh-CN" w:bidi="ar"/>
              </w:rPr>
              <w:t>20</w:t>
            </w:r>
            <w:r>
              <w:rPr>
                <w:rStyle w:val="21"/>
                <w:rFonts w:hint="eastAsia" w:ascii="宋体" w:hAnsi="宋体" w:eastAsia="宋体" w:cs="宋体"/>
                <w:sz w:val="18"/>
                <w:szCs w:val="18"/>
                <w:highlight w:val="none"/>
                <w:lang w:bidi="ar"/>
              </w:rPr>
              <w:t>立方米以上</w:t>
            </w:r>
            <w:r>
              <w:rPr>
                <w:rStyle w:val="21"/>
                <w:rFonts w:hint="eastAsia" w:ascii="宋体" w:hAnsi="宋体" w:eastAsia="宋体" w:cs="宋体"/>
                <w:sz w:val="18"/>
                <w:szCs w:val="18"/>
                <w:highlight w:val="none"/>
                <w:lang w:val="en-US" w:eastAsia="zh-CN" w:bidi="ar"/>
              </w:rPr>
              <w:t>50</w:t>
            </w:r>
            <w:r>
              <w:rPr>
                <w:rStyle w:val="21"/>
                <w:rFonts w:hint="eastAsia" w:ascii="宋体" w:hAnsi="宋体" w:eastAsia="宋体" w:cs="宋体"/>
                <w:sz w:val="18"/>
                <w:szCs w:val="18"/>
                <w:highlight w:val="none"/>
                <w:lang w:bidi="ar"/>
              </w:rPr>
              <w:t>立方米以下的</w:t>
            </w: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6FA17A82">
            <w:pPr>
              <w:spacing w:line="260" w:lineRule="exact"/>
              <w:rPr>
                <w:rFonts w:hint="eastAsia" w:ascii="宋体" w:hAnsi="宋体" w:eastAsia="宋体" w:cs="宋体"/>
                <w:color w:val="000000"/>
                <w:sz w:val="18"/>
                <w:szCs w:val="18"/>
                <w:highlight w:val="none"/>
                <w:lang w:bidi="ar"/>
              </w:rPr>
            </w:pPr>
            <w:r>
              <w:rPr>
                <w:rStyle w:val="21"/>
                <w:rFonts w:hint="eastAsia" w:ascii="宋体" w:hAnsi="宋体" w:eastAsia="宋体" w:cs="宋体"/>
                <w:sz w:val="18"/>
                <w:szCs w:val="18"/>
                <w:highlight w:val="none"/>
                <w:lang w:bidi="ar"/>
              </w:rPr>
              <w:t>处</w:t>
            </w:r>
            <w:r>
              <w:rPr>
                <w:rStyle w:val="21"/>
                <w:rFonts w:hint="eastAsia" w:ascii="宋体" w:hAnsi="宋体" w:eastAsia="宋体" w:cs="宋体"/>
                <w:sz w:val="18"/>
                <w:szCs w:val="18"/>
                <w:highlight w:val="none"/>
                <w:lang w:val="en-US" w:eastAsia="zh-CN" w:bidi="ar"/>
              </w:rPr>
              <w:t>1</w:t>
            </w:r>
            <w:r>
              <w:rPr>
                <w:rStyle w:val="21"/>
                <w:rFonts w:hint="eastAsia" w:ascii="宋体" w:hAnsi="宋体" w:eastAsia="宋体" w:cs="宋体"/>
                <w:sz w:val="18"/>
                <w:szCs w:val="18"/>
                <w:highlight w:val="none"/>
                <w:lang w:bidi="ar"/>
              </w:rPr>
              <w:t>万元以上</w:t>
            </w:r>
            <w:r>
              <w:rPr>
                <w:rStyle w:val="21"/>
                <w:rFonts w:hint="eastAsia" w:ascii="宋体" w:hAnsi="宋体" w:eastAsia="宋体" w:cs="宋体"/>
                <w:sz w:val="18"/>
                <w:szCs w:val="18"/>
                <w:highlight w:val="none"/>
                <w:lang w:val="en-US" w:eastAsia="zh-CN" w:bidi="ar"/>
              </w:rPr>
              <w:t>3</w:t>
            </w:r>
            <w:r>
              <w:rPr>
                <w:rStyle w:val="21"/>
                <w:rFonts w:hint="eastAsia" w:ascii="宋体" w:hAnsi="宋体" w:eastAsia="宋体" w:cs="宋体"/>
                <w:sz w:val="18"/>
                <w:szCs w:val="18"/>
                <w:highlight w:val="none"/>
                <w:lang w:bidi="ar"/>
              </w:rPr>
              <w:t>万元以下罚款</w:t>
            </w:r>
          </w:p>
        </w:tc>
        <w:tc>
          <w:tcPr>
            <w:tcW w:w="56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001703A4">
            <w:pPr>
              <w:spacing w:line="260" w:lineRule="exact"/>
              <w:rPr>
                <w:rStyle w:val="21"/>
                <w:rFonts w:hint="eastAsia" w:ascii="宋体" w:hAnsi="宋体" w:eastAsia="宋体" w:cs="宋体"/>
                <w:sz w:val="18"/>
                <w:szCs w:val="18"/>
                <w:lang w:bidi="ar"/>
              </w:rPr>
            </w:pPr>
          </w:p>
        </w:tc>
      </w:tr>
      <w:tr w14:paraId="2A1570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jc w:val="center"/>
        </w:trPr>
        <w:tc>
          <w:tcPr>
            <w:tcW w:w="495" w:type="dxa"/>
            <w:vMerge w:val="continue"/>
            <w:tcBorders>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0813B5BD">
            <w:pPr>
              <w:spacing w:line="260" w:lineRule="exact"/>
              <w:jc w:val="center"/>
              <w:rPr>
                <w:rFonts w:hint="eastAsia" w:ascii="宋体" w:hAnsi="宋体" w:eastAsia="宋体" w:cs="宋体"/>
                <w:sz w:val="18"/>
                <w:szCs w:val="18"/>
              </w:rPr>
            </w:pPr>
          </w:p>
        </w:tc>
        <w:tc>
          <w:tcPr>
            <w:tcW w:w="1211" w:type="dxa"/>
            <w:vMerge w:val="continue"/>
            <w:tcBorders>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1F99A997">
            <w:pPr>
              <w:spacing w:line="260" w:lineRule="exact"/>
              <w:rPr>
                <w:rFonts w:hint="eastAsia" w:ascii="宋体" w:hAnsi="宋体" w:eastAsia="宋体" w:cs="宋体"/>
                <w:color w:val="000000"/>
                <w:kern w:val="0"/>
                <w:sz w:val="18"/>
                <w:szCs w:val="18"/>
                <w:highlight w:val="none"/>
                <w:lang w:bidi="ar"/>
              </w:rPr>
            </w:pPr>
          </w:p>
        </w:tc>
        <w:tc>
          <w:tcPr>
            <w:tcW w:w="4862" w:type="dxa"/>
            <w:vMerge w:val="continue"/>
            <w:tcBorders>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502259CF">
            <w:pPr>
              <w:spacing w:line="260" w:lineRule="exact"/>
              <w:ind w:firstLine="360" w:firstLineChars="200"/>
              <w:rPr>
                <w:rFonts w:hint="eastAsia" w:ascii="宋体" w:hAnsi="宋体" w:eastAsia="宋体" w:cs="宋体"/>
                <w:color w:val="000000"/>
                <w:kern w:val="0"/>
                <w:sz w:val="18"/>
                <w:szCs w:val="18"/>
                <w:highlight w:val="none"/>
                <w:lang w:bidi="ar"/>
              </w:rPr>
            </w:pPr>
          </w:p>
        </w:tc>
        <w:tc>
          <w:tcPr>
            <w:tcW w:w="1613" w:type="dxa"/>
            <w:vMerge w:val="continue"/>
            <w:tcBorders>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6CFE3B4F">
            <w:pPr>
              <w:spacing w:line="260" w:lineRule="exact"/>
              <w:ind w:firstLine="360" w:firstLineChars="200"/>
              <w:rPr>
                <w:rFonts w:hint="eastAsia" w:ascii="宋体" w:hAnsi="宋体" w:eastAsia="宋体" w:cs="宋体"/>
                <w:color w:val="000000"/>
                <w:kern w:val="0"/>
                <w:sz w:val="18"/>
                <w:szCs w:val="18"/>
                <w:highlight w:val="none"/>
                <w:lang w:bidi="ar"/>
              </w:rPr>
            </w:pP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5894FFB8">
            <w:pPr>
              <w:spacing w:line="260" w:lineRule="exact"/>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严重</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7F7C5B62">
            <w:pPr>
              <w:spacing w:line="220" w:lineRule="exact"/>
              <w:rPr>
                <w:rFonts w:hint="eastAsia" w:ascii="宋体" w:hAnsi="宋体" w:eastAsia="宋体" w:cs="宋体"/>
                <w:color w:val="000000"/>
                <w:sz w:val="18"/>
                <w:szCs w:val="18"/>
                <w:highlight w:val="none"/>
                <w:lang w:bidi="ar"/>
              </w:rPr>
            </w:pPr>
            <w:r>
              <w:rPr>
                <w:rStyle w:val="21"/>
                <w:rFonts w:hint="eastAsia" w:ascii="宋体" w:hAnsi="宋体" w:eastAsia="宋体" w:cs="宋体"/>
                <w:sz w:val="18"/>
                <w:szCs w:val="18"/>
                <w:highlight w:val="none"/>
                <w:lang w:bidi="ar"/>
              </w:rPr>
              <w:t>逾期不拆除或者不封闭，工程或设备规模</w:t>
            </w:r>
            <w:r>
              <w:rPr>
                <w:rStyle w:val="21"/>
                <w:rFonts w:hint="eastAsia" w:ascii="宋体" w:hAnsi="宋体" w:eastAsia="宋体" w:cs="宋体"/>
                <w:sz w:val="18"/>
                <w:szCs w:val="18"/>
                <w:highlight w:val="none"/>
                <w:lang w:eastAsia="zh-CN" w:bidi="ar"/>
              </w:rPr>
              <w:t>日</w:t>
            </w:r>
            <w:r>
              <w:rPr>
                <w:rStyle w:val="21"/>
                <w:rFonts w:hint="eastAsia" w:ascii="宋体" w:hAnsi="宋体" w:eastAsia="宋体" w:cs="宋体"/>
                <w:sz w:val="18"/>
                <w:szCs w:val="18"/>
                <w:highlight w:val="none"/>
                <w:lang w:bidi="ar"/>
              </w:rPr>
              <w:t>取地表水</w:t>
            </w:r>
            <w:r>
              <w:rPr>
                <w:rStyle w:val="21"/>
                <w:rFonts w:hint="eastAsia" w:ascii="宋体" w:hAnsi="宋体" w:eastAsia="宋体" w:cs="宋体"/>
                <w:sz w:val="18"/>
                <w:szCs w:val="18"/>
                <w:highlight w:val="none"/>
                <w:lang w:val="en-US" w:eastAsia="zh-CN" w:bidi="ar"/>
              </w:rPr>
              <w:t>500</w:t>
            </w:r>
            <w:r>
              <w:rPr>
                <w:rStyle w:val="21"/>
                <w:rFonts w:hint="eastAsia" w:ascii="宋体" w:hAnsi="宋体" w:eastAsia="宋体" w:cs="宋体"/>
                <w:sz w:val="18"/>
                <w:szCs w:val="18"/>
                <w:highlight w:val="none"/>
                <w:lang w:bidi="ar"/>
              </w:rPr>
              <w:t>立方米以上、地下水</w:t>
            </w:r>
            <w:r>
              <w:rPr>
                <w:rStyle w:val="21"/>
                <w:rFonts w:hint="eastAsia" w:ascii="宋体" w:hAnsi="宋体" w:eastAsia="宋体" w:cs="宋体"/>
                <w:sz w:val="18"/>
                <w:szCs w:val="18"/>
                <w:highlight w:val="none"/>
                <w:lang w:val="en-US" w:eastAsia="zh-CN" w:bidi="ar"/>
              </w:rPr>
              <w:t>50</w:t>
            </w:r>
            <w:r>
              <w:rPr>
                <w:rStyle w:val="21"/>
                <w:rFonts w:hint="eastAsia" w:ascii="宋体" w:hAnsi="宋体" w:eastAsia="宋体" w:cs="宋体"/>
                <w:sz w:val="18"/>
                <w:szCs w:val="18"/>
                <w:highlight w:val="none"/>
                <w:lang w:bidi="ar"/>
              </w:rPr>
              <w:t>立方米以上的</w:t>
            </w: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797C47C5">
            <w:pPr>
              <w:spacing w:line="260" w:lineRule="exact"/>
              <w:rPr>
                <w:rFonts w:hint="eastAsia" w:ascii="宋体" w:hAnsi="宋体" w:eastAsia="宋体" w:cs="宋体"/>
                <w:color w:val="000000"/>
                <w:sz w:val="18"/>
                <w:szCs w:val="18"/>
                <w:highlight w:val="none"/>
                <w:lang w:bidi="ar"/>
              </w:rPr>
            </w:pPr>
            <w:r>
              <w:rPr>
                <w:rStyle w:val="21"/>
                <w:rFonts w:hint="eastAsia" w:ascii="宋体" w:hAnsi="宋体" w:eastAsia="宋体" w:cs="宋体"/>
                <w:sz w:val="18"/>
                <w:szCs w:val="18"/>
                <w:highlight w:val="none"/>
                <w:lang w:bidi="ar"/>
              </w:rPr>
              <w:t>处</w:t>
            </w:r>
            <w:r>
              <w:rPr>
                <w:rStyle w:val="21"/>
                <w:rFonts w:hint="eastAsia" w:ascii="宋体" w:hAnsi="宋体" w:eastAsia="宋体" w:cs="宋体"/>
                <w:sz w:val="18"/>
                <w:szCs w:val="18"/>
                <w:highlight w:val="none"/>
                <w:lang w:val="en-US" w:eastAsia="zh-CN" w:bidi="ar"/>
              </w:rPr>
              <w:t>3</w:t>
            </w:r>
            <w:r>
              <w:rPr>
                <w:rStyle w:val="21"/>
                <w:rFonts w:hint="eastAsia" w:ascii="宋体" w:hAnsi="宋体" w:eastAsia="宋体" w:cs="宋体"/>
                <w:sz w:val="18"/>
                <w:szCs w:val="18"/>
                <w:highlight w:val="none"/>
                <w:lang w:bidi="ar"/>
              </w:rPr>
              <w:t>万元以上</w:t>
            </w:r>
            <w:r>
              <w:rPr>
                <w:rStyle w:val="21"/>
                <w:rFonts w:hint="eastAsia" w:ascii="宋体" w:hAnsi="宋体" w:eastAsia="宋体" w:cs="宋体"/>
                <w:sz w:val="18"/>
                <w:szCs w:val="18"/>
                <w:highlight w:val="none"/>
                <w:lang w:val="en-US" w:eastAsia="zh-CN" w:bidi="ar"/>
              </w:rPr>
              <w:t>5</w:t>
            </w:r>
            <w:r>
              <w:rPr>
                <w:rStyle w:val="21"/>
                <w:rFonts w:hint="eastAsia" w:ascii="宋体" w:hAnsi="宋体" w:eastAsia="宋体" w:cs="宋体"/>
                <w:sz w:val="18"/>
                <w:szCs w:val="18"/>
                <w:highlight w:val="none"/>
                <w:lang w:bidi="ar"/>
              </w:rPr>
              <w:t>万元以下罚款</w:t>
            </w:r>
          </w:p>
        </w:tc>
        <w:tc>
          <w:tcPr>
            <w:tcW w:w="563" w:type="dxa"/>
            <w:vMerge w:val="continue"/>
            <w:tcBorders>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714B88AD">
            <w:pPr>
              <w:spacing w:line="260" w:lineRule="exact"/>
              <w:rPr>
                <w:rStyle w:val="21"/>
                <w:rFonts w:hint="eastAsia" w:ascii="宋体" w:hAnsi="宋体" w:eastAsia="宋体" w:cs="宋体"/>
                <w:sz w:val="18"/>
                <w:szCs w:val="18"/>
                <w:lang w:bidi="ar"/>
              </w:rPr>
            </w:pPr>
          </w:p>
        </w:tc>
      </w:tr>
      <w:tr w14:paraId="1A748D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95" w:type="dxa"/>
            <w:vMerge w:val="restart"/>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5085C289">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7</w:t>
            </w:r>
          </w:p>
        </w:tc>
        <w:tc>
          <w:tcPr>
            <w:tcW w:w="1211" w:type="dxa"/>
            <w:vMerge w:val="restart"/>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6F7C0192">
            <w:pPr>
              <w:widowControl/>
              <w:spacing w:line="240" w:lineRule="exact"/>
              <w:jc w:val="both"/>
              <w:textAlignment w:val="center"/>
              <w:rPr>
                <w:rFonts w:hint="eastAsia" w:ascii="宋体" w:hAnsi="宋体" w:eastAsia="宋体" w:cs="宋体"/>
                <w:color w:val="000000"/>
                <w:kern w:val="0"/>
                <w:sz w:val="18"/>
                <w:szCs w:val="18"/>
                <w:highlight w:val="none"/>
                <w:lang w:bidi="ar"/>
              </w:rPr>
            </w:pPr>
            <w:r>
              <w:rPr>
                <w:rFonts w:hint="eastAsia" w:ascii="宋体" w:hAnsi="宋体" w:eastAsia="宋体" w:cs="宋体"/>
                <w:color w:val="000000"/>
                <w:kern w:val="0"/>
                <w:sz w:val="18"/>
                <w:szCs w:val="18"/>
                <w:highlight w:val="none"/>
                <w:lang w:bidi="ar"/>
              </w:rPr>
              <w:t>对凿井施工等单位承揽未取得取水申请批准文件的取水井工程或者为其建设取水配套设施的行政处罚</w:t>
            </w:r>
          </w:p>
        </w:tc>
        <w:tc>
          <w:tcPr>
            <w:tcW w:w="4862" w:type="dxa"/>
            <w:vMerge w:val="restart"/>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14ED6B37">
            <w:pPr>
              <w:widowControl/>
              <w:spacing w:line="240" w:lineRule="exact"/>
              <w:jc w:val="both"/>
              <w:textAlignment w:val="center"/>
              <w:rPr>
                <w:rFonts w:hint="eastAsia" w:ascii="宋体" w:hAnsi="宋体" w:eastAsia="宋体" w:cs="宋体"/>
                <w:color w:val="000000"/>
                <w:kern w:val="0"/>
                <w:sz w:val="18"/>
                <w:szCs w:val="18"/>
                <w:highlight w:val="none"/>
                <w:lang w:bidi="ar"/>
              </w:rPr>
            </w:pPr>
            <w:r>
              <w:rPr>
                <w:rFonts w:hint="eastAsia" w:ascii="宋体" w:hAnsi="宋体" w:eastAsia="宋体" w:cs="宋体"/>
                <w:color w:val="000000"/>
                <w:kern w:val="0"/>
                <w:sz w:val="18"/>
                <w:szCs w:val="18"/>
                <w:highlight w:val="none"/>
                <w:lang w:bidi="ar"/>
              </w:rPr>
              <w:t>《河北省地下水管理条例》第五十七条 违反本条例规定，凿井施工等单位承揽未取得取水申请批准文件的取水井工程或者为其建设取水配套设施的，由县级以上人民政府水行政主管部门责令停止违法行为，并处五万元以上十万元以下罚款。</w:t>
            </w:r>
          </w:p>
        </w:tc>
        <w:tc>
          <w:tcPr>
            <w:tcW w:w="1613" w:type="dxa"/>
            <w:vMerge w:val="restart"/>
            <w:tcBorders>
              <w:top w:val="single" w:color="auto" w:sz="4" w:space="0"/>
              <w:left w:val="single" w:color="auto" w:sz="4" w:space="0"/>
              <w:right w:val="single" w:color="auto" w:sz="4" w:space="0"/>
            </w:tcBorders>
            <w:shd w:val="clear" w:color="auto" w:fill="FFFFFF"/>
            <w:noWrap w:val="0"/>
            <w:tcMar>
              <w:top w:w="0" w:type="dxa"/>
              <w:left w:w="0" w:type="dxa"/>
              <w:bottom w:w="0" w:type="dxa"/>
              <w:right w:w="0" w:type="dxa"/>
            </w:tcMar>
            <w:vAlign w:val="center"/>
          </w:tcPr>
          <w:p w14:paraId="2111D358">
            <w:pPr>
              <w:widowControl/>
              <w:spacing w:line="260" w:lineRule="exact"/>
              <w:jc w:val="both"/>
              <w:textAlignment w:val="center"/>
              <w:rPr>
                <w:rFonts w:hint="eastAsia" w:ascii="宋体" w:hAnsi="宋体" w:eastAsia="宋体" w:cs="宋体"/>
                <w:color w:val="000000"/>
                <w:kern w:val="0"/>
                <w:sz w:val="18"/>
                <w:szCs w:val="18"/>
                <w:highlight w:val="none"/>
                <w:lang w:bidi="ar"/>
              </w:rPr>
            </w:pPr>
            <w:r>
              <w:rPr>
                <w:rFonts w:hint="eastAsia" w:ascii="宋体" w:hAnsi="宋体" w:eastAsia="宋体" w:cs="宋体"/>
                <w:color w:val="000000"/>
                <w:kern w:val="0"/>
                <w:sz w:val="18"/>
                <w:szCs w:val="18"/>
                <w:highlight w:val="none"/>
                <w:lang w:bidi="ar"/>
              </w:rPr>
              <w:t>凿井施工等单位承揽未取得取水申请批准文件的取水井工程或者为其建设取水配套设施的</w:t>
            </w: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0FEEF238">
            <w:pPr>
              <w:spacing w:line="260" w:lineRule="exact"/>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轻微</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6A8D5084">
            <w:pPr>
              <w:snapToGrid/>
              <w:spacing w:line="220" w:lineRule="exact"/>
              <mc:AlternateContent>
                <mc:Choice Requires="wpsCustomData">
                  <wpsCustomData:diagonalParaType/>
                </mc:Choice>
              </mc:AlternateContent>
              <w:rPr>
                <w:rStyle w:val="21"/>
                <w:rFonts w:hint="eastAsia" w:ascii="宋体" w:hAnsi="宋体" w:eastAsia="宋体" w:cs="宋体"/>
                <w:color w:val="auto"/>
                <w:sz w:val="18"/>
                <w:szCs w:val="18"/>
                <w:highlight w:val="none"/>
                <w:lang w:bidi="ar"/>
              </w:rPr>
            </w:pPr>
          </w:p>
          <w:p w14:paraId="7F63DFF4">
            <w:pPr>
              <w:spacing w:line="220" w:lineRule="exact"/>
              <w:rPr>
                <w:rStyle w:val="21"/>
                <w:rFonts w:hint="eastAsia" w:ascii="宋体" w:hAnsi="宋体" w:eastAsia="宋体" w:cs="宋体"/>
                <w:sz w:val="18"/>
                <w:szCs w:val="18"/>
                <w:highlight w:val="none"/>
                <w:lang w:bidi="ar"/>
              </w:rPr>
            </w:pP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0EAA800A">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highlight w:val="none"/>
                <w:lang w:bidi="ar"/>
              </w:rPr>
            </w:pPr>
          </w:p>
          <w:p w14:paraId="4C20CFE4">
            <w:pPr>
              <w:spacing w:line="260" w:lineRule="exact"/>
              <w:rPr>
                <w:rStyle w:val="21"/>
                <w:rFonts w:hint="eastAsia" w:ascii="宋体" w:hAnsi="宋体" w:eastAsia="宋体" w:cs="宋体"/>
                <w:sz w:val="18"/>
                <w:szCs w:val="18"/>
                <w:highlight w:val="none"/>
                <w:lang w:bidi="ar"/>
              </w:rPr>
            </w:pPr>
          </w:p>
        </w:tc>
        <w:tc>
          <w:tcPr>
            <w:tcW w:w="563" w:type="dxa"/>
            <w:vMerge w:val="restart"/>
            <w:tcBorders>
              <w:top w:val="single" w:color="auto" w:sz="4" w:space="0"/>
              <w:left w:val="single" w:color="auto" w:sz="4" w:space="0"/>
              <w:right w:val="single" w:color="auto" w:sz="4" w:space="0"/>
            </w:tcBorders>
            <w:shd w:val="clear" w:color="auto" w:fill="FFFFFF"/>
            <w:noWrap w:val="0"/>
            <w:tcMar>
              <w:top w:w="0" w:type="dxa"/>
              <w:left w:w="0" w:type="dxa"/>
              <w:bottom w:w="0" w:type="dxa"/>
              <w:right w:w="0" w:type="dxa"/>
            </w:tcMar>
            <w:vAlign w:val="center"/>
          </w:tcPr>
          <w:p w14:paraId="14DD191D">
            <w:pPr>
              <w:spacing w:line="260" w:lineRule="exact"/>
              <w:rPr>
                <w:rStyle w:val="21"/>
                <w:rFonts w:hint="eastAsia" w:ascii="宋体" w:hAnsi="宋体" w:eastAsia="宋体" w:cs="宋体"/>
                <w:sz w:val="18"/>
                <w:szCs w:val="18"/>
                <w:lang w:bidi="ar"/>
              </w:rPr>
            </w:pPr>
          </w:p>
        </w:tc>
      </w:tr>
      <w:tr w14:paraId="0B84B0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95"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0E17221B">
            <w:pPr>
              <w:spacing w:line="260" w:lineRule="exact"/>
              <w:jc w:val="center"/>
              <w:rPr>
                <w:rFonts w:hint="eastAsia" w:ascii="宋体" w:hAnsi="宋体" w:eastAsia="宋体" w:cs="宋体"/>
                <w:sz w:val="18"/>
                <w:szCs w:val="18"/>
              </w:rPr>
            </w:pPr>
          </w:p>
        </w:tc>
        <w:tc>
          <w:tcPr>
            <w:tcW w:w="1211"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111E4458">
            <w:pPr>
              <w:spacing w:line="260" w:lineRule="exact"/>
              <w:rPr>
                <w:rFonts w:hint="eastAsia" w:ascii="宋体" w:hAnsi="宋体" w:eastAsia="宋体" w:cs="宋体"/>
                <w:color w:val="000000"/>
                <w:kern w:val="0"/>
                <w:sz w:val="18"/>
                <w:szCs w:val="18"/>
                <w:highlight w:val="none"/>
                <w:lang w:bidi="ar"/>
              </w:rPr>
            </w:pPr>
          </w:p>
        </w:tc>
        <w:tc>
          <w:tcPr>
            <w:tcW w:w="4862"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75D29CCB">
            <w:pPr>
              <w:spacing w:line="260" w:lineRule="exact"/>
              <w:ind w:firstLine="360" w:firstLineChars="200"/>
              <w:rPr>
                <w:rFonts w:hint="eastAsia" w:ascii="宋体" w:hAnsi="宋体" w:eastAsia="宋体" w:cs="宋体"/>
                <w:color w:val="000000"/>
                <w:kern w:val="0"/>
                <w:sz w:val="18"/>
                <w:szCs w:val="18"/>
                <w:highlight w:val="none"/>
                <w:lang w:bidi="ar"/>
              </w:rPr>
            </w:pPr>
          </w:p>
        </w:tc>
        <w:tc>
          <w:tcPr>
            <w:tcW w:w="161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5A3B630D">
            <w:pPr>
              <w:spacing w:line="260" w:lineRule="exact"/>
              <w:ind w:firstLine="360" w:firstLineChars="200"/>
              <w:rPr>
                <w:rFonts w:hint="eastAsia" w:ascii="宋体" w:hAnsi="宋体" w:eastAsia="宋体" w:cs="宋体"/>
                <w:color w:val="000000"/>
                <w:kern w:val="0"/>
                <w:sz w:val="18"/>
                <w:szCs w:val="18"/>
                <w:highlight w:val="none"/>
                <w:lang w:bidi="ar"/>
              </w:rPr>
            </w:pP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1F2F6749">
            <w:pPr>
              <w:spacing w:line="260" w:lineRule="exact"/>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较轻</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4EE94049">
            <w:pPr>
              <w:snapToGrid/>
              <w:spacing w:line="220" w:lineRule="exact"/>
              <mc:AlternateContent>
                <mc:Choice Requires="wpsCustomData">
                  <wpsCustomData:diagonalParaType/>
                </mc:Choice>
              </mc:AlternateContent>
              <w:rPr>
                <w:rStyle w:val="21"/>
                <w:rFonts w:hint="eastAsia" w:ascii="宋体" w:hAnsi="宋体" w:eastAsia="宋体" w:cs="宋体"/>
                <w:color w:val="auto"/>
                <w:sz w:val="18"/>
                <w:szCs w:val="18"/>
                <w:highlight w:val="none"/>
                <w:lang w:bidi="ar"/>
              </w:rPr>
            </w:pPr>
          </w:p>
          <w:p w14:paraId="7888CB07">
            <w:pPr>
              <w:spacing w:line="220" w:lineRule="exact"/>
              <w:rPr>
                <w:rStyle w:val="21"/>
                <w:rFonts w:hint="eastAsia" w:ascii="宋体" w:hAnsi="宋体" w:eastAsia="宋体" w:cs="宋体"/>
                <w:sz w:val="18"/>
                <w:szCs w:val="18"/>
                <w:highlight w:val="none"/>
                <w:lang w:bidi="ar"/>
              </w:rPr>
            </w:pP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7F4E76AE">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highlight w:val="none"/>
                <w:lang w:bidi="ar"/>
              </w:rPr>
            </w:pPr>
          </w:p>
          <w:p w14:paraId="15779B16">
            <w:pPr>
              <w:spacing w:line="260" w:lineRule="exact"/>
              <w:rPr>
                <w:rStyle w:val="21"/>
                <w:rFonts w:hint="eastAsia" w:ascii="宋体" w:hAnsi="宋体" w:eastAsia="宋体" w:cs="宋体"/>
                <w:sz w:val="18"/>
                <w:szCs w:val="18"/>
                <w:highlight w:val="none"/>
                <w:lang w:bidi="ar"/>
              </w:rPr>
            </w:pPr>
          </w:p>
        </w:tc>
        <w:tc>
          <w:tcPr>
            <w:tcW w:w="56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6A8FE5E4">
            <w:pPr>
              <w:spacing w:line="260" w:lineRule="exact"/>
              <w:rPr>
                <w:rStyle w:val="21"/>
                <w:rFonts w:hint="eastAsia" w:ascii="宋体" w:hAnsi="宋体" w:eastAsia="宋体" w:cs="宋体"/>
                <w:sz w:val="18"/>
                <w:szCs w:val="18"/>
                <w:lang w:bidi="ar"/>
              </w:rPr>
            </w:pPr>
          </w:p>
        </w:tc>
      </w:tr>
      <w:tr w14:paraId="50B579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567" w:hRule="atLeast"/>
          <w:jc w:val="center"/>
        </w:trPr>
        <w:tc>
          <w:tcPr>
            <w:tcW w:w="495"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660F0438">
            <w:pPr>
              <w:spacing w:line="260" w:lineRule="exact"/>
              <w:jc w:val="center"/>
              <w:rPr>
                <w:rFonts w:hint="eastAsia" w:ascii="宋体" w:hAnsi="宋体" w:eastAsia="宋体" w:cs="宋体"/>
                <w:sz w:val="18"/>
                <w:szCs w:val="18"/>
              </w:rPr>
            </w:pPr>
          </w:p>
        </w:tc>
        <w:tc>
          <w:tcPr>
            <w:tcW w:w="1211"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5A9A70B7">
            <w:pPr>
              <w:spacing w:line="260" w:lineRule="exact"/>
              <w:rPr>
                <w:rFonts w:hint="eastAsia" w:ascii="宋体" w:hAnsi="宋体" w:eastAsia="宋体" w:cs="宋体"/>
                <w:color w:val="000000"/>
                <w:kern w:val="0"/>
                <w:sz w:val="18"/>
                <w:szCs w:val="18"/>
                <w:highlight w:val="none"/>
                <w:lang w:bidi="ar"/>
              </w:rPr>
            </w:pPr>
          </w:p>
        </w:tc>
        <w:tc>
          <w:tcPr>
            <w:tcW w:w="4862"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47229FB1">
            <w:pPr>
              <w:spacing w:line="260" w:lineRule="exact"/>
              <w:ind w:firstLine="360" w:firstLineChars="200"/>
              <w:rPr>
                <w:rFonts w:hint="eastAsia" w:ascii="宋体" w:hAnsi="宋体" w:eastAsia="宋体" w:cs="宋体"/>
                <w:color w:val="000000"/>
                <w:kern w:val="0"/>
                <w:sz w:val="18"/>
                <w:szCs w:val="18"/>
                <w:highlight w:val="none"/>
                <w:lang w:bidi="ar"/>
              </w:rPr>
            </w:pPr>
          </w:p>
        </w:tc>
        <w:tc>
          <w:tcPr>
            <w:tcW w:w="161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68458727">
            <w:pPr>
              <w:spacing w:line="260" w:lineRule="exact"/>
              <w:ind w:firstLine="360" w:firstLineChars="200"/>
              <w:rPr>
                <w:rFonts w:hint="eastAsia" w:ascii="宋体" w:hAnsi="宋体" w:eastAsia="宋体" w:cs="宋体"/>
                <w:color w:val="000000"/>
                <w:kern w:val="0"/>
                <w:sz w:val="18"/>
                <w:szCs w:val="18"/>
                <w:highlight w:val="none"/>
                <w:lang w:bidi="ar"/>
              </w:rPr>
            </w:pP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107E6C6F">
            <w:pPr>
              <w:spacing w:line="260" w:lineRule="exact"/>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一般</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0EF27585">
            <w:pPr>
              <w:spacing w:line="220" w:lineRule="exact"/>
              <w:rPr>
                <w:rFonts w:hint="eastAsia" w:ascii="宋体" w:hAnsi="宋体" w:eastAsia="宋体" w:cs="宋体"/>
                <w:color w:val="000000"/>
                <w:sz w:val="18"/>
                <w:szCs w:val="18"/>
                <w:highlight w:val="none"/>
                <w:lang w:bidi="ar"/>
              </w:rPr>
            </w:pPr>
            <w:r>
              <w:rPr>
                <w:rStyle w:val="21"/>
                <w:rFonts w:hint="eastAsia" w:ascii="宋体" w:hAnsi="宋体" w:eastAsia="宋体" w:cs="宋体"/>
                <w:sz w:val="18"/>
                <w:szCs w:val="18"/>
                <w:highlight w:val="none"/>
                <w:lang w:bidi="ar"/>
              </w:rPr>
              <w:t>立即停止违法行为，在限期内拆除打井设备的</w:t>
            </w: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229F81B8">
            <w:pPr>
              <w:spacing w:line="260" w:lineRule="exact"/>
              <w:rPr>
                <w:rFonts w:hint="eastAsia" w:ascii="宋体" w:hAnsi="宋体" w:eastAsia="宋体" w:cs="宋体"/>
                <w:color w:val="000000"/>
                <w:sz w:val="18"/>
                <w:szCs w:val="18"/>
                <w:highlight w:val="none"/>
                <w:lang w:bidi="ar"/>
              </w:rPr>
            </w:pPr>
            <w:r>
              <w:rPr>
                <w:rStyle w:val="21"/>
                <w:rFonts w:hint="eastAsia" w:ascii="宋体" w:hAnsi="宋体" w:eastAsia="宋体" w:cs="宋体"/>
                <w:sz w:val="18"/>
                <w:szCs w:val="18"/>
                <w:highlight w:val="none"/>
                <w:lang w:bidi="ar"/>
              </w:rPr>
              <w:t>处</w:t>
            </w:r>
            <w:r>
              <w:rPr>
                <w:rStyle w:val="21"/>
                <w:rFonts w:hint="eastAsia" w:ascii="宋体" w:hAnsi="宋体" w:eastAsia="宋体" w:cs="宋体"/>
                <w:sz w:val="18"/>
                <w:szCs w:val="18"/>
                <w:highlight w:val="none"/>
                <w:lang w:val="en-US" w:eastAsia="zh-CN" w:bidi="ar"/>
              </w:rPr>
              <w:t>5</w:t>
            </w:r>
            <w:r>
              <w:rPr>
                <w:rStyle w:val="21"/>
                <w:rFonts w:hint="eastAsia" w:ascii="宋体" w:hAnsi="宋体" w:eastAsia="宋体" w:cs="宋体"/>
                <w:sz w:val="18"/>
                <w:szCs w:val="18"/>
                <w:highlight w:val="none"/>
                <w:lang w:bidi="ar"/>
              </w:rPr>
              <w:t>万元以上</w:t>
            </w:r>
            <w:r>
              <w:rPr>
                <w:rStyle w:val="21"/>
                <w:rFonts w:hint="eastAsia" w:ascii="宋体" w:hAnsi="宋体" w:eastAsia="宋体" w:cs="宋体"/>
                <w:sz w:val="18"/>
                <w:szCs w:val="18"/>
                <w:highlight w:val="none"/>
                <w:lang w:val="en-US" w:eastAsia="zh-CN" w:bidi="ar"/>
              </w:rPr>
              <w:t>7</w:t>
            </w:r>
            <w:r>
              <w:rPr>
                <w:rStyle w:val="21"/>
                <w:rFonts w:hint="eastAsia" w:ascii="宋体" w:hAnsi="宋体" w:eastAsia="宋体" w:cs="宋体"/>
                <w:sz w:val="18"/>
                <w:szCs w:val="18"/>
                <w:highlight w:val="none"/>
                <w:lang w:bidi="ar"/>
              </w:rPr>
              <w:t>万元以下罚款</w:t>
            </w:r>
          </w:p>
        </w:tc>
        <w:tc>
          <w:tcPr>
            <w:tcW w:w="56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29D1EBA9">
            <w:pPr>
              <w:spacing w:line="260" w:lineRule="exact"/>
              <w:rPr>
                <w:rStyle w:val="21"/>
                <w:rFonts w:hint="eastAsia" w:ascii="宋体" w:hAnsi="宋体" w:eastAsia="宋体" w:cs="宋体"/>
                <w:sz w:val="18"/>
                <w:szCs w:val="18"/>
                <w:lang w:bidi="ar"/>
              </w:rPr>
            </w:pPr>
          </w:p>
        </w:tc>
      </w:tr>
      <w:tr w14:paraId="600F29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95"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1E1D634B">
            <w:pPr>
              <w:spacing w:line="260" w:lineRule="exact"/>
              <w:jc w:val="center"/>
              <w:rPr>
                <w:rFonts w:hint="eastAsia" w:ascii="宋体" w:hAnsi="宋体" w:eastAsia="宋体" w:cs="宋体"/>
                <w:sz w:val="18"/>
                <w:szCs w:val="18"/>
              </w:rPr>
            </w:pPr>
          </w:p>
        </w:tc>
        <w:tc>
          <w:tcPr>
            <w:tcW w:w="1211"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70E53BBD">
            <w:pPr>
              <w:spacing w:line="260" w:lineRule="exact"/>
              <w:rPr>
                <w:rFonts w:hint="eastAsia" w:ascii="宋体" w:hAnsi="宋体" w:eastAsia="宋体" w:cs="宋体"/>
                <w:color w:val="000000"/>
                <w:kern w:val="0"/>
                <w:sz w:val="18"/>
                <w:szCs w:val="18"/>
                <w:highlight w:val="none"/>
                <w:lang w:bidi="ar"/>
              </w:rPr>
            </w:pPr>
          </w:p>
        </w:tc>
        <w:tc>
          <w:tcPr>
            <w:tcW w:w="4862"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0811758A">
            <w:pPr>
              <w:spacing w:line="260" w:lineRule="exact"/>
              <w:ind w:firstLine="360" w:firstLineChars="200"/>
              <w:rPr>
                <w:rFonts w:hint="eastAsia" w:ascii="宋体" w:hAnsi="宋体" w:eastAsia="宋体" w:cs="宋体"/>
                <w:color w:val="000000"/>
                <w:kern w:val="0"/>
                <w:sz w:val="18"/>
                <w:szCs w:val="18"/>
                <w:highlight w:val="none"/>
                <w:lang w:bidi="ar"/>
              </w:rPr>
            </w:pPr>
          </w:p>
        </w:tc>
        <w:tc>
          <w:tcPr>
            <w:tcW w:w="161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3B381E03">
            <w:pPr>
              <w:spacing w:line="260" w:lineRule="exact"/>
              <w:ind w:firstLine="360" w:firstLineChars="200"/>
              <w:rPr>
                <w:rFonts w:hint="eastAsia" w:ascii="宋体" w:hAnsi="宋体" w:eastAsia="宋体" w:cs="宋体"/>
                <w:color w:val="000000"/>
                <w:kern w:val="0"/>
                <w:sz w:val="18"/>
                <w:szCs w:val="18"/>
                <w:highlight w:val="none"/>
                <w:lang w:bidi="ar"/>
              </w:rPr>
            </w:pP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210A199F">
            <w:pPr>
              <w:spacing w:line="260" w:lineRule="exact"/>
              <w:jc w:val="center"/>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lang w:eastAsia="zh-CN"/>
              </w:rPr>
              <w:t>较重</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3555BB2A">
            <w:pPr>
              <w:spacing w:line="220" w:lineRule="exact"/>
              <w:rPr>
                <w:rFonts w:hint="eastAsia" w:ascii="宋体" w:hAnsi="宋体" w:eastAsia="宋体" w:cs="宋体"/>
                <w:color w:val="000000"/>
                <w:sz w:val="18"/>
                <w:szCs w:val="18"/>
                <w:highlight w:val="none"/>
                <w:lang w:bidi="ar"/>
              </w:rPr>
            </w:pPr>
            <w:r>
              <w:rPr>
                <w:rStyle w:val="21"/>
                <w:rFonts w:hint="eastAsia" w:ascii="宋体" w:hAnsi="宋体" w:eastAsia="宋体" w:cs="宋体"/>
                <w:sz w:val="18"/>
                <w:szCs w:val="18"/>
                <w:highlight w:val="none"/>
                <w:lang w:bidi="ar"/>
              </w:rPr>
              <w:t>未在限期内停止违法行为、拆除打井设备的</w:t>
            </w: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774F78BA">
            <w:pPr>
              <w:spacing w:line="260" w:lineRule="exact"/>
              <w:rPr>
                <w:rFonts w:hint="eastAsia" w:ascii="宋体" w:hAnsi="宋体" w:eastAsia="宋体" w:cs="宋体"/>
                <w:color w:val="000000"/>
                <w:sz w:val="18"/>
                <w:szCs w:val="18"/>
                <w:highlight w:val="none"/>
                <w:lang w:bidi="ar"/>
              </w:rPr>
            </w:pPr>
            <w:r>
              <w:rPr>
                <w:rStyle w:val="21"/>
                <w:rFonts w:hint="eastAsia" w:ascii="宋体" w:hAnsi="宋体" w:eastAsia="宋体" w:cs="宋体"/>
                <w:sz w:val="18"/>
                <w:szCs w:val="18"/>
                <w:highlight w:val="none"/>
                <w:lang w:bidi="ar"/>
              </w:rPr>
              <w:t>处</w:t>
            </w:r>
            <w:r>
              <w:rPr>
                <w:rStyle w:val="21"/>
                <w:rFonts w:hint="eastAsia" w:ascii="宋体" w:hAnsi="宋体" w:eastAsia="宋体" w:cs="宋体"/>
                <w:sz w:val="18"/>
                <w:szCs w:val="18"/>
                <w:highlight w:val="none"/>
                <w:lang w:val="en-US" w:eastAsia="zh-CN" w:bidi="ar"/>
              </w:rPr>
              <w:t>7</w:t>
            </w:r>
            <w:r>
              <w:rPr>
                <w:rStyle w:val="21"/>
                <w:rFonts w:hint="eastAsia" w:ascii="宋体" w:hAnsi="宋体" w:eastAsia="宋体" w:cs="宋体"/>
                <w:sz w:val="18"/>
                <w:szCs w:val="18"/>
                <w:highlight w:val="none"/>
                <w:lang w:bidi="ar"/>
              </w:rPr>
              <w:t>万元以上</w:t>
            </w:r>
            <w:r>
              <w:rPr>
                <w:rStyle w:val="21"/>
                <w:rFonts w:hint="eastAsia" w:ascii="宋体" w:hAnsi="宋体" w:eastAsia="宋体" w:cs="宋体"/>
                <w:sz w:val="18"/>
                <w:szCs w:val="18"/>
                <w:highlight w:val="none"/>
                <w:lang w:val="en-US" w:eastAsia="zh-CN" w:bidi="ar"/>
              </w:rPr>
              <w:t>9</w:t>
            </w:r>
            <w:r>
              <w:rPr>
                <w:rStyle w:val="21"/>
                <w:rFonts w:hint="eastAsia" w:ascii="宋体" w:hAnsi="宋体" w:eastAsia="宋体" w:cs="宋体"/>
                <w:sz w:val="18"/>
                <w:szCs w:val="18"/>
                <w:highlight w:val="none"/>
                <w:lang w:bidi="ar"/>
              </w:rPr>
              <w:t>万元以下罚款</w:t>
            </w:r>
          </w:p>
        </w:tc>
        <w:tc>
          <w:tcPr>
            <w:tcW w:w="56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1FDD6666">
            <w:pPr>
              <w:spacing w:line="260" w:lineRule="exact"/>
              <w:rPr>
                <w:rStyle w:val="21"/>
                <w:rFonts w:hint="eastAsia" w:ascii="宋体" w:hAnsi="宋体" w:eastAsia="宋体" w:cs="宋体"/>
                <w:sz w:val="18"/>
                <w:szCs w:val="18"/>
                <w:lang w:bidi="ar"/>
              </w:rPr>
            </w:pPr>
          </w:p>
        </w:tc>
      </w:tr>
      <w:tr w14:paraId="72196E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95" w:type="dxa"/>
            <w:vMerge w:val="continue"/>
            <w:tcBorders>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1019B9A7">
            <w:pPr>
              <w:spacing w:line="260" w:lineRule="exact"/>
              <w:jc w:val="center"/>
              <w:rPr>
                <w:rFonts w:hint="eastAsia" w:ascii="宋体" w:hAnsi="宋体" w:eastAsia="宋体" w:cs="宋体"/>
                <w:sz w:val="18"/>
                <w:szCs w:val="18"/>
              </w:rPr>
            </w:pPr>
          </w:p>
        </w:tc>
        <w:tc>
          <w:tcPr>
            <w:tcW w:w="1211" w:type="dxa"/>
            <w:vMerge w:val="continue"/>
            <w:tcBorders>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015D62B7">
            <w:pPr>
              <w:spacing w:line="260" w:lineRule="exact"/>
              <w:rPr>
                <w:rFonts w:hint="eastAsia" w:ascii="宋体" w:hAnsi="宋体" w:eastAsia="宋体" w:cs="宋体"/>
                <w:color w:val="000000"/>
                <w:kern w:val="0"/>
                <w:sz w:val="18"/>
                <w:szCs w:val="18"/>
                <w:highlight w:val="none"/>
                <w:lang w:bidi="ar"/>
              </w:rPr>
            </w:pPr>
          </w:p>
        </w:tc>
        <w:tc>
          <w:tcPr>
            <w:tcW w:w="4862" w:type="dxa"/>
            <w:vMerge w:val="continue"/>
            <w:tcBorders>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00AA6DEC">
            <w:pPr>
              <w:spacing w:line="260" w:lineRule="exact"/>
              <w:ind w:firstLine="360" w:firstLineChars="200"/>
              <w:rPr>
                <w:rFonts w:hint="eastAsia" w:ascii="宋体" w:hAnsi="宋体" w:eastAsia="宋体" w:cs="宋体"/>
                <w:color w:val="000000"/>
                <w:kern w:val="0"/>
                <w:sz w:val="18"/>
                <w:szCs w:val="18"/>
                <w:highlight w:val="none"/>
                <w:lang w:bidi="ar"/>
              </w:rPr>
            </w:pPr>
          </w:p>
        </w:tc>
        <w:tc>
          <w:tcPr>
            <w:tcW w:w="1613" w:type="dxa"/>
            <w:vMerge w:val="continue"/>
            <w:tcBorders>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58788648">
            <w:pPr>
              <w:spacing w:line="260" w:lineRule="exact"/>
              <w:ind w:firstLine="360" w:firstLineChars="200"/>
              <w:rPr>
                <w:rFonts w:hint="eastAsia" w:ascii="宋体" w:hAnsi="宋体" w:eastAsia="宋体" w:cs="宋体"/>
                <w:color w:val="000000"/>
                <w:kern w:val="0"/>
                <w:sz w:val="18"/>
                <w:szCs w:val="18"/>
                <w:highlight w:val="none"/>
                <w:lang w:bidi="ar"/>
              </w:rPr>
            </w:pP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5DBDF918">
            <w:pPr>
              <w:spacing w:line="260" w:lineRule="exact"/>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严重</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0482C3BB">
            <w:pPr>
              <w:spacing w:line="260" w:lineRule="exact"/>
              <w:rPr>
                <w:rFonts w:hint="eastAsia" w:ascii="宋体" w:hAnsi="宋体" w:eastAsia="宋体" w:cs="宋体"/>
                <w:color w:val="000000"/>
                <w:sz w:val="18"/>
                <w:szCs w:val="18"/>
                <w:highlight w:val="none"/>
                <w:lang w:bidi="ar"/>
              </w:rPr>
            </w:pPr>
            <w:r>
              <w:rPr>
                <w:rStyle w:val="21"/>
                <w:rFonts w:hint="eastAsia" w:ascii="宋体" w:hAnsi="宋体" w:eastAsia="宋体" w:cs="宋体"/>
                <w:sz w:val="18"/>
                <w:szCs w:val="18"/>
                <w:highlight w:val="none"/>
                <w:lang w:bidi="ar"/>
              </w:rPr>
              <w:t>拒不停止违法行为、拆除打井设备的</w:t>
            </w: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2AAE1CB9">
            <w:pPr>
              <w:spacing w:line="260" w:lineRule="exact"/>
              <w:rPr>
                <w:rFonts w:hint="eastAsia" w:ascii="宋体" w:hAnsi="宋体" w:eastAsia="宋体" w:cs="宋体"/>
                <w:color w:val="000000"/>
                <w:sz w:val="18"/>
                <w:szCs w:val="18"/>
                <w:highlight w:val="none"/>
                <w:lang w:bidi="ar"/>
              </w:rPr>
            </w:pPr>
            <w:r>
              <w:rPr>
                <w:rStyle w:val="21"/>
                <w:rFonts w:hint="eastAsia" w:ascii="宋体" w:hAnsi="宋体" w:eastAsia="宋体" w:cs="宋体"/>
                <w:sz w:val="18"/>
                <w:szCs w:val="18"/>
                <w:highlight w:val="none"/>
                <w:lang w:bidi="ar"/>
              </w:rPr>
              <w:t>处</w:t>
            </w:r>
            <w:r>
              <w:rPr>
                <w:rStyle w:val="21"/>
                <w:rFonts w:hint="eastAsia" w:ascii="宋体" w:hAnsi="宋体" w:eastAsia="宋体" w:cs="宋体"/>
                <w:sz w:val="18"/>
                <w:szCs w:val="18"/>
                <w:highlight w:val="none"/>
                <w:lang w:val="en-US" w:eastAsia="zh-CN" w:bidi="ar"/>
              </w:rPr>
              <w:t>9</w:t>
            </w:r>
            <w:r>
              <w:rPr>
                <w:rStyle w:val="21"/>
                <w:rFonts w:hint="eastAsia" w:ascii="宋体" w:hAnsi="宋体" w:eastAsia="宋体" w:cs="宋体"/>
                <w:sz w:val="18"/>
                <w:szCs w:val="18"/>
                <w:highlight w:val="none"/>
                <w:lang w:bidi="ar"/>
              </w:rPr>
              <w:t>万元以上</w:t>
            </w:r>
            <w:r>
              <w:rPr>
                <w:rStyle w:val="21"/>
                <w:rFonts w:hint="eastAsia" w:ascii="宋体" w:hAnsi="宋体" w:eastAsia="宋体" w:cs="宋体"/>
                <w:sz w:val="18"/>
                <w:szCs w:val="18"/>
                <w:highlight w:val="none"/>
                <w:lang w:val="en-US" w:eastAsia="zh-CN" w:bidi="ar"/>
              </w:rPr>
              <w:t>10</w:t>
            </w:r>
            <w:r>
              <w:rPr>
                <w:rStyle w:val="21"/>
                <w:rFonts w:hint="eastAsia" w:ascii="宋体" w:hAnsi="宋体" w:eastAsia="宋体" w:cs="宋体"/>
                <w:sz w:val="18"/>
                <w:szCs w:val="18"/>
                <w:highlight w:val="none"/>
                <w:lang w:bidi="ar"/>
              </w:rPr>
              <w:t>万元以下罚款</w:t>
            </w:r>
          </w:p>
        </w:tc>
        <w:tc>
          <w:tcPr>
            <w:tcW w:w="563" w:type="dxa"/>
            <w:vMerge w:val="continue"/>
            <w:tcBorders>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501F753A">
            <w:pPr>
              <w:spacing w:line="260" w:lineRule="exact"/>
              <w:rPr>
                <w:rStyle w:val="21"/>
                <w:rFonts w:hint="eastAsia" w:ascii="宋体" w:hAnsi="宋体" w:eastAsia="宋体" w:cs="宋体"/>
                <w:sz w:val="18"/>
                <w:szCs w:val="18"/>
                <w:lang w:bidi="ar"/>
              </w:rPr>
            </w:pPr>
          </w:p>
        </w:tc>
      </w:tr>
      <w:tr w14:paraId="707EB0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95" w:type="dxa"/>
            <w:vMerge w:val="restart"/>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6BCEAA1E">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8</w:t>
            </w:r>
          </w:p>
        </w:tc>
        <w:tc>
          <w:tcPr>
            <w:tcW w:w="1211" w:type="dxa"/>
            <w:vMerge w:val="restart"/>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77F8E774">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对以监测、勘探为目的的地下水取水工程逾期不补办备案手续行为的行政处罚</w:t>
            </w:r>
          </w:p>
        </w:tc>
        <w:tc>
          <w:tcPr>
            <w:tcW w:w="4862" w:type="dxa"/>
            <w:vMerge w:val="restart"/>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3520A7F0">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《地下水管理条例》第六十一条 以监测、勘探为目的的地下水取水工程在施工前应当备案而未备案的，由县级以上地方人民政府水行政主管部门责令限期补办备案手续；逾期不补办备案手续的，责令限期封井或者回填，处2万元以上10万元以下罚款；逾期不封井或者回填的，由县级以上地方人民政府水行政主管部门组织封井或者回填，所需费用由违法行为人承担。</w:t>
            </w:r>
          </w:p>
        </w:tc>
        <w:tc>
          <w:tcPr>
            <w:tcW w:w="1613" w:type="dxa"/>
            <w:vMerge w:val="restart"/>
            <w:tcBorders>
              <w:top w:val="single" w:color="auto" w:sz="4" w:space="0"/>
              <w:left w:val="single" w:color="auto" w:sz="4" w:space="0"/>
              <w:right w:val="single" w:color="auto" w:sz="4" w:space="0"/>
            </w:tcBorders>
            <w:shd w:val="clear" w:color="auto" w:fill="FFFFFF"/>
            <w:noWrap w:val="0"/>
            <w:tcMar>
              <w:top w:w="0" w:type="dxa"/>
              <w:left w:w="0" w:type="dxa"/>
              <w:bottom w:w="0" w:type="dxa"/>
              <w:right w:w="0" w:type="dxa"/>
            </w:tcMar>
            <w:vAlign w:val="center"/>
          </w:tcPr>
          <w:p w14:paraId="56158541">
            <w:pPr>
              <w:widowControl/>
              <w:spacing w:line="260" w:lineRule="exact"/>
              <w:jc w:val="both"/>
              <w:textAlignment w:val="center"/>
              <w:rPr>
                <w:rFonts w:hint="eastAsia" w:ascii="宋体" w:hAnsi="宋体" w:eastAsia="宋体" w:cs="宋体"/>
                <w:color w:val="000000"/>
                <w:kern w:val="0"/>
                <w:sz w:val="18"/>
                <w:szCs w:val="18"/>
                <w:lang w:val="en-US" w:eastAsia="zh-CN" w:bidi="ar"/>
              </w:rPr>
            </w:pPr>
            <w:r>
              <w:rPr>
                <w:rFonts w:hint="eastAsia" w:ascii="宋体" w:hAnsi="宋体" w:eastAsia="宋体" w:cs="宋体"/>
                <w:color w:val="000000"/>
                <w:kern w:val="0"/>
                <w:sz w:val="18"/>
                <w:szCs w:val="18"/>
                <w:lang w:bidi="ar"/>
              </w:rPr>
              <w:t>以监测、勘探为目的的地下水取水工程在施工前应当备案而未备案</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val="en-US" w:eastAsia="zh-CN" w:bidi="ar"/>
              </w:rPr>
              <w:t>且</w:t>
            </w:r>
            <w:r>
              <w:rPr>
                <w:rFonts w:hint="eastAsia" w:ascii="宋体" w:hAnsi="宋体" w:eastAsia="宋体" w:cs="宋体"/>
                <w:color w:val="000000"/>
                <w:kern w:val="0"/>
                <w:sz w:val="18"/>
                <w:szCs w:val="18"/>
                <w:lang w:bidi="ar"/>
              </w:rPr>
              <w:t>逾期不补办备案手续的</w:t>
            </w: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777F1667">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轻微</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1932B3CB">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7F3455E7">
            <w:pPr>
              <w:spacing w:line="260" w:lineRule="exact"/>
              <w:rPr>
                <w:rFonts w:hint="eastAsia" w:ascii="宋体" w:hAnsi="宋体" w:eastAsia="宋体" w:cs="宋体"/>
                <w:color w:val="000000"/>
                <w:sz w:val="18"/>
                <w:szCs w:val="18"/>
                <w:lang w:bidi="ar"/>
              </w:rPr>
            </w:pP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10C0C513">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1581F7FB">
            <w:pPr>
              <w:spacing w:line="260" w:lineRule="exact"/>
              <w:rPr>
                <w:rFonts w:hint="eastAsia" w:ascii="宋体" w:hAnsi="宋体" w:eastAsia="宋体" w:cs="宋体"/>
                <w:color w:val="000000"/>
                <w:sz w:val="18"/>
                <w:szCs w:val="18"/>
                <w:lang w:bidi="ar"/>
              </w:rPr>
            </w:pPr>
          </w:p>
        </w:tc>
        <w:tc>
          <w:tcPr>
            <w:tcW w:w="563" w:type="dxa"/>
            <w:vMerge w:val="restart"/>
            <w:tcBorders>
              <w:top w:val="single" w:color="auto" w:sz="4" w:space="0"/>
              <w:left w:val="single" w:color="auto" w:sz="4" w:space="0"/>
              <w:right w:val="single" w:color="auto" w:sz="4" w:space="0"/>
            </w:tcBorders>
            <w:shd w:val="clear" w:color="auto" w:fill="FFFFFF"/>
            <w:noWrap w:val="0"/>
            <w:tcMar>
              <w:top w:w="0" w:type="dxa"/>
              <w:left w:w="0" w:type="dxa"/>
              <w:bottom w:w="0" w:type="dxa"/>
              <w:right w:w="0" w:type="dxa"/>
            </w:tcMar>
            <w:vAlign w:val="center"/>
          </w:tcPr>
          <w:p w14:paraId="60FA7268">
            <w:pPr>
              <w:spacing w:line="260" w:lineRule="exact"/>
              <w:rPr>
                <w:rStyle w:val="21"/>
                <w:rFonts w:hint="eastAsia" w:ascii="宋体" w:hAnsi="宋体" w:eastAsia="宋体" w:cs="宋体"/>
                <w:sz w:val="18"/>
                <w:szCs w:val="18"/>
                <w:lang w:bidi="ar"/>
              </w:rPr>
            </w:pPr>
          </w:p>
        </w:tc>
      </w:tr>
      <w:tr w14:paraId="4CC7EA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454" w:hRule="atLeast"/>
          <w:jc w:val="center"/>
        </w:trPr>
        <w:tc>
          <w:tcPr>
            <w:tcW w:w="495"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42149FAC">
            <w:pPr>
              <w:spacing w:line="260" w:lineRule="exact"/>
              <w:jc w:val="center"/>
              <w:rPr>
                <w:rFonts w:hint="eastAsia" w:ascii="宋体" w:hAnsi="宋体" w:eastAsia="宋体" w:cs="宋体"/>
                <w:sz w:val="18"/>
                <w:szCs w:val="18"/>
              </w:rPr>
            </w:pPr>
          </w:p>
        </w:tc>
        <w:tc>
          <w:tcPr>
            <w:tcW w:w="1211"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02E90CEB">
            <w:pPr>
              <w:spacing w:line="260" w:lineRule="exact"/>
              <w:rPr>
                <w:rFonts w:hint="eastAsia" w:ascii="宋体" w:hAnsi="宋体" w:eastAsia="宋体" w:cs="宋体"/>
                <w:color w:val="000000"/>
                <w:kern w:val="0"/>
                <w:sz w:val="18"/>
                <w:szCs w:val="18"/>
                <w:lang w:bidi="ar"/>
              </w:rPr>
            </w:pPr>
          </w:p>
        </w:tc>
        <w:tc>
          <w:tcPr>
            <w:tcW w:w="4862"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575FAFDE">
            <w:pPr>
              <w:spacing w:line="260" w:lineRule="exact"/>
              <w:ind w:firstLine="360" w:firstLineChars="200"/>
              <w:rPr>
                <w:rFonts w:hint="eastAsia" w:ascii="宋体" w:hAnsi="宋体" w:eastAsia="宋体" w:cs="宋体"/>
                <w:color w:val="000000"/>
                <w:kern w:val="0"/>
                <w:sz w:val="18"/>
                <w:szCs w:val="18"/>
                <w:lang w:bidi="ar"/>
              </w:rPr>
            </w:pPr>
          </w:p>
        </w:tc>
        <w:tc>
          <w:tcPr>
            <w:tcW w:w="161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177DE295">
            <w:pPr>
              <w:spacing w:line="260" w:lineRule="exact"/>
              <w:ind w:firstLine="360" w:firstLineChars="200"/>
              <w:rPr>
                <w:rFonts w:hint="eastAsia" w:ascii="宋体" w:hAnsi="宋体" w:eastAsia="宋体" w:cs="宋体"/>
                <w:color w:val="000000"/>
                <w:kern w:val="0"/>
                <w:sz w:val="18"/>
                <w:szCs w:val="18"/>
                <w:lang w:bidi="ar"/>
              </w:rPr>
            </w:pP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20D53A37">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较轻</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4DF1DE91">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21B53543">
            <w:pPr>
              <w:spacing w:line="260" w:lineRule="exact"/>
              <w:rPr>
                <w:rFonts w:hint="eastAsia" w:ascii="宋体" w:hAnsi="宋体" w:eastAsia="宋体" w:cs="宋体"/>
                <w:color w:val="000000"/>
                <w:sz w:val="18"/>
                <w:szCs w:val="18"/>
                <w:lang w:bidi="ar"/>
              </w:rPr>
            </w:pP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294416B0">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54662542">
            <w:pPr>
              <w:spacing w:line="260" w:lineRule="exact"/>
              <w:rPr>
                <w:rFonts w:hint="eastAsia" w:ascii="宋体" w:hAnsi="宋体" w:eastAsia="宋体" w:cs="宋体"/>
                <w:color w:val="000000"/>
                <w:sz w:val="18"/>
                <w:szCs w:val="18"/>
                <w:lang w:bidi="ar"/>
              </w:rPr>
            </w:pPr>
          </w:p>
        </w:tc>
        <w:tc>
          <w:tcPr>
            <w:tcW w:w="56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26BF58C7">
            <w:pPr>
              <w:spacing w:line="260" w:lineRule="exact"/>
              <w:rPr>
                <w:rStyle w:val="21"/>
                <w:rFonts w:hint="eastAsia" w:ascii="宋体" w:hAnsi="宋体" w:eastAsia="宋体" w:cs="宋体"/>
                <w:sz w:val="18"/>
                <w:szCs w:val="18"/>
                <w:lang w:bidi="ar"/>
              </w:rPr>
            </w:pPr>
          </w:p>
        </w:tc>
      </w:tr>
      <w:tr w14:paraId="0A0591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95"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4C495EAE">
            <w:pPr>
              <w:spacing w:line="260" w:lineRule="exact"/>
              <w:jc w:val="center"/>
              <w:rPr>
                <w:rFonts w:hint="eastAsia" w:ascii="宋体" w:hAnsi="宋体" w:eastAsia="宋体" w:cs="宋体"/>
                <w:sz w:val="18"/>
                <w:szCs w:val="18"/>
              </w:rPr>
            </w:pPr>
          </w:p>
        </w:tc>
        <w:tc>
          <w:tcPr>
            <w:tcW w:w="1211"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215C69F6">
            <w:pPr>
              <w:spacing w:line="260" w:lineRule="exact"/>
              <w:rPr>
                <w:rFonts w:hint="eastAsia" w:ascii="宋体" w:hAnsi="宋体" w:eastAsia="宋体" w:cs="宋体"/>
                <w:color w:val="000000"/>
                <w:kern w:val="0"/>
                <w:sz w:val="18"/>
                <w:szCs w:val="18"/>
                <w:lang w:bidi="ar"/>
              </w:rPr>
            </w:pPr>
          </w:p>
        </w:tc>
        <w:tc>
          <w:tcPr>
            <w:tcW w:w="4862"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5CCB38F6">
            <w:pPr>
              <w:spacing w:line="260" w:lineRule="exact"/>
              <w:ind w:firstLine="360" w:firstLineChars="200"/>
              <w:rPr>
                <w:rFonts w:hint="eastAsia" w:ascii="宋体" w:hAnsi="宋体" w:eastAsia="宋体" w:cs="宋体"/>
                <w:color w:val="000000"/>
                <w:kern w:val="0"/>
                <w:sz w:val="18"/>
                <w:szCs w:val="18"/>
                <w:lang w:bidi="ar"/>
              </w:rPr>
            </w:pPr>
          </w:p>
        </w:tc>
        <w:tc>
          <w:tcPr>
            <w:tcW w:w="161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7F193C79">
            <w:pPr>
              <w:spacing w:line="260" w:lineRule="exact"/>
              <w:ind w:firstLine="360" w:firstLineChars="200"/>
              <w:rPr>
                <w:rFonts w:hint="eastAsia" w:ascii="宋体" w:hAnsi="宋体" w:eastAsia="宋体" w:cs="宋体"/>
                <w:color w:val="000000"/>
                <w:kern w:val="0"/>
                <w:sz w:val="18"/>
                <w:szCs w:val="18"/>
                <w:lang w:bidi="ar"/>
              </w:rPr>
            </w:pP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4E8BA557">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一般</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7259C72A">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逾期不补办备案手续的，在限期内封井或者回填的</w:t>
            </w: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46D9D8CC">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处2万元以上3万元以下的罚款</w:t>
            </w:r>
          </w:p>
        </w:tc>
        <w:tc>
          <w:tcPr>
            <w:tcW w:w="56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067E1C44">
            <w:pPr>
              <w:spacing w:line="260" w:lineRule="exact"/>
              <w:rPr>
                <w:rStyle w:val="21"/>
                <w:rFonts w:hint="eastAsia" w:ascii="宋体" w:hAnsi="宋体" w:eastAsia="宋体" w:cs="宋体"/>
                <w:sz w:val="18"/>
                <w:szCs w:val="18"/>
                <w:lang w:bidi="ar"/>
              </w:rPr>
            </w:pPr>
          </w:p>
        </w:tc>
      </w:tr>
      <w:tr w14:paraId="4A15BA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95"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3A34DAC3">
            <w:pPr>
              <w:spacing w:line="260" w:lineRule="exact"/>
              <w:jc w:val="center"/>
              <w:rPr>
                <w:rFonts w:hint="eastAsia" w:ascii="宋体" w:hAnsi="宋体" w:eastAsia="宋体" w:cs="宋体"/>
                <w:sz w:val="18"/>
                <w:szCs w:val="18"/>
              </w:rPr>
            </w:pPr>
          </w:p>
        </w:tc>
        <w:tc>
          <w:tcPr>
            <w:tcW w:w="1211"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74FEB4B0">
            <w:pPr>
              <w:spacing w:line="260" w:lineRule="exact"/>
              <w:rPr>
                <w:rFonts w:hint="eastAsia" w:ascii="宋体" w:hAnsi="宋体" w:eastAsia="宋体" w:cs="宋体"/>
                <w:color w:val="000000"/>
                <w:kern w:val="0"/>
                <w:sz w:val="18"/>
                <w:szCs w:val="18"/>
                <w:lang w:bidi="ar"/>
              </w:rPr>
            </w:pPr>
          </w:p>
        </w:tc>
        <w:tc>
          <w:tcPr>
            <w:tcW w:w="4862"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6AA9D2CA">
            <w:pPr>
              <w:spacing w:line="260" w:lineRule="exact"/>
              <w:ind w:firstLine="360" w:firstLineChars="200"/>
              <w:rPr>
                <w:rFonts w:hint="eastAsia" w:ascii="宋体" w:hAnsi="宋体" w:eastAsia="宋体" w:cs="宋体"/>
                <w:color w:val="000000"/>
                <w:kern w:val="0"/>
                <w:sz w:val="18"/>
                <w:szCs w:val="18"/>
                <w:lang w:bidi="ar"/>
              </w:rPr>
            </w:pPr>
          </w:p>
        </w:tc>
        <w:tc>
          <w:tcPr>
            <w:tcW w:w="161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72F81C93">
            <w:pPr>
              <w:spacing w:line="260" w:lineRule="exact"/>
              <w:ind w:firstLine="360" w:firstLineChars="200"/>
              <w:rPr>
                <w:rFonts w:hint="eastAsia" w:ascii="宋体" w:hAnsi="宋体" w:eastAsia="宋体" w:cs="宋体"/>
                <w:color w:val="000000"/>
                <w:kern w:val="0"/>
                <w:sz w:val="18"/>
                <w:szCs w:val="18"/>
                <w:lang w:bidi="ar"/>
              </w:rPr>
            </w:pP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79164CDD">
            <w:pPr>
              <w:spacing w:line="260" w:lineRule="exact"/>
              <w:jc w:val="center"/>
              <w:rPr>
                <w:rFonts w:hint="eastAsia" w:ascii="宋体" w:hAnsi="宋体" w:eastAsia="宋体" w:cs="宋体"/>
                <w:sz w:val="18"/>
                <w:szCs w:val="18"/>
                <w:lang w:eastAsia="zh-CN"/>
              </w:rPr>
            </w:pPr>
            <w:r>
              <w:rPr>
                <w:rFonts w:hint="eastAsia" w:ascii="宋体" w:hAnsi="宋体" w:eastAsia="宋体" w:cs="宋体"/>
                <w:sz w:val="18"/>
                <w:szCs w:val="18"/>
                <w:lang w:eastAsia="zh-CN"/>
              </w:rPr>
              <w:t>较重</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59D68D00">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逾期不补办备案手续的，未在限期内封井或者回填的</w:t>
            </w: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4ADC88BA">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处3万元以上5万元以下的罚款</w:t>
            </w:r>
          </w:p>
        </w:tc>
        <w:tc>
          <w:tcPr>
            <w:tcW w:w="56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59105D37">
            <w:pPr>
              <w:spacing w:line="260" w:lineRule="exact"/>
              <w:rPr>
                <w:rStyle w:val="21"/>
                <w:rFonts w:hint="eastAsia" w:ascii="宋体" w:hAnsi="宋体" w:eastAsia="宋体" w:cs="宋体"/>
                <w:sz w:val="18"/>
                <w:szCs w:val="18"/>
                <w:lang w:bidi="ar"/>
              </w:rPr>
            </w:pPr>
          </w:p>
        </w:tc>
      </w:tr>
      <w:tr w14:paraId="6708AF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567" w:hRule="atLeast"/>
          <w:jc w:val="center"/>
        </w:trPr>
        <w:tc>
          <w:tcPr>
            <w:tcW w:w="495" w:type="dxa"/>
            <w:vMerge w:val="continue"/>
            <w:tcBorders>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464CDA00">
            <w:pPr>
              <w:spacing w:line="260" w:lineRule="exact"/>
              <w:jc w:val="center"/>
              <w:rPr>
                <w:rFonts w:hint="eastAsia" w:ascii="宋体" w:hAnsi="宋体" w:eastAsia="宋体" w:cs="宋体"/>
                <w:sz w:val="18"/>
                <w:szCs w:val="18"/>
              </w:rPr>
            </w:pPr>
          </w:p>
        </w:tc>
        <w:tc>
          <w:tcPr>
            <w:tcW w:w="1211" w:type="dxa"/>
            <w:vMerge w:val="continue"/>
            <w:tcBorders>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2E1B2C91">
            <w:pPr>
              <w:spacing w:line="260" w:lineRule="exact"/>
              <w:rPr>
                <w:rFonts w:hint="eastAsia" w:ascii="宋体" w:hAnsi="宋体" w:eastAsia="宋体" w:cs="宋体"/>
                <w:color w:val="000000"/>
                <w:kern w:val="0"/>
                <w:sz w:val="18"/>
                <w:szCs w:val="18"/>
                <w:lang w:bidi="ar"/>
              </w:rPr>
            </w:pPr>
          </w:p>
        </w:tc>
        <w:tc>
          <w:tcPr>
            <w:tcW w:w="4862" w:type="dxa"/>
            <w:vMerge w:val="continue"/>
            <w:tcBorders>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385812FC">
            <w:pPr>
              <w:spacing w:line="260" w:lineRule="exact"/>
              <w:ind w:firstLine="360" w:firstLineChars="200"/>
              <w:rPr>
                <w:rFonts w:hint="eastAsia" w:ascii="宋体" w:hAnsi="宋体" w:eastAsia="宋体" w:cs="宋体"/>
                <w:color w:val="000000"/>
                <w:kern w:val="0"/>
                <w:sz w:val="18"/>
                <w:szCs w:val="18"/>
                <w:lang w:bidi="ar"/>
              </w:rPr>
            </w:pPr>
          </w:p>
        </w:tc>
        <w:tc>
          <w:tcPr>
            <w:tcW w:w="1613" w:type="dxa"/>
            <w:vMerge w:val="continue"/>
            <w:tcBorders>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675DE3AF">
            <w:pPr>
              <w:spacing w:line="260" w:lineRule="exact"/>
              <w:ind w:firstLine="360" w:firstLineChars="200"/>
              <w:rPr>
                <w:rFonts w:hint="eastAsia" w:ascii="宋体" w:hAnsi="宋体" w:eastAsia="宋体" w:cs="宋体"/>
                <w:color w:val="000000"/>
                <w:kern w:val="0"/>
                <w:sz w:val="18"/>
                <w:szCs w:val="18"/>
                <w:lang w:bidi="ar"/>
              </w:rPr>
            </w:pP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74847319">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严重</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4C71844B">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逾期不补办备案手续的，且拒不封井或者回填的</w:t>
            </w: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0CFEE6C5">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处5万元以上10万元以下的罚款</w:t>
            </w:r>
          </w:p>
        </w:tc>
        <w:tc>
          <w:tcPr>
            <w:tcW w:w="563" w:type="dxa"/>
            <w:vMerge w:val="continue"/>
            <w:tcBorders>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075AF31C">
            <w:pPr>
              <w:spacing w:line="260" w:lineRule="exact"/>
              <w:rPr>
                <w:rStyle w:val="21"/>
                <w:rFonts w:hint="eastAsia" w:ascii="宋体" w:hAnsi="宋体" w:eastAsia="宋体" w:cs="宋体"/>
                <w:sz w:val="18"/>
                <w:szCs w:val="18"/>
                <w:lang w:bidi="ar"/>
              </w:rPr>
            </w:pPr>
          </w:p>
        </w:tc>
      </w:tr>
      <w:tr w14:paraId="5B12BA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454" w:hRule="atLeast"/>
          <w:jc w:val="center"/>
        </w:trPr>
        <w:tc>
          <w:tcPr>
            <w:tcW w:w="495" w:type="dxa"/>
            <w:vMerge w:val="restart"/>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06BF39AC">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9</w:t>
            </w:r>
          </w:p>
        </w:tc>
        <w:tc>
          <w:tcPr>
            <w:tcW w:w="1211" w:type="dxa"/>
            <w:vMerge w:val="restart"/>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1E537071">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对地下工程建设对地下水补给、径流、排泄等造成重大不利影响，地下工程建设方案和防止对地下水产生不利影响的措施方案应当备案而未备案等行为的行政处罚</w:t>
            </w:r>
          </w:p>
        </w:tc>
        <w:tc>
          <w:tcPr>
            <w:tcW w:w="4862" w:type="dxa"/>
            <w:vMerge w:val="restart"/>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79B41C6C">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《地下水管理条例》第五十七条 地下工程建设对地下水补给、径流、排泄等造成重大不利影响的，由县级以上地方人民政府水行政主管部门责令限期采取措施消除不利影响，处10万元以上50万元以下罚款；逾期不采取措施消除不利影响的，由县级以上地方人民政府水行政主管部门组织采取措施消除不利影响，所需费用由违法行为人承担。</w:t>
            </w:r>
          </w:p>
          <w:p w14:paraId="61ABABEE">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地下工程建设应当于开工前将工程建设方案和防止对地下水产生不利影响的措施方案备案而未备案的，或者矿产资源开采、地下工程建设疏干排水应当定期报送疏干排水量和地下水水位状况而未报送的，由县级以上地方人民政府水行政主管部门责令限期补报；逾期不补报的，处2万元以上10万元以下罚款。</w:t>
            </w:r>
          </w:p>
        </w:tc>
        <w:tc>
          <w:tcPr>
            <w:tcW w:w="1613" w:type="dxa"/>
            <w:vMerge w:val="restart"/>
            <w:tcBorders>
              <w:top w:val="single" w:color="auto" w:sz="4" w:space="0"/>
              <w:left w:val="single" w:color="auto" w:sz="4" w:space="0"/>
              <w:right w:val="single" w:color="auto" w:sz="4" w:space="0"/>
            </w:tcBorders>
            <w:shd w:val="clear" w:color="auto" w:fill="FFFFFF"/>
            <w:noWrap w:val="0"/>
            <w:tcMar>
              <w:top w:w="0" w:type="dxa"/>
              <w:left w:w="0" w:type="dxa"/>
              <w:bottom w:w="0" w:type="dxa"/>
              <w:right w:w="0" w:type="dxa"/>
            </w:tcMar>
            <w:vAlign w:val="center"/>
          </w:tcPr>
          <w:p w14:paraId="4A52995A">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地下工程建设对地下水补给、径流、排泄等造成重大不利影响的</w:t>
            </w: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68D31774">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轻微</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30E1963F">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4AE136B9">
            <w:pPr>
              <w:spacing w:line="260" w:lineRule="exact"/>
              <w:rPr>
                <w:rStyle w:val="21"/>
                <w:rFonts w:hint="eastAsia" w:ascii="宋体" w:hAnsi="宋体" w:eastAsia="宋体" w:cs="宋体"/>
                <w:sz w:val="18"/>
                <w:szCs w:val="18"/>
                <w:lang w:bidi="ar"/>
              </w:rPr>
            </w:pP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194FAE1F">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3F904E47">
            <w:pPr>
              <w:spacing w:line="260" w:lineRule="exact"/>
              <w:rPr>
                <w:rStyle w:val="21"/>
                <w:rFonts w:hint="eastAsia" w:ascii="宋体" w:hAnsi="宋体" w:eastAsia="宋体" w:cs="宋体"/>
                <w:sz w:val="18"/>
                <w:szCs w:val="18"/>
                <w:lang w:bidi="ar"/>
              </w:rPr>
            </w:pPr>
          </w:p>
        </w:tc>
        <w:tc>
          <w:tcPr>
            <w:tcW w:w="563" w:type="dxa"/>
            <w:vMerge w:val="restart"/>
            <w:tcBorders>
              <w:top w:val="single" w:color="auto" w:sz="4" w:space="0"/>
              <w:left w:val="single" w:color="auto" w:sz="4" w:space="0"/>
              <w:right w:val="single" w:color="auto" w:sz="4" w:space="0"/>
            </w:tcBorders>
            <w:shd w:val="clear" w:color="auto" w:fill="FFFFFF"/>
            <w:noWrap w:val="0"/>
            <w:tcMar>
              <w:top w:w="0" w:type="dxa"/>
              <w:left w:w="0" w:type="dxa"/>
              <w:bottom w:w="0" w:type="dxa"/>
              <w:right w:w="0" w:type="dxa"/>
            </w:tcMar>
            <w:vAlign w:val="center"/>
          </w:tcPr>
          <w:p w14:paraId="58047A30">
            <w:pPr>
              <w:spacing w:line="260" w:lineRule="exact"/>
              <w:rPr>
                <w:rStyle w:val="21"/>
                <w:rFonts w:hint="eastAsia" w:ascii="宋体" w:hAnsi="宋体" w:eastAsia="宋体" w:cs="宋体"/>
                <w:sz w:val="18"/>
                <w:szCs w:val="18"/>
                <w:lang w:bidi="ar"/>
              </w:rPr>
            </w:pPr>
          </w:p>
        </w:tc>
      </w:tr>
      <w:tr w14:paraId="19BB3E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567" w:hRule="atLeast"/>
          <w:jc w:val="center"/>
        </w:trPr>
        <w:tc>
          <w:tcPr>
            <w:tcW w:w="495"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209FD065">
            <w:pPr>
              <w:spacing w:line="260" w:lineRule="exact"/>
              <w:jc w:val="center"/>
              <w:rPr>
                <w:rFonts w:hint="eastAsia" w:ascii="宋体" w:hAnsi="宋体" w:eastAsia="宋体" w:cs="宋体"/>
                <w:sz w:val="18"/>
                <w:szCs w:val="18"/>
              </w:rPr>
            </w:pPr>
          </w:p>
        </w:tc>
        <w:tc>
          <w:tcPr>
            <w:tcW w:w="1211"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5D5C3DC2">
            <w:pPr>
              <w:spacing w:line="260" w:lineRule="exact"/>
              <w:rPr>
                <w:rFonts w:hint="eastAsia" w:ascii="宋体" w:hAnsi="宋体" w:eastAsia="宋体" w:cs="宋体"/>
                <w:color w:val="000000"/>
                <w:kern w:val="0"/>
                <w:sz w:val="18"/>
                <w:szCs w:val="18"/>
                <w:lang w:bidi="ar"/>
              </w:rPr>
            </w:pPr>
          </w:p>
        </w:tc>
        <w:tc>
          <w:tcPr>
            <w:tcW w:w="4862"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13812D1D">
            <w:pPr>
              <w:spacing w:line="260" w:lineRule="exact"/>
              <w:ind w:firstLine="360" w:firstLineChars="200"/>
              <w:rPr>
                <w:rFonts w:hint="eastAsia" w:ascii="宋体" w:hAnsi="宋体" w:eastAsia="宋体" w:cs="宋体"/>
                <w:color w:val="000000"/>
                <w:kern w:val="0"/>
                <w:sz w:val="18"/>
                <w:szCs w:val="18"/>
                <w:lang w:bidi="ar"/>
              </w:rPr>
            </w:pPr>
          </w:p>
        </w:tc>
        <w:tc>
          <w:tcPr>
            <w:tcW w:w="161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34226E5F">
            <w:pPr>
              <w:spacing w:line="260" w:lineRule="exact"/>
              <w:ind w:firstLine="360" w:firstLineChars="200"/>
              <w:rPr>
                <w:rFonts w:hint="eastAsia" w:ascii="宋体" w:hAnsi="宋体" w:eastAsia="宋体" w:cs="宋体"/>
                <w:color w:val="000000"/>
                <w:kern w:val="0"/>
                <w:sz w:val="18"/>
                <w:szCs w:val="18"/>
                <w:lang w:bidi="ar"/>
              </w:rPr>
            </w:pP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3EAE7C84">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较轻</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502C4829">
            <w:pPr>
              <w:spacing w:line="240" w:lineRule="exact"/>
              <w:rPr>
                <w:rFonts w:hint="eastAsia" w:ascii="宋体" w:hAnsi="宋体" w:eastAsia="宋体" w:cs="宋体"/>
                <w:color w:val="000000"/>
                <w:sz w:val="18"/>
                <w:szCs w:val="18"/>
                <w:lang w:bidi="ar"/>
              </w:rPr>
            </w:pPr>
            <w:r>
              <w:rPr>
                <w:rStyle w:val="21"/>
                <w:rFonts w:hint="eastAsia" w:ascii="宋体" w:hAnsi="宋体" w:eastAsia="宋体" w:cs="宋体"/>
                <w:sz w:val="18"/>
                <w:szCs w:val="18"/>
                <w:lang w:bidi="ar"/>
              </w:rPr>
              <w:t>地下工程建设造成区域地下水水位下降、补给量不足、无法平衡地下水径流排泄的，</w:t>
            </w:r>
            <w:r>
              <w:rPr>
                <w:rStyle w:val="21"/>
                <w:rFonts w:hint="eastAsia" w:ascii="宋体" w:hAnsi="宋体" w:eastAsia="宋体" w:cs="宋体"/>
                <w:sz w:val="18"/>
                <w:szCs w:val="18"/>
                <w:lang w:val="en" w:bidi="ar"/>
              </w:rPr>
              <w:t>限期内</w:t>
            </w:r>
            <w:r>
              <w:rPr>
                <w:rStyle w:val="21"/>
                <w:rFonts w:hint="eastAsia" w:ascii="宋体" w:hAnsi="宋体" w:eastAsia="宋体" w:cs="宋体"/>
                <w:sz w:val="18"/>
                <w:szCs w:val="18"/>
                <w:lang w:bidi="ar"/>
              </w:rPr>
              <w:t>采取措施消除不利影响的</w:t>
            </w: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3EACB191">
            <w:pPr>
              <w:spacing w:line="240" w:lineRule="exact"/>
              <w:rPr>
                <w:rFonts w:hint="eastAsia" w:ascii="宋体" w:hAnsi="宋体" w:eastAsia="宋体" w:cs="宋体"/>
                <w:color w:val="000000"/>
                <w:sz w:val="18"/>
                <w:szCs w:val="18"/>
                <w:lang w:bidi="ar"/>
              </w:rPr>
            </w:pPr>
            <w:r>
              <w:rPr>
                <w:rStyle w:val="21"/>
                <w:rFonts w:hint="eastAsia" w:ascii="宋体" w:hAnsi="宋体" w:eastAsia="宋体" w:cs="宋体"/>
                <w:sz w:val="18"/>
                <w:szCs w:val="18"/>
                <w:lang w:bidi="ar"/>
              </w:rPr>
              <w:t>处10万元以上20万元以下罚款</w:t>
            </w:r>
          </w:p>
        </w:tc>
        <w:tc>
          <w:tcPr>
            <w:tcW w:w="56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4D7829FC">
            <w:pPr>
              <w:spacing w:line="260" w:lineRule="exact"/>
              <w:rPr>
                <w:rStyle w:val="21"/>
                <w:rFonts w:hint="eastAsia" w:ascii="宋体" w:hAnsi="宋体" w:eastAsia="宋体" w:cs="宋体"/>
                <w:sz w:val="18"/>
                <w:szCs w:val="18"/>
                <w:lang w:bidi="ar"/>
              </w:rPr>
            </w:pPr>
          </w:p>
        </w:tc>
      </w:tr>
      <w:tr w14:paraId="60BA7F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567" w:hRule="atLeast"/>
          <w:jc w:val="center"/>
        </w:trPr>
        <w:tc>
          <w:tcPr>
            <w:tcW w:w="495"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6C76A18E">
            <w:pPr>
              <w:spacing w:line="260" w:lineRule="exact"/>
              <w:jc w:val="center"/>
              <w:rPr>
                <w:rFonts w:hint="eastAsia" w:ascii="宋体" w:hAnsi="宋体" w:eastAsia="宋体" w:cs="宋体"/>
                <w:sz w:val="18"/>
                <w:szCs w:val="18"/>
              </w:rPr>
            </w:pPr>
          </w:p>
        </w:tc>
        <w:tc>
          <w:tcPr>
            <w:tcW w:w="1211"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5113AC54">
            <w:pPr>
              <w:spacing w:line="260" w:lineRule="exact"/>
              <w:rPr>
                <w:rFonts w:hint="eastAsia" w:ascii="宋体" w:hAnsi="宋体" w:eastAsia="宋体" w:cs="宋体"/>
                <w:color w:val="000000"/>
                <w:kern w:val="0"/>
                <w:sz w:val="18"/>
                <w:szCs w:val="18"/>
                <w:lang w:bidi="ar"/>
              </w:rPr>
            </w:pPr>
          </w:p>
        </w:tc>
        <w:tc>
          <w:tcPr>
            <w:tcW w:w="4862"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2485016B">
            <w:pPr>
              <w:spacing w:line="260" w:lineRule="exact"/>
              <w:ind w:firstLine="360" w:firstLineChars="200"/>
              <w:rPr>
                <w:rFonts w:hint="eastAsia" w:ascii="宋体" w:hAnsi="宋体" w:eastAsia="宋体" w:cs="宋体"/>
                <w:color w:val="000000"/>
                <w:kern w:val="0"/>
                <w:sz w:val="18"/>
                <w:szCs w:val="18"/>
                <w:lang w:bidi="ar"/>
              </w:rPr>
            </w:pPr>
          </w:p>
        </w:tc>
        <w:tc>
          <w:tcPr>
            <w:tcW w:w="161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1F9384A3">
            <w:pPr>
              <w:spacing w:line="260" w:lineRule="exact"/>
              <w:ind w:firstLine="360" w:firstLineChars="200"/>
              <w:rPr>
                <w:rFonts w:hint="eastAsia" w:ascii="宋体" w:hAnsi="宋体" w:eastAsia="宋体" w:cs="宋体"/>
                <w:color w:val="000000"/>
                <w:kern w:val="0"/>
                <w:sz w:val="18"/>
                <w:szCs w:val="18"/>
                <w:lang w:bidi="ar"/>
              </w:rPr>
            </w:pP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1AF57D22">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一般</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2C71E1F5">
            <w:pPr>
              <w:spacing w:line="240" w:lineRule="exact"/>
              <w:rPr>
                <w:rFonts w:hint="eastAsia" w:ascii="宋体" w:hAnsi="宋体" w:eastAsia="宋体" w:cs="宋体"/>
                <w:color w:val="000000"/>
                <w:sz w:val="18"/>
                <w:szCs w:val="18"/>
                <w:lang w:bidi="ar"/>
              </w:rPr>
            </w:pPr>
            <w:r>
              <w:rPr>
                <w:rStyle w:val="21"/>
                <w:rFonts w:hint="eastAsia" w:ascii="宋体" w:hAnsi="宋体" w:eastAsia="宋体" w:cs="宋体"/>
                <w:sz w:val="18"/>
                <w:szCs w:val="18"/>
                <w:lang w:bidi="ar"/>
              </w:rPr>
              <w:t>地下工程建设造成区域地下水水位下降、补给量不足、无法平衡地下水径流排泄的，未在</w:t>
            </w:r>
            <w:r>
              <w:rPr>
                <w:rStyle w:val="21"/>
                <w:rFonts w:hint="eastAsia" w:ascii="宋体" w:hAnsi="宋体" w:eastAsia="宋体" w:cs="宋体"/>
                <w:sz w:val="18"/>
                <w:szCs w:val="18"/>
                <w:lang w:val="en" w:bidi="ar"/>
              </w:rPr>
              <w:t>限期内</w:t>
            </w:r>
            <w:r>
              <w:rPr>
                <w:rStyle w:val="21"/>
                <w:rFonts w:hint="eastAsia" w:ascii="宋体" w:hAnsi="宋体" w:eastAsia="宋体" w:cs="宋体"/>
                <w:sz w:val="18"/>
                <w:szCs w:val="18"/>
                <w:lang w:bidi="ar"/>
              </w:rPr>
              <w:t>采取措施消除不利影响的</w:t>
            </w: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2C4958F6">
            <w:pPr>
              <w:spacing w:line="240" w:lineRule="exact"/>
              <w:rPr>
                <w:rFonts w:hint="eastAsia" w:ascii="宋体" w:hAnsi="宋体" w:eastAsia="宋体" w:cs="宋体"/>
                <w:color w:val="000000"/>
                <w:sz w:val="18"/>
                <w:szCs w:val="18"/>
                <w:lang w:bidi="ar"/>
              </w:rPr>
            </w:pPr>
            <w:r>
              <w:rPr>
                <w:rStyle w:val="21"/>
                <w:rFonts w:hint="eastAsia" w:ascii="宋体" w:hAnsi="宋体" w:eastAsia="宋体" w:cs="宋体"/>
                <w:sz w:val="18"/>
                <w:szCs w:val="18"/>
                <w:lang w:bidi="ar"/>
              </w:rPr>
              <w:t>处20万元以上30万元以下罚款</w:t>
            </w:r>
          </w:p>
        </w:tc>
        <w:tc>
          <w:tcPr>
            <w:tcW w:w="56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3441237C">
            <w:pPr>
              <w:spacing w:line="260" w:lineRule="exact"/>
              <w:rPr>
                <w:rStyle w:val="21"/>
                <w:rFonts w:hint="eastAsia" w:ascii="宋体" w:hAnsi="宋体" w:eastAsia="宋体" w:cs="宋体"/>
                <w:sz w:val="18"/>
                <w:szCs w:val="18"/>
                <w:lang w:bidi="ar"/>
              </w:rPr>
            </w:pPr>
          </w:p>
        </w:tc>
      </w:tr>
      <w:tr w14:paraId="487D07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567" w:hRule="atLeast"/>
          <w:jc w:val="center"/>
        </w:trPr>
        <w:tc>
          <w:tcPr>
            <w:tcW w:w="495"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68797671">
            <w:pPr>
              <w:spacing w:line="260" w:lineRule="exact"/>
              <w:jc w:val="center"/>
              <w:rPr>
                <w:rFonts w:hint="eastAsia" w:ascii="宋体" w:hAnsi="宋体" w:eastAsia="宋体" w:cs="宋体"/>
                <w:sz w:val="18"/>
                <w:szCs w:val="18"/>
              </w:rPr>
            </w:pPr>
          </w:p>
        </w:tc>
        <w:tc>
          <w:tcPr>
            <w:tcW w:w="1211"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690AA026">
            <w:pPr>
              <w:spacing w:line="260" w:lineRule="exact"/>
              <w:rPr>
                <w:rFonts w:hint="eastAsia" w:ascii="宋体" w:hAnsi="宋体" w:eastAsia="宋体" w:cs="宋体"/>
                <w:color w:val="000000"/>
                <w:kern w:val="0"/>
                <w:sz w:val="18"/>
                <w:szCs w:val="18"/>
                <w:lang w:bidi="ar"/>
              </w:rPr>
            </w:pPr>
          </w:p>
        </w:tc>
        <w:tc>
          <w:tcPr>
            <w:tcW w:w="4862"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1DF78D8E">
            <w:pPr>
              <w:spacing w:line="260" w:lineRule="exact"/>
              <w:ind w:firstLine="360" w:firstLineChars="200"/>
              <w:rPr>
                <w:rFonts w:hint="eastAsia" w:ascii="宋体" w:hAnsi="宋体" w:eastAsia="宋体" w:cs="宋体"/>
                <w:color w:val="000000"/>
                <w:kern w:val="0"/>
                <w:sz w:val="18"/>
                <w:szCs w:val="18"/>
                <w:lang w:bidi="ar"/>
              </w:rPr>
            </w:pPr>
          </w:p>
        </w:tc>
        <w:tc>
          <w:tcPr>
            <w:tcW w:w="161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424F92EE">
            <w:pPr>
              <w:spacing w:line="260" w:lineRule="exact"/>
              <w:ind w:firstLine="360" w:firstLineChars="200"/>
              <w:rPr>
                <w:rFonts w:hint="eastAsia" w:ascii="宋体" w:hAnsi="宋体" w:eastAsia="宋体" w:cs="宋体"/>
                <w:color w:val="000000"/>
                <w:kern w:val="0"/>
                <w:sz w:val="18"/>
                <w:szCs w:val="18"/>
                <w:lang w:bidi="ar"/>
              </w:rPr>
            </w:pP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0E62801B">
            <w:pPr>
              <w:spacing w:line="260" w:lineRule="exact"/>
              <w:jc w:val="center"/>
              <w:rPr>
                <w:rFonts w:hint="eastAsia" w:ascii="宋体" w:hAnsi="宋体" w:eastAsia="宋体" w:cs="宋体"/>
                <w:sz w:val="18"/>
                <w:szCs w:val="18"/>
                <w:lang w:eastAsia="zh-CN"/>
              </w:rPr>
            </w:pPr>
            <w:r>
              <w:rPr>
                <w:rFonts w:hint="eastAsia" w:ascii="宋体" w:hAnsi="宋体" w:eastAsia="宋体" w:cs="宋体"/>
                <w:sz w:val="18"/>
                <w:szCs w:val="18"/>
                <w:lang w:eastAsia="zh-CN"/>
              </w:rPr>
              <w:t>较重</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4A8A938C">
            <w:pPr>
              <w:spacing w:line="240" w:lineRule="exact"/>
              <w:rPr>
                <w:rFonts w:hint="eastAsia" w:ascii="宋体" w:hAnsi="宋体" w:eastAsia="宋体" w:cs="宋体"/>
                <w:color w:val="000000"/>
                <w:sz w:val="18"/>
                <w:szCs w:val="18"/>
                <w:lang w:bidi="ar"/>
              </w:rPr>
            </w:pPr>
            <w:r>
              <w:rPr>
                <w:rStyle w:val="21"/>
                <w:rFonts w:hint="eastAsia" w:ascii="宋体" w:hAnsi="宋体" w:eastAsia="宋体" w:cs="宋体"/>
                <w:sz w:val="18"/>
                <w:szCs w:val="18"/>
                <w:lang w:bidi="ar"/>
              </w:rPr>
              <w:t>地下工程建设造成区域地下水水位严重下降或引起地面沉降、塌陷等严重后果的，</w:t>
            </w:r>
            <w:r>
              <w:rPr>
                <w:rStyle w:val="21"/>
                <w:rFonts w:hint="eastAsia" w:ascii="宋体" w:hAnsi="宋体" w:eastAsia="宋体" w:cs="宋体"/>
                <w:sz w:val="18"/>
                <w:szCs w:val="18"/>
                <w:lang w:val="en" w:bidi="ar"/>
              </w:rPr>
              <w:t>限期内</w:t>
            </w:r>
            <w:r>
              <w:rPr>
                <w:rStyle w:val="21"/>
                <w:rFonts w:hint="eastAsia" w:ascii="宋体" w:hAnsi="宋体" w:eastAsia="宋体" w:cs="宋体"/>
                <w:sz w:val="18"/>
                <w:szCs w:val="18"/>
                <w:lang w:bidi="ar"/>
              </w:rPr>
              <w:t>采取措施消除不利影响的</w:t>
            </w: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6BEEFEFD">
            <w:pPr>
              <w:spacing w:line="240" w:lineRule="exact"/>
              <w:rPr>
                <w:rFonts w:hint="eastAsia" w:ascii="宋体" w:hAnsi="宋体" w:eastAsia="宋体" w:cs="宋体"/>
                <w:color w:val="000000"/>
                <w:sz w:val="18"/>
                <w:szCs w:val="18"/>
                <w:lang w:bidi="ar"/>
              </w:rPr>
            </w:pPr>
            <w:r>
              <w:rPr>
                <w:rStyle w:val="21"/>
                <w:rFonts w:hint="eastAsia" w:ascii="宋体" w:hAnsi="宋体" w:eastAsia="宋体" w:cs="宋体"/>
                <w:sz w:val="18"/>
                <w:szCs w:val="18"/>
                <w:lang w:bidi="ar"/>
              </w:rPr>
              <w:t>处30万元以上40万元以下罚款</w:t>
            </w:r>
          </w:p>
        </w:tc>
        <w:tc>
          <w:tcPr>
            <w:tcW w:w="56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30D9B416">
            <w:pPr>
              <w:spacing w:line="260" w:lineRule="exact"/>
              <w:rPr>
                <w:rStyle w:val="21"/>
                <w:rFonts w:hint="eastAsia" w:ascii="宋体" w:hAnsi="宋体" w:eastAsia="宋体" w:cs="宋体"/>
                <w:sz w:val="18"/>
                <w:szCs w:val="18"/>
                <w:lang w:bidi="ar"/>
              </w:rPr>
            </w:pPr>
          </w:p>
        </w:tc>
      </w:tr>
      <w:tr w14:paraId="0FE05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567" w:hRule="atLeast"/>
          <w:jc w:val="center"/>
        </w:trPr>
        <w:tc>
          <w:tcPr>
            <w:tcW w:w="495"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304E143B">
            <w:pPr>
              <w:spacing w:line="260" w:lineRule="exact"/>
              <w:jc w:val="center"/>
              <w:rPr>
                <w:rFonts w:hint="eastAsia" w:ascii="宋体" w:hAnsi="宋体" w:eastAsia="宋体" w:cs="宋体"/>
                <w:sz w:val="18"/>
                <w:szCs w:val="18"/>
              </w:rPr>
            </w:pPr>
          </w:p>
        </w:tc>
        <w:tc>
          <w:tcPr>
            <w:tcW w:w="1211"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605E36A3">
            <w:pPr>
              <w:spacing w:line="260" w:lineRule="exact"/>
              <w:rPr>
                <w:rFonts w:hint="eastAsia" w:ascii="宋体" w:hAnsi="宋体" w:eastAsia="宋体" w:cs="宋体"/>
                <w:color w:val="000000"/>
                <w:kern w:val="0"/>
                <w:sz w:val="18"/>
                <w:szCs w:val="18"/>
                <w:lang w:bidi="ar"/>
              </w:rPr>
            </w:pPr>
          </w:p>
        </w:tc>
        <w:tc>
          <w:tcPr>
            <w:tcW w:w="4862"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162AEAAB">
            <w:pPr>
              <w:spacing w:line="260" w:lineRule="exact"/>
              <w:ind w:firstLine="360" w:firstLineChars="200"/>
              <w:rPr>
                <w:rFonts w:hint="eastAsia" w:ascii="宋体" w:hAnsi="宋体" w:eastAsia="宋体" w:cs="宋体"/>
                <w:color w:val="000000"/>
                <w:kern w:val="0"/>
                <w:sz w:val="18"/>
                <w:szCs w:val="18"/>
                <w:lang w:bidi="ar"/>
              </w:rPr>
            </w:pPr>
          </w:p>
        </w:tc>
        <w:tc>
          <w:tcPr>
            <w:tcW w:w="1613" w:type="dxa"/>
            <w:vMerge w:val="continue"/>
            <w:tcBorders>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68CCEFFF">
            <w:pPr>
              <w:spacing w:line="260" w:lineRule="exact"/>
              <w:ind w:firstLine="360" w:firstLineChars="200"/>
              <w:rPr>
                <w:rFonts w:hint="eastAsia" w:ascii="宋体" w:hAnsi="宋体" w:eastAsia="宋体" w:cs="宋体"/>
                <w:color w:val="000000"/>
                <w:kern w:val="0"/>
                <w:sz w:val="18"/>
                <w:szCs w:val="18"/>
                <w:lang w:bidi="ar"/>
              </w:rPr>
            </w:pP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42501999">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严重</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261F29A4">
            <w:pPr>
              <w:spacing w:line="240" w:lineRule="exact"/>
              <w:rPr>
                <w:rFonts w:hint="eastAsia" w:ascii="宋体" w:hAnsi="宋体" w:eastAsia="宋体" w:cs="宋体"/>
                <w:color w:val="000000"/>
                <w:sz w:val="18"/>
                <w:szCs w:val="18"/>
                <w:lang w:bidi="ar"/>
              </w:rPr>
            </w:pPr>
            <w:r>
              <w:rPr>
                <w:rStyle w:val="21"/>
                <w:rFonts w:hint="eastAsia" w:ascii="宋体" w:hAnsi="宋体" w:eastAsia="宋体" w:cs="宋体"/>
                <w:sz w:val="18"/>
                <w:szCs w:val="18"/>
                <w:lang w:bidi="ar"/>
              </w:rPr>
              <w:t>地下工程建设造成区域地下水水位严重下降或引起地面沉降、塌陷等严重后果的，未在</w:t>
            </w:r>
            <w:r>
              <w:rPr>
                <w:rStyle w:val="21"/>
                <w:rFonts w:hint="eastAsia" w:ascii="宋体" w:hAnsi="宋体" w:eastAsia="宋体" w:cs="宋体"/>
                <w:sz w:val="18"/>
                <w:szCs w:val="18"/>
                <w:lang w:val="en" w:bidi="ar"/>
              </w:rPr>
              <w:t>限期内</w:t>
            </w:r>
            <w:r>
              <w:rPr>
                <w:rStyle w:val="21"/>
                <w:rFonts w:hint="eastAsia" w:ascii="宋体" w:hAnsi="宋体" w:eastAsia="宋体" w:cs="宋体"/>
                <w:sz w:val="18"/>
                <w:szCs w:val="18"/>
                <w:lang w:bidi="ar"/>
              </w:rPr>
              <w:t>采取措施消除不利影响的</w:t>
            </w: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79BC562D">
            <w:pPr>
              <w:spacing w:line="240" w:lineRule="exact"/>
              <w:rPr>
                <w:rFonts w:hint="eastAsia" w:ascii="宋体" w:hAnsi="宋体" w:eastAsia="宋体" w:cs="宋体"/>
                <w:color w:val="000000"/>
                <w:sz w:val="18"/>
                <w:szCs w:val="18"/>
                <w:lang w:bidi="ar"/>
              </w:rPr>
            </w:pPr>
            <w:r>
              <w:rPr>
                <w:rStyle w:val="21"/>
                <w:rFonts w:hint="eastAsia" w:ascii="宋体" w:hAnsi="宋体" w:eastAsia="宋体" w:cs="宋体"/>
                <w:sz w:val="18"/>
                <w:szCs w:val="18"/>
                <w:lang w:bidi="ar"/>
              </w:rPr>
              <w:t>处40万元以上50万元以下罚款</w:t>
            </w:r>
          </w:p>
        </w:tc>
        <w:tc>
          <w:tcPr>
            <w:tcW w:w="56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249BD852">
            <w:pPr>
              <w:spacing w:line="260" w:lineRule="exact"/>
              <w:rPr>
                <w:rStyle w:val="21"/>
                <w:rFonts w:hint="eastAsia" w:ascii="宋体" w:hAnsi="宋体" w:eastAsia="宋体" w:cs="宋体"/>
                <w:sz w:val="18"/>
                <w:szCs w:val="18"/>
                <w:lang w:bidi="ar"/>
              </w:rPr>
            </w:pPr>
          </w:p>
        </w:tc>
      </w:tr>
      <w:tr w14:paraId="440779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95"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28A38676">
            <w:pPr>
              <w:spacing w:line="260" w:lineRule="exact"/>
              <w:jc w:val="center"/>
              <w:rPr>
                <w:rFonts w:hint="eastAsia" w:ascii="宋体" w:hAnsi="宋体" w:eastAsia="宋体" w:cs="宋体"/>
                <w:sz w:val="18"/>
                <w:szCs w:val="18"/>
              </w:rPr>
            </w:pPr>
          </w:p>
        </w:tc>
        <w:tc>
          <w:tcPr>
            <w:tcW w:w="1211"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60E2083B">
            <w:pPr>
              <w:spacing w:line="260" w:lineRule="exact"/>
              <w:rPr>
                <w:rFonts w:hint="eastAsia" w:ascii="宋体" w:hAnsi="宋体" w:eastAsia="宋体" w:cs="宋体"/>
                <w:color w:val="000000"/>
                <w:kern w:val="0"/>
                <w:sz w:val="18"/>
                <w:szCs w:val="18"/>
                <w:lang w:bidi="ar"/>
              </w:rPr>
            </w:pPr>
          </w:p>
        </w:tc>
        <w:tc>
          <w:tcPr>
            <w:tcW w:w="4862"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49576BFA">
            <w:pPr>
              <w:spacing w:line="260" w:lineRule="exact"/>
              <w:rPr>
                <w:rFonts w:hint="eastAsia" w:ascii="宋体" w:hAnsi="宋体" w:eastAsia="宋体" w:cs="宋体"/>
                <w:color w:val="000000"/>
                <w:kern w:val="0"/>
                <w:sz w:val="18"/>
                <w:szCs w:val="18"/>
                <w:lang w:bidi="ar"/>
              </w:rPr>
            </w:pPr>
          </w:p>
        </w:tc>
        <w:tc>
          <w:tcPr>
            <w:tcW w:w="1613" w:type="dxa"/>
            <w:vMerge w:val="restart"/>
            <w:tcBorders>
              <w:top w:val="single" w:color="auto" w:sz="4" w:space="0"/>
              <w:left w:val="single" w:color="auto" w:sz="4" w:space="0"/>
              <w:right w:val="single" w:color="auto" w:sz="4" w:space="0"/>
            </w:tcBorders>
            <w:shd w:val="clear" w:color="auto" w:fill="FFFFFF"/>
            <w:noWrap w:val="0"/>
            <w:tcMar>
              <w:top w:w="0" w:type="dxa"/>
              <w:left w:w="0" w:type="dxa"/>
              <w:bottom w:w="0" w:type="dxa"/>
              <w:right w:w="0" w:type="dxa"/>
            </w:tcMar>
            <w:vAlign w:val="center"/>
          </w:tcPr>
          <w:p w14:paraId="7DADA7BD">
            <w:pPr>
              <w:spacing w:line="260" w:lineRule="exact"/>
              <w:rPr>
                <w:rFonts w:hint="eastAsia" w:ascii="宋体" w:hAnsi="宋体" w:eastAsia="宋体" w:cs="宋体"/>
                <w:color w:val="000000"/>
                <w:kern w:val="0"/>
                <w:sz w:val="18"/>
                <w:szCs w:val="18"/>
                <w:lang w:val="en-US" w:eastAsia="zh-CN" w:bidi="ar"/>
              </w:rPr>
            </w:pPr>
            <w:r>
              <w:rPr>
                <w:rFonts w:hint="eastAsia" w:ascii="宋体" w:hAnsi="宋体" w:eastAsia="宋体" w:cs="宋体"/>
                <w:color w:val="000000"/>
                <w:kern w:val="0"/>
                <w:sz w:val="18"/>
                <w:szCs w:val="18"/>
                <w:lang w:bidi="ar"/>
              </w:rPr>
              <w:t>地下工程建设应当于开工前将工程建设方案和防止对地下水产生不利影响的措施方案备案而未备案</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val="en-US" w:eastAsia="zh-CN" w:bidi="ar"/>
              </w:rPr>
              <w:t>且</w:t>
            </w:r>
            <w:r>
              <w:rPr>
                <w:rFonts w:hint="eastAsia" w:ascii="宋体" w:hAnsi="宋体" w:eastAsia="宋体" w:cs="宋体"/>
                <w:color w:val="000000"/>
                <w:kern w:val="0"/>
                <w:sz w:val="18"/>
                <w:szCs w:val="18"/>
                <w:lang w:bidi="ar"/>
              </w:rPr>
              <w:t>逾期不补报的</w:t>
            </w: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715A76CD">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轻微</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16439574">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3E0748D4">
            <w:pPr>
              <w:spacing w:line="260" w:lineRule="exact"/>
              <w:rPr>
                <w:rStyle w:val="21"/>
                <w:rFonts w:hint="eastAsia" w:ascii="宋体" w:hAnsi="宋体" w:eastAsia="宋体" w:cs="宋体"/>
                <w:sz w:val="18"/>
                <w:szCs w:val="18"/>
                <w:lang w:bidi="ar"/>
              </w:rPr>
            </w:pP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7185ABCF">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552DAC66">
            <w:pPr>
              <w:spacing w:line="260" w:lineRule="exact"/>
              <w:rPr>
                <w:rStyle w:val="21"/>
                <w:rFonts w:hint="eastAsia" w:ascii="宋体" w:hAnsi="宋体" w:eastAsia="宋体" w:cs="宋体"/>
                <w:sz w:val="18"/>
                <w:szCs w:val="18"/>
                <w:lang w:bidi="ar"/>
              </w:rPr>
            </w:pPr>
          </w:p>
        </w:tc>
        <w:tc>
          <w:tcPr>
            <w:tcW w:w="56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66EEF5D4">
            <w:pPr>
              <w:spacing w:line="260" w:lineRule="exact"/>
              <w:rPr>
                <w:rStyle w:val="21"/>
                <w:rFonts w:hint="eastAsia" w:ascii="宋体" w:hAnsi="宋体" w:eastAsia="宋体" w:cs="宋体"/>
                <w:sz w:val="18"/>
                <w:szCs w:val="18"/>
                <w:lang w:bidi="ar"/>
              </w:rPr>
            </w:pPr>
          </w:p>
        </w:tc>
      </w:tr>
      <w:tr w14:paraId="2B58E3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95"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7DC22274">
            <w:pPr>
              <w:spacing w:line="260" w:lineRule="exact"/>
              <w:jc w:val="center"/>
              <w:rPr>
                <w:rFonts w:hint="eastAsia" w:ascii="宋体" w:hAnsi="宋体" w:eastAsia="宋体" w:cs="宋体"/>
                <w:sz w:val="18"/>
                <w:szCs w:val="18"/>
              </w:rPr>
            </w:pPr>
          </w:p>
        </w:tc>
        <w:tc>
          <w:tcPr>
            <w:tcW w:w="1211"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08FA27B8">
            <w:pPr>
              <w:spacing w:line="260" w:lineRule="exact"/>
              <w:rPr>
                <w:rFonts w:hint="eastAsia" w:ascii="宋体" w:hAnsi="宋体" w:eastAsia="宋体" w:cs="宋体"/>
                <w:color w:val="000000"/>
                <w:kern w:val="0"/>
                <w:sz w:val="18"/>
                <w:szCs w:val="18"/>
                <w:lang w:bidi="ar"/>
              </w:rPr>
            </w:pPr>
          </w:p>
        </w:tc>
        <w:tc>
          <w:tcPr>
            <w:tcW w:w="4862"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57E115E9">
            <w:pPr>
              <w:spacing w:line="260" w:lineRule="exact"/>
              <w:ind w:firstLine="360" w:firstLineChars="200"/>
              <w:rPr>
                <w:rFonts w:hint="eastAsia" w:ascii="宋体" w:hAnsi="宋体" w:eastAsia="宋体" w:cs="宋体"/>
                <w:color w:val="000000"/>
                <w:kern w:val="0"/>
                <w:sz w:val="18"/>
                <w:szCs w:val="18"/>
                <w:lang w:bidi="ar"/>
              </w:rPr>
            </w:pPr>
          </w:p>
        </w:tc>
        <w:tc>
          <w:tcPr>
            <w:tcW w:w="161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6FC39198">
            <w:pPr>
              <w:spacing w:line="260" w:lineRule="exact"/>
              <w:ind w:firstLine="360" w:firstLineChars="200"/>
              <w:rPr>
                <w:rFonts w:hint="eastAsia" w:ascii="宋体" w:hAnsi="宋体" w:eastAsia="宋体" w:cs="宋体"/>
                <w:color w:val="000000"/>
                <w:kern w:val="0"/>
                <w:sz w:val="18"/>
                <w:szCs w:val="18"/>
                <w:lang w:bidi="ar"/>
              </w:rPr>
            </w:pP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53A4DA46">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较轻</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50A908E0">
            <w:pPr>
              <w:spacing w:line="260" w:lineRule="exact"/>
              <w:rPr>
                <w:rStyle w:val="21"/>
                <w:rFonts w:hint="eastAsia" w:ascii="宋体" w:hAnsi="宋体" w:eastAsia="宋体" w:cs="宋体"/>
                <w:sz w:val="18"/>
                <w:szCs w:val="18"/>
                <w:lang w:bidi="ar"/>
              </w:rPr>
            </w:pPr>
            <w:r>
              <w:rPr>
                <w:rStyle w:val="21"/>
                <w:rFonts w:hint="eastAsia" w:ascii="宋体" w:hAnsi="宋体" w:eastAsia="宋体" w:cs="宋体"/>
                <w:sz w:val="18"/>
                <w:szCs w:val="18"/>
                <w:lang w:bidi="ar"/>
              </w:rPr>
              <w:t>逾期15</w:t>
            </w:r>
            <w:r>
              <w:rPr>
                <w:rStyle w:val="21"/>
                <w:rFonts w:hint="eastAsia" w:ascii="宋体" w:hAnsi="宋体" w:eastAsia="宋体" w:cs="宋体"/>
                <w:sz w:val="18"/>
                <w:szCs w:val="18"/>
                <w:lang w:eastAsia="zh-CN" w:bidi="ar"/>
              </w:rPr>
              <w:t>日</w:t>
            </w:r>
            <w:r>
              <w:rPr>
                <w:rStyle w:val="21"/>
                <w:rFonts w:hint="eastAsia" w:ascii="宋体" w:hAnsi="宋体" w:eastAsia="宋体" w:cs="宋体"/>
                <w:sz w:val="18"/>
                <w:szCs w:val="18"/>
                <w:lang w:bidi="ar"/>
              </w:rPr>
              <w:t>以内</w:t>
            </w: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57CE5E0D">
            <w:pPr>
              <w:spacing w:line="260" w:lineRule="exact"/>
              <w:rPr>
                <w:rStyle w:val="21"/>
                <w:rFonts w:hint="eastAsia" w:ascii="宋体" w:hAnsi="宋体" w:eastAsia="宋体" w:cs="宋体"/>
                <w:sz w:val="18"/>
                <w:szCs w:val="18"/>
                <w:lang w:bidi="ar"/>
              </w:rPr>
            </w:pPr>
            <w:r>
              <w:rPr>
                <w:rStyle w:val="21"/>
                <w:rFonts w:hint="eastAsia" w:ascii="宋体" w:hAnsi="宋体" w:eastAsia="宋体" w:cs="宋体"/>
                <w:sz w:val="18"/>
                <w:szCs w:val="18"/>
                <w:lang w:bidi="ar"/>
              </w:rPr>
              <w:t>处2万元以上4万元以下罚款</w:t>
            </w:r>
          </w:p>
        </w:tc>
        <w:tc>
          <w:tcPr>
            <w:tcW w:w="56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3EA08173">
            <w:pPr>
              <w:spacing w:line="260" w:lineRule="exact"/>
              <w:rPr>
                <w:rStyle w:val="21"/>
                <w:rFonts w:hint="eastAsia" w:ascii="宋体" w:hAnsi="宋体" w:eastAsia="宋体" w:cs="宋体"/>
                <w:sz w:val="18"/>
                <w:szCs w:val="18"/>
                <w:lang w:bidi="ar"/>
              </w:rPr>
            </w:pPr>
          </w:p>
        </w:tc>
      </w:tr>
      <w:tr w14:paraId="1E2649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567" w:hRule="atLeast"/>
          <w:jc w:val="center"/>
        </w:trPr>
        <w:tc>
          <w:tcPr>
            <w:tcW w:w="495"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09107FE4">
            <w:pPr>
              <w:spacing w:line="260" w:lineRule="exact"/>
              <w:jc w:val="center"/>
              <w:rPr>
                <w:rFonts w:hint="eastAsia" w:ascii="宋体" w:hAnsi="宋体" w:eastAsia="宋体" w:cs="宋体"/>
                <w:sz w:val="18"/>
                <w:szCs w:val="18"/>
              </w:rPr>
            </w:pPr>
          </w:p>
        </w:tc>
        <w:tc>
          <w:tcPr>
            <w:tcW w:w="1211"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0E0B34C3">
            <w:pPr>
              <w:spacing w:line="260" w:lineRule="exact"/>
              <w:rPr>
                <w:rFonts w:hint="eastAsia" w:ascii="宋体" w:hAnsi="宋体" w:eastAsia="宋体" w:cs="宋体"/>
                <w:color w:val="000000"/>
                <w:kern w:val="0"/>
                <w:sz w:val="18"/>
                <w:szCs w:val="18"/>
                <w:lang w:bidi="ar"/>
              </w:rPr>
            </w:pPr>
          </w:p>
        </w:tc>
        <w:tc>
          <w:tcPr>
            <w:tcW w:w="4862"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377D1C36">
            <w:pPr>
              <w:spacing w:line="260" w:lineRule="exact"/>
              <w:ind w:firstLine="360" w:firstLineChars="200"/>
              <w:rPr>
                <w:rFonts w:hint="eastAsia" w:ascii="宋体" w:hAnsi="宋体" w:eastAsia="宋体" w:cs="宋体"/>
                <w:color w:val="000000"/>
                <w:kern w:val="0"/>
                <w:sz w:val="18"/>
                <w:szCs w:val="18"/>
                <w:lang w:bidi="ar"/>
              </w:rPr>
            </w:pPr>
          </w:p>
        </w:tc>
        <w:tc>
          <w:tcPr>
            <w:tcW w:w="161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52EB3F33">
            <w:pPr>
              <w:spacing w:line="260" w:lineRule="exact"/>
              <w:ind w:firstLine="360" w:firstLineChars="200"/>
              <w:rPr>
                <w:rFonts w:hint="eastAsia" w:ascii="宋体" w:hAnsi="宋体" w:eastAsia="宋体" w:cs="宋体"/>
                <w:color w:val="000000"/>
                <w:kern w:val="0"/>
                <w:sz w:val="18"/>
                <w:szCs w:val="18"/>
                <w:lang w:bidi="ar"/>
              </w:rPr>
            </w:pP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4456117A">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一般</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4D570419">
            <w:pPr>
              <w:spacing w:line="260" w:lineRule="exact"/>
              <w:rPr>
                <w:rStyle w:val="21"/>
                <w:rFonts w:hint="eastAsia" w:ascii="宋体" w:hAnsi="宋体" w:eastAsia="宋体" w:cs="宋体"/>
                <w:sz w:val="18"/>
                <w:szCs w:val="18"/>
                <w:lang w:bidi="ar"/>
              </w:rPr>
            </w:pPr>
            <w:r>
              <w:rPr>
                <w:rStyle w:val="21"/>
                <w:rFonts w:hint="eastAsia" w:ascii="宋体" w:hAnsi="宋体" w:eastAsia="宋体" w:cs="宋体"/>
                <w:sz w:val="18"/>
                <w:szCs w:val="18"/>
                <w:lang w:bidi="ar"/>
              </w:rPr>
              <w:t>逾期15</w:t>
            </w:r>
            <w:r>
              <w:rPr>
                <w:rStyle w:val="21"/>
                <w:rFonts w:hint="eastAsia" w:ascii="宋体" w:hAnsi="宋体" w:eastAsia="宋体" w:cs="宋体"/>
                <w:sz w:val="18"/>
                <w:szCs w:val="18"/>
                <w:lang w:eastAsia="zh-CN" w:bidi="ar"/>
              </w:rPr>
              <w:t>日</w:t>
            </w:r>
            <w:r>
              <w:rPr>
                <w:rStyle w:val="21"/>
                <w:rFonts w:hint="eastAsia" w:ascii="宋体" w:hAnsi="宋体" w:eastAsia="宋体" w:cs="宋体"/>
                <w:sz w:val="18"/>
                <w:szCs w:val="18"/>
                <w:lang w:bidi="ar"/>
              </w:rPr>
              <w:t>至30</w:t>
            </w:r>
            <w:r>
              <w:rPr>
                <w:rStyle w:val="21"/>
                <w:rFonts w:hint="eastAsia" w:ascii="宋体" w:hAnsi="宋体" w:eastAsia="宋体" w:cs="宋体"/>
                <w:sz w:val="18"/>
                <w:szCs w:val="18"/>
                <w:lang w:eastAsia="zh-CN" w:bidi="ar"/>
              </w:rPr>
              <w:t>日</w:t>
            </w:r>
            <w:r>
              <w:rPr>
                <w:rStyle w:val="21"/>
                <w:rFonts w:hint="eastAsia" w:ascii="宋体" w:hAnsi="宋体" w:eastAsia="宋体" w:cs="宋体"/>
                <w:sz w:val="18"/>
                <w:szCs w:val="18"/>
                <w:lang w:bidi="ar"/>
              </w:rPr>
              <w:t>的</w:t>
            </w: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2603ADF5">
            <w:pPr>
              <w:spacing w:line="260" w:lineRule="exact"/>
              <w:rPr>
                <w:rStyle w:val="21"/>
                <w:rFonts w:hint="eastAsia" w:ascii="宋体" w:hAnsi="宋体" w:eastAsia="宋体" w:cs="宋体"/>
                <w:sz w:val="18"/>
                <w:szCs w:val="18"/>
                <w:lang w:bidi="ar"/>
              </w:rPr>
            </w:pPr>
            <w:r>
              <w:rPr>
                <w:rStyle w:val="21"/>
                <w:rFonts w:hint="eastAsia" w:ascii="宋体" w:hAnsi="宋体" w:eastAsia="宋体" w:cs="宋体"/>
                <w:sz w:val="18"/>
                <w:szCs w:val="18"/>
                <w:lang w:bidi="ar"/>
              </w:rPr>
              <w:t>处4万元以上5万元以下罚款</w:t>
            </w:r>
          </w:p>
        </w:tc>
        <w:tc>
          <w:tcPr>
            <w:tcW w:w="56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61455E84">
            <w:pPr>
              <w:spacing w:line="260" w:lineRule="exact"/>
              <w:rPr>
                <w:rStyle w:val="21"/>
                <w:rFonts w:hint="eastAsia" w:ascii="宋体" w:hAnsi="宋体" w:eastAsia="宋体" w:cs="宋体"/>
                <w:sz w:val="18"/>
                <w:szCs w:val="18"/>
                <w:lang w:bidi="ar"/>
              </w:rPr>
            </w:pPr>
          </w:p>
        </w:tc>
      </w:tr>
      <w:tr w14:paraId="22B2A7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567" w:hRule="atLeast"/>
          <w:jc w:val="center"/>
        </w:trPr>
        <w:tc>
          <w:tcPr>
            <w:tcW w:w="495"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1F7BF381">
            <w:pPr>
              <w:spacing w:line="260" w:lineRule="exact"/>
              <w:jc w:val="center"/>
              <w:rPr>
                <w:rFonts w:hint="eastAsia" w:ascii="宋体" w:hAnsi="宋体" w:eastAsia="宋体" w:cs="宋体"/>
                <w:sz w:val="18"/>
                <w:szCs w:val="18"/>
              </w:rPr>
            </w:pPr>
          </w:p>
        </w:tc>
        <w:tc>
          <w:tcPr>
            <w:tcW w:w="1211"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678DE87A">
            <w:pPr>
              <w:spacing w:line="260" w:lineRule="exact"/>
              <w:rPr>
                <w:rFonts w:hint="eastAsia" w:ascii="宋体" w:hAnsi="宋体" w:eastAsia="宋体" w:cs="宋体"/>
                <w:color w:val="000000"/>
                <w:kern w:val="0"/>
                <w:sz w:val="18"/>
                <w:szCs w:val="18"/>
                <w:lang w:bidi="ar"/>
              </w:rPr>
            </w:pPr>
          </w:p>
        </w:tc>
        <w:tc>
          <w:tcPr>
            <w:tcW w:w="4862"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48E064B0">
            <w:pPr>
              <w:spacing w:line="260" w:lineRule="exact"/>
              <w:ind w:firstLine="360" w:firstLineChars="200"/>
              <w:rPr>
                <w:rFonts w:hint="eastAsia" w:ascii="宋体" w:hAnsi="宋体" w:eastAsia="宋体" w:cs="宋体"/>
                <w:color w:val="000000"/>
                <w:kern w:val="0"/>
                <w:sz w:val="18"/>
                <w:szCs w:val="18"/>
                <w:lang w:bidi="ar"/>
              </w:rPr>
            </w:pPr>
          </w:p>
        </w:tc>
        <w:tc>
          <w:tcPr>
            <w:tcW w:w="161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7200F64F">
            <w:pPr>
              <w:spacing w:line="260" w:lineRule="exact"/>
              <w:ind w:firstLine="360" w:firstLineChars="200"/>
              <w:rPr>
                <w:rFonts w:hint="eastAsia" w:ascii="宋体" w:hAnsi="宋体" w:eastAsia="宋体" w:cs="宋体"/>
                <w:color w:val="000000"/>
                <w:kern w:val="0"/>
                <w:sz w:val="18"/>
                <w:szCs w:val="18"/>
                <w:lang w:bidi="ar"/>
              </w:rPr>
            </w:pP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49E993ED">
            <w:pPr>
              <w:spacing w:line="260" w:lineRule="exact"/>
              <w:jc w:val="center"/>
              <w:rPr>
                <w:rFonts w:hint="eastAsia" w:ascii="宋体" w:hAnsi="宋体" w:eastAsia="宋体" w:cs="宋体"/>
                <w:sz w:val="18"/>
                <w:szCs w:val="18"/>
                <w:lang w:eastAsia="zh-CN"/>
              </w:rPr>
            </w:pPr>
            <w:r>
              <w:rPr>
                <w:rFonts w:hint="eastAsia" w:ascii="宋体" w:hAnsi="宋体" w:eastAsia="宋体" w:cs="宋体"/>
                <w:sz w:val="18"/>
                <w:szCs w:val="18"/>
                <w:lang w:eastAsia="zh-CN"/>
              </w:rPr>
              <w:t>较重</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497E21EB">
            <w:pPr>
              <w:spacing w:line="260" w:lineRule="exact"/>
              <w:rPr>
                <w:rStyle w:val="21"/>
                <w:rFonts w:hint="eastAsia" w:ascii="宋体" w:hAnsi="宋体" w:eastAsia="宋体" w:cs="宋体"/>
                <w:sz w:val="18"/>
                <w:szCs w:val="18"/>
                <w:lang w:bidi="ar"/>
              </w:rPr>
            </w:pPr>
            <w:r>
              <w:rPr>
                <w:rStyle w:val="21"/>
                <w:rFonts w:hint="eastAsia" w:ascii="宋体" w:hAnsi="宋体" w:eastAsia="宋体" w:cs="宋体"/>
                <w:sz w:val="18"/>
                <w:szCs w:val="18"/>
                <w:lang w:bidi="ar"/>
              </w:rPr>
              <w:t>逾期30</w:t>
            </w:r>
            <w:r>
              <w:rPr>
                <w:rStyle w:val="21"/>
                <w:rFonts w:hint="eastAsia" w:ascii="宋体" w:hAnsi="宋体" w:eastAsia="宋体" w:cs="宋体"/>
                <w:sz w:val="18"/>
                <w:szCs w:val="18"/>
                <w:lang w:eastAsia="zh-CN" w:bidi="ar"/>
              </w:rPr>
              <w:t>日</w:t>
            </w:r>
            <w:r>
              <w:rPr>
                <w:rStyle w:val="21"/>
                <w:rFonts w:hint="eastAsia" w:ascii="宋体" w:hAnsi="宋体" w:eastAsia="宋体" w:cs="宋体"/>
                <w:sz w:val="18"/>
                <w:szCs w:val="18"/>
                <w:lang w:bidi="ar"/>
              </w:rPr>
              <w:t>至60</w:t>
            </w:r>
            <w:r>
              <w:rPr>
                <w:rStyle w:val="21"/>
                <w:rFonts w:hint="eastAsia" w:ascii="宋体" w:hAnsi="宋体" w:eastAsia="宋体" w:cs="宋体"/>
                <w:sz w:val="18"/>
                <w:szCs w:val="18"/>
                <w:lang w:eastAsia="zh-CN" w:bidi="ar"/>
              </w:rPr>
              <w:t>日</w:t>
            </w:r>
            <w:r>
              <w:rPr>
                <w:rStyle w:val="21"/>
                <w:rFonts w:hint="eastAsia" w:ascii="宋体" w:hAnsi="宋体" w:eastAsia="宋体" w:cs="宋体"/>
                <w:sz w:val="18"/>
                <w:szCs w:val="18"/>
                <w:lang w:bidi="ar"/>
              </w:rPr>
              <w:t>的</w:t>
            </w: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71B660E8">
            <w:pPr>
              <w:spacing w:line="260" w:lineRule="exact"/>
              <w:rPr>
                <w:rStyle w:val="21"/>
                <w:rFonts w:hint="eastAsia" w:ascii="宋体" w:hAnsi="宋体" w:eastAsia="宋体" w:cs="宋体"/>
                <w:sz w:val="18"/>
                <w:szCs w:val="18"/>
                <w:lang w:bidi="ar"/>
              </w:rPr>
            </w:pPr>
            <w:r>
              <w:rPr>
                <w:rStyle w:val="21"/>
                <w:rFonts w:hint="eastAsia" w:ascii="宋体" w:hAnsi="宋体" w:eastAsia="宋体" w:cs="宋体"/>
                <w:sz w:val="18"/>
                <w:szCs w:val="18"/>
                <w:lang w:bidi="ar"/>
              </w:rPr>
              <w:t>处6万元以上8万元以下罚款</w:t>
            </w:r>
          </w:p>
        </w:tc>
        <w:tc>
          <w:tcPr>
            <w:tcW w:w="56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2BB124AF">
            <w:pPr>
              <w:spacing w:line="260" w:lineRule="exact"/>
              <w:rPr>
                <w:rStyle w:val="21"/>
                <w:rFonts w:hint="eastAsia" w:ascii="宋体" w:hAnsi="宋体" w:eastAsia="宋体" w:cs="宋体"/>
                <w:sz w:val="18"/>
                <w:szCs w:val="18"/>
                <w:lang w:bidi="ar"/>
              </w:rPr>
            </w:pPr>
          </w:p>
        </w:tc>
      </w:tr>
      <w:tr w14:paraId="1223E9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95"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32D441B6">
            <w:pPr>
              <w:spacing w:line="260" w:lineRule="exact"/>
              <w:jc w:val="center"/>
              <w:rPr>
                <w:rFonts w:hint="eastAsia" w:ascii="宋体" w:hAnsi="宋体" w:eastAsia="宋体" w:cs="宋体"/>
                <w:sz w:val="18"/>
                <w:szCs w:val="18"/>
              </w:rPr>
            </w:pPr>
          </w:p>
        </w:tc>
        <w:tc>
          <w:tcPr>
            <w:tcW w:w="1211"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25F67506">
            <w:pPr>
              <w:spacing w:line="260" w:lineRule="exact"/>
              <w:rPr>
                <w:rFonts w:hint="eastAsia" w:ascii="宋体" w:hAnsi="宋体" w:eastAsia="宋体" w:cs="宋体"/>
                <w:color w:val="000000"/>
                <w:kern w:val="0"/>
                <w:sz w:val="18"/>
                <w:szCs w:val="18"/>
                <w:lang w:bidi="ar"/>
              </w:rPr>
            </w:pPr>
          </w:p>
        </w:tc>
        <w:tc>
          <w:tcPr>
            <w:tcW w:w="4862" w:type="dxa"/>
            <w:vMerge w:val="continue"/>
            <w:tcBorders>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650A2824">
            <w:pPr>
              <w:spacing w:line="260" w:lineRule="exact"/>
              <w:ind w:firstLine="360" w:firstLineChars="200"/>
              <w:rPr>
                <w:rFonts w:hint="eastAsia" w:ascii="宋体" w:hAnsi="宋体" w:eastAsia="宋体" w:cs="宋体"/>
                <w:color w:val="000000"/>
                <w:kern w:val="0"/>
                <w:sz w:val="18"/>
                <w:szCs w:val="18"/>
                <w:lang w:bidi="ar"/>
              </w:rPr>
            </w:pPr>
          </w:p>
        </w:tc>
        <w:tc>
          <w:tcPr>
            <w:tcW w:w="1613" w:type="dxa"/>
            <w:vMerge w:val="continue"/>
            <w:tcBorders>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69618AD5">
            <w:pPr>
              <w:spacing w:line="260" w:lineRule="exact"/>
              <w:ind w:firstLine="360" w:firstLineChars="200"/>
              <w:rPr>
                <w:rFonts w:hint="eastAsia" w:ascii="宋体" w:hAnsi="宋体" w:eastAsia="宋体" w:cs="宋体"/>
                <w:color w:val="000000"/>
                <w:kern w:val="0"/>
                <w:sz w:val="18"/>
                <w:szCs w:val="18"/>
                <w:lang w:bidi="ar"/>
              </w:rPr>
            </w:pP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32ED0CB3">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严重</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3F281C40">
            <w:pPr>
              <w:spacing w:line="260" w:lineRule="exact"/>
              <w:rPr>
                <w:rStyle w:val="21"/>
                <w:rFonts w:hint="eastAsia" w:ascii="宋体" w:hAnsi="宋体" w:eastAsia="宋体" w:cs="宋体"/>
                <w:sz w:val="18"/>
                <w:szCs w:val="18"/>
                <w:lang w:bidi="ar"/>
              </w:rPr>
            </w:pPr>
            <w:r>
              <w:rPr>
                <w:rStyle w:val="21"/>
                <w:rFonts w:hint="eastAsia" w:ascii="宋体" w:hAnsi="宋体" w:eastAsia="宋体" w:cs="宋体"/>
                <w:sz w:val="18"/>
                <w:szCs w:val="18"/>
                <w:lang w:bidi="ar"/>
              </w:rPr>
              <w:t>逾期60</w:t>
            </w:r>
            <w:r>
              <w:rPr>
                <w:rStyle w:val="21"/>
                <w:rFonts w:hint="eastAsia" w:ascii="宋体" w:hAnsi="宋体" w:eastAsia="宋体" w:cs="宋体"/>
                <w:sz w:val="18"/>
                <w:szCs w:val="18"/>
                <w:lang w:eastAsia="zh-CN" w:bidi="ar"/>
              </w:rPr>
              <w:t>日</w:t>
            </w:r>
            <w:r>
              <w:rPr>
                <w:rStyle w:val="21"/>
                <w:rFonts w:hint="eastAsia" w:ascii="宋体" w:hAnsi="宋体" w:eastAsia="宋体" w:cs="宋体"/>
                <w:sz w:val="18"/>
                <w:szCs w:val="18"/>
                <w:lang w:bidi="ar"/>
              </w:rPr>
              <w:t>以上的</w:t>
            </w: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5E4DB4BD">
            <w:pPr>
              <w:spacing w:line="260" w:lineRule="exact"/>
              <w:rPr>
                <w:rStyle w:val="21"/>
                <w:rFonts w:hint="eastAsia" w:ascii="宋体" w:hAnsi="宋体" w:eastAsia="宋体" w:cs="宋体"/>
                <w:sz w:val="18"/>
                <w:szCs w:val="18"/>
                <w:lang w:bidi="ar"/>
              </w:rPr>
            </w:pPr>
            <w:r>
              <w:rPr>
                <w:rStyle w:val="21"/>
                <w:rFonts w:hint="eastAsia" w:ascii="宋体" w:hAnsi="宋体" w:eastAsia="宋体" w:cs="宋体"/>
                <w:sz w:val="18"/>
                <w:szCs w:val="18"/>
                <w:lang w:bidi="ar"/>
              </w:rPr>
              <w:t>处8万元以上10万元以下罚款</w:t>
            </w:r>
          </w:p>
        </w:tc>
        <w:tc>
          <w:tcPr>
            <w:tcW w:w="56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180CC18E">
            <w:pPr>
              <w:spacing w:line="260" w:lineRule="exact"/>
              <w:rPr>
                <w:rStyle w:val="21"/>
                <w:rFonts w:hint="eastAsia" w:ascii="宋体" w:hAnsi="宋体" w:eastAsia="宋体" w:cs="宋体"/>
                <w:sz w:val="18"/>
                <w:szCs w:val="18"/>
                <w:lang w:bidi="ar"/>
              </w:rPr>
            </w:pPr>
          </w:p>
        </w:tc>
      </w:tr>
      <w:tr w14:paraId="751E96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 w:hRule="atLeast"/>
          <w:jc w:val="center"/>
        </w:trPr>
        <w:tc>
          <w:tcPr>
            <w:tcW w:w="495" w:type="dxa"/>
            <w:vMerge w:val="restart"/>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25688474">
            <w:pPr>
              <w:spacing w:line="260" w:lineRule="exact"/>
              <w:jc w:val="center"/>
              <w:rPr>
                <w:rFonts w:hint="eastAsia" w:ascii="宋体" w:hAnsi="宋体" w:eastAsia="宋体" w:cs="宋体"/>
                <w:sz w:val="18"/>
                <w:szCs w:val="18"/>
              </w:rPr>
            </w:pPr>
            <w:r>
              <w:rPr>
                <w:rFonts w:hint="eastAsia" w:ascii="宋体" w:hAnsi="宋体" w:eastAsia="宋体" w:cs="宋体"/>
                <w:sz w:val="18"/>
                <w:szCs w:val="18"/>
                <w:lang w:val="en-US" w:eastAsia="zh-CN"/>
              </w:rPr>
              <w:t>9</w:t>
            </w:r>
          </w:p>
        </w:tc>
        <w:tc>
          <w:tcPr>
            <w:tcW w:w="1211" w:type="dxa"/>
            <w:vMerge w:val="restart"/>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32A864C0">
            <w:pPr>
              <w:keepNext w:val="0"/>
              <w:keepLines w:val="0"/>
              <w:pageBreakBefore w:val="0"/>
              <w:widowControl w:val="0"/>
              <w:kinsoku/>
              <w:wordWrap/>
              <w:overflowPunct/>
              <w:topLinePunct w:val="0"/>
              <w:autoSpaceDE/>
              <w:autoSpaceDN/>
              <w:bidi w:val="0"/>
              <w:adjustRightInd/>
              <w:snapToGrid/>
              <w:spacing w:line="200" w:lineRule="exact"/>
              <w:textAlignment w:val="auto"/>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对地下工程建设对地下水补给、径流、排泄等造成重大不利影响，地下工程建设方案和防止对地下水产生不利影响的措施方案应当备案而未备案等行为的行政处罚</w:t>
            </w:r>
          </w:p>
        </w:tc>
        <w:tc>
          <w:tcPr>
            <w:tcW w:w="4862" w:type="dxa"/>
            <w:vMerge w:val="restart"/>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71BD4DF7">
            <w:pPr>
              <w:spacing w:line="260" w:lineRule="exact"/>
              <w:rPr>
                <w:rFonts w:hint="eastAsia" w:ascii="宋体" w:hAnsi="宋体" w:eastAsia="宋体" w:cs="宋体"/>
                <w:color w:val="000000"/>
                <w:kern w:val="0"/>
                <w:sz w:val="18"/>
                <w:szCs w:val="18"/>
                <w:lang w:bidi="ar"/>
              </w:rPr>
            </w:pPr>
          </w:p>
        </w:tc>
        <w:tc>
          <w:tcPr>
            <w:tcW w:w="1613" w:type="dxa"/>
            <w:vMerge w:val="restart"/>
            <w:tcBorders>
              <w:top w:val="single" w:color="auto" w:sz="4" w:space="0"/>
              <w:left w:val="single" w:color="auto" w:sz="4" w:space="0"/>
              <w:right w:val="single" w:color="auto" w:sz="4" w:space="0"/>
            </w:tcBorders>
            <w:shd w:val="clear" w:color="auto" w:fill="FFFFFF"/>
            <w:noWrap w:val="0"/>
            <w:tcMar>
              <w:top w:w="0" w:type="dxa"/>
              <w:left w:w="0" w:type="dxa"/>
              <w:bottom w:w="0" w:type="dxa"/>
              <w:right w:w="0" w:type="dxa"/>
            </w:tcMar>
            <w:vAlign w:val="center"/>
          </w:tcPr>
          <w:p w14:paraId="06E99F18">
            <w:pPr>
              <w:spacing w:line="260" w:lineRule="exact"/>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矿产资源开采、地下工程建设疏干排水应当定期报送疏干排水量和地下水水位状况而未报送</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val="en-US" w:eastAsia="zh-CN" w:bidi="ar"/>
              </w:rPr>
              <w:t>且</w:t>
            </w:r>
            <w:r>
              <w:rPr>
                <w:rFonts w:hint="eastAsia" w:ascii="宋体" w:hAnsi="宋体" w:eastAsia="宋体" w:cs="宋体"/>
                <w:color w:val="000000"/>
                <w:kern w:val="0"/>
                <w:sz w:val="18"/>
                <w:szCs w:val="18"/>
                <w:lang w:bidi="ar"/>
              </w:rPr>
              <w:t>逾期不补报的</w:t>
            </w: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54796F7E">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轻微</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0134BA3F">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181E2094">
            <w:pPr>
              <w:spacing w:line="260" w:lineRule="exact"/>
              <w:rPr>
                <w:rStyle w:val="21"/>
                <w:rFonts w:hint="eastAsia" w:ascii="宋体" w:hAnsi="宋体" w:eastAsia="宋体" w:cs="宋体"/>
                <w:sz w:val="18"/>
                <w:szCs w:val="18"/>
                <w:lang w:bidi="ar"/>
              </w:rPr>
            </w:pP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7DF16E31">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0B38EEAD">
            <w:pPr>
              <w:spacing w:line="260" w:lineRule="exact"/>
              <w:rPr>
                <w:rStyle w:val="21"/>
                <w:rFonts w:hint="eastAsia" w:ascii="宋体" w:hAnsi="宋体" w:eastAsia="宋体" w:cs="宋体"/>
                <w:sz w:val="18"/>
                <w:szCs w:val="18"/>
                <w:lang w:bidi="ar"/>
              </w:rPr>
            </w:pPr>
          </w:p>
        </w:tc>
        <w:tc>
          <w:tcPr>
            <w:tcW w:w="56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52EFAD4C">
            <w:pPr>
              <w:spacing w:line="260" w:lineRule="exact"/>
              <w:rPr>
                <w:rStyle w:val="21"/>
                <w:rFonts w:hint="eastAsia" w:ascii="宋体" w:hAnsi="宋体" w:eastAsia="宋体" w:cs="宋体"/>
                <w:sz w:val="18"/>
                <w:szCs w:val="18"/>
                <w:lang w:bidi="ar"/>
              </w:rPr>
            </w:pPr>
          </w:p>
        </w:tc>
      </w:tr>
      <w:tr w14:paraId="1A0BB1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510" w:hRule="atLeast"/>
          <w:jc w:val="center"/>
        </w:trPr>
        <w:tc>
          <w:tcPr>
            <w:tcW w:w="495"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30397413">
            <w:pPr>
              <w:spacing w:line="260" w:lineRule="exact"/>
              <w:jc w:val="center"/>
              <w:rPr>
                <w:rFonts w:hint="eastAsia" w:ascii="宋体" w:hAnsi="宋体" w:eastAsia="宋体" w:cs="宋体"/>
                <w:sz w:val="18"/>
                <w:szCs w:val="18"/>
              </w:rPr>
            </w:pPr>
          </w:p>
        </w:tc>
        <w:tc>
          <w:tcPr>
            <w:tcW w:w="1211"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6A61CA77">
            <w:pPr>
              <w:spacing w:line="260" w:lineRule="exact"/>
              <w:rPr>
                <w:rFonts w:hint="eastAsia" w:ascii="宋体" w:hAnsi="宋体" w:eastAsia="宋体" w:cs="宋体"/>
                <w:color w:val="000000"/>
                <w:kern w:val="0"/>
                <w:sz w:val="18"/>
                <w:szCs w:val="18"/>
                <w:lang w:bidi="ar"/>
              </w:rPr>
            </w:pPr>
          </w:p>
        </w:tc>
        <w:tc>
          <w:tcPr>
            <w:tcW w:w="4862"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11BA2C9D">
            <w:pPr>
              <w:spacing w:line="260" w:lineRule="exact"/>
              <w:ind w:firstLine="360" w:firstLineChars="200"/>
              <w:rPr>
                <w:rFonts w:hint="eastAsia" w:ascii="宋体" w:hAnsi="宋体" w:eastAsia="宋体" w:cs="宋体"/>
                <w:color w:val="000000"/>
                <w:kern w:val="0"/>
                <w:sz w:val="18"/>
                <w:szCs w:val="18"/>
                <w:lang w:bidi="ar"/>
              </w:rPr>
            </w:pPr>
          </w:p>
        </w:tc>
        <w:tc>
          <w:tcPr>
            <w:tcW w:w="161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7062544B">
            <w:pPr>
              <w:spacing w:line="260" w:lineRule="exact"/>
              <w:ind w:firstLine="360" w:firstLineChars="200"/>
              <w:rPr>
                <w:rFonts w:hint="eastAsia" w:ascii="宋体" w:hAnsi="宋体" w:eastAsia="宋体" w:cs="宋体"/>
                <w:color w:val="000000"/>
                <w:kern w:val="0"/>
                <w:sz w:val="18"/>
                <w:szCs w:val="18"/>
                <w:lang w:bidi="ar"/>
              </w:rPr>
            </w:pP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6EE91868">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较轻</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5FCA325A">
            <w:pPr>
              <w:spacing w:line="260" w:lineRule="exact"/>
              <w:rPr>
                <w:rFonts w:hint="eastAsia" w:ascii="宋体" w:hAnsi="宋体" w:eastAsia="宋体" w:cs="宋体"/>
                <w:color w:val="000000"/>
                <w:sz w:val="18"/>
                <w:szCs w:val="18"/>
                <w:lang w:bidi="ar"/>
              </w:rPr>
            </w:pPr>
            <w:r>
              <w:rPr>
                <w:rStyle w:val="21"/>
                <w:rFonts w:hint="eastAsia" w:ascii="宋体" w:hAnsi="宋体" w:eastAsia="宋体" w:cs="宋体"/>
                <w:sz w:val="18"/>
                <w:szCs w:val="18"/>
                <w:lang w:val="en" w:bidi="ar"/>
              </w:rPr>
              <w:t>第一次逾期不报</w:t>
            </w:r>
            <w:r>
              <w:rPr>
                <w:rStyle w:val="21"/>
                <w:rFonts w:hint="eastAsia" w:ascii="宋体" w:hAnsi="宋体" w:eastAsia="宋体" w:cs="宋体"/>
                <w:sz w:val="18"/>
                <w:szCs w:val="18"/>
                <w:lang w:bidi="ar"/>
              </w:rPr>
              <w:t>的</w:t>
            </w: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0920DA16">
            <w:pPr>
              <w:keepNext w:val="0"/>
              <w:keepLines w:val="0"/>
              <w:pageBreakBefore w:val="0"/>
              <w:widowControl w:val="0"/>
              <w:kinsoku/>
              <w:wordWrap/>
              <w:overflowPunct/>
              <w:topLinePunct w:val="0"/>
              <w:autoSpaceDE/>
              <w:autoSpaceDN/>
              <w:bidi w:val="0"/>
              <w:adjustRightInd/>
              <w:snapToGrid/>
              <w:spacing w:line="220" w:lineRule="exact"/>
              <w:textAlignment w:val="auto"/>
              <w:rPr>
                <w:rFonts w:hint="eastAsia" w:ascii="宋体" w:hAnsi="宋体" w:eastAsia="宋体" w:cs="宋体"/>
                <w:color w:val="000000"/>
                <w:sz w:val="18"/>
                <w:szCs w:val="18"/>
                <w:lang w:bidi="ar"/>
              </w:rPr>
            </w:pPr>
            <w:r>
              <w:rPr>
                <w:rStyle w:val="21"/>
                <w:rFonts w:hint="eastAsia" w:ascii="宋体" w:hAnsi="宋体" w:eastAsia="宋体" w:cs="宋体"/>
                <w:sz w:val="18"/>
                <w:szCs w:val="18"/>
                <w:lang w:bidi="ar"/>
              </w:rPr>
              <w:t>处2万以上4万以下罚款</w:t>
            </w:r>
          </w:p>
        </w:tc>
        <w:tc>
          <w:tcPr>
            <w:tcW w:w="56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5BB696CF">
            <w:pPr>
              <w:spacing w:line="260" w:lineRule="exact"/>
              <w:rPr>
                <w:rStyle w:val="21"/>
                <w:rFonts w:hint="eastAsia" w:ascii="宋体" w:hAnsi="宋体" w:eastAsia="宋体" w:cs="宋体"/>
                <w:sz w:val="18"/>
                <w:szCs w:val="18"/>
                <w:lang w:bidi="ar"/>
              </w:rPr>
            </w:pPr>
          </w:p>
        </w:tc>
      </w:tr>
      <w:tr w14:paraId="31E2A4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510" w:hRule="atLeast"/>
          <w:jc w:val="center"/>
        </w:trPr>
        <w:tc>
          <w:tcPr>
            <w:tcW w:w="495"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54C1E227">
            <w:pPr>
              <w:spacing w:line="260" w:lineRule="exact"/>
              <w:jc w:val="center"/>
              <w:rPr>
                <w:rFonts w:hint="eastAsia" w:ascii="宋体" w:hAnsi="宋体" w:eastAsia="宋体" w:cs="宋体"/>
                <w:sz w:val="18"/>
                <w:szCs w:val="18"/>
              </w:rPr>
            </w:pPr>
          </w:p>
        </w:tc>
        <w:tc>
          <w:tcPr>
            <w:tcW w:w="1211"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08E731E0">
            <w:pPr>
              <w:spacing w:line="260" w:lineRule="exact"/>
              <w:rPr>
                <w:rFonts w:hint="eastAsia" w:ascii="宋体" w:hAnsi="宋体" w:eastAsia="宋体" w:cs="宋体"/>
                <w:color w:val="000000"/>
                <w:kern w:val="0"/>
                <w:sz w:val="18"/>
                <w:szCs w:val="18"/>
                <w:lang w:bidi="ar"/>
              </w:rPr>
            </w:pPr>
          </w:p>
        </w:tc>
        <w:tc>
          <w:tcPr>
            <w:tcW w:w="4862"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0E8D7A5F">
            <w:pPr>
              <w:spacing w:line="260" w:lineRule="exact"/>
              <w:ind w:firstLine="360" w:firstLineChars="200"/>
              <w:rPr>
                <w:rFonts w:hint="eastAsia" w:ascii="宋体" w:hAnsi="宋体" w:eastAsia="宋体" w:cs="宋体"/>
                <w:color w:val="000000"/>
                <w:kern w:val="0"/>
                <w:sz w:val="18"/>
                <w:szCs w:val="18"/>
                <w:lang w:bidi="ar"/>
              </w:rPr>
            </w:pPr>
          </w:p>
        </w:tc>
        <w:tc>
          <w:tcPr>
            <w:tcW w:w="161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41B5095E">
            <w:pPr>
              <w:spacing w:line="260" w:lineRule="exact"/>
              <w:ind w:firstLine="360" w:firstLineChars="200"/>
              <w:rPr>
                <w:rFonts w:hint="eastAsia" w:ascii="宋体" w:hAnsi="宋体" w:eastAsia="宋体" w:cs="宋体"/>
                <w:color w:val="000000"/>
                <w:kern w:val="0"/>
                <w:sz w:val="18"/>
                <w:szCs w:val="18"/>
                <w:lang w:bidi="ar"/>
              </w:rPr>
            </w:pP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41E352F1">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一般</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38481BC7">
            <w:pPr>
              <w:spacing w:line="260" w:lineRule="exact"/>
              <w:rPr>
                <w:rFonts w:hint="eastAsia" w:ascii="宋体" w:hAnsi="宋体" w:eastAsia="宋体" w:cs="宋体"/>
                <w:color w:val="000000"/>
                <w:sz w:val="18"/>
                <w:szCs w:val="18"/>
                <w:lang w:bidi="ar"/>
              </w:rPr>
            </w:pPr>
            <w:r>
              <w:rPr>
                <w:rStyle w:val="21"/>
                <w:rFonts w:hint="eastAsia" w:ascii="宋体" w:hAnsi="宋体" w:eastAsia="宋体" w:cs="宋体"/>
                <w:sz w:val="18"/>
                <w:szCs w:val="18"/>
                <w:lang w:val="en" w:bidi="ar"/>
              </w:rPr>
              <w:t>第二次逾期不补报的</w:t>
            </w: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7AE133D2">
            <w:pPr>
              <w:keepNext w:val="0"/>
              <w:keepLines w:val="0"/>
              <w:pageBreakBefore w:val="0"/>
              <w:widowControl w:val="0"/>
              <w:kinsoku/>
              <w:wordWrap/>
              <w:overflowPunct/>
              <w:topLinePunct w:val="0"/>
              <w:autoSpaceDE/>
              <w:autoSpaceDN/>
              <w:bidi w:val="0"/>
              <w:adjustRightInd/>
              <w:snapToGrid/>
              <w:spacing w:line="220" w:lineRule="exact"/>
              <w:textAlignment w:val="auto"/>
              <w:rPr>
                <w:rFonts w:hint="eastAsia" w:ascii="宋体" w:hAnsi="宋体" w:eastAsia="宋体" w:cs="宋体"/>
                <w:color w:val="000000"/>
                <w:sz w:val="18"/>
                <w:szCs w:val="18"/>
                <w:lang w:bidi="ar"/>
              </w:rPr>
            </w:pPr>
            <w:r>
              <w:rPr>
                <w:rStyle w:val="21"/>
                <w:rFonts w:hint="eastAsia" w:ascii="宋体" w:hAnsi="宋体" w:eastAsia="宋体" w:cs="宋体"/>
                <w:sz w:val="18"/>
                <w:szCs w:val="18"/>
                <w:lang w:bidi="ar"/>
              </w:rPr>
              <w:t>处4万以上6万以下罚款</w:t>
            </w:r>
          </w:p>
        </w:tc>
        <w:tc>
          <w:tcPr>
            <w:tcW w:w="56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5A042D82">
            <w:pPr>
              <w:spacing w:line="260" w:lineRule="exact"/>
              <w:rPr>
                <w:rStyle w:val="21"/>
                <w:rFonts w:hint="eastAsia" w:ascii="宋体" w:hAnsi="宋体" w:eastAsia="宋体" w:cs="宋体"/>
                <w:sz w:val="18"/>
                <w:szCs w:val="18"/>
                <w:lang w:bidi="ar"/>
              </w:rPr>
            </w:pPr>
          </w:p>
        </w:tc>
      </w:tr>
      <w:tr w14:paraId="25FB11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510" w:hRule="atLeast"/>
          <w:jc w:val="center"/>
        </w:trPr>
        <w:tc>
          <w:tcPr>
            <w:tcW w:w="495"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07C63D48">
            <w:pPr>
              <w:spacing w:line="260" w:lineRule="exact"/>
              <w:jc w:val="center"/>
              <w:rPr>
                <w:rFonts w:hint="eastAsia" w:ascii="宋体" w:hAnsi="宋体" w:eastAsia="宋体" w:cs="宋体"/>
                <w:sz w:val="18"/>
                <w:szCs w:val="18"/>
              </w:rPr>
            </w:pPr>
          </w:p>
        </w:tc>
        <w:tc>
          <w:tcPr>
            <w:tcW w:w="1211"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086B418D">
            <w:pPr>
              <w:spacing w:line="260" w:lineRule="exact"/>
              <w:rPr>
                <w:rFonts w:hint="eastAsia" w:ascii="宋体" w:hAnsi="宋体" w:eastAsia="宋体" w:cs="宋体"/>
                <w:color w:val="000000"/>
                <w:kern w:val="0"/>
                <w:sz w:val="18"/>
                <w:szCs w:val="18"/>
                <w:lang w:bidi="ar"/>
              </w:rPr>
            </w:pPr>
          </w:p>
        </w:tc>
        <w:tc>
          <w:tcPr>
            <w:tcW w:w="4862"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11DD5CEA">
            <w:pPr>
              <w:spacing w:line="260" w:lineRule="exact"/>
              <w:ind w:firstLine="360" w:firstLineChars="200"/>
              <w:rPr>
                <w:rFonts w:hint="eastAsia" w:ascii="宋体" w:hAnsi="宋体" w:eastAsia="宋体" w:cs="宋体"/>
                <w:color w:val="000000"/>
                <w:kern w:val="0"/>
                <w:sz w:val="18"/>
                <w:szCs w:val="18"/>
                <w:lang w:bidi="ar"/>
              </w:rPr>
            </w:pPr>
          </w:p>
        </w:tc>
        <w:tc>
          <w:tcPr>
            <w:tcW w:w="161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24AA11BA">
            <w:pPr>
              <w:spacing w:line="260" w:lineRule="exact"/>
              <w:ind w:firstLine="360" w:firstLineChars="200"/>
              <w:rPr>
                <w:rFonts w:hint="eastAsia" w:ascii="宋体" w:hAnsi="宋体" w:eastAsia="宋体" w:cs="宋体"/>
                <w:color w:val="000000"/>
                <w:kern w:val="0"/>
                <w:sz w:val="18"/>
                <w:szCs w:val="18"/>
                <w:lang w:bidi="ar"/>
              </w:rPr>
            </w:pP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4F7E554B">
            <w:pPr>
              <w:spacing w:line="260" w:lineRule="exact"/>
              <w:jc w:val="center"/>
              <w:rPr>
                <w:rFonts w:hint="eastAsia" w:ascii="宋体" w:hAnsi="宋体" w:eastAsia="宋体" w:cs="宋体"/>
                <w:sz w:val="18"/>
                <w:szCs w:val="18"/>
                <w:lang w:eastAsia="zh-CN"/>
              </w:rPr>
            </w:pPr>
            <w:r>
              <w:rPr>
                <w:rFonts w:hint="eastAsia" w:ascii="宋体" w:hAnsi="宋体" w:eastAsia="宋体" w:cs="宋体"/>
                <w:sz w:val="18"/>
                <w:szCs w:val="18"/>
                <w:lang w:eastAsia="zh-CN"/>
              </w:rPr>
              <w:t>较重</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731B62D8">
            <w:pPr>
              <w:spacing w:line="260" w:lineRule="exact"/>
              <w:rPr>
                <w:rFonts w:hint="eastAsia" w:ascii="宋体" w:hAnsi="宋体" w:eastAsia="宋体" w:cs="宋体"/>
                <w:color w:val="000000"/>
                <w:sz w:val="18"/>
                <w:szCs w:val="18"/>
                <w:lang w:bidi="ar"/>
              </w:rPr>
            </w:pPr>
            <w:r>
              <w:rPr>
                <w:rStyle w:val="21"/>
                <w:rFonts w:hint="eastAsia" w:ascii="宋体" w:hAnsi="宋体" w:eastAsia="宋体" w:cs="宋体"/>
                <w:sz w:val="18"/>
                <w:szCs w:val="18"/>
                <w:lang w:val="en" w:bidi="ar"/>
              </w:rPr>
              <w:t>两次以上逾期不补报的</w:t>
            </w: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7D95633B">
            <w:pPr>
              <w:keepNext w:val="0"/>
              <w:keepLines w:val="0"/>
              <w:pageBreakBefore w:val="0"/>
              <w:widowControl w:val="0"/>
              <w:kinsoku/>
              <w:wordWrap/>
              <w:overflowPunct/>
              <w:topLinePunct w:val="0"/>
              <w:autoSpaceDE/>
              <w:autoSpaceDN/>
              <w:bidi w:val="0"/>
              <w:adjustRightInd/>
              <w:snapToGrid/>
              <w:spacing w:line="220" w:lineRule="exact"/>
              <w:textAlignment w:val="auto"/>
              <w:rPr>
                <w:rFonts w:hint="eastAsia" w:ascii="宋体" w:hAnsi="宋体" w:eastAsia="宋体" w:cs="宋体"/>
                <w:color w:val="000000"/>
                <w:sz w:val="18"/>
                <w:szCs w:val="18"/>
                <w:lang w:bidi="ar"/>
              </w:rPr>
            </w:pPr>
            <w:r>
              <w:rPr>
                <w:rStyle w:val="21"/>
                <w:rFonts w:hint="eastAsia" w:ascii="宋体" w:hAnsi="宋体" w:eastAsia="宋体" w:cs="宋体"/>
                <w:sz w:val="18"/>
                <w:szCs w:val="18"/>
                <w:lang w:bidi="ar"/>
              </w:rPr>
              <w:t>处6万以上8万以下罚款</w:t>
            </w:r>
          </w:p>
        </w:tc>
        <w:tc>
          <w:tcPr>
            <w:tcW w:w="56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7A9FB7BE">
            <w:pPr>
              <w:spacing w:line="260" w:lineRule="exact"/>
              <w:rPr>
                <w:rStyle w:val="21"/>
                <w:rFonts w:hint="eastAsia" w:ascii="宋体" w:hAnsi="宋体" w:eastAsia="宋体" w:cs="宋体"/>
                <w:sz w:val="18"/>
                <w:szCs w:val="18"/>
                <w:lang w:bidi="ar"/>
              </w:rPr>
            </w:pPr>
          </w:p>
        </w:tc>
      </w:tr>
      <w:tr w14:paraId="56E951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510" w:hRule="atLeast"/>
          <w:jc w:val="center"/>
        </w:trPr>
        <w:tc>
          <w:tcPr>
            <w:tcW w:w="495"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5EC45B98">
            <w:pPr>
              <w:spacing w:line="260" w:lineRule="exact"/>
              <w:jc w:val="center"/>
              <w:rPr>
                <w:rFonts w:hint="eastAsia" w:ascii="宋体" w:hAnsi="宋体" w:eastAsia="宋体" w:cs="宋体"/>
                <w:sz w:val="18"/>
                <w:szCs w:val="18"/>
              </w:rPr>
            </w:pPr>
          </w:p>
        </w:tc>
        <w:tc>
          <w:tcPr>
            <w:tcW w:w="1211"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572C93CA">
            <w:pPr>
              <w:spacing w:line="260" w:lineRule="exact"/>
              <w:rPr>
                <w:rFonts w:hint="eastAsia" w:ascii="宋体" w:hAnsi="宋体" w:eastAsia="宋体" w:cs="宋体"/>
                <w:color w:val="000000"/>
                <w:kern w:val="0"/>
                <w:sz w:val="18"/>
                <w:szCs w:val="18"/>
                <w:lang w:bidi="ar"/>
              </w:rPr>
            </w:pPr>
          </w:p>
        </w:tc>
        <w:tc>
          <w:tcPr>
            <w:tcW w:w="4862"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250EA930">
            <w:pPr>
              <w:spacing w:line="260" w:lineRule="exact"/>
              <w:ind w:firstLine="360" w:firstLineChars="200"/>
              <w:rPr>
                <w:rFonts w:hint="eastAsia" w:ascii="宋体" w:hAnsi="宋体" w:eastAsia="宋体" w:cs="宋体"/>
                <w:color w:val="000000"/>
                <w:kern w:val="0"/>
                <w:sz w:val="18"/>
                <w:szCs w:val="18"/>
                <w:lang w:bidi="ar"/>
              </w:rPr>
            </w:pPr>
          </w:p>
        </w:tc>
        <w:tc>
          <w:tcPr>
            <w:tcW w:w="161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1A166D7A">
            <w:pPr>
              <w:spacing w:line="260" w:lineRule="exact"/>
              <w:ind w:firstLine="360" w:firstLineChars="200"/>
              <w:rPr>
                <w:rFonts w:hint="eastAsia" w:ascii="宋体" w:hAnsi="宋体" w:eastAsia="宋体" w:cs="宋体"/>
                <w:color w:val="000000"/>
                <w:kern w:val="0"/>
                <w:sz w:val="18"/>
                <w:szCs w:val="18"/>
                <w:lang w:bidi="ar"/>
              </w:rPr>
            </w:pP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182CE785">
            <w:pPr>
              <w:spacing w:line="260" w:lineRule="exact"/>
              <w:jc w:val="center"/>
              <w:rPr>
                <w:rFonts w:hint="eastAsia" w:ascii="宋体" w:hAnsi="宋体" w:eastAsia="宋体" w:cs="宋体"/>
                <w:kern w:val="2"/>
                <w:sz w:val="18"/>
                <w:szCs w:val="18"/>
                <w:lang w:val="en-US" w:eastAsia="zh-CN" w:bidi="ar-SA"/>
              </w:rPr>
            </w:pPr>
            <w:r>
              <w:rPr>
                <w:rFonts w:hint="eastAsia" w:ascii="宋体" w:hAnsi="宋体" w:eastAsia="宋体" w:cs="宋体"/>
                <w:sz w:val="18"/>
                <w:szCs w:val="18"/>
              </w:rPr>
              <w:t>严重</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778AFB56">
            <w:pPr>
              <w:spacing w:line="260" w:lineRule="exact"/>
              <w:rPr>
                <w:rFonts w:hint="eastAsia" w:ascii="宋体" w:hAnsi="宋体" w:eastAsia="宋体" w:cs="宋体"/>
                <w:color w:val="000000"/>
                <w:kern w:val="0"/>
                <w:sz w:val="18"/>
                <w:szCs w:val="18"/>
                <w:lang w:val="en" w:eastAsia="zh-CN" w:bidi="ar"/>
              </w:rPr>
            </w:pPr>
            <w:r>
              <w:rPr>
                <w:rFonts w:hint="eastAsia" w:ascii="宋体" w:hAnsi="宋体" w:eastAsia="宋体" w:cs="宋体"/>
                <w:color w:val="000000"/>
                <w:kern w:val="0"/>
                <w:sz w:val="18"/>
                <w:szCs w:val="18"/>
                <w:lang w:bidi="ar"/>
              </w:rPr>
              <w:t>拒不报送的</w:t>
            </w: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3F5ABBC9">
            <w:pPr>
              <w:keepNext w:val="0"/>
              <w:keepLines w:val="0"/>
              <w:pageBreakBefore w:val="0"/>
              <w:widowControl w:val="0"/>
              <w:kinsoku/>
              <w:wordWrap/>
              <w:overflowPunct/>
              <w:topLinePunct w:val="0"/>
              <w:autoSpaceDE/>
              <w:autoSpaceDN/>
              <w:bidi w:val="0"/>
              <w:adjustRightInd/>
              <w:snapToGrid/>
              <w:spacing w:line="220" w:lineRule="exact"/>
              <w:textAlignment w:val="auto"/>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处8万以上10万以下罚款</w:t>
            </w:r>
          </w:p>
        </w:tc>
        <w:tc>
          <w:tcPr>
            <w:tcW w:w="56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3A493366">
            <w:pPr>
              <w:spacing w:line="260" w:lineRule="exact"/>
              <w:rPr>
                <w:rStyle w:val="21"/>
                <w:rFonts w:hint="eastAsia" w:ascii="宋体" w:hAnsi="宋体" w:eastAsia="宋体" w:cs="宋体"/>
                <w:sz w:val="18"/>
                <w:szCs w:val="18"/>
                <w:lang w:bidi="ar"/>
              </w:rPr>
            </w:pPr>
          </w:p>
        </w:tc>
      </w:tr>
      <w:tr w14:paraId="1D4C8E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510" w:hRule="atLeast"/>
          <w:jc w:val="center"/>
        </w:trPr>
        <w:tc>
          <w:tcPr>
            <w:tcW w:w="495" w:type="dxa"/>
            <w:vMerge w:val="restart"/>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2A50C63D">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10</w:t>
            </w:r>
          </w:p>
        </w:tc>
        <w:tc>
          <w:tcPr>
            <w:tcW w:w="1211" w:type="dxa"/>
            <w:vMerge w:val="restart"/>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25A41474">
            <w:pPr>
              <w:widowControl/>
              <w:spacing w:line="24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对未按照规定封井或者回填报废的矿井、钻井、地下水取水工程或者未建成、已完成勘探任务、依法应当停止取水的地下水取水工程行为的行政处罚</w:t>
            </w:r>
          </w:p>
        </w:tc>
        <w:tc>
          <w:tcPr>
            <w:tcW w:w="4862" w:type="dxa"/>
            <w:vMerge w:val="restart"/>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1394F4AB">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《地下水管理条例》第五十八条 报废的矿井、钻井、地下水取水工程，或者未建成、已完成勘探任务、依法应当停止取水的地下水取水工程，未按照规定封井或者回填的，由县级以上地方人民政府或者其授权的部门责令封井或者回填，处10万元以上50万元以下罚款；不具备封井或者回填能力的，由县级以上地方人民政府或者其授权的部门组织封井或者回填，所需费用由违法行为人承担。</w:t>
            </w:r>
          </w:p>
        </w:tc>
        <w:tc>
          <w:tcPr>
            <w:tcW w:w="1613" w:type="dxa"/>
            <w:vMerge w:val="restart"/>
            <w:tcBorders>
              <w:top w:val="single" w:color="auto" w:sz="4" w:space="0"/>
              <w:left w:val="single" w:color="auto" w:sz="4" w:space="0"/>
              <w:right w:val="single" w:color="auto" w:sz="4" w:space="0"/>
            </w:tcBorders>
            <w:shd w:val="clear" w:color="auto" w:fill="FFFFFF"/>
            <w:noWrap w:val="0"/>
            <w:tcMar>
              <w:top w:w="0" w:type="dxa"/>
              <w:left w:w="0" w:type="dxa"/>
              <w:bottom w:w="0" w:type="dxa"/>
              <w:right w:w="0" w:type="dxa"/>
            </w:tcMar>
            <w:vAlign w:val="center"/>
          </w:tcPr>
          <w:p w14:paraId="76EF923F">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报废的矿井、钻井、地下水取水工程，或者未建成、已完成勘探任务、依法应当停止取水的地下水取水工程，未按照规定封井或者回填的</w:t>
            </w: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671B94E1">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轻微</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0DD513FC">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1F8D9394">
            <w:pPr>
              <w:spacing w:line="260" w:lineRule="exact"/>
              <w:rPr>
                <w:rStyle w:val="21"/>
                <w:rFonts w:hint="eastAsia" w:ascii="宋体" w:hAnsi="宋体" w:eastAsia="宋体" w:cs="宋体"/>
                <w:sz w:val="18"/>
                <w:szCs w:val="18"/>
                <w:lang w:bidi="ar"/>
              </w:rPr>
            </w:pP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7854A0B2">
            <w:pPr>
              <w:snapToGrid/>
              <w:spacing w:line="24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347DDB44">
            <w:pPr>
              <w:spacing w:line="240" w:lineRule="exact"/>
              <w:rPr>
                <w:rStyle w:val="21"/>
                <w:rFonts w:hint="eastAsia" w:ascii="宋体" w:hAnsi="宋体" w:eastAsia="宋体" w:cs="宋体"/>
                <w:sz w:val="18"/>
                <w:szCs w:val="18"/>
                <w:lang w:bidi="ar"/>
              </w:rPr>
            </w:pPr>
          </w:p>
        </w:tc>
        <w:tc>
          <w:tcPr>
            <w:tcW w:w="563" w:type="dxa"/>
            <w:vMerge w:val="restart"/>
            <w:tcBorders>
              <w:top w:val="single" w:color="auto" w:sz="4" w:space="0"/>
              <w:left w:val="single" w:color="auto" w:sz="4" w:space="0"/>
              <w:right w:val="single" w:color="auto" w:sz="4" w:space="0"/>
            </w:tcBorders>
            <w:shd w:val="clear" w:color="auto" w:fill="FFFFFF"/>
            <w:noWrap w:val="0"/>
            <w:tcMar>
              <w:top w:w="0" w:type="dxa"/>
              <w:left w:w="0" w:type="dxa"/>
              <w:bottom w:w="0" w:type="dxa"/>
              <w:right w:w="0" w:type="dxa"/>
            </w:tcMar>
            <w:vAlign w:val="center"/>
          </w:tcPr>
          <w:p w14:paraId="4A788A00">
            <w:pPr>
              <w:spacing w:line="260" w:lineRule="exact"/>
              <w:rPr>
                <w:rStyle w:val="21"/>
                <w:rFonts w:hint="eastAsia" w:ascii="宋体" w:hAnsi="宋体" w:eastAsia="宋体" w:cs="宋体"/>
                <w:sz w:val="18"/>
                <w:szCs w:val="18"/>
                <w:lang w:bidi="ar"/>
              </w:rPr>
            </w:pPr>
          </w:p>
        </w:tc>
      </w:tr>
      <w:tr w14:paraId="1433E1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495"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35A1D8F1">
            <w:pPr>
              <w:spacing w:line="260" w:lineRule="exact"/>
              <w:jc w:val="center"/>
              <w:rPr>
                <w:rFonts w:hint="eastAsia" w:ascii="宋体" w:hAnsi="宋体" w:eastAsia="宋体" w:cs="宋体"/>
                <w:sz w:val="18"/>
                <w:szCs w:val="18"/>
              </w:rPr>
            </w:pPr>
          </w:p>
        </w:tc>
        <w:tc>
          <w:tcPr>
            <w:tcW w:w="1211"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2679B990">
            <w:pPr>
              <w:spacing w:line="260" w:lineRule="exact"/>
              <w:rPr>
                <w:rFonts w:hint="eastAsia" w:ascii="宋体" w:hAnsi="宋体" w:eastAsia="宋体" w:cs="宋体"/>
                <w:color w:val="000000"/>
                <w:kern w:val="0"/>
                <w:sz w:val="18"/>
                <w:szCs w:val="18"/>
                <w:lang w:bidi="ar"/>
              </w:rPr>
            </w:pPr>
          </w:p>
        </w:tc>
        <w:tc>
          <w:tcPr>
            <w:tcW w:w="4862"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35041311">
            <w:pPr>
              <w:spacing w:line="260" w:lineRule="exact"/>
              <w:ind w:firstLine="360" w:firstLineChars="200"/>
              <w:rPr>
                <w:rFonts w:hint="eastAsia" w:ascii="宋体" w:hAnsi="宋体" w:eastAsia="宋体" w:cs="宋体"/>
                <w:color w:val="000000"/>
                <w:kern w:val="0"/>
                <w:sz w:val="18"/>
                <w:szCs w:val="18"/>
                <w:lang w:bidi="ar"/>
              </w:rPr>
            </w:pPr>
          </w:p>
        </w:tc>
        <w:tc>
          <w:tcPr>
            <w:tcW w:w="161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4DB133CC">
            <w:pPr>
              <w:spacing w:line="260" w:lineRule="exact"/>
              <w:ind w:firstLine="360" w:firstLineChars="200"/>
              <w:rPr>
                <w:rFonts w:hint="eastAsia" w:ascii="宋体" w:hAnsi="宋体" w:eastAsia="宋体" w:cs="宋体"/>
                <w:color w:val="000000"/>
                <w:kern w:val="0"/>
                <w:sz w:val="18"/>
                <w:szCs w:val="18"/>
                <w:lang w:bidi="ar"/>
              </w:rPr>
            </w:pP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7FFCB0F5">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较轻</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00E27F8D">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1A59A5F2">
            <w:pPr>
              <w:spacing w:line="260" w:lineRule="exact"/>
              <w:rPr>
                <w:rStyle w:val="21"/>
                <w:rFonts w:hint="eastAsia" w:ascii="宋体" w:hAnsi="宋体" w:eastAsia="宋体" w:cs="宋体"/>
                <w:sz w:val="18"/>
                <w:szCs w:val="18"/>
                <w:lang w:bidi="ar"/>
              </w:rPr>
            </w:pP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491A73E0">
            <w:pPr>
              <w:snapToGrid/>
              <w:spacing w:line="24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4257DC42">
            <w:pPr>
              <w:spacing w:line="240" w:lineRule="exact"/>
              <w:rPr>
                <w:rStyle w:val="21"/>
                <w:rFonts w:hint="eastAsia" w:ascii="宋体" w:hAnsi="宋体" w:eastAsia="宋体" w:cs="宋体"/>
                <w:sz w:val="18"/>
                <w:szCs w:val="18"/>
                <w:lang w:bidi="ar"/>
              </w:rPr>
            </w:pPr>
          </w:p>
        </w:tc>
        <w:tc>
          <w:tcPr>
            <w:tcW w:w="56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1C4B6280">
            <w:pPr>
              <w:spacing w:line="260" w:lineRule="exact"/>
              <w:rPr>
                <w:rStyle w:val="21"/>
                <w:rFonts w:hint="eastAsia" w:ascii="宋体" w:hAnsi="宋体" w:eastAsia="宋体" w:cs="宋体"/>
                <w:sz w:val="18"/>
                <w:szCs w:val="18"/>
                <w:lang w:bidi="ar"/>
              </w:rPr>
            </w:pPr>
          </w:p>
        </w:tc>
      </w:tr>
      <w:tr w14:paraId="5D1C15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95"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11BE855A">
            <w:pPr>
              <w:spacing w:line="260" w:lineRule="exact"/>
              <w:jc w:val="center"/>
              <w:rPr>
                <w:rFonts w:hint="eastAsia" w:ascii="宋体" w:hAnsi="宋体" w:eastAsia="宋体" w:cs="宋体"/>
                <w:sz w:val="18"/>
                <w:szCs w:val="18"/>
              </w:rPr>
            </w:pPr>
          </w:p>
        </w:tc>
        <w:tc>
          <w:tcPr>
            <w:tcW w:w="1211"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51056544">
            <w:pPr>
              <w:spacing w:line="260" w:lineRule="exact"/>
              <w:rPr>
                <w:rFonts w:hint="eastAsia" w:ascii="宋体" w:hAnsi="宋体" w:eastAsia="宋体" w:cs="宋体"/>
                <w:color w:val="000000"/>
                <w:kern w:val="0"/>
                <w:sz w:val="18"/>
                <w:szCs w:val="18"/>
                <w:lang w:bidi="ar"/>
              </w:rPr>
            </w:pPr>
          </w:p>
        </w:tc>
        <w:tc>
          <w:tcPr>
            <w:tcW w:w="4862"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2BCC7018">
            <w:pPr>
              <w:spacing w:line="260" w:lineRule="exact"/>
              <w:ind w:firstLine="360" w:firstLineChars="200"/>
              <w:rPr>
                <w:rFonts w:hint="eastAsia" w:ascii="宋体" w:hAnsi="宋体" w:eastAsia="宋体" w:cs="宋体"/>
                <w:color w:val="000000"/>
                <w:kern w:val="0"/>
                <w:sz w:val="18"/>
                <w:szCs w:val="18"/>
                <w:lang w:bidi="ar"/>
              </w:rPr>
            </w:pPr>
          </w:p>
        </w:tc>
        <w:tc>
          <w:tcPr>
            <w:tcW w:w="161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26304AA3">
            <w:pPr>
              <w:spacing w:line="260" w:lineRule="exact"/>
              <w:ind w:firstLine="360" w:firstLineChars="200"/>
              <w:rPr>
                <w:rFonts w:hint="eastAsia" w:ascii="宋体" w:hAnsi="宋体" w:eastAsia="宋体" w:cs="宋体"/>
                <w:color w:val="000000"/>
                <w:kern w:val="0"/>
                <w:sz w:val="18"/>
                <w:szCs w:val="18"/>
                <w:lang w:bidi="ar"/>
              </w:rPr>
            </w:pP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2A9AAD3B">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一般</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5D00937A">
            <w:pPr>
              <w:spacing w:line="260" w:lineRule="exact"/>
              <w:rPr>
                <w:rFonts w:hint="eastAsia" w:ascii="宋体" w:hAnsi="宋体" w:eastAsia="宋体" w:cs="宋体"/>
                <w:color w:val="000000"/>
                <w:sz w:val="18"/>
                <w:szCs w:val="18"/>
                <w:lang w:bidi="ar"/>
              </w:rPr>
            </w:pPr>
            <w:r>
              <w:rPr>
                <w:rStyle w:val="21"/>
                <w:rFonts w:hint="eastAsia" w:ascii="宋体" w:hAnsi="宋体" w:eastAsia="宋体" w:cs="宋体"/>
                <w:sz w:val="18"/>
                <w:szCs w:val="18"/>
                <w:lang w:val="en" w:bidi="ar"/>
              </w:rPr>
              <w:t>在规定期限内</w:t>
            </w:r>
            <w:r>
              <w:rPr>
                <w:rStyle w:val="21"/>
                <w:rFonts w:hint="eastAsia" w:ascii="宋体" w:hAnsi="宋体" w:eastAsia="宋体" w:cs="宋体"/>
                <w:sz w:val="18"/>
                <w:szCs w:val="18"/>
                <w:lang w:bidi="ar"/>
              </w:rPr>
              <w:t>按要求完成封井或者回填的</w:t>
            </w: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2A51C047">
            <w:pPr>
              <w:spacing w:line="240" w:lineRule="exact"/>
              <w:rPr>
                <w:rFonts w:hint="eastAsia" w:ascii="宋体" w:hAnsi="宋体" w:eastAsia="宋体" w:cs="宋体"/>
                <w:color w:val="000000"/>
                <w:sz w:val="18"/>
                <w:szCs w:val="18"/>
                <w:lang w:bidi="ar"/>
              </w:rPr>
            </w:pPr>
            <w:r>
              <w:rPr>
                <w:rStyle w:val="21"/>
                <w:rFonts w:hint="eastAsia" w:ascii="宋体" w:hAnsi="宋体" w:eastAsia="宋体" w:cs="宋体"/>
                <w:sz w:val="18"/>
                <w:szCs w:val="18"/>
                <w:lang w:bidi="ar"/>
              </w:rPr>
              <w:t>处10万元以上15万元以下的罚款</w:t>
            </w:r>
          </w:p>
        </w:tc>
        <w:tc>
          <w:tcPr>
            <w:tcW w:w="56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510927DF">
            <w:pPr>
              <w:spacing w:line="260" w:lineRule="exact"/>
              <w:rPr>
                <w:rStyle w:val="21"/>
                <w:rFonts w:hint="eastAsia" w:ascii="宋体" w:hAnsi="宋体" w:eastAsia="宋体" w:cs="宋体"/>
                <w:sz w:val="18"/>
                <w:szCs w:val="18"/>
                <w:lang w:bidi="ar"/>
              </w:rPr>
            </w:pPr>
          </w:p>
        </w:tc>
      </w:tr>
      <w:tr w14:paraId="48D651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95"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19DA319E">
            <w:pPr>
              <w:spacing w:line="260" w:lineRule="exact"/>
              <w:jc w:val="center"/>
              <w:rPr>
                <w:rFonts w:hint="eastAsia" w:ascii="宋体" w:hAnsi="宋体" w:eastAsia="宋体" w:cs="宋体"/>
                <w:sz w:val="18"/>
                <w:szCs w:val="18"/>
              </w:rPr>
            </w:pPr>
          </w:p>
        </w:tc>
        <w:tc>
          <w:tcPr>
            <w:tcW w:w="1211"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5FF64DF2">
            <w:pPr>
              <w:spacing w:line="260" w:lineRule="exact"/>
              <w:rPr>
                <w:rFonts w:hint="eastAsia" w:ascii="宋体" w:hAnsi="宋体" w:eastAsia="宋体" w:cs="宋体"/>
                <w:color w:val="000000"/>
                <w:kern w:val="0"/>
                <w:sz w:val="18"/>
                <w:szCs w:val="18"/>
                <w:lang w:bidi="ar"/>
              </w:rPr>
            </w:pPr>
          </w:p>
        </w:tc>
        <w:tc>
          <w:tcPr>
            <w:tcW w:w="4862"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514F73A3">
            <w:pPr>
              <w:spacing w:line="260" w:lineRule="exact"/>
              <w:ind w:firstLine="360" w:firstLineChars="200"/>
              <w:rPr>
                <w:rFonts w:hint="eastAsia" w:ascii="宋体" w:hAnsi="宋体" w:eastAsia="宋体" w:cs="宋体"/>
                <w:color w:val="000000"/>
                <w:kern w:val="0"/>
                <w:sz w:val="18"/>
                <w:szCs w:val="18"/>
                <w:lang w:bidi="ar"/>
              </w:rPr>
            </w:pPr>
          </w:p>
        </w:tc>
        <w:tc>
          <w:tcPr>
            <w:tcW w:w="161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5A7C3E70">
            <w:pPr>
              <w:spacing w:line="260" w:lineRule="exact"/>
              <w:ind w:firstLine="360" w:firstLineChars="200"/>
              <w:rPr>
                <w:rFonts w:hint="eastAsia" w:ascii="宋体" w:hAnsi="宋体" w:eastAsia="宋体" w:cs="宋体"/>
                <w:color w:val="000000"/>
                <w:kern w:val="0"/>
                <w:sz w:val="18"/>
                <w:szCs w:val="18"/>
                <w:lang w:bidi="ar"/>
              </w:rPr>
            </w:pP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51E8F2BA">
            <w:pPr>
              <w:spacing w:line="260" w:lineRule="exact"/>
              <w:jc w:val="center"/>
              <w:rPr>
                <w:rFonts w:hint="eastAsia" w:ascii="宋体" w:hAnsi="宋体" w:eastAsia="宋体" w:cs="宋体"/>
                <w:sz w:val="18"/>
                <w:szCs w:val="18"/>
                <w:lang w:eastAsia="zh-CN"/>
              </w:rPr>
            </w:pPr>
            <w:r>
              <w:rPr>
                <w:rFonts w:hint="eastAsia" w:ascii="宋体" w:hAnsi="宋体" w:eastAsia="宋体" w:cs="宋体"/>
                <w:sz w:val="18"/>
                <w:szCs w:val="18"/>
                <w:lang w:eastAsia="zh-CN"/>
              </w:rPr>
              <w:t>较重</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1728B7F1">
            <w:pPr>
              <w:spacing w:line="260" w:lineRule="exact"/>
              <w:rPr>
                <w:rFonts w:hint="eastAsia" w:ascii="宋体" w:hAnsi="宋体" w:eastAsia="宋体" w:cs="宋体"/>
                <w:color w:val="000000"/>
                <w:sz w:val="18"/>
                <w:szCs w:val="18"/>
                <w:lang w:bidi="ar"/>
              </w:rPr>
            </w:pPr>
            <w:r>
              <w:rPr>
                <w:rStyle w:val="21"/>
                <w:rFonts w:hint="eastAsia" w:ascii="宋体" w:hAnsi="宋体" w:eastAsia="宋体" w:cs="宋体"/>
                <w:sz w:val="18"/>
                <w:szCs w:val="18"/>
                <w:lang w:bidi="ar"/>
              </w:rPr>
              <w:t>逾期未完成封井或者回填的</w:t>
            </w: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46D3B87F">
            <w:pPr>
              <w:spacing w:line="240" w:lineRule="exact"/>
              <w:rPr>
                <w:rFonts w:hint="eastAsia" w:ascii="宋体" w:hAnsi="宋体" w:eastAsia="宋体" w:cs="宋体"/>
                <w:color w:val="000000"/>
                <w:sz w:val="18"/>
                <w:szCs w:val="18"/>
                <w:lang w:bidi="ar"/>
              </w:rPr>
            </w:pPr>
            <w:r>
              <w:rPr>
                <w:rStyle w:val="21"/>
                <w:rFonts w:hint="eastAsia" w:ascii="宋体" w:hAnsi="宋体" w:eastAsia="宋体" w:cs="宋体"/>
                <w:sz w:val="18"/>
                <w:szCs w:val="18"/>
                <w:lang w:bidi="ar"/>
              </w:rPr>
              <w:t>处15万元以上30万元以下的罚款</w:t>
            </w:r>
          </w:p>
        </w:tc>
        <w:tc>
          <w:tcPr>
            <w:tcW w:w="56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21B8F48C">
            <w:pPr>
              <w:spacing w:line="260" w:lineRule="exact"/>
              <w:rPr>
                <w:rStyle w:val="21"/>
                <w:rFonts w:hint="eastAsia" w:ascii="宋体" w:hAnsi="宋体" w:eastAsia="宋体" w:cs="宋体"/>
                <w:sz w:val="18"/>
                <w:szCs w:val="18"/>
                <w:lang w:bidi="ar"/>
              </w:rPr>
            </w:pPr>
          </w:p>
        </w:tc>
      </w:tr>
      <w:tr w14:paraId="453CAD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567" w:hRule="atLeast"/>
          <w:jc w:val="center"/>
        </w:trPr>
        <w:tc>
          <w:tcPr>
            <w:tcW w:w="495" w:type="dxa"/>
            <w:vMerge w:val="continue"/>
            <w:tcBorders>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68C90938">
            <w:pPr>
              <w:spacing w:line="260" w:lineRule="exact"/>
              <w:jc w:val="center"/>
              <w:rPr>
                <w:rFonts w:hint="eastAsia" w:ascii="宋体" w:hAnsi="宋体" w:eastAsia="宋体" w:cs="宋体"/>
                <w:sz w:val="18"/>
                <w:szCs w:val="18"/>
              </w:rPr>
            </w:pPr>
          </w:p>
        </w:tc>
        <w:tc>
          <w:tcPr>
            <w:tcW w:w="1211" w:type="dxa"/>
            <w:vMerge w:val="continue"/>
            <w:tcBorders>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36B9135B">
            <w:pPr>
              <w:spacing w:line="260" w:lineRule="exact"/>
              <w:rPr>
                <w:rFonts w:hint="eastAsia" w:ascii="宋体" w:hAnsi="宋体" w:eastAsia="宋体" w:cs="宋体"/>
                <w:color w:val="000000"/>
                <w:kern w:val="0"/>
                <w:sz w:val="18"/>
                <w:szCs w:val="18"/>
                <w:lang w:bidi="ar"/>
              </w:rPr>
            </w:pPr>
          </w:p>
        </w:tc>
        <w:tc>
          <w:tcPr>
            <w:tcW w:w="4862" w:type="dxa"/>
            <w:vMerge w:val="continue"/>
            <w:tcBorders>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7EE948D6">
            <w:pPr>
              <w:spacing w:line="260" w:lineRule="exact"/>
              <w:ind w:firstLine="360" w:firstLineChars="200"/>
              <w:rPr>
                <w:rFonts w:hint="eastAsia" w:ascii="宋体" w:hAnsi="宋体" w:eastAsia="宋体" w:cs="宋体"/>
                <w:color w:val="000000"/>
                <w:kern w:val="0"/>
                <w:sz w:val="18"/>
                <w:szCs w:val="18"/>
                <w:lang w:bidi="ar"/>
              </w:rPr>
            </w:pPr>
          </w:p>
        </w:tc>
        <w:tc>
          <w:tcPr>
            <w:tcW w:w="1613" w:type="dxa"/>
            <w:vMerge w:val="continue"/>
            <w:tcBorders>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629C38EF">
            <w:pPr>
              <w:spacing w:line="260" w:lineRule="exact"/>
              <w:ind w:firstLine="360" w:firstLineChars="200"/>
              <w:rPr>
                <w:rFonts w:hint="eastAsia" w:ascii="宋体" w:hAnsi="宋体" w:eastAsia="宋体" w:cs="宋体"/>
                <w:color w:val="000000"/>
                <w:kern w:val="0"/>
                <w:sz w:val="18"/>
                <w:szCs w:val="18"/>
                <w:lang w:bidi="ar"/>
              </w:rPr>
            </w:pP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75F3E41A">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严重</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1AA3FC4E">
            <w:pPr>
              <w:spacing w:line="260" w:lineRule="exact"/>
              <w:rPr>
                <w:rFonts w:hint="eastAsia" w:ascii="宋体" w:hAnsi="宋体" w:eastAsia="宋体" w:cs="宋体"/>
                <w:color w:val="000000"/>
                <w:sz w:val="18"/>
                <w:szCs w:val="18"/>
                <w:lang w:bidi="ar"/>
              </w:rPr>
            </w:pPr>
            <w:r>
              <w:rPr>
                <w:rStyle w:val="21"/>
                <w:rFonts w:hint="eastAsia" w:ascii="宋体" w:hAnsi="宋体" w:eastAsia="宋体" w:cs="宋体"/>
                <w:sz w:val="18"/>
                <w:szCs w:val="18"/>
                <w:lang w:bidi="ar"/>
              </w:rPr>
              <w:t>拒不封井或者回填的</w:t>
            </w: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142F5E70">
            <w:pPr>
              <w:spacing w:line="240" w:lineRule="exact"/>
              <w:rPr>
                <w:rFonts w:hint="eastAsia" w:ascii="宋体" w:hAnsi="宋体" w:eastAsia="宋体" w:cs="宋体"/>
                <w:color w:val="000000"/>
                <w:sz w:val="18"/>
                <w:szCs w:val="18"/>
                <w:lang w:bidi="ar"/>
              </w:rPr>
            </w:pPr>
            <w:r>
              <w:rPr>
                <w:rStyle w:val="21"/>
                <w:rFonts w:hint="eastAsia" w:ascii="宋体" w:hAnsi="宋体" w:eastAsia="宋体" w:cs="宋体"/>
                <w:sz w:val="18"/>
                <w:szCs w:val="18"/>
                <w:lang w:bidi="ar"/>
              </w:rPr>
              <w:t>处30万元以上50万元以下的罚款</w:t>
            </w:r>
          </w:p>
        </w:tc>
        <w:tc>
          <w:tcPr>
            <w:tcW w:w="563" w:type="dxa"/>
            <w:vMerge w:val="continue"/>
            <w:tcBorders>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2D908BC0">
            <w:pPr>
              <w:spacing w:line="260" w:lineRule="exact"/>
              <w:rPr>
                <w:rStyle w:val="21"/>
                <w:rFonts w:hint="eastAsia" w:ascii="宋体" w:hAnsi="宋体" w:eastAsia="宋体" w:cs="宋体"/>
                <w:sz w:val="18"/>
                <w:szCs w:val="18"/>
                <w:lang w:bidi="ar"/>
              </w:rPr>
            </w:pPr>
          </w:p>
        </w:tc>
      </w:tr>
      <w:tr w14:paraId="7D1927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95" w:type="dxa"/>
            <w:vMerge w:val="restart"/>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2E310A6B">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11</w:t>
            </w:r>
          </w:p>
        </w:tc>
        <w:tc>
          <w:tcPr>
            <w:tcW w:w="1211" w:type="dxa"/>
            <w:vMerge w:val="restart"/>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17ABDF06">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对未安装计量设施，计量设施不合格或者运行不正常行为的行政处罚</w:t>
            </w:r>
          </w:p>
        </w:tc>
        <w:tc>
          <w:tcPr>
            <w:tcW w:w="4862" w:type="dxa"/>
            <w:vMerge w:val="restart"/>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45E80A42">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《取水许可和水资源费征收管理条例》第五十三条 未安装计量设施的，责令限期安装，并按照</w:t>
            </w:r>
            <w:r>
              <w:rPr>
                <w:rFonts w:hint="eastAsia" w:ascii="宋体" w:hAnsi="宋体" w:eastAsia="宋体" w:cs="宋体"/>
                <w:color w:val="000000"/>
                <w:kern w:val="0"/>
                <w:sz w:val="18"/>
                <w:szCs w:val="18"/>
                <w:lang w:eastAsia="zh-CN" w:bidi="ar"/>
              </w:rPr>
              <w:t>日</w:t>
            </w:r>
            <w:r>
              <w:rPr>
                <w:rFonts w:hint="eastAsia" w:ascii="宋体" w:hAnsi="宋体" w:eastAsia="宋体" w:cs="宋体"/>
                <w:color w:val="000000"/>
                <w:kern w:val="0"/>
                <w:sz w:val="18"/>
                <w:szCs w:val="18"/>
                <w:lang w:bidi="ar"/>
              </w:rPr>
              <w:t>最大取水能力计算的取水量和水资源费征收标准计征水资源费，处5000元以上2万元以下罚款；情节严重的，吊销取水许可证。</w:t>
            </w:r>
          </w:p>
          <w:p w14:paraId="6F9A396F">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计量设施不合格或者运行不正常的，责令限期更换或者修复；逾期不更换或者不修复的，按照</w:t>
            </w:r>
            <w:r>
              <w:rPr>
                <w:rFonts w:hint="eastAsia" w:ascii="宋体" w:hAnsi="宋体" w:eastAsia="宋体" w:cs="宋体"/>
                <w:color w:val="000000"/>
                <w:kern w:val="0"/>
                <w:sz w:val="18"/>
                <w:szCs w:val="18"/>
                <w:lang w:eastAsia="zh-CN" w:bidi="ar"/>
              </w:rPr>
              <w:t>日</w:t>
            </w:r>
            <w:r>
              <w:rPr>
                <w:rFonts w:hint="eastAsia" w:ascii="宋体" w:hAnsi="宋体" w:eastAsia="宋体" w:cs="宋体"/>
                <w:color w:val="000000"/>
                <w:kern w:val="0"/>
                <w:sz w:val="18"/>
                <w:szCs w:val="18"/>
                <w:lang w:bidi="ar"/>
              </w:rPr>
              <w:t>最大取水能力计算的取水量和水资源费征收标准计征水资源费，可以处1万元以下罚款；情节严重的，吊销取水许可证。</w:t>
            </w:r>
          </w:p>
        </w:tc>
        <w:tc>
          <w:tcPr>
            <w:tcW w:w="1613" w:type="dxa"/>
            <w:vMerge w:val="restart"/>
            <w:tcBorders>
              <w:top w:val="single" w:color="auto" w:sz="4" w:space="0"/>
              <w:left w:val="single" w:color="auto" w:sz="4" w:space="0"/>
              <w:right w:val="single" w:color="auto" w:sz="4" w:space="0"/>
            </w:tcBorders>
            <w:shd w:val="clear" w:color="auto" w:fill="FFFFFF"/>
            <w:noWrap w:val="0"/>
            <w:tcMar>
              <w:top w:w="0" w:type="dxa"/>
              <w:left w:w="0" w:type="dxa"/>
              <w:bottom w:w="0" w:type="dxa"/>
              <w:right w:w="0" w:type="dxa"/>
            </w:tcMar>
            <w:vAlign w:val="center"/>
          </w:tcPr>
          <w:p w14:paraId="1428A59D">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未安装计量设施的</w:t>
            </w: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358049E6">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轻微</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5D594DC4">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757BD70F">
            <w:pPr>
              <w:spacing w:line="260" w:lineRule="exact"/>
              <w:rPr>
                <w:rStyle w:val="21"/>
                <w:rFonts w:hint="eastAsia" w:ascii="宋体" w:hAnsi="宋体" w:eastAsia="宋体" w:cs="宋体"/>
                <w:sz w:val="18"/>
                <w:szCs w:val="18"/>
                <w:lang w:bidi="ar"/>
              </w:rPr>
            </w:pP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27C4F428">
            <w:pPr>
              <w:snapToGrid/>
              <w:spacing w:line="24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43374FFC">
            <w:pPr>
              <w:spacing w:line="240" w:lineRule="exact"/>
              <w:rPr>
                <w:rStyle w:val="21"/>
                <w:rFonts w:hint="eastAsia" w:ascii="宋体" w:hAnsi="宋体" w:eastAsia="宋体" w:cs="宋体"/>
                <w:sz w:val="18"/>
                <w:szCs w:val="18"/>
                <w:lang w:bidi="ar"/>
              </w:rPr>
            </w:pPr>
          </w:p>
        </w:tc>
        <w:tc>
          <w:tcPr>
            <w:tcW w:w="563" w:type="dxa"/>
            <w:vMerge w:val="restart"/>
            <w:tcBorders>
              <w:top w:val="single" w:color="auto" w:sz="4" w:space="0"/>
              <w:left w:val="single" w:color="auto" w:sz="4" w:space="0"/>
              <w:right w:val="single" w:color="auto" w:sz="4" w:space="0"/>
            </w:tcBorders>
            <w:shd w:val="clear" w:color="auto" w:fill="FFFFFF"/>
            <w:noWrap w:val="0"/>
            <w:tcMar>
              <w:top w:w="0" w:type="dxa"/>
              <w:left w:w="0" w:type="dxa"/>
              <w:bottom w:w="0" w:type="dxa"/>
              <w:right w:w="0" w:type="dxa"/>
            </w:tcMar>
            <w:vAlign w:val="center"/>
          </w:tcPr>
          <w:p w14:paraId="05B7C8B5">
            <w:pPr>
              <w:spacing w:line="260" w:lineRule="exact"/>
              <w:rPr>
                <w:rStyle w:val="21"/>
                <w:rFonts w:hint="eastAsia" w:ascii="宋体" w:hAnsi="宋体" w:eastAsia="宋体" w:cs="宋体"/>
                <w:sz w:val="18"/>
                <w:szCs w:val="18"/>
                <w:lang w:bidi="ar"/>
              </w:rPr>
            </w:pPr>
          </w:p>
        </w:tc>
      </w:tr>
      <w:tr w14:paraId="6E4786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95"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0ECF9F82">
            <w:pPr>
              <w:spacing w:line="260" w:lineRule="exact"/>
              <w:jc w:val="center"/>
              <w:rPr>
                <w:rFonts w:hint="eastAsia" w:ascii="宋体" w:hAnsi="宋体" w:eastAsia="宋体" w:cs="宋体"/>
                <w:sz w:val="18"/>
                <w:szCs w:val="18"/>
              </w:rPr>
            </w:pPr>
          </w:p>
        </w:tc>
        <w:tc>
          <w:tcPr>
            <w:tcW w:w="1211"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2C0D7CE2">
            <w:pPr>
              <w:spacing w:line="260" w:lineRule="exact"/>
              <w:rPr>
                <w:rFonts w:hint="eastAsia" w:ascii="宋体" w:hAnsi="宋体" w:eastAsia="宋体" w:cs="宋体"/>
                <w:color w:val="000000"/>
                <w:kern w:val="0"/>
                <w:sz w:val="18"/>
                <w:szCs w:val="18"/>
                <w:lang w:bidi="ar"/>
              </w:rPr>
            </w:pPr>
          </w:p>
        </w:tc>
        <w:tc>
          <w:tcPr>
            <w:tcW w:w="4862"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7C804D81">
            <w:pPr>
              <w:spacing w:line="260" w:lineRule="exact"/>
              <w:ind w:firstLine="360" w:firstLineChars="200"/>
              <w:rPr>
                <w:rFonts w:hint="eastAsia" w:ascii="宋体" w:hAnsi="宋体" w:eastAsia="宋体" w:cs="宋体"/>
                <w:color w:val="000000"/>
                <w:kern w:val="0"/>
                <w:sz w:val="18"/>
                <w:szCs w:val="18"/>
                <w:lang w:bidi="ar"/>
              </w:rPr>
            </w:pPr>
          </w:p>
        </w:tc>
        <w:tc>
          <w:tcPr>
            <w:tcW w:w="161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49F2117D">
            <w:pPr>
              <w:spacing w:line="260" w:lineRule="exact"/>
              <w:ind w:firstLine="360" w:firstLineChars="200"/>
              <w:rPr>
                <w:rFonts w:hint="eastAsia" w:ascii="宋体" w:hAnsi="宋体" w:eastAsia="宋体" w:cs="宋体"/>
                <w:color w:val="000000"/>
                <w:kern w:val="0"/>
                <w:sz w:val="18"/>
                <w:szCs w:val="18"/>
                <w:lang w:bidi="ar"/>
              </w:rPr>
            </w:pP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5ADCFBBE">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较轻</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309323CD">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2E43CAE3">
            <w:pPr>
              <w:spacing w:line="260" w:lineRule="exact"/>
              <w:rPr>
                <w:rStyle w:val="21"/>
                <w:rFonts w:hint="eastAsia" w:ascii="宋体" w:hAnsi="宋体" w:eastAsia="宋体" w:cs="宋体"/>
                <w:sz w:val="18"/>
                <w:szCs w:val="18"/>
                <w:lang w:bidi="ar"/>
              </w:rPr>
            </w:pP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7E15725A">
            <w:pPr>
              <w:snapToGrid/>
              <w:spacing w:line="24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3A1B501F">
            <w:pPr>
              <w:spacing w:line="240" w:lineRule="exact"/>
              <w:rPr>
                <w:rStyle w:val="21"/>
                <w:rFonts w:hint="eastAsia" w:ascii="宋体" w:hAnsi="宋体" w:eastAsia="宋体" w:cs="宋体"/>
                <w:sz w:val="18"/>
                <w:szCs w:val="18"/>
                <w:lang w:bidi="ar"/>
              </w:rPr>
            </w:pPr>
          </w:p>
        </w:tc>
        <w:tc>
          <w:tcPr>
            <w:tcW w:w="56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34C20516">
            <w:pPr>
              <w:spacing w:line="260" w:lineRule="exact"/>
              <w:rPr>
                <w:rStyle w:val="21"/>
                <w:rFonts w:hint="eastAsia" w:ascii="宋体" w:hAnsi="宋体" w:eastAsia="宋体" w:cs="宋体"/>
                <w:sz w:val="18"/>
                <w:szCs w:val="18"/>
                <w:lang w:bidi="ar"/>
              </w:rPr>
            </w:pPr>
          </w:p>
        </w:tc>
      </w:tr>
      <w:tr w14:paraId="7EE28F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567" w:hRule="atLeast"/>
          <w:jc w:val="center"/>
        </w:trPr>
        <w:tc>
          <w:tcPr>
            <w:tcW w:w="495"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7572614A">
            <w:pPr>
              <w:spacing w:line="260" w:lineRule="exact"/>
              <w:jc w:val="center"/>
              <w:rPr>
                <w:rFonts w:hint="eastAsia" w:ascii="宋体" w:hAnsi="宋体" w:eastAsia="宋体" w:cs="宋体"/>
                <w:sz w:val="18"/>
                <w:szCs w:val="18"/>
              </w:rPr>
            </w:pPr>
          </w:p>
        </w:tc>
        <w:tc>
          <w:tcPr>
            <w:tcW w:w="1211"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6E0A8171">
            <w:pPr>
              <w:spacing w:line="260" w:lineRule="exact"/>
              <w:rPr>
                <w:rFonts w:hint="eastAsia" w:ascii="宋体" w:hAnsi="宋体" w:eastAsia="宋体" w:cs="宋体"/>
                <w:color w:val="000000"/>
                <w:kern w:val="0"/>
                <w:sz w:val="18"/>
                <w:szCs w:val="18"/>
                <w:lang w:bidi="ar"/>
              </w:rPr>
            </w:pPr>
          </w:p>
        </w:tc>
        <w:tc>
          <w:tcPr>
            <w:tcW w:w="4862"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07B16A99">
            <w:pPr>
              <w:spacing w:line="260" w:lineRule="exact"/>
              <w:ind w:firstLine="360" w:firstLineChars="200"/>
              <w:rPr>
                <w:rFonts w:hint="eastAsia" w:ascii="宋体" w:hAnsi="宋体" w:eastAsia="宋体" w:cs="宋体"/>
                <w:color w:val="000000"/>
                <w:kern w:val="0"/>
                <w:sz w:val="18"/>
                <w:szCs w:val="18"/>
                <w:lang w:bidi="ar"/>
              </w:rPr>
            </w:pPr>
          </w:p>
        </w:tc>
        <w:tc>
          <w:tcPr>
            <w:tcW w:w="161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203BBEC9">
            <w:pPr>
              <w:spacing w:line="260" w:lineRule="exact"/>
              <w:ind w:firstLine="360" w:firstLineChars="200"/>
              <w:rPr>
                <w:rFonts w:hint="eastAsia" w:ascii="宋体" w:hAnsi="宋体" w:eastAsia="宋体" w:cs="宋体"/>
                <w:color w:val="000000"/>
                <w:kern w:val="0"/>
                <w:sz w:val="18"/>
                <w:szCs w:val="18"/>
                <w:lang w:bidi="ar"/>
              </w:rPr>
            </w:pP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7ADCE407">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一般</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6C9661EE">
            <w:pPr>
              <w:spacing w:line="260" w:lineRule="exact"/>
              <w:rPr>
                <w:rStyle w:val="21"/>
                <w:rFonts w:hint="eastAsia" w:ascii="宋体" w:hAnsi="宋体" w:eastAsia="宋体" w:cs="宋体"/>
                <w:sz w:val="18"/>
                <w:szCs w:val="18"/>
                <w:lang w:bidi="ar"/>
              </w:rPr>
            </w:pPr>
            <w:r>
              <w:rPr>
                <w:rStyle w:val="21"/>
                <w:rFonts w:hint="eastAsia" w:ascii="宋体" w:hAnsi="宋体" w:eastAsia="宋体" w:cs="宋体"/>
                <w:sz w:val="18"/>
                <w:szCs w:val="18"/>
                <w:lang w:bidi="ar"/>
              </w:rPr>
              <w:t>在限期内安装计量设施</w:t>
            </w: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75B61B76">
            <w:pPr>
              <w:spacing w:line="240" w:lineRule="exact"/>
              <w:rPr>
                <w:rFonts w:hint="eastAsia" w:ascii="宋体" w:hAnsi="宋体" w:eastAsia="宋体" w:cs="宋体"/>
                <w:color w:val="000000"/>
                <w:sz w:val="18"/>
                <w:szCs w:val="18"/>
                <w:lang w:bidi="ar"/>
              </w:rPr>
            </w:pPr>
            <w:r>
              <w:rPr>
                <w:rStyle w:val="21"/>
                <w:rFonts w:hint="eastAsia" w:ascii="宋体" w:hAnsi="宋体" w:eastAsia="宋体" w:cs="宋体"/>
                <w:sz w:val="18"/>
                <w:szCs w:val="18"/>
                <w:lang w:bidi="ar"/>
              </w:rPr>
              <w:t>处</w:t>
            </w:r>
            <w:r>
              <w:rPr>
                <w:rStyle w:val="21"/>
                <w:rFonts w:hint="eastAsia" w:ascii="宋体" w:hAnsi="宋体" w:eastAsia="宋体" w:cs="宋体"/>
                <w:sz w:val="18"/>
                <w:szCs w:val="18"/>
                <w:lang w:val="en-US" w:eastAsia="zh-CN" w:bidi="ar"/>
              </w:rPr>
              <w:t>5千</w:t>
            </w:r>
            <w:r>
              <w:rPr>
                <w:rStyle w:val="21"/>
                <w:rFonts w:hint="eastAsia" w:ascii="宋体" w:hAnsi="宋体" w:eastAsia="宋体" w:cs="宋体"/>
                <w:sz w:val="18"/>
                <w:szCs w:val="18"/>
                <w:lang w:bidi="ar"/>
              </w:rPr>
              <w:t>元以上</w:t>
            </w:r>
            <w:r>
              <w:rPr>
                <w:rStyle w:val="21"/>
                <w:rFonts w:hint="eastAsia" w:ascii="宋体" w:hAnsi="宋体" w:eastAsia="宋体" w:cs="宋体"/>
                <w:sz w:val="18"/>
                <w:szCs w:val="18"/>
                <w:lang w:val="en-US" w:eastAsia="zh-CN" w:bidi="ar"/>
              </w:rPr>
              <w:t>1</w:t>
            </w:r>
            <w:r>
              <w:rPr>
                <w:rStyle w:val="21"/>
                <w:rFonts w:hint="eastAsia" w:ascii="宋体" w:hAnsi="宋体" w:eastAsia="宋体" w:cs="宋体"/>
                <w:sz w:val="18"/>
                <w:szCs w:val="18"/>
                <w:lang w:bidi="ar"/>
              </w:rPr>
              <w:t>万元以下罚款</w:t>
            </w:r>
          </w:p>
        </w:tc>
        <w:tc>
          <w:tcPr>
            <w:tcW w:w="56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782CAB0F">
            <w:pPr>
              <w:spacing w:line="260" w:lineRule="exact"/>
              <w:rPr>
                <w:rStyle w:val="21"/>
                <w:rFonts w:hint="eastAsia" w:ascii="宋体" w:hAnsi="宋体" w:eastAsia="宋体" w:cs="宋体"/>
                <w:sz w:val="18"/>
                <w:szCs w:val="18"/>
                <w:lang w:bidi="ar"/>
              </w:rPr>
            </w:pPr>
          </w:p>
        </w:tc>
      </w:tr>
      <w:tr w14:paraId="3CC51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567" w:hRule="atLeast"/>
          <w:jc w:val="center"/>
        </w:trPr>
        <w:tc>
          <w:tcPr>
            <w:tcW w:w="495"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6314C89A">
            <w:pPr>
              <w:spacing w:line="260" w:lineRule="exact"/>
              <w:jc w:val="center"/>
              <w:rPr>
                <w:rFonts w:hint="eastAsia" w:ascii="宋体" w:hAnsi="宋体" w:eastAsia="宋体" w:cs="宋体"/>
                <w:sz w:val="18"/>
                <w:szCs w:val="18"/>
              </w:rPr>
            </w:pPr>
          </w:p>
        </w:tc>
        <w:tc>
          <w:tcPr>
            <w:tcW w:w="1211"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3EB71035">
            <w:pPr>
              <w:spacing w:line="260" w:lineRule="exact"/>
              <w:rPr>
                <w:rFonts w:hint="eastAsia" w:ascii="宋体" w:hAnsi="宋体" w:eastAsia="宋体" w:cs="宋体"/>
                <w:color w:val="000000"/>
                <w:kern w:val="0"/>
                <w:sz w:val="18"/>
                <w:szCs w:val="18"/>
                <w:lang w:bidi="ar"/>
              </w:rPr>
            </w:pPr>
          </w:p>
        </w:tc>
        <w:tc>
          <w:tcPr>
            <w:tcW w:w="4862"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21B15F32">
            <w:pPr>
              <w:spacing w:line="260" w:lineRule="exact"/>
              <w:ind w:firstLine="360" w:firstLineChars="200"/>
              <w:rPr>
                <w:rFonts w:hint="eastAsia" w:ascii="宋体" w:hAnsi="宋体" w:eastAsia="宋体" w:cs="宋体"/>
                <w:color w:val="000000"/>
                <w:kern w:val="0"/>
                <w:sz w:val="18"/>
                <w:szCs w:val="18"/>
                <w:lang w:bidi="ar"/>
              </w:rPr>
            </w:pPr>
          </w:p>
        </w:tc>
        <w:tc>
          <w:tcPr>
            <w:tcW w:w="161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2BD2C38D">
            <w:pPr>
              <w:spacing w:line="260" w:lineRule="exact"/>
              <w:ind w:firstLine="360" w:firstLineChars="200"/>
              <w:rPr>
                <w:rFonts w:hint="eastAsia" w:ascii="宋体" w:hAnsi="宋体" w:eastAsia="宋体" w:cs="宋体"/>
                <w:color w:val="000000"/>
                <w:kern w:val="0"/>
                <w:sz w:val="18"/>
                <w:szCs w:val="18"/>
                <w:lang w:bidi="ar"/>
              </w:rPr>
            </w:pP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588CC2CA">
            <w:pPr>
              <w:spacing w:line="260" w:lineRule="exact"/>
              <w:jc w:val="center"/>
              <w:rPr>
                <w:rFonts w:hint="eastAsia" w:ascii="宋体" w:hAnsi="宋体" w:eastAsia="宋体" w:cs="宋体"/>
                <w:sz w:val="18"/>
                <w:szCs w:val="18"/>
                <w:lang w:eastAsia="zh-CN"/>
              </w:rPr>
            </w:pPr>
            <w:r>
              <w:rPr>
                <w:rFonts w:hint="eastAsia" w:ascii="宋体" w:hAnsi="宋体" w:eastAsia="宋体" w:cs="宋体"/>
                <w:sz w:val="18"/>
                <w:szCs w:val="18"/>
                <w:lang w:eastAsia="zh-CN"/>
              </w:rPr>
              <w:t>较重</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36AB127F">
            <w:pPr>
              <w:spacing w:line="260" w:lineRule="exact"/>
              <w:rPr>
                <w:rFonts w:hint="eastAsia" w:ascii="宋体" w:hAnsi="宋体" w:eastAsia="宋体" w:cs="宋体"/>
                <w:color w:val="000000"/>
                <w:sz w:val="18"/>
                <w:szCs w:val="18"/>
                <w:lang w:bidi="ar"/>
              </w:rPr>
            </w:pPr>
            <w:r>
              <w:rPr>
                <w:rStyle w:val="21"/>
                <w:rFonts w:hint="eastAsia" w:ascii="宋体" w:hAnsi="宋体" w:eastAsia="宋体" w:cs="宋体"/>
                <w:sz w:val="18"/>
                <w:szCs w:val="18"/>
                <w:lang w:bidi="ar"/>
              </w:rPr>
              <w:t>逾期30</w:t>
            </w:r>
            <w:r>
              <w:rPr>
                <w:rStyle w:val="21"/>
                <w:rFonts w:hint="eastAsia" w:ascii="宋体" w:hAnsi="宋体" w:eastAsia="宋体" w:cs="宋体"/>
                <w:sz w:val="18"/>
                <w:szCs w:val="18"/>
                <w:lang w:eastAsia="zh-CN" w:bidi="ar"/>
              </w:rPr>
              <w:t>日</w:t>
            </w:r>
            <w:r>
              <w:rPr>
                <w:rStyle w:val="21"/>
                <w:rFonts w:hint="eastAsia" w:ascii="宋体" w:hAnsi="宋体" w:eastAsia="宋体" w:cs="宋体"/>
                <w:sz w:val="18"/>
                <w:szCs w:val="18"/>
                <w:lang w:bidi="ar"/>
              </w:rPr>
              <w:t>以内未安装计量设施</w:t>
            </w: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58E38594">
            <w:pPr>
              <w:spacing w:line="240" w:lineRule="exact"/>
              <w:rPr>
                <w:rFonts w:hint="eastAsia" w:ascii="宋体" w:hAnsi="宋体" w:eastAsia="宋体" w:cs="宋体"/>
                <w:color w:val="000000"/>
                <w:sz w:val="18"/>
                <w:szCs w:val="18"/>
                <w:lang w:bidi="ar"/>
              </w:rPr>
            </w:pPr>
            <w:r>
              <w:rPr>
                <w:rStyle w:val="21"/>
                <w:rFonts w:hint="eastAsia" w:ascii="宋体" w:hAnsi="宋体" w:eastAsia="宋体" w:cs="宋体"/>
                <w:sz w:val="18"/>
                <w:szCs w:val="18"/>
                <w:lang w:bidi="ar"/>
              </w:rPr>
              <w:t>处</w:t>
            </w:r>
            <w:r>
              <w:rPr>
                <w:rStyle w:val="21"/>
                <w:rFonts w:hint="eastAsia" w:ascii="宋体" w:hAnsi="宋体" w:eastAsia="宋体" w:cs="宋体"/>
                <w:sz w:val="18"/>
                <w:szCs w:val="18"/>
                <w:lang w:val="en-US" w:eastAsia="zh-CN" w:bidi="ar"/>
              </w:rPr>
              <w:t>1</w:t>
            </w:r>
            <w:r>
              <w:rPr>
                <w:rStyle w:val="21"/>
                <w:rFonts w:hint="eastAsia" w:ascii="宋体" w:hAnsi="宋体" w:eastAsia="宋体" w:cs="宋体"/>
                <w:sz w:val="18"/>
                <w:szCs w:val="18"/>
                <w:lang w:bidi="ar"/>
              </w:rPr>
              <w:t>万元以上</w:t>
            </w:r>
            <w:r>
              <w:rPr>
                <w:rStyle w:val="21"/>
                <w:rFonts w:hint="eastAsia" w:ascii="宋体" w:hAnsi="宋体" w:eastAsia="宋体" w:cs="宋体"/>
                <w:sz w:val="18"/>
                <w:szCs w:val="18"/>
                <w:lang w:val="en-US" w:eastAsia="zh-CN" w:bidi="ar"/>
              </w:rPr>
              <w:t>2</w:t>
            </w:r>
            <w:r>
              <w:rPr>
                <w:rStyle w:val="21"/>
                <w:rFonts w:hint="eastAsia" w:ascii="宋体" w:hAnsi="宋体" w:eastAsia="宋体" w:cs="宋体"/>
                <w:sz w:val="18"/>
                <w:szCs w:val="18"/>
                <w:lang w:bidi="ar"/>
              </w:rPr>
              <w:t>万元以下罚款，</w:t>
            </w:r>
          </w:p>
        </w:tc>
        <w:tc>
          <w:tcPr>
            <w:tcW w:w="56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5D607035">
            <w:pPr>
              <w:spacing w:line="260" w:lineRule="exact"/>
              <w:rPr>
                <w:rStyle w:val="21"/>
                <w:rFonts w:hint="eastAsia" w:ascii="宋体" w:hAnsi="宋体" w:eastAsia="宋体" w:cs="宋体"/>
                <w:sz w:val="18"/>
                <w:szCs w:val="18"/>
                <w:lang w:bidi="ar"/>
              </w:rPr>
            </w:pPr>
          </w:p>
        </w:tc>
      </w:tr>
      <w:tr w14:paraId="43C810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95"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6BD79218">
            <w:pPr>
              <w:spacing w:line="260" w:lineRule="exact"/>
              <w:jc w:val="center"/>
              <w:rPr>
                <w:rFonts w:hint="eastAsia" w:ascii="宋体" w:hAnsi="宋体" w:eastAsia="宋体" w:cs="宋体"/>
                <w:sz w:val="18"/>
                <w:szCs w:val="18"/>
              </w:rPr>
            </w:pPr>
          </w:p>
        </w:tc>
        <w:tc>
          <w:tcPr>
            <w:tcW w:w="1211"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35E4DCBC">
            <w:pPr>
              <w:spacing w:line="260" w:lineRule="exact"/>
              <w:rPr>
                <w:rFonts w:hint="eastAsia" w:ascii="宋体" w:hAnsi="宋体" w:eastAsia="宋体" w:cs="宋体"/>
                <w:color w:val="000000"/>
                <w:kern w:val="0"/>
                <w:sz w:val="18"/>
                <w:szCs w:val="18"/>
                <w:lang w:bidi="ar"/>
              </w:rPr>
            </w:pPr>
          </w:p>
        </w:tc>
        <w:tc>
          <w:tcPr>
            <w:tcW w:w="4862"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6F78C219">
            <w:pPr>
              <w:spacing w:line="260" w:lineRule="exact"/>
              <w:ind w:firstLine="360" w:firstLineChars="200"/>
              <w:rPr>
                <w:rFonts w:hint="eastAsia" w:ascii="宋体" w:hAnsi="宋体" w:eastAsia="宋体" w:cs="宋体"/>
                <w:color w:val="000000"/>
                <w:kern w:val="0"/>
                <w:sz w:val="18"/>
                <w:szCs w:val="18"/>
                <w:lang w:bidi="ar"/>
              </w:rPr>
            </w:pPr>
          </w:p>
        </w:tc>
        <w:tc>
          <w:tcPr>
            <w:tcW w:w="1613" w:type="dxa"/>
            <w:vMerge w:val="continue"/>
            <w:tcBorders>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00B3E6FF">
            <w:pPr>
              <w:spacing w:line="260" w:lineRule="exact"/>
              <w:ind w:firstLine="360" w:firstLineChars="200"/>
              <w:rPr>
                <w:rFonts w:hint="eastAsia" w:ascii="宋体" w:hAnsi="宋体" w:eastAsia="宋体" w:cs="宋体"/>
                <w:color w:val="000000"/>
                <w:kern w:val="0"/>
                <w:sz w:val="18"/>
                <w:szCs w:val="18"/>
                <w:lang w:bidi="ar"/>
              </w:rPr>
            </w:pP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58ECA141">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严重</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23AD63FC">
            <w:pPr>
              <w:spacing w:line="260" w:lineRule="exact"/>
              <w:rPr>
                <w:rFonts w:hint="eastAsia" w:ascii="宋体" w:hAnsi="宋体" w:eastAsia="宋体" w:cs="宋体"/>
                <w:color w:val="000000"/>
                <w:sz w:val="18"/>
                <w:szCs w:val="18"/>
                <w:lang w:bidi="ar"/>
              </w:rPr>
            </w:pPr>
            <w:r>
              <w:rPr>
                <w:rStyle w:val="21"/>
                <w:rFonts w:hint="eastAsia" w:ascii="宋体" w:hAnsi="宋体" w:eastAsia="宋体" w:cs="宋体"/>
                <w:sz w:val="18"/>
                <w:szCs w:val="18"/>
                <w:lang w:bidi="ar"/>
              </w:rPr>
              <w:t>逾期30</w:t>
            </w:r>
            <w:r>
              <w:rPr>
                <w:rStyle w:val="21"/>
                <w:rFonts w:hint="eastAsia" w:ascii="宋体" w:hAnsi="宋体" w:eastAsia="宋体" w:cs="宋体"/>
                <w:sz w:val="18"/>
                <w:szCs w:val="18"/>
                <w:lang w:eastAsia="zh-CN" w:bidi="ar"/>
              </w:rPr>
              <w:t>日</w:t>
            </w:r>
            <w:r>
              <w:rPr>
                <w:rStyle w:val="21"/>
                <w:rFonts w:hint="eastAsia" w:ascii="宋体" w:hAnsi="宋体" w:eastAsia="宋体" w:cs="宋体"/>
                <w:sz w:val="18"/>
                <w:szCs w:val="18"/>
                <w:lang w:bidi="ar"/>
              </w:rPr>
              <w:t>以上未安装计量设施</w:t>
            </w: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7739346C">
            <w:pPr>
              <w:spacing w:line="240" w:lineRule="exact"/>
              <w:rPr>
                <w:rFonts w:hint="eastAsia" w:ascii="宋体" w:hAnsi="宋体" w:eastAsia="宋体" w:cs="宋体"/>
                <w:color w:val="000000"/>
                <w:sz w:val="18"/>
                <w:szCs w:val="18"/>
                <w:lang w:bidi="ar"/>
              </w:rPr>
            </w:pPr>
            <w:r>
              <w:rPr>
                <w:rStyle w:val="21"/>
                <w:rFonts w:hint="eastAsia" w:ascii="宋体" w:hAnsi="宋体" w:eastAsia="宋体" w:cs="宋体"/>
                <w:sz w:val="18"/>
                <w:szCs w:val="18"/>
                <w:lang w:bidi="ar"/>
              </w:rPr>
              <w:t>按照</w:t>
            </w:r>
            <w:r>
              <w:rPr>
                <w:rStyle w:val="21"/>
                <w:rFonts w:hint="eastAsia" w:ascii="宋体" w:hAnsi="宋体" w:eastAsia="宋体" w:cs="宋体"/>
                <w:sz w:val="18"/>
                <w:szCs w:val="18"/>
                <w:lang w:eastAsia="zh-CN" w:bidi="ar"/>
              </w:rPr>
              <w:t>较重</w:t>
            </w:r>
            <w:r>
              <w:rPr>
                <w:rStyle w:val="21"/>
                <w:rFonts w:hint="eastAsia" w:ascii="宋体" w:hAnsi="宋体" w:eastAsia="宋体" w:cs="宋体"/>
                <w:sz w:val="18"/>
                <w:szCs w:val="18"/>
                <w:lang w:bidi="ar"/>
              </w:rPr>
              <w:t>幅度处以罚款，吊销取水许可证</w:t>
            </w:r>
          </w:p>
        </w:tc>
        <w:tc>
          <w:tcPr>
            <w:tcW w:w="56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3EFAA7A1">
            <w:pPr>
              <w:spacing w:line="260" w:lineRule="exact"/>
              <w:rPr>
                <w:rStyle w:val="21"/>
                <w:rFonts w:hint="eastAsia" w:ascii="宋体" w:hAnsi="宋体" w:eastAsia="宋体" w:cs="宋体"/>
                <w:sz w:val="18"/>
                <w:szCs w:val="18"/>
                <w:lang w:bidi="ar"/>
              </w:rPr>
            </w:pPr>
          </w:p>
        </w:tc>
      </w:tr>
      <w:tr w14:paraId="6B46AD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454" w:hRule="atLeast"/>
          <w:jc w:val="center"/>
        </w:trPr>
        <w:tc>
          <w:tcPr>
            <w:tcW w:w="495" w:type="dxa"/>
            <w:vMerge w:val="restart"/>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2A13CA4F">
            <w:pPr>
              <w:spacing w:line="260" w:lineRule="exact"/>
              <w:jc w:val="center"/>
              <w:rPr>
                <w:rFonts w:hint="eastAsia" w:ascii="宋体" w:hAnsi="宋体" w:eastAsia="宋体" w:cs="宋体"/>
                <w:sz w:val="18"/>
                <w:szCs w:val="18"/>
              </w:rPr>
            </w:pPr>
            <w:r>
              <w:rPr>
                <w:rFonts w:hint="eastAsia" w:ascii="宋体" w:hAnsi="宋体" w:eastAsia="宋体" w:cs="宋体"/>
                <w:sz w:val="18"/>
                <w:szCs w:val="18"/>
                <w:lang w:val="en-US" w:eastAsia="zh-CN"/>
              </w:rPr>
              <w:t>11</w:t>
            </w:r>
          </w:p>
        </w:tc>
        <w:tc>
          <w:tcPr>
            <w:tcW w:w="1211" w:type="dxa"/>
            <w:vMerge w:val="restart"/>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2EED93A2">
            <w:pPr>
              <w:spacing w:line="260" w:lineRule="exact"/>
              <w:rPr>
                <w:rFonts w:hint="eastAsia" w:ascii="宋体" w:hAnsi="宋体" w:eastAsia="宋体" w:cs="宋体"/>
                <w:color w:val="auto"/>
                <w:kern w:val="2"/>
                <w:sz w:val="18"/>
                <w:szCs w:val="18"/>
                <w:lang w:bidi="ar-SA"/>
              </w:rPr>
            </w:pPr>
            <w:r>
              <w:rPr>
                <w:rFonts w:hint="eastAsia" w:ascii="宋体" w:hAnsi="宋体" w:eastAsia="宋体" w:cs="宋体"/>
                <w:color w:val="000000"/>
                <w:kern w:val="0"/>
                <w:sz w:val="18"/>
                <w:szCs w:val="18"/>
                <w:lang w:bidi="ar"/>
              </w:rPr>
              <w:t>对未安装计量设施，计量设施不合格或者运行不正常行为的行政处罚</w:t>
            </w:r>
          </w:p>
        </w:tc>
        <w:tc>
          <w:tcPr>
            <w:tcW w:w="4862"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3D2FB46C">
            <w:pPr>
              <w:widowControl/>
              <w:spacing w:line="260" w:lineRule="exact"/>
              <w:textAlignment w:val="center"/>
              <w:rPr>
                <w:rFonts w:hint="eastAsia" w:ascii="宋体" w:hAnsi="宋体" w:eastAsia="宋体" w:cs="宋体"/>
                <w:color w:val="000000"/>
                <w:kern w:val="0"/>
                <w:sz w:val="18"/>
                <w:szCs w:val="18"/>
                <w:lang w:bidi="ar"/>
              </w:rPr>
            </w:pPr>
          </w:p>
        </w:tc>
        <w:tc>
          <w:tcPr>
            <w:tcW w:w="1613" w:type="dxa"/>
            <w:vMerge w:val="restart"/>
            <w:tcBorders>
              <w:top w:val="single" w:color="auto" w:sz="4" w:space="0"/>
              <w:left w:val="single" w:color="auto" w:sz="4" w:space="0"/>
              <w:right w:val="single" w:color="auto" w:sz="4" w:space="0"/>
            </w:tcBorders>
            <w:shd w:val="clear" w:color="auto" w:fill="FFFFFF"/>
            <w:noWrap w:val="0"/>
            <w:tcMar>
              <w:top w:w="0" w:type="dxa"/>
              <w:left w:w="0" w:type="dxa"/>
              <w:bottom w:w="0" w:type="dxa"/>
              <w:right w:w="0" w:type="dxa"/>
            </w:tcMar>
            <w:vAlign w:val="center"/>
          </w:tcPr>
          <w:p w14:paraId="290E086F">
            <w:pPr>
              <w:spacing w:line="260" w:lineRule="exact"/>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计量设施不合格或者运行不正常</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val="en-US" w:eastAsia="zh-CN" w:bidi="ar"/>
              </w:rPr>
              <w:t>且</w:t>
            </w:r>
            <w:r>
              <w:rPr>
                <w:rFonts w:hint="eastAsia" w:ascii="宋体" w:hAnsi="宋体" w:eastAsia="宋体" w:cs="宋体"/>
                <w:color w:val="000000"/>
                <w:kern w:val="0"/>
                <w:sz w:val="18"/>
                <w:szCs w:val="18"/>
                <w:lang w:bidi="ar"/>
              </w:rPr>
              <w:t>逾期不更换或者不修复的</w:t>
            </w: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292BBAD2">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轻微</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35CFAADF">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4CB32760">
            <w:pPr>
              <w:spacing w:line="260" w:lineRule="exact"/>
              <w:rPr>
                <w:rStyle w:val="21"/>
                <w:rFonts w:hint="eastAsia" w:ascii="宋体" w:hAnsi="宋体" w:eastAsia="宋体" w:cs="宋体"/>
                <w:sz w:val="18"/>
                <w:szCs w:val="18"/>
                <w:lang w:bidi="ar"/>
              </w:rPr>
            </w:pP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28220C54">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6879B789">
            <w:pPr>
              <w:spacing w:line="260" w:lineRule="exact"/>
              <w:rPr>
                <w:rStyle w:val="21"/>
                <w:rFonts w:hint="eastAsia" w:ascii="宋体" w:hAnsi="宋体" w:eastAsia="宋体" w:cs="宋体"/>
                <w:sz w:val="18"/>
                <w:szCs w:val="18"/>
                <w:lang w:bidi="ar"/>
              </w:rPr>
            </w:pPr>
          </w:p>
        </w:tc>
        <w:tc>
          <w:tcPr>
            <w:tcW w:w="56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249E2B1B">
            <w:pPr>
              <w:spacing w:line="260" w:lineRule="exact"/>
              <w:rPr>
                <w:rStyle w:val="21"/>
                <w:rFonts w:hint="eastAsia" w:ascii="宋体" w:hAnsi="宋体" w:eastAsia="宋体" w:cs="宋体"/>
                <w:sz w:val="18"/>
                <w:szCs w:val="18"/>
                <w:lang w:bidi="ar"/>
              </w:rPr>
            </w:pPr>
          </w:p>
        </w:tc>
      </w:tr>
      <w:tr w14:paraId="538285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454" w:hRule="atLeast"/>
          <w:jc w:val="center"/>
        </w:trPr>
        <w:tc>
          <w:tcPr>
            <w:tcW w:w="495"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26E7F57D">
            <w:pPr>
              <w:spacing w:line="260" w:lineRule="exact"/>
              <w:jc w:val="center"/>
              <w:rPr>
                <w:rFonts w:hint="eastAsia" w:ascii="宋体" w:hAnsi="宋体" w:eastAsia="宋体" w:cs="宋体"/>
                <w:sz w:val="18"/>
                <w:szCs w:val="18"/>
              </w:rPr>
            </w:pPr>
          </w:p>
        </w:tc>
        <w:tc>
          <w:tcPr>
            <w:tcW w:w="1211"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06D61A7E">
            <w:pPr>
              <w:spacing w:line="260" w:lineRule="exact"/>
              <w:rPr>
                <w:rFonts w:hint="eastAsia" w:ascii="宋体" w:hAnsi="宋体" w:eastAsia="宋体" w:cs="宋体"/>
                <w:color w:val="000000"/>
                <w:kern w:val="0"/>
                <w:sz w:val="18"/>
                <w:szCs w:val="18"/>
                <w:lang w:bidi="ar"/>
              </w:rPr>
            </w:pPr>
          </w:p>
        </w:tc>
        <w:tc>
          <w:tcPr>
            <w:tcW w:w="4862"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14A4E582">
            <w:pPr>
              <w:spacing w:line="260" w:lineRule="exact"/>
              <w:ind w:firstLine="360" w:firstLineChars="200"/>
              <w:rPr>
                <w:rFonts w:hint="eastAsia" w:ascii="宋体" w:hAnsi="宋体" w:eastAsia="宋体" w:cs="宋体"/>
                <w:color w:val="000000"/>
                <w:kern w:val="0"/>
                <w:sz w:val="18"/>
                <w:szCs w:val="18"/>
                <w:lang w:bidi="ar"/>
              </w:rPr>
            </w:pPr>
          </w:p>
        </w:tc>
        <w:tc>
          <w:tcPr>
            <w:tcW w:w="161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4D2528BC">
            <w:pPr>
              <w:spacing w:line="260" w:lineRule="exact"/>
              <w:ind w:firstLine="360" w:firstLineChars="200"/>
              <w:rPr>
                <w:rFonts w:hint="eastAsia" w:ascii="宋体" w:hAnsi="宋体" w:eastAsia="宋体" w:cs="宋体"/>
                <w:color w:val="000000"/>
                <w:kern w:val="0"/>
                <w:sz w:val="18"/>
                <w:szCs w:val="18"/>
                <w:lang w:bidi="ar"/>
              </w:rPr>
            </w:pP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6624E2A6">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较轻</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210FCCDF">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2BE4035A">
            <w:pPr>
              <w:spacing w:line="260" w:lineRule="exact"/>
              <w:rPr>
                <w:rFonts w:hint="eastAsia" w:ascii="宋体" w:hAnsi="宋体" w:eastAsia="宋体" w:cs="宋体"/>
                <w:color w:val="C0504D"/>
                <w:sz w:val="18"/>
                <w:szCs w:val="18"/>
                <w:lang w:bidi="ar"/>
              </w:rPr>
            </w:pP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1FA9A0F9">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5B002DD5">
            <w:pPr>
              <w:spacing w:line="260" w:lineRule="exact"/>
              <w:rPr>
                <w:rFonts w:hint="eastAsia" w:ascii="宋体" w:hAnsi="宋体" w:eastAsia="宋体" w:cs="宋体"/>
                <w:color w:val="C0504D"/>
                <w:sz w:val="18"/>
                <w:szCs w:val="18"/>
                <w:lang w:bidi="ar"/>
              </w:rPr>
            </w:pPr>
          </w:p>
        </w:tc>
        <w:tc>
          <w:tcPr>
            <w:tcW w:w="56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2559C9A5">
            <w:pPr>
              <w:spacing w:line="260" w:lineRule="exact"/>
              <w:rPr>
                <w:rStyle w:val="21"/>
                <w:rFonts w:hint="eastAsia" w:ascii="宋体" w:hAnsi="宋体" w:eastAsia="宋体" w:cs="宋体"/>
                <w:sz w:val="18"/>
                <w:szCs w:val="18"/>
                <w:lang w:bidi="ar"/>
              </w:rPr>
            </w:pPr>
          </w:p>
        </w:tc>
      </w:tr>
      <w:tr w14:paraId="412B32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567" w:hRule="atLeast"/>
          <w:jc w:val="center"/>
        </w:trPr>
        <w:tc>
          <w:tcPr>
            <w:tcW w:w="495"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7C34EFEF">
            <w:pPr>
              <w:spacing w:line="260" w:lineRule="exact"/>
              <w:jc w:val="center"/>
              <w:rPr>
                <w:rFonts w:hint="eastAsia" w:ascii="宋体" w:hAnsi="宋体" w:eastAsia="宋体" w:cs="宋体"/>
                <w:sz w:val="18"/>
                <w:szCs w:val="18"/>
              </w:rPr>
            </w:pPr>
          </w:p>
        </w:tc>
        <w:tc>
          <w:tcPr>
            <w:tcW w:w="1211"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218ADAE1">
            <w:pPr>
              <w:spacing w:line="260" w:lineRule="exact"/>
              <w:rPr>
                <w:rFonts w:hint="eastAsia" w:ascii="宋体" w:hAnsi="宋体" w:eastAsia="宋体" w:cs="宋体"/>
                <w:color w:val="000000"/>
                <w:kern w:val="0"/>
                <w:sz w:val="18"/>
                <w:szCs w:val="18"/>
                <w:lang w:bidi="ar"/>
              </w:rPr>
            </w:pPr>
          </w:p>
        </w:tc>
        <w:tc>
          <w:tcPr>
            <w:tcW w:w="4862"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01FC06B2">
            <w:pPr>
              <w:spacing w:line="260" w:lineRule="exact"/>
              <w:ind w:firstLine="360" w:firstLineChars="200"/>
              <w:rPr>
                <w:rFonts w:hint="eastAsia" w:ascii="宋体" w:hAnsi="宋体" w:eastAsia="宋体" w:cs="宋体"/>
                <w:color w:val="000000"/>
                <w:kern w:val="0"/>
                <w:sz w:val="18"/>
                <w:szCs w:val="18"/>
                <w:lang w:bidi="ar"/>
              </w:rPr>
            </w:pPr>
          </w:p>
        </w:tc>
        <w:tc>
          <w:tcPr>
            <w:tcW w:w="161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4DFE83D0">
            <w:pPr>
              <w:spacing w:line="260" w:lineRule="exact"/>
              <w:ind w:firstLine="360" w:firstLineChars="200"/>
              <w:rPr>
                <w:rFonts w:hint="eastAsia" w:ascii="宋体" w:hAnsi="宋体" w:eastAsia="宋体" w:cs="宋体"/>
                <w:color w:val="000000"/>
                <w:kern w:val="0"/>
                <w:sz w:val="18"/>
                <w:szCs w:val="18"/>
                <w:lang w:bidi="ar"/>
              </w:rPr>
            </w:pP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027EC1F0">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一般</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210C99B3">
            <w:pPr>
              <w:spacing w:line="260" w:lineRule="exact"/>
              <w:rPr>
                <w:rFonts w:hint="eastAsia" w:ascii="宋体" w:hAnsi="宋体" w:eastAsia="宋体" w:cs="宋体"/>
                <w:color w:val="000000"/>
                <w:sz w:val="18"/>
                <w:szCs w:val="18"/>
                <w:lang w:bidi="ar"/>
              </w:rPr>
            </w:pPr>
            <w:r>
              <w:rPr>
                <w:rStyle w:val="21"/>
                <w:rFonts w:hint="eastAsia" w:ascii="宋体" w:hAnsi="宋体" w:eastAsia="宋体" w:cs="宋体"/>
                <w:sz w:val="18"/>
                <w:szCs w:val="18"/>
                <w:lang w:bidi="ar"/>
              </w:rPr>
              <w:t>逾期</w:t>
            </w:r>
            <w:r>
              <w:rPr>
                <w:rStyle w:val="21"/>
                <w:rFonts w:hint="eastAsia" w:ascii="宋体" w:hAnsi="宋体" w:eastAsia="宋体" w:cs="宋体"/>
                <w:sz w:val="18"/>
                <w:szCs w:val="18"/>
                <w:lang w:val="en-US" w:eastAsia="zh-CN" w:bidi="ar"/>
              </w:rPr>
              <w:t>30日</w:t>
            </w:r>
            <w:r>
              <w:rPr>
                <w:rStyle w:val="21"/>
                <w:rFonts w:hint="eastAsia" w:ascii="宋体" w:hAnsi="宋体" w:eastAsia="宋体" w:cs="宋体"/>
                <w:sz w:val="18"/>
                <w:szCs w:val="18"/>
                <w:lang w:bidi="ar"/>
              </w:rPr>
              <w:t>以内更换或者修复计量设施的</w:t>
            </w: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1E4BB0D5">
            <w:pPr>
              <w:spacing w:line="260" w:lineRule="exact"/>
              <w:rPr>
                <w:rStyle w:val="21"/>
                <w:rFonts w:hint="eastAsia" w:ascii="宋体" w:hAnsi="宋体" w:eastAsia="宋体" w:cs="宋体"/>
                <w:sz w:val="18"/>
                <w:szCs w:val="18"/>
                <w:lang w:bidi="ar"/>
              </w:rPr>
            </w:pPr>
            <w:r>
              <w:rPr>
                <w:rStyle w:val="21"/>
                <w:rFonts w:hint="eastAsia" w:ascii="宋体" w:hAnsi="宋体" w:eastAsia="宋体" w:cs="宋体"/>
                <w:sz w:val="18"/>
                <w:szCs w:val="18"/>
                <w:lang w:bidi="ar"/>
              </w:rPr>
              <w:t>处</w:t>
            </w:r>
            <w:r>
              <w:rPr>
                <w:rStyle w:val="21"/>
                <w:rFonts w:hint="eastAsia" w:ascii="宋体" w:hAnsi="宋体" w:eastAsia="宋体" w:cs="宋体"/>
                <w:sz w:val="18"/>
                <w:szCs w:val="18"/>
                <w:lang w:val="en-US" w:eastAsia="zh-CN" w:bidi="ar"/>
              </w:rPr>
              <w:t>5</w:t>
            </w:r>
            <w:r>
              <w:rPr>
                <w:rStyle w:val="21"/>
                <w:rFonts w:hint="eastAsia" w:ascii="宋体" w:hAnsi="宋体" w:eastAsia="宋体" w:cs="宋体"/>
                <w:sz w:val="18"/>
                <w:szCs w:val="18"/>
                <w:lang w:bidi="ar"/>
              </w:rPr>
              <w:t>千元以上</w:t>
            </w:r>
            <w:r>
              <w:rPr>
                <w:rStyle w:val="21"/>
                <w:rFonts w:hint="eastAsia" w:ascii="宋体" w:hAnsi="宋体" w:eastAsia="宋体" w:cs="宋体"/>
                <w:sz w:val="18"/>
                <w:szCs w:val="18"/>
                <w:lang w:val="en-US" w:eastAsia="zh-CN" w:bidi="ar"/>
              </w:rPr>
              <w:t>7</w:t>
            </w:r>
            <w:r>
              <w:rPr>
                <w:rStyle w:val="21"/>
                <w:rFonts w:hint="eastAsia" w:ascii="宋体" w:hAnsi="宋体" w:eastAsia="宋体" w:cs="宋体"/>
                <w:sz w:val="18"/>
                <w:szCs w:val="18"/>
                <w:lang w:bidi="ar"/>
              </w:rPr>
              <w:t>千元以下罚款</w:t>
            </w:r>
          </w:p>
        </w:tc>
        <w:tc>
          <w:tcPr>
            <w:tcW w:w="56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7156D654">
            <w:pPr>
              <w:spacing w:line="260" w:lineRule="exact"/>
              <w:rPr>
                <w:rStyle w:val="21"/>
                <w:rFonts w:hint="eastAsia" w:ascii="宋体" w:hAnsi="宋体" w:eastAsia="宋体" w:cs="宋体"/>
                <w:sz w:val="18"/>
                <w:szCs w:val="18"/>
                <w:lang w:bidi="ar"/>
              </w:rPr>
            </w:pPr>
          </w:p>
        </w:tc>
      </w:tr>
      <w:tr w14:paraId="22752A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567" w:hRule="atLeast"/>
          <w:jc w:val="center"/>
        </w:trPr>
        <w:tc>
          <w:tcPr>
            <w:tcW w:w="495"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50E0B00A">
            <w:pPr>
              <w:spacing w:line="260" w:lineRule="exact"/>
              <w:jc w:val="center"/>
              <w:rPr>
                <w:rFonts w:hint="eastAsia" w:ascii="宋体" w:hAnsi="宋体" w:eastAsia="宋体" w:cs="宋体"/>
                <w:sz w:val="18"/>
                <w:szCs w:val="18"/>
              </w:rPr>
            </w:pPr>
          </w:p>
        </w:tc>
        <w:tc>
          <w:tcPr>
            <w:tcW w:w="1211"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77483EFA">
            <w:pPr>
              <w:spacing w:line="260" w:lineRule="exact"/>
              <w:rPr>
                <w:rFonts w:hint="eastAsia" w:ascii="宋体" w:hAnsi="宋体" w:eastAsia="宋体" w:cs="宋体"/>
                <w:color w:val="000000"/>
                <w:kern w:val="0"/>
                <w:sz w:val="18"/>
                <w:szCs w:val="18"/>
                <w:lang w:bidi="ar"/>
              </w:rPr>
            </w:pPr>
          </w:p>
        </w:tc>
        <w:tc>
          <w:tcPr>
            <w:tcW w:w="4862"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2299A1A1">
            <w:pPr>
              <w:spacing w:line="260" w:lineRule="exact"/>
              <w:ind w:firstLine="360" w:firstLineChars="200"/>
              <w:rPr>
                <w:rFonts w:hint="eastAsia" w:ascii="宋体" w:hAnsi="宋体" w:eastAsia="宋体" w:cs="宋体"/>
                <w:color w:val="000000"/>
                <w:kern w:val="0"/>
                <w:sz w:val="18"/>
                <w:szCs w:val="18"/>
                <w:lang w:bidi="ar"/>
              </w:rPr>
            </w:pPr>
          </w:p>
        </w:tc>
        <w:tc>
          <w:tcPr>
            <w:tcW w:w="161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401BDAEC">
            <w:pPr>
              <w:spacing w:line="260" w:lineRule="exact"/>
              <w:ind w:firstLine="360" w:firstLineChars="200"/>
              <w:rPr>
                <w:rFonts w:hint="eastAsia" w:ascii="宋体" w:hAnsi="宋体" w:eastAsia="宋体" w:cs="宋体"/>
                <w:color w:val="000000"/>
                <w:kern w:val="0"/>
                <w:sz w:val="18"/>
                <w:szCs w:val="18"/>
                <w:lang w:bidi="ar"/>
              </w:rPr>
            </w:pP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1B6E2ABA">
            <w:pPr>
              <w:spacing w:line="260" w:lineRule="exact"/>
              <w:jc w:val="center"/>
              <w:rPr>
                <w:rFonts w:hint="eastAsia" w:ascii="宋体" w:hAnsi="宋体" w:eastAsia="宋体" w:cs="宋体"/>
                <w:sz w:val="18"/>
                <w:szCs w:val="18"/>
                <w:lang w:eastAsia="zh-CN"/>
              </w:rPr>
            </w:pPr>
            <w:r>
              <w:rPr>
                <w:rFonts w:hint="eastAsia" w:ascii="宋体" w:hAnsi="宋体" w:eastAsia="宋体" w:cs="宋体"/>
                <w:sz w:val="18"/>
                <w:szCs w:val="18"/>
                <w:lang w:eastAsia="zh-CN"/>
              </w:rPr>
              <w:t>较重</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04C858CE">
            <w:pPr>
              <w:spacing w:line="260" w:lineRule="exact"/>
              <w:rPr>
                <w:rFonts w:hint="eastAsia" w:ascii="宋体" w:hAnsi="宋体" w:eastAsia="宋体" w:cs="宋体"/>
                <w:color w:val="000000"/>
                <w:sz w:val="18"/>
                <w:szCs w:val="18"/>
                <w:lang w:bidi="ar"/>
              </w:rPr>
            </w:pPr>
            <w:r>
              <w:rPr>
                <w:rStyle w:val="21"/>
                <w:rFonts w:hint="eastAsia" w:ascii="宋体" w:hAnsi="宋体" w:eastAsia="宋体" w:cs="宋体"/>
                <w:sz w:val="18"/>
                <w:szCs w:val="18"/>
                <w:lang w:bidi="ar"/>
              </w:rPr>
              <w:t>逾期</w:t>
            </w:r>
            <w:r>
              <w:rPr>
                <w:rStyle w:val="21"/>
                <w:rFonts w:hint="eastAsia" w:ascii="宋体" w:hAnsi="宋体" w:eastAsia="宋体" w:cs="宋体"/>
                <w:sz w:val="18"/>
                <w:szCs w:val="18"/>
                <w:lang w:val="en-US" w:eastAsia="zh-CN" w:bidi="ar"/>
              </w:rPr>
              <w:t>30日</w:t>
            </w:r>
            <w:r>
              <w:rPr>
                <w:rStyle w:val="21"/>
                <w:rFonts w:hint="eastAsia" w:ascii="宋体" w:hAnsi="宋体" w:eastAsia="宋体" w:cs="宋体"/>
                <w:sz w:val="18"/>
                <w:szCs w:val="18"/>
                <w:lang w:bidi="ar"/>
              </w:rPr>
              <w:t>以上更换或者修复计量设施的</w:t>
            </w: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4C19F006">
            <w:pPr>
              <w:spacing w:line="260" w:lineRule="exact"/>
              <w:rPr>
                <w:rStyle w:val="21"/>
                <w:rFonts w:hint="eastAsia" w:ascii="宋体" w:hAnsi="宋体" w:eastAsia="宋体" w:cs="宋体"/>
                <w:sz w:val="18"/>
                <w:szCs w:val="18"/>
                <w:lang w:bidi="ar"/>
              </w:rPr>
            </w:pPr>
            <w:r>
              <w:rPr>
                <w:rStyle w:val="21"/>
                <w:rFonts w:hint="eastAsia" w:ascii="宋体" w:hAnsi="宋体" w:eastAsia="宋体" w:cs="宋体"/>
                <w:sz w:val="18"/>
                <w:szCs w:val="18"/>
                <w:lang w:bidi="ar"/>
              </w:rPr>
              <w:t>处</w:t>
            </w:r>
            <w:r>
              <w:rPr>
                <w:rStyle w:val="21"/>
                <w:rFonts w:hint="eastAsia" w:ascii="宋体" w:hAnsi="宋体" w:eastAsia="宋体" w:cs="宋体"/>
                <w:sz w:val="18"/>
                <w:szCs w:val="18"/>
                <w:lang w:val="en-US" w:eastAsia="zh-CN" w:bidi="ar"/>
              </w:rPr>
              <w:t>7</w:t>
            </w:r>
            <w:r>
              <w:rPr>
                <w:rStyle w:val="21"/>
                <w:rFonts w:hint="eastAsia" w:ascii="宋体" w:hAnsi="宋体" w:eastAsia="宋体" w:cs="宋体"/>
                <w:sz w:val="18"/>
                <w:szCs w:val="18"/>
                <w:lang w:bidi="ar"/>
              </w:rPr>
              <w:t>千元以上</w:t>
            </w:r>
            <w:r>
              <w:rPr>
                <w:rStyle w:val="21"/>
                <w:rFonts w:hint="eastAsia" w:ascii="宋体" w:hAnsi="宋体" w:eastAsia="宋体" w:cs="宋体"/>
                <w:sz w:val="18"/>
                <w:szCs w:val="18"/>
                <w:lang w:val="en-US" w:eastAsia="zh-CN" w:bidi="ar"/>
              </w:rPr>
              <w:t>9</w:t>
            </w:r>
            <w:r>
              <w:rPr>
                <w:rStyle w:val="21"/>
                <w:rFonts w:hint="eastAsia" w:ascii="宋体" w:hAnsi="宋体" w:eastAsia="宋体" w:cs="宋体"/>
                <w:sz w:val="18"/>
                <w:szCs w:val="18"/>
                <w:lang w:bidi="ar"/>
              </w:rPr>
              <w:t>千元以下罚款</w:t>
            </w:r>
          </w:p>
        </w:tc>
        <w:tc>
          <w:tcPr>
            <w:tcW w:w="56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5E50AAD2">
            <w:pPr>
              <w:spacing w:line="260" w:lineRule="exact"/>
              <w:rPr>
                <w:rStyle w:val="21"/>
                <w:rFonts w:hint="eastAsia" w:ascii="宋体" w:hAnsi="宋体" w:eastAsia="宋体" w:cs="宋体"/>
                <w:sz w:val="18"/>
                <w:szCs w:val="18"/>
                <w:lang w:bidi="ar"/>
              </w:rPr>
            </w:pPr>
          </w:p>
        </w:tc>
      </w:tr>
      <w:tr w14:paraId="11360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567" w:hRule="atLeast"/>
          <w:jc w:val="center"/>
        </w:trPr>
        <w:tc>
          <w:tcPr>
            <w:tcW w:w="495" w:type="dxa"/>
            <w:vMerge w:val="continue"/>
            <w:tcBorders>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495E8694">
            <w:pPr>
              <w:spacing w:line="260" w:lineRule="exact"/>
              <w:jc w:val="center"/>
              <w:rPr>
                <w:rFonts w:hint="eastAsia" w:ascii="宋体" w:hAnsi="宋体" w:eastAsia="宋体" w:cs="宋体"/>
                <w:sz w:val="18"/>
                <w:szCs w:val="18"/>
              </w:rPr>
            </w:pPr>
          </w:p>
        </w:tc>
        <w:tc>
          <w:tcPr>
            <w:tcW w:w="1211" w:type="dxa"/>
            <w:vMerge w:val="continue"/>
            <w:tcBorders>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5B75B296">
            <w:pPr>
              <w:spacing w:line="260" w:lineRule="exact"/>
              <w:rPr>
                <w:rFonts w:hint="eastAsia" w:ascii="宋体" w:hAnsi="宋体" w:eastAsia="宋体" w:cs="宋体"/>
                <w:color w:val="000000"/>
                <w:kern w:val="0"/>
                <w:sz w:val="18"/>
                <w:szCs w:val="18"/>
                <w:lang w:bidi="ar"/>
              </w:rPr>
            </w:pPr>
          </w:p>
        </w:tc>
        <w:tc>
          <w:tcPr>
            <w:tcW w:w="4862" w:type="dxa"/>
            <w:vMerge w:val="continue"/>
            <w:tcBorders>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3EFB1EDF">
            <w:pPr>
              <w:spacing w:line="260" w:lineRule="exact"/>
              <w:ind w:firstLine="360" w:firstLineChars="200"/>
              <w:rPr>
                <w:rFonts w:hint="eastAsia" w:ascii="宋体" w:hAnsi="宋体" w:eastAsia="宋体" w:cs="宋体"/>
                <w:color w:val="000000"/>
                <w:kern w:val="0"/>
                <w:sz w:val="18"/>
                <w:szCs w:val="18"/>
                <w:lang w:bidi="ar"/>
              </w:rPr>
            </w:pPr>
          </w:p>
        </w:tc>
        <w:tc>
          <w:tcPr>
            <w:tcW w:w="1613" w:type="dxa"/>
            <w:vMerge w:val="continue"/>
            <w:tcBorders>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4FC18F5C">
            <w:pPr>
              <w:spacing w:line="260" w:lineRule="exact"/>
              <w:ind w:firstLine="360" w:firstLineChars="200"/>
              <w:rPr>
                <w:rFonts w:hint="eastAsia" w:ascii="宋体" w:hAnsi="宋体" w:eastAsia="宋体" w:cs="宋体"/>
                <w:color w:val="000000"/>
                <w:kern w:val="0"/>
                <w:sz w:val="18"/>
                <w:szCs w:val="18"/>
                <w:lang w:bidi="ar"/>
              </w:rPr>
            </w:pP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603D3AB1">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严重</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094B3801">
            <w:pPr>
              <w:spacing w:line="260" w:lineRule="exact"/>
              <w:rPr>
                <w:rFonts w:hint="eastAsia" w:ascii="宋体" w:hAnsi="宋体" w:eastAsia="宋体" w:cs="宋体"/>
                <w:color w:val="000000"/>
                <w:sz w:val="18"/>
                <w:szCs w:val="18"/>
                <w:lang w:bidi="ar"/>
              </w:rPr>
            </w:pPr>
            <w:r>
              <w:rPr>
                <w:rStyle w:val="21"/>
                <w:rFonts w:hint="eastAsia" w:ascii="宋体" w:hAnsi="宋体" w:eastAsia="宋体" w:cs="宋体"/>
                <w:sz w:val="18"/>
                <w:szCs w:val="18"/>
                <w:lang w:bidi="ar"/>
              </w:rPr>
              <w:t>拒不更换或者不修复计量设施的</w:t>
            </w: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0443F83F">
            <w:pPr>
              <w:spacing w:line="260" w:lineRule="exact"/>
              <w:rPr>
                <w:rStyle w:val="21"/>
                <w:rFonts w:hint="eastAsia" w:ascii="宋体" w:hAnsi="宋体" w:eastAsia="宋体" w:cs="宋体"/>
                <w:sz w:val="18"/>
                <w:szCs w:val="18"/>
                <w:lang w:bidi="ar"/>
              </w:rPr>
            </w:pPr>
            <w:r>
              <w:rPr>
                <w:rStyle w:val="21"/>
                <w:rFonts w:hint="eastAsia" w:ascii="宋体" w:hAnsi="宋体" w:eastAsia="宋体" w:cs="宋体"/>
                <w:sz w:val="18"/>
                <w:szCs w:val="18"/>
                <w:lang w:bidi="ar"/>
              </w:rPr>
              <w:t>处</w:t>
            </w:r>
            <w:r>
              <w:rPr>
                <w:rStyle w:val="21"/>
                <w:rFonts w:hint="eastAsia" w:ascii="宋体" w:hAnsi="宋体" w:eastAsia="宋体" w:cs="宋体"/>
                <w:sz w:val="18"/>
                <w:szCs w:val="18"/>
                <w:lang w:val="en-US" w:eastAsia="zh-CN" w:bidi="ar"/>
              </w:rPr>
              <w:t>9</w:t>
            </w:r>
            <w:r>
              <w:rPr>
                <w:rStyle w:val="21"/>
                <w:rFonts w:hint="eastAsia" w:ascii="宋体" w:hAnsi="宋体" w:eastAsia="宋体" w:cs="宋体"/>
                <w:sz w:val="18"/>
                <w:szCs w:val="18"/>
                <w:lang w:bidi="ar"/>
              </w:rPr>
              <w:t>千元以上</w:t>
            </w:r>
            <w:r>
              <w:rPr>
                <w:rStyle w:val="21"/>
                <w:rFonts w:hint="eastAsia" w:ascii="宋体" w:hAnsi="宋体" w:eastAsia="宋体" w:cs="宋体"/>
                <w:sz w:val="18"/>
                <w:szCs w:val="18"/>
                <w:lang w:val="en-US" w:eastAsia="zh-CN" w:bidi="ar"/>
              </w:rPr>
              <w:t>1</w:t>
            </w:r>
            <w:r>
              <w:rPr>
                <w:rStyle w:val="21"/>
                <w:rFonts w:hint="eastAsia" w:ascii="宋体" w:hAnsi="宋体" w:eastAsia="宋体" w:cs="宋体"/>
                <w:sz w:val="18"/>
                <w:szCs w:val="18"/>
                <w:lang w:bidi="ar"/>
              </w:rPr>
              <w:t>万元以下罚款，吊销取水许可证</w:t>
            </w:r>
          </w:p>
        </w:tc>
        <w:tc>
          <w:tcPr>
            <w:tcW w:w="563" w:type="dxa"/>
            <w:vMerge w:val="continue"/>
            <w:tcBorders>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15BA924C">
            <w:pPr>
              <w:spacing w:line="260" w:lineRule="exact"/>
              <w:rPr>
                <w:rStyle w:val="21"/>
                <w:rFonts w:hint="eastAsia" w:ascii="宋体" w:hAnsi="宋体" w:eastAsia="宋体" w:cs="宋体"/>
                <w:sz w:val="18"/>
                <w:szCs w:val="18"/>
                <w:lang w:bidi="ar"/>
              </w:rPr>
            </w:pPr>
          </w:p>
        </w:tc>
      </w:tr>
      <w:tr w14:paraId="26AC13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1" w:hRule="atLeast"/>
          <w:jc w:val="center"/>
        </w:trPr>
        <w:tc>
          <w:tcPr>
            <w:tcW w:w="495" w:type="dxa"/>
            <w:vMerge w:val="restart"/>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33FA7573">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12</w:t>
            </w:r>
          </w:p>
        </w:tc>
        <w:tc>
          <w:tcPr>
            <w:tcW w:w="1211" w:type="dxa"/>
            <w:vMerge w:val="restart"/>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3A4319F7">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对地下水取水工程未安装计量设施，计量设施不合格或者运行不正常行为的行政处罚</w:t>
            </w:r>
          </w:p>
        </w:tc>
        <w:tc>
          <w:tcPr>
            <w:tcW w:w="4862" w:type="dxa"/>
            <w:vMerge w:val="restart"/>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349727D6">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《地下水管理条例》第五十六条 地下水取水工程未安装计量设施的，由县级以上地方人民政府水行政主管部门责令限期安装，并按照</w:t>
            </w:r>
            <w:r>
              <w:rPr>
                <w:rFonts w:hint="eastAsia" w:ascii="宋体" w:hAnsi="宋体" w:eastAsia="宋体" w:cs="宋体"/>
                <w:color w:val="000000"/>
                <w:kern w:val="0"/>
                <w:sz w:val="18"/>
                <w:szCs w:val="18"/>
                <w:lang w:eastAsia="zh-CN" w:bidi="ar"/>
              </w:rPr>
              <w:t>日</w:t>
            </w:r>
            <w:r>
              <w:rPr>
                <w:rFonts w:hint="eastAsia" w:ascii="宋体" w:hAnsi="宋体" w:eastAsia="宋体" w:cs="宋体"/>
                <w:color w:val="000000"/>
                <w:kern w:val="0"/>
                <w:sz w:val="18"/>
                <w:szCs w:val="18"/>
                <w:lang w:bidi="ar"/>
              </w:rPr>
              <w:t>最大取水能力计算的取水量计征相关费用，处10万元以上50万元以下罚款；情节严重的，吊销取水许可证。</w:t>
            </w:r>
          </w:p>
          <w:p w14:paraId="0F8B8F81">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计量设施不合格或者运行不正常的，由县级以上地方人民政府水行政主管部门责令限期更换或者修复；逾期不更换或者不修复的，按照</w:t>
            </w:r>
            <w:r>
              <w:rPr>
                <w:rFonts w:hint="eastAsia" w:ascii="宋体" w:hAnsi="宋体" w:eastAsia="宋体" w:cs="宋体"/>
                <w:color w:val="000000"/>
                <w:kern w:val="0"/>
                <w:sz w:val="18"/>
                <w:szCs w:val="18"/>
                <w:lang w:eastAsia="zh-CN" w:bidi="ar"/>
              </w:rPr>
              <w:t>日</w:t>
            </w:r>
            <w:r>
              <w:rPr>
                <w:rFonts w:hint="eastAsia" w:ascii="宋体" w:hAnsi="宋体" w:eastAsia="宋体" w:cs="宋体"/>
                <w:color w:val="000000"/>
                <w:kern w:val="0"/>
                <w:sz w:val="18"/>
                <w:szCs w:val="18"/>
                <w:lang w:bidi="ar"/>
              </w:rPr>
              <w:t>最大取水能力计算的取水量计征相关费用，处10万元以上50万元以下罚款；情节严重的，吊销取水许可证。</w:t>
            </w:r>
          </w:p>
        </w:tc>
        <w:tc>
          <w:tcPr>
            <w:tcW w:w="1613" w:type="dxa"/>
            <w:vMerge w:val="restart"/>
            <w:tcBorders>
              <w:top w:val="single" w:color="auto" w:sz="4" w:space="0"/>
              <w:left w:val="single" w:color="auto" w:sz="4" w:space="0"/>
              <w:right w:val="single" w:color="auto" w:sz="4" w:space="0"/>
            </w:tcBorders>
            <w:shd w:val="clear" w:color="auto" w:fill="FFFFFF"/>
            <w:noWrap w:val="0"/>
            <w:tcMar>
              <w:top w:w="0" w:type="dxa"/>
              <w:left w:w="0" w:type="dxa"/>
              <w:bottom w:w="0" w:type="dxa"/>
              <w:right w:w="0" w:type="dxa"/>
            </w:tcMar>
            <w:vAlign w:val="center"/>
          </w:tcPr>
          <w:p w14:paraId="3DD81A41">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地下水取水工程未安装计量设施的</w:t>
            </w: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04E17552">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轻微</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30832AFA">
            <w:pPr>
              <w:spacing w:line="260" w:lineRule="exact"/>
              <w:rPr>
                <w:rStyle w:val="21"/>
                <w:rFonts w:hint="eastAsia" w:ascii="宋体" w:hAnsi="宋体" w:eastAsia="宋体" w:cs="宋体"/>
                <w:sz w:val="18"/>
                <w:szCs w:val="18"/>
                <w:lang w:bidi="ar"/>
              </w:rPr>
            </w:pPr>
            <w:r>
              <w:rPr>
                <w:rStyle w:val="21"/>
                <w:rFonts w:hint="eastAsia" w:ascii="宋体" w:hAnsi="宋体" w:eastAsia="宋体" w:cs="宋体"/>
                <w:sz w:val="18"/>
                <w:szCs w:val="18"/>
                <w:lang w:bidi="ar"/>
              </w:rPr>
              <w:t>1.初次违法；</w:t>
            </w:r>
          </w:p>
          <w:p w14:paraId="1BF9E0E4">
            <w:pPr>
              <w:spacing w:line="260" w:lineRule="exact"/>
              <w:rPr>
                <w:rStyle w:val="21"/>
                <w:rFonts w:hint="eastAsia" w:ascii="宋体" w:hAnsi="宋体" w:eastAsia="宋体" w:cs="宋体"/>
                <w:sz w:val="18"/>
                <w:szCs w:val="18"/>
                <w:lang w:bidi="ar"/>
              </w:rPr>
            </w:pPr>
            <w:r>
              <w:rPr>
                <w:rStyle w:val="21"/>
                <w:rFonts w:hint="eastAsia" w:ascii="宋体" w:hAnsi="宋体" w:eastAsia="宋体" w:cs="宋体"/>
                <w:sz w:val="18"/>
                <w:szCs w:val="18"/>
                <w:lang w:bidi="ar"/>
              </w:rPr>
              <w:t>2.</w:t>
            </w:r>
            <w:r>
              <w:rPr>
                <w:rStyle w:val="21"/>
                <w:rFonts w:hint="eastAsia" w:ascii="宋体" w:hAnsi="宋体" w:eastAsia="宋体" w:cs="宋体"/>
                <w:sz w:val="18"/>
                <w:szCs w:val="18"/>
                <w:lang w:val="en-US" w:eastAsia="zh-CN" w:bidi="ar"/>
              </w:rPr>
              <w:t>立即</w:t>
            </w:r>
            <w:r>
              <w:rPr>
                <w:rStyle w:val="21"/>
                <w:rFonts w:hint="eastAsia" w:ascii="宋体" w:hAnsi="宋体" w:eastAsia="宋体" w:cs="宋体"/>
                <w:sz w:val="18"/>
                <w:szCs w:val="18"/>
                <w:lang w:bidi="ar"/>
              </w:rPr>
              <w:t>停止违法行为，签署承诺书保证不再违反同类规定，限期采取补救措施；</w:t>
            </w:r>
          </w:p>
          <w:p w14:paraId="4257D497">
            <w:pPr>
              <w:spacing w:line="260" w:lineRule="exact"/>
              <w:rPr>
                <w:rStyle w:val="21"/>
                <w:rFonts w:hint="eastAsia" w:ascii="宋体" w:hAnsi="宋体" w:eastAsia="宋体" w:cs="宋体"/>
                <w:sz w:val="18"/>
                <w:szCs w:val="18"/>
                <w:lang w:bidi="ar"/>
              </w:rPr>
            </w:pPr>
            <w:r>
              <w:rPr>
                <w:rStyle w:val="21"/>
                <w:rFonts w:hint="eastAsia" w:ascii="宋体" w:hAnsi="宋体" w:eastAsia="宋体" w:cs="宋体"/>
                <w:sz w:val="18"/>
                <w:szCs w:val="18"/>
                <w:lang w:bidi="ar"/>
              </w:rPr>
              <w:t>3.地下水取水工程未安装计量设施且在规定时限内按照相关技术规范完成计量设施安装的；</w:t>
            </w:r>
          </w:p>
          <w:p w14:paraId="15FA44F6">
            <w:pPr>
              <w:pStyle w:val="2"/>
              <w:spacing w:line="260" w:lineRule="exact"/>
              <w:rPr>
                <w:rFonts w:hint="eastAsia" w:ascii="宋体" w:hAnsi="宋体" w:eastAsia="宋体" w:cs="宋体"/>
                <w:sz w:val="18"/>
                <w:szCs w:val="18"/>
              </w:rPr>
            </w:pPr>
            <w:r>
              <w:rPr>
                <w:rStyle w:val="21"/>
                <w:rFonts w:hint="eastAsia" w:ascii="宋体" w:hAnsi="宋体" w:eastAsia="宋体" w:cs="宋体"/>
                <w:sz w:val="18"/>
                <w:szCs w:val="18"/>
                <w:lang w:val="en-US" w:eastAsia="zh-CN" w:bidi="ar"/>
              </w:rPr>
              <w:t>（注：符合上述所有情形的，不予处罚，应将本次违法情况进行登记备案，以后再发生类似问题的将不再适用本条件）</w:t>
            </w: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5ED73D66">
            <w:pPr>
              <w:spacing w:line="260" w:lineRule="exact"/>
              <w:rPr>
                <w:rStyle w:val="21"/>
                <w:rFonts w:hint="eastAsia" w:ascii="宋体" w:hAnsi="宋体" w:eastAsia="宋体" w:cs="宋体"/>
                <w:sz w:val="18"/>
                <w:szCs w:val="18"/>
                <w:lang w:bidi="ar"/>
              </w:rPr>
            </w:pPr>
            <w:r>
              <w:rPr>
                <w:rStyle w:val="21"/>
                <w:rFonts w:hint="eastAsia" w:ascii="宋体" w:hAnsi="宋体" w:eastAsia="宋体" w:cs="宋体"/>
                <w:sz w:val="18"/>
                <w:szCs w:val="18"/>
                <w:lang w:bidi="ar"/>
              </w:rPr>
              <w:t>不予处罚</w:t>
            </w:r>
          </w:p>
        </w:tc>
        <w:tc>
          <w:tcPr>
            <w:tcW w:w="563" w:type="dxa"/>
            <w:vMerge w:val="restart"/>
            <w:tcBorders>
              <w:top w:val="single" w:color="auto" w:sz="4" w:space="0"/>
              <w:left w:val="single" w:color="auto" w:sz="4" w:space="0"/>
              <w:right w:val="single" w:color="auto" w:sz="4" w:space="0"/>
            </w:tcBorders>
            <w:shd w:val="clear" w:color="auto" w:fill="FFFFFF"/>
            <w:noWrap w:val="0"/>
            <w:tcMar>
              <w:top w:w="0" w:type="dxa"/>
              <w:left w:w="0" w:type="dxa"/>
              <w:bottom w:w="0" w:type="dxa"/>
              <w:right w:w="0" w:type="dxa"/>
            </w:tcMar>
            <w:vAlign w:val="center"/>
          </w:tcPr>
          <w:p w14:paraId="19DAF062">
            <w:pPr>
              <w:spacing w:line="260" w:lineRule="exact"/>
              <w:rPr>
                <w:rStyle w:val="21"/>
                <w:rFonts w:hint="eastAsia" w:ascii="宋体" w:hAnsi="宋体" w:eastAsia="宋体" w:cs="宋体"/>
                <w:sz w:val="18"/>
                <w:szCs w:val="18"/>
                <w:lang w:bidi="ar"/>
              </w:rPr>
            </w:pPr>
          </w:p>
        </w:tc>
      </w:tr>
      <w:tr w14:paraId="3CD0CF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738" w:hRule="atLeast"/>
          <w:jc w:val="center"/>
        </w:trPr>
        <w:tc>
          <w:tcPr>
            <w:tcW w:w="495"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6BFDCC86">
            <w:pPr>
              <w:spacing w:line="260" w:lineRule="exact"/>
              <w:jc w:val="center"/>
              <w:rPr>
                <w:rFonts w:hint="eastAsia" w:ascii="宋体" w:hAnsi="宋体" w:eastAsia="宋体" w:cs="宋体"/>
                <w:sz w:val="18"/>
                <w:szCs w:val="18"/>
              </w:rPr>
            </w:pPr>
          </w:p>
        </w:tc>
        <w:tc>
          <w:tcPr>
            <w:tcW w:w="1211"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02A204F1">
            <w:pPr>
              <w:spacing w:line="260" w:lineRule="exact"/>
              <w:rPr>
                <w:rFonts w:hint="eastAsia" w:ascii="宋体" w:hAnsi="宋体" w:eastAsia="宋体" w:cs="宋体"/>
                <w:color w:val="000000"/>
                <w:kern w:val="0"/>
                <w:sz w:val="18"/>
                <w:szCs w:val="18"/>
                <w:lang w:bidi="ar"/>
              </w:rPr>
            </w:pPr>
          </w:p>
        </w:tc>
        <w:tc>
          <w:tcPr>
            <w:tcW w:w="4862"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41950A78">
            <w:pPr>
              <w:spacing w:line="260" w:lineRule="exact"/>
              <w:ind w:firstLine="360" w:firstLineChars="200"/>
              <w:rPr>
                <w:rFonts w:hint="eastAsia" w:ascii="宋体" w:hAnsi="宋体" w:eastAsia="宋体" w:cs="宋体"/>
                <w:color w:val="000000"/>
                <w:kern w:val="0"/>
                <w:sz w:val="18"/>
                <w:szCs w:val="18"/>
                <w:lang w:bidi="ar"/>
              </w:rPr>
            </w:pPr>
          </w:p>
        </w:tc>
        <w:tc>
          <w:tcPr>
            <w:tcW w:w="161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083E3645">
            <w:pPr>
              <w:spacing w:line="260" w:lineRule="exact"/>
              <w:ind w:firstLine="360" w:firstLineChars="200"/>
              <w:rPr>
                <w:rFonts w:hint="eastAsia" w:ascii="宋体" w:hAnsi="宋体" w:eastAsia="宋体" w:cs="宋体"/>
                <w:color w:val="000000"/>
                <w:kern w:val="0"/>
                <w:sz w:val="18"/>
                <w:szCs w:val="18"/>
                <w:lang w:bidi="ar"/>
              </w:rPr>
            </w:pP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0E1EB98F">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较轻</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616C713B">
            <w:pPr>
              <w:spacing w:line="260" w:lineRule="exact"/>
              <w:rPr>
                <w:rFonts w:hint="eastAsia" w:ascii="宋体" w:hAnsi="宋体" w:eastAsia="宋体" w:cs="宋体"/>
                <w:color w:val="000000"/>
                <w:sz w:val="18"/>
                <w:szCs w:val="18"/>
                <w:lang w:bidi="ar"/>
              </w:rPr>
            </w:pPr>
            <w:r>
              <w:rPr>
                <w:rStyle w:val="21"/>
                <w:rFonts w:hint="eastAsia" w:ascii="宋体" w:hAnsi="宋体" w:eastAsia="宋体" w:cs="宋体"/>
                <w:sz w:val="18"/>
                <w:szCs w:val="18"/>
                <w:lang w:bidi="ar"/>
              </w:rPr>
              <w:t>在限期内安装计量设施，</w:t>
            </w:r>
            <w:r>
              <w:rPr>
                <w:rStyle w:val="21"/>
                <w:rFonts w:hint="eastAsia" w:ascii="宋体" w:hAnsi="宋体" w:eastAsia="宋体" w:cs="宋体"/>
                <w:sz w:val="18"/>
                <w:szCs w:val="18"/>
                <w:lang w:eastAsia="zh-CN" w:bidi="ar"/>
              </w:rPr>
              <w:t>日</w:t>
            </w:r>
            <w:r>
              <w:rPr>
                <w:rStyle w:val="21"/>
                <w:rFonts w:hint="eastAsia" w:ascii="宋体" w:hAnsi="宋体" w:eastAsia="宋体" w:cs="宋体"/>
                <w:sz w:val="18"/>
                <w:szCs w:val="18"/>
                <w:lang w:bidi="ar"/>
              </w:rPr>
              <w:t>最大取水能力为50立方米以下的</w:t>
            </w: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46DFC80F">
            <w:pPr>
              <w:spacing w:line="260" w:lineRule="exact"/>
              <w:rPr>
                <w:rFonts w:hint="eastAsia" w:ascii="宋体" w:hAnsi="宋体" w:eastAsia="宋体" w:cs="宋体"/>
                <w:color w:val="000000"/>
                <w:sz w:val="18"/>
                <w:szCs w:val="18"/>
                <w:lang w:bidi="ar"/>
              </w:rPr>
            </w:pPr>
            <w:r>
              <w:rPr>
                <w:rStyle w:val="21"/>
                <w:rFonts w:hint="eastAsia" w:ascii="宋体" w:hAnsi="宋体" w:eastAsia="宋体" w:cs="宋体"/>
                <w:sz w:val="18"/>
                <w:szCs w:val="18"/>
                <w:lang w:bidi="ar"/>
              </w:rPr>
              <w:t>处10万元以上20万元以下罚款</w:t>
            </w:r>
          </w:p>
        </w:tc>
        <w:tc>
          <w:tcPr>
            <w:tcW w:w="56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744BA3B9">
            <w:pPr>
              <w:spacing w:line="260" w:lineRule="exact"/>
              <w:rPr>
                <w:rStyle w:val="21"/>
                <w:rFonts w:hint="eastAsia" w:ascii="宋体" w:hAnsi="宋体" w:eastAsia="宋体" w:cs="宋体"/>
                <w:sz w:val="18"/>
                <w:szCs w:val="18"/>
                <w:lang w:bidi="ar"/>
              </w:rPr>
            </w:pPr>
          </w:p>
        </w:tc>
      </w:tr>
      <w:tr w14:paraId="039D13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661" w:hRule="atLeast"/>
          <w:jc w:val="center"/>
        </w:trPr>
        <w:tc>
          <w:tcPr>
            <w:tcW w:w="495"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2294DF3E">
            <w:pPr>
              <w:spacing w:line="260" w:lineRule="exact"/>
              <w:jc w:val="center"/>
              <w:rPr>
                <w:rFonts w:hint="eastAsia" w:ascii="宋体" w:hAnsi="宋体" w:eastAsia="宋体" w:cs="宋体"/>
                <w:sz w:val="18"/>
                <w:szCs w:val="18"/>
              </w:rPr>
            </w:pPr>
          </w:p>
        </w:tc>
        <w:tc>
          <w:tcPr>
            <w:tcW w:w="1211"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5FE8F155">
            <w:pPr>
              <w:spacing w:line="260" w:lineRule="exact"/>
              <w:rPr>
                <w:rFonts w:hint="eastAsia" w:ascii="宋体" w:hAnsi="宋体" w:eastAsia="宋体" w:cs="宋体"/>
                <w:color w:val="000000"/>
                <w:kern w:val="0"/>
                <w:sz w:val="18"/>
                <w:szCs w:val="18"/>
                <w:lang w:bidi="ar"/>
              </w:rPr>
            </w:pPr>
          </w:p>
        </w:tc>
        <w:tc>
          <w:tcPr>
            <w:tcW w:w="4862"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591825EB">
            <w:pPr>
              <w:spacing w:line="260" w:lineRule="exact"/>
              <w:ind w:firstLine="360" w:firstLineChars="200"/>
              <w:rPr>
                <w:rFonts w:hint="eastAsia" w:ascii="宋体" w:hAnsi="宋体" w:eastAsia="宋体" w:cs="宋体"/>
                <w:color w:val="000000"/>
                <w:kern w:val="0"/>
                <w:sz w:val="18"/>
                <w:szCs w:val="18"/>
                <w:lang w:bidi="ar"/>
              </w:rPr>
            </w:pPr>
          </w:p>
        </w:tc>
        <w:tc>
          <w:tcPr>
            <w:tcW w:w="161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2BB52867">
            <w:pPr>
              <w:spacing w:line="260" w:lineRule="exact"/>
              <w:ind w:firstLine="360" w:firstLineChars="200"/>
              <w:rPr>
                <w:rFonts w:hint="eastAsia" w:ascii="宋体" w:hAnsi="宋体" w:eastAsia="宋体" w:cs="宋体"/>
                <w:color w:val="000000"/>
                <w:kern w:val="0"/>
                <w:sz w:val="18"/>
                <w:szCs w:val="18"/>
                <w:lang w:bidi="ar"/>
              </w:rPr>
            </w:pP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010BA514">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一般</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5F18C1B9">
            <w:pPr>
              <w:spacing w:line="260" w:lineRule="exact"/>
              <w:rPr>
                <w:rFonts w:hint="eastAsia" w:ascii="宋体" w:hAnsi="宋体" w:eastAsia="宋体" w:cs="宋体"/>
                <w:color w:val="000000"/>
                <w:sz w:val="18"/>
                <w:szCs w:val="18"/>
                <w:lang w:bidi="ar"/>
              </w:rPr>
            </w:pPr>
            <w:r>
              <w:rPr>
                <w:rStyle w:val="21"/>
                <w:rFonts w:hint="eastAsia" w:ascii="宋体" w:hAnsi="宋体" w:eastAsia="宋体" w:cs="宋体"/>
                <w:sz w:val="18"/>
                <w:szCs w:val="18"/>
                <w:lang w:bidi="ar"/>
              </w:rPr>
              <w:t>在限期内安装计量设施，</w:t>
            </w:r>
            <w:r>
              <w:rPr>
                <w:rStyle w:val="21"/>
                <w:rFonts w:hint="eastAsia" w:ascii="宋体" w:hAnsi="宋体" w:eastAsia="宋体" w:cs="宋体"/>
                <w:sz w:val="18"/>
                <w:szCs w:val="18"/>
                <w:lang w:eastAsia="zh-CN" w:bidi="ar"/>
              </w:rPr>
              <w:t>日</w:t>
            </w:r>
            <w:r>
              <w:rPr>
                <w:rStyle w:val="21"/>
                <w:rFonts w:hint="eastAsia" w:ascii="宋体" w:hAnsi="宋体" w:eastAsia="宋体" w:cs="宋体"/>
                <w:sz w:val="18"/>
                <w:szCs w:val="18"/>
                <w:lang w:bidi="ar"/>
              </w:rPr>
              <w:t>最大取水能力为50立方米以上200立方米以下</w:t>
            </w: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4D904016">
            <w:pPr>
              <w:spacing w:line="260" w:lineRule="exact"/>
              <w:rPr>
                <w:rFonts w:hint="eastAsia" w:ascii="宋体" w:hAnsi="宋体" w:eastAsia="宋体" w:cs="宋体"/>
                <w:color w:val="000000"/>
                <w:sz w:val="18"/>
                <w:szCs w:val="18"/>
                <w:lang w:bidi="ar"/>
              </w:rPr>
            </w:pPr>
            <w:r>
              <w:rPr>
                <w:rStyle w:val="21"/>
                <w:rFonts w:hint="eastAsia" w:ascii="宋体" w:hAnsi="宋体" w:eastAsia="宋体" w:cs="宋体"/>
                <w:sz w:val="18"/>
                <w:szCs w:val="18"/>
                <w:lang w:bidi="ar"/>
              </w:rPr>
              <w:t>处20万元以上30万元以下罚款</w:t>
            </w:r>
          </w:p>
        </w:tc>
        <w:tc>
          <w:tcPr>
            <w:tcW w:w="56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5956E3C0">
            <w:pPr>
              <w:spacing w:line="260" w:lineRule="exact"/>
              <w:rPr>
                <w:rStyle w:val="21"/>
                <w:rFonts w:hint="eastAsia" w:ascii="宋体" w:hAnsi="宋体" w:eastAsia="宋体" w:cs="宋体"/>
                <w:sz w:val="18"/>
                <w:szCs w:val="18"/>
                <w:lang w:bidi="ar"/>
              </w:rPr>
            </w:pPr>
          </w:p>
        </w:tc>
      </w:tr>
      <w:tr w14:paraId="724072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7" w:hRule="atLeast"/>
          <w:jc w:val="center"/>
        </w:trPr>
        <w:tc>
          <w:tcPr>
            <w:tcW w:w="495"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78BF51AB">
            <w:pPr>
              <w:spacing w:line="260" w:lineRule="exact"/>
              <w:jc w:val="center"/>
              <w:rPr>
                <w:rFonts w:hint="eastAsia" w:ascii="宋体" w:hAnsi="宋体" w:eastAsia="宋体" w:cs="宋体"/>
                <w:sz w:val="18"/>
                <w:szCs w:val="18"/>
              </w:rPr>
            </w:pPr>
          </w:p>
        </w:tc>
        <w:tc>
          <w:tcPr>
            <w:tcW w:w="1211"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1FA3034D">
            <w:pPr>
              <w:spacing w:line="260" w:lineRule="exact"/>
              <w:rPr>
                <w:rFonts w:hint="eastAsia" w:ascii="宋体" w:hAnsi="宋体" w:eastAsia="宋体" w:cs="宋体"/>
                <w:color w:val="000000"/>
                <w:kern w:val="0"/>
                <w:sz w:val="18"/>
                <w:szCs w:val="18"/>
                <w:lang w:bidi="ar"/>
              </w:rPr>
            </w:pPr>
          </w:p>
        </w:tc>
        <w:tc>
          <w:tcPr>
            <w:tcW w:w="4862"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329ADC28">
            <w:pPr>
              <w:spacing w:line="260" w:lineRule="exact"/>
              <w:ind w:firstLine="360" w:firstLineChars="200"/>
              <w:rPr>
                <w:rFonts w:hint="eastAsia" w:ascii="宋体" w:hAnsi="宋体" w:eastAsia="宋体" w:cs="宋体"/>
                <w:color w:val="000000"/>
                <w:kern w:val="0"/>
                <w:sz w:val="18"/>
                <w:szCs w:val="18"/>
                <w:lang w:bidi="ar"/>
              </w:rPr>
            </w:pPr>
          </w:p>
        </w:tc>
        <w:tc>
          <w:tcPr>
            <w:tcW w:w="161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7910F352">
            <w:pPr>
              <w:spacing w:line="260" w:lineRule="exact"/>
              <w:ind w:firstLine="360" w:firstLineChars="200"/>
              <w:rPr>
                <w:rFonts w:hint="eastAsia" w:ascii="宋体" w:hAnsi="宋体" w:eastAsia="宋体" w:cs="宋体"/>
                <w:color w:val="000000"/>
                <w:kern w:val="0"/>
                <w:sz w:val="18"/>
                <w:szCs w:val="18"/>
                <w:lang w:bidi="ar"/>
              </w:rPr>
            </w:pP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59692123">
            <w:pPr>
              <w:spacing w:line="260" w:lineRule="exact"/>
              <w:jc w:val="center"/>
              <w:rPr>
                <w:rFonts w:hint="eastAsia" w:ascii="宋体" w:hAnsi="宋体" w:eastAsia="宋体" w:cs="宋体"/>
                <w:sz w:val="18"/>
                <w:szCs w:val="18"/>
                <w:lang w:eastAsia="zh-CN"/>
              </w:rPr>
            </w:pPr>
            <w:r>
              <w:rPr>
                <w:rFonts w:hint="eastAsia" w:ascii="宋体" w:hAnsi="宋体" w:eastAsia="宋体" w:cs="宋体"/>
                <w:sz w:val="18"/>
                <w:szCs w:val="18"/>
                <w:lang w:eastAsia="zh-CN"/>
              </w:rPr>
              <w:t>较重</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4EE81D24">
            <w:pPr>
              <w:spacing w:line="260" w:lineRule="exact"/>
              <w:rPr>
                <w:rFonts w:hint="eastAsia" w:ascii="宋体" w:hAnsi="宋体" w:eastAsia="宋体" w:cs="宋体"/>
                <w:color w:val="000000"/>
                <w:sz w:val="18"/>
                <w:szCs w:val="18"/>
                <w:lang w:bidi="ar"/>
              </w:rPr>
            </w:pPr>
            <w:r>
              <w:rPr>
                <w:rStyle w:val="21"/>
                <w:rFonts w:hint="eastAsia" w:ascii="宋体" w:hAnsi="宋体" w:eastAsia="宋体" w:cs="宋体"/>
                <w:sz w:val="18"/>
                <w:szCs w:val="18"/>
                <w:lang w:bidi="ar"/>
              </w:rPr>
              <w:t>在限期内安装计量设施，</w:t>
            </w:r>
            <w:r>
              <w:rPr>
                <w:rStyle w:val="21"/>
                <w:rFonts w:hint="eastAsia" w:ascii="宋体" w:hAnsi="宋体" w:eastAsia="宋体" w:cs="宋体"/>
                <w:sz w:val="18"/>
                <w:szCs w:val="18"/>
                <w:lang w:eastAsia="zh-CN" w:bidi="ar"/>
              </w:rPr>
              <w:t>日</w:t>
            </w:r>
            <w:r>
              <w:rPr>
                <w:rStyle w:val="21"/>
                <w:rFonts w:hint="eastAsia" w:ascii="宋体" w:hAnsi="宋体" w:eastAsia="宋体" w:cs="宋体"/>
                <w:sz w:val="18"/>
                <w:szCs w:val="18"/>
                <w:lang w:bidi="ar"/>
              </w:rPr>
              <w:t>最大取水能力为200立方米以上的</w:t>
            </w: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20D3314D">
            <w:pPr>
              <w:spacing w:line="260" w:lineRule="exact"/>
              <w:rPr>
                <w:rFonts w:hint="eastAsia" w:ascii="宋体" w:hAnsi="宋体" w:eastAsia="宋体" w:cs="宋体"/>
                <w:color w:val="000000"/>
                <w:sz w:val="18"/>
                <w:szCs w:val="18"/>
                <w:lang w:bidi="ar"/>
              </w:rPr>
            </w:pPr>
            <w:r>
              <w:rPr>
                <w:rStyle w:val="21"/>
                <w:rFonts w:hint="eastAsia" w:ascii="宋体" w:hAnsi="宋体" w:eastAsia="宋体" w:cs="宋体"/>
                <w:sz w:val="18"/>
                <w:szCs w:val="18"/>
                <w:lang w:bidi="ar"/>
              </w:rPr>
              <w:t>处30万元以上40万元以下罚款</w:t>
            </w:r>
          </w:p>
        </w:tc>
        <w:tc>
          <w:tcPr>
            <w:tcW w:w="56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6E86380D">
            <w:pPr>
              <w:spacing w:line="260" w:lineRule="exact"/>
              <w:rPr>
                <w:rStyle w:val="21"/>
                <w:rFonts w:hint="eastAsia" w:ascii="宋体" w:hAnsi="宋体" w:eastAsia="宋体" w:cs="宋体"/>
                <w:sz w:val="18"/>
                <w:szCs w:val="18"/>
                <w:lang w:bidi="ar"/>
              </w:rPr>
            </w:pPr>
          </w:p>
        </w:tc>
      </w:tr>
      <w:tr w14:paraId="1E1967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778" w:hRule="atLeast"/>
          <w:jc w:val="center"/>
        </w:trPr>
        <w:tc>
          <w:tcPr>
            <w:tcW w:w="495"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68662B59">
            <w:pPr>
              <w:spacing w:line="260" w:lineRule="exact"/>
              <w:jc w:val="center"/>
              <w:rPr>
                <w:rFonts w:hint="eastAsia" w:ascii="宋体" w:hAnsi="宋体" w:eastAsia="宋体" w:cs="宋体"/>
                <w:sz w:val="18"/>
                <w:szCs w:val="18"/>
              </w:rPr>
            </w:pPr>
          </w:p>
        </w:tc>
        <w:tc>
          <w:tcPr>
            <w:tcW w:w="1211"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7EBF8553">
            <w:pPr>
              <w:spacing w:line="260" w:lineRule="exact"/>
              <w:rPr>
                <w:rFonts w:hint="eastAsia" w:ascii="宋体" w:hAnsi="宋体" w:eastAsia="宋体" w:cs="宋体"/>
                <w:color w:val="000000"/>
                <w:kern w:val="0"/>
                <w:sz w:val="18"/>
                <w:szCs w:val="18"/>
                <w:lang w:bidi="ar"/>
              </w:rPr>
            </w:pPr>
          </w:p>
        </w:tc>
        <w:tc>
          <w:tcPr>
            <w:tcW w:w="4862"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2FAF945B">
            <w:pPr>
              <w:spacing w:line="260" w:lineRule="exact"/>
              <w:ind w:firstLine="360" w:firstLineChars="200"/>
              <w:rPr>
                <w:rFonts w:hint="eastAsia" w:ascii="宋体" w:hAnsi="宋体" w:eastAsia="宋体" w:cs="宋体"/>
                <w:color w:val="000000"/>
                <w:kern w:val="0"/>
                <w:sz w:val="18"/>
                <w:szCs w:val="18"/>
                <w:lang w:bidi="ar"/>
              </w:rPr>
            </w:pPr>
          </w:p>
        </w:tc>
        <w:tc>
          <w:tcPr>
            <w:tcW w:w="1613" w:type="dxa"/>
            <w:vMerge w:val="continue"/>
            <w:tcBorders>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18923718">
            <w:pPr>
              <w:spacing w:line="260" w:lineRule="exact"/>
              <w:ind w:firstLine="360" w:firstLineChars="200"/>
              <w:rPr>
                <w:rFonts w:hint="eastAsia" w:ascii="宋体" w:hAnsi="宋体" w:eastAsia="宋体" w:cs="宋体"/>
                <w:color w:val="000000"/>
                <w:kern w:val="0"/>
                <w:sz w:val="18"/>
                <w:szCs w:val="18"/>
                <w:lang w:bidi="ar"/>
              </w:rPr>
            </w:pP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23D7D0CA">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严重</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7E9FFA1D">
            <w:pPr>
              <w:spacing w:line="260" w:lineRule="exact"/>
              <w:rPr>
                <w:rFonts w:hint="eastAsia" w:ascii="宋体" w:hAnsi="宋体" w:eastAsia="宋体" w:cs="宋体"/>
                <w:color w:val="000000"/>
                <w:sz w:val="18"/>
                <w:szCs w:val="18"/>
                <w:lang w:bidi="ar"/>
              </w:rPr>
            </w:pPr>
            <w:r>
              <w:rPr>
                <w:rStyle w:val="21"/>
                <w:rFonts w:hint="eastAsia" w:ascii="宋体" w:hAnsi="宋体" w:eastAsia="宋体" w:cs="宋体"/>
                <w:sz w:val="18"/>
                <w:szCs w:val="18"/>
                <w:lang w:bidi="ar"/>
              </w:rPr>
              <w:t>未在规定期限内安装计量设施</w:t>
            </w: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681949CE">
            <w:pPr>
              <w:spacing w:line="260" w:lineRule="exact"/>
              <w:rPr>
                <w:rFonts w:hint="eastAsia" w:ascii="宋体" w:hAnsi="宋体" w:eastAsia="宋体" w:cs="宋体"/>
                <w:color w:val="000000"/>
                <w:sz w:val="18"/>
                <w:szCs w:val="18"/>
                <w:lang w:bidi="ar"/>
              </w:rPr>
            </w:pPr>
            <w:r>
              <w:rPr>
                <w:rStyle w:val="21"/>
                <w:rFonts w:hint="eastAsia" w:ascii="宋体" w:hAnsi="宋体" w:eastAsia="宋体" w:cs="宋体"/>
                <w:sz w:val="18"/>
                <w:szCs w:val="18"/>
                <w:lang w:bidi="ar"/>
              </w:rPr>
              <w:t>处40万元以上50万元以下罚款，吊销取水许可证</w:t>
            </w:r>
          </w:p>
        </w:tc>
        <w:tc>
          <w:tcPr>
            <w:tcW w:w="56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79ED8402">
            <w:pPr>
              <w:spacing w:line="260" w:lineRule="exact"/>
              <w:rPr>
                <w:rStyle w:val="21"/>
                <w:rFonts w:hint="eastAsia" w:ascii="宋体" w:hAnsi="宋体" w:eastAsia="宋体" w:cs="宋体"/>
                <w:sz w:val="18"/>
                <w:szCs w:val="18"/>
                <w:lang w:bidi="ar"/>
              </w:rPr>
            </w:pPr>
          </w:p>
        </w:tc>
      </w:tr>
      <w:tr w14:paraId="22CE46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95" w:type="dxa"/>
            <w:vMerge w:val="restart"/>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387B7B17">
            <w:pPr>
              <w:spacing w:line="260" w:lineRule="exact"/>
              <w:jc w:val="center"/>
              <w:rPr>
                <w:rFonts w:hint="eastAsia" w:ascii="宋体" w:hAnsi="宋体" w:eastAsia="宋体" w:cs="宋体"/>
                <w:sz w:val="18"/>
                <w:szCs w:val="18"/>
              </w:rPr>
            </w:pPr>
            <w:r>
              <w:rPr>
                <w:rFonts w:hint="eastAsia" w:ascii="宋体" w:hAnsi="宋体" w:eastAsia="宋体" w:cs="宋体"/>
                <w:sz w:val="18"/>
                <w:szCs w:val="18"/>
                <w:lang w:val="en-US" w:eastAsia="zh-CN"/>
              </w:rPr>
              <w:t>12</w:t>
            </w:r>
          </w:p>
        </w:tc>
        <w:tc>
          <w:tcPr>
            <w:tcW w:w="1211" w:type="dxa"/>
            <w:vMerge w:val="restart"/>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0E7E3ACE">
            <w:pPr>
              <w:spacing w:line="260" w:lineRule="exact"/>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对地下水取水工程未安装计量设施，计量设施不合格或者运行不正常行为的行政处罚</w:t>
            </w:r>
          </w:p>
        </w:tc>
        <w:tc>
          <w:tcPr>
            <w:tcW w:w="4862"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501A4275">
            <w:pPr>
              <w:spacing w:line="260" w:lineRule="exact"/>
              <w:rPr>
                <w:rFonts w:hint="eastAsia" w:ascii="宋体" w:hAnsi="宋体" w:eastAsia="宋体" w:cs="宋体"/>
                <w:color w:val="000000"/>
                <w:kern w:val="0"/>
                <w:sz w:val="18"/>
                <w:szCs w:val="18"/>
                <w:lang w:bidi="ar"/>
              </w:rPr>
            </w:pPr>
          </w:p>
        </w:tc>
        <w:tc>
          <w:tcPr>
            <w:tcW w:w="1613" w:type="dxa"/>
            <w:vMerge w:val="restart"/>
            <w:tcBorders>
              <w:top w:val="single" w:color="auto" w:sz="4" w:space="0"/>
              <w:left w:val="single" w:color="auto" w:sz="4" w:space="0"/>
              <w:right w:val="single" w:color="auto" w:sz="4" w:space="0"/>
            </w:tcBorders>
            <w:shd w:val="clear" w:color="auto" w:fill="FFFFFF"/>
            <w:noWrap w:val="0"/>
            <w:tcMar>
              <w:top w:w="0" w:type="dxa"/>
              <w:left w:w="0" w:type="dxa"/>
              <w:bottom w:w="0" w:type="dxa"/>
              <w:right w:w="0" w:type="dxa"/>
            </w:tcMar>
            <w:vAlign w:val="center"/>
          </w:tcPr>
          <w:p w14:paraId="7744FA5C">
            <w:pPr>
              <w:spacing w:line="260" w:lineRule="exact"/>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计量设施不合格或者运行不正常的</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val="en-US" w:eastAsia="zh-CN" w:bidi="ar"/>
              </w:rPr>
              <w:t>且</w:t>
            </w:r>
            <w:r>
              <w:rPr>
                <w:rFonts w:hint="eastAsia" w:ascii="宋体" w:hAnsi="宋体" w:eastAsia="宋体" w:cs="宋体"/>
                <w:color w:val="000000"/>
                <w:kern w:val="0"/>
                <w:sz w:val="18"/>
                <w:szCs w:val="18"/>
                <w:lang w:bidi="ar"/>
              </w:rPr>
              <w:t>逾期不更换或者不修复的</w:t>
            </w: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50E5C00B">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轻微</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7B2B584F">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5C8EDB35">
            <w:pPr>
              <w:spacing w:line="260" w:lineRule="exact"/>
              <w:rPr>
                <w:rStyle w:val="21"/>
                <w:rFonts w:hint="eastAsia" w:ascii="宋体" w:hAnsi="宋体" w:eastAsia="宋体" w:cs="宋体"/>
                <w:sz w:val="18"/>
                <w:szCs w:val="18"/>
                <w:lang w:bidi="ar"/>
              </w:rPr>
            </w:pP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5D6EADA7">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61658564">
            <w:pPr>
              <w:spacing w:line="260" w:lineRule="exact"/>
              <w:rPr>
                <w:rStyle w:val="21"/>
                <w:rFonts w:hint="eastAsia" w:ascii="宋体" w:hAnsi="宋体" w:eastAsia="宋体" w:cs="宋体"/>
                <w:sz w:val="18"/>
                <w:szCs w:val="18"/>
                <w:lang w:bidi="ar"/>
              </w:rPr>
            </w:pPr>
          </w:p>
        </w:tc>
        <w:tc>
          <w:tcPr>
            <w:tcW w:w="56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37394180">
            <w:pPr>
              <w:spacing w:line="260" w:lineRule="exact"/>
              <w:rPr>
                <w:rStyle w:val="21"/>
                <w:rFonts w:hint="eastAsia" w:ascii="宋体" w:hAnsi="宋体" w:eastAsia="宋体" w:cs="宋体"/>
                <w:sz w:val="18"/>
                <w:szCs w:val="18"/>
                <w:lang w:bidi="ar"/>
              </w:rPr>
            </w:pPr>
          </w:p>
        </w:tc>
      </w:tr>
      <w:tr w14:paraId="2861FA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567" w:hRule="atLeast"/>
          <w:jc w:val="center"/>
        </w:trPr>
        <w:tc>
          <w:tcPr>
            <w:tcW w:w="495"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3628EE89">
            <w:pPr>
              <w:spacing w:line="260" w:lineRule="exact"/>
              <w:jc w:val="center"/>
              <w:rPr>
                <w:rFonts w:hint="eastAsia" w:ascii="宋体" w:hAnsi="宋体" w:eastAsia="宋体" w:cs="宋体"/>
                <w:sz w:val="18"/>
                <w:szCs w:val="18"/>
              </w:rPr>
            </w:pPr>
          </w:p>
        </w:tc>
        <w:tc>
          <w:tcPr>
            <w:tcW w:w="1211"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4C7663D3">
            <w:pPr>
              <w:spacing w:line="260" w:lineRule="exact"/>
              <w:rPr>
                <w:rFonts w:hint="eastAsia" w:ascii="宋体" w:hAnsi="宋体" w:eastAsia="宋体" w:cs="宋体"/>
                <w:color w:val="000000"/>
                <w:kern w:val="0"/>
                <w:sz w:val="18"/>
                <w:szCs w:val="18"/>
                <w:lang w:bidi="ar"/>
              </w:rPr>
            </w:pPr>
          </w:p>
        </w:tc>
        <w:tc>
          <w:tcPr>
            <w:tcW w:w="4862"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24F7899C">
            <w:pPr>
              <w:spacing w:line="260" w:lineRule="exact"/>
              <w:ind w:firstLine="360" w:firstLineChars="200"/>
              <w:rPr>
                <w:rFonts w:hint="eastAsia" w:ascii="宋体" w:hAnsi="宋体" w:eastAsia="宋体" w:cs="宋体"/>
                <w:color w:val="000000"/>
                <w:kern w:val="0"/>
                <w:sz w:val="18"/>
                <w:szCs w:val="18"/>
                <w:lang w:bidi="ar"/>
              </w:rPr>
            </w:pPr>
          </w:p>
        </w:tc>
        <w:tc>
          <w:tcPr>
            <w:tcW w:w="161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534CB3F0">
            <w:pPr>
              <w:spacing w:line="260" w:lineRule="exact"/>
              <w:ind w:firstLine="360" w:firstLineChars="200"/>
              <w:rPr>
                <w:rFonts w:hint="eastAsia" w:ascii="宋体" w:hAnsi="宋体" w:eastAsia="宋体" w:cs="宋体"/>
                <w:color w:val="000000"/>
                <w:kern w:val="0"/>
                <w:sz w:val="18"/>
                <w:szCs w:val="18"/>
                <w:lang w:bidi="ar"/>
              </w:rPr>
            </w:pP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19E7E33C">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较轻</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1290AEFB">
            <w:pPr>
              <w:spacing w:line="260" w:lineRule="exact"/>
              <w:rPr>
                <w:rFonts w:hint="eastAsia" w:ascii="宋体" w:hAnsi="宋体" w:eastAsia="宋体" w:cs="宋体"/>
                <w:color w:val="000000"/>
                <w:sz w:val="18"/>
                <w:szCs w:val="18"/>
                <w:lang w:bidi="ar"/>
              </w:rPr>
            </w:pPr>
            <w:r>
              <w:rPr>
                <w:rStyle w:val="21"/>
                <w:rFonts w:hint="eastAsia" w:ascii="宋体" w:hAnsi="宋体" w:eastAsia="宋体" w:cs="宋体"/>
                <w:sz w:val="18"/>
                <w:szCs w:val="18"/>
                <w:lang w:bidi="ar"/>
              </w:rPr>
              <w:t>逾期不更换或者不修复的，</w:t>
            </w:r>
            <w:r>
              <w:rPr>
                <w:rStyle w:val="21"/>
                <w:rFonts w:hint="eastAsia" w:ascii="宋体" w:hAnsi="宋体" w:eastAsia="宋体" w:cs="宋体"/>
                <w:sz w:val="18"/>
                <w:szCs w:val="18"/>
                <w:lang w:eastAsia="zh-CN" w:bidi="ar"/>
              </w:rPr>
              <w:t>日</w:t>
            </w:r>
            <w:r>
              <w:rPr>
                <w:rStyle w:val="21"/>
                <w:rFonts w:hint="eastAsia" w:ascii="宋体" w:hAnsi="宋体" w:eastAsia="宋体" w:cs="宋体"/>
                <w:sz w:val="18"/>
                <w:szCs w:val="18"/>
                <w:lang w:bidi="ar"/>
              </w:rPr>
              <w:t>最大取水能力为50立方米以下的</w:t>
            </w: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588DEF41">
            <w:pPr>
              <w:spacing w:line="260" w:lineRule="exact"/>
              <w:rPr>
                <w:rFonts w:hint="eastAsia" w:ascii="宋体" w:hAnsi="宋体" w:eastAsia="宋体" w:cs="宋体"/>
                <w:color w:val="000000"/>
                <w:sz w:val="18"/>
                <w:szCs w:val="18"/>
                <w:lang w:bidi="ar"/>
              </w:rPr>
            </w:pPr>
            <w:r>
              <w:rPr>
                <w:rStyle w:val="21"/>
                <w:rFonts w:hint="eastAsia" w:ascii="宋体" w:hAnsi="宋体" w:eastAsia="宋体" w:cs="宋体"/>
                <w:sz w:val="18"/>
                <w:szCs w:val="18"/>
                <w:lang w:bidi="ar"/>
              </w:rPr>
              <w:t>处10万元以上20万元以下罚款</w:t>
            </w:r>
          </w:p>
        </w:tc>
        <w:tc>
          <w:tcPr>
            <w:tcW w:w="56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61872717">
            <w:pPr>
              <w:spacing w:line="260" w:lineRule="exact"/>
              <w:rPr>
                <w:rStyle w:val="21"/>
                <w:rFonts w:hint="eastAsia" w:ascii="宋体" w:hAnsi="宋体" w:eastAsia="宋体" w:cs="宋体"/>
                <w:sz w:val="18"/>
                <w:szCs w:val="18"/>
                <w:lang w:bidi="ar"/>
              </w:rPr>
            </w:pPr>
          </w:p>
        </w:tc>
      </w:tr>
      <w:tr w14:paraId="6C3043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647" w:hRule="atLeast"/>
          <w:jc w:val="center"/>
        </w:trPr>
        <w:tc>
          <w:tcPr>
            <w:tcW w:w="495"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515E2194">
            <w:pPr>
              <w:spacing w:line="260" w:lineRule="exact"/>
              <w:jc w:val="center"/>
              <w:rPr>
                <w:rFonts w:hint="eastAsia" w:ascii="宋体" w:hAnsi="宋体" w:eastAsia="宋体" w:cs="宋体"/>
                <w:sz w:val="18"/>
                <w:szCs w:val="18"/>
              </w:rPr>
            </w:pPr>
          </w:p>
        </w:tc>
        <w:tc>
          <w:tcPr>
            <w:tcW w:w="1211"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0AB4C3AD">
            <w:pPr>
              <w:spacing w:line="260" w:lineRule="exact"/>
              <w:rPr>
                <w:rFonts w:hint="eastAsia" w:ascii="宋体" w:hAnsi="宋体" w:eastAsia="宋体" w:cs="宋体"/>
                <w:color w:val="000000"/>
                <w:kern w:val="0"/>
                <w:sz w:val="18"/>
                <w:szCs w:val="18"/>
                <w:lang w:bidi="ar"/>
              </w:rPr>
            </w:pPr>
          </w:p>
        </w:tc>
        <w:tc>
          <w:tcPr>
            <w:tcW w:w="4862"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24F751A1">
            <w:pPr>
              <w:spacing w:line="260" w:lineRule="exact"/>
              <w:ind w:firstLine="360" w:firstLineChars="200"/>
              <w:rPr>
                <w:rFonts w:hint="eastAsia" w:ascii="宋体" w:hAnsi="宋体" w:eastAsia="宋体" w:cs="宋体"/>
                <w:color w:val="000000"/>
                <w:kern w:val="0"/>
                <w:sz w:val="18"/>
                <w:szCs w:val="18"/>
                <w:lang w:bidi="ar"/>
              </w:rPr>
            </w:pPr>
          </w:p>
        </w:tc>
        <w:tc>
          <w:tcPr>
            <w:tcW w:w="161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72D87504">
            <w:pPr>
              <w:spacing w:line="260" w:lineRule="exact"/>
              <w:ind w:firstLine="360" w:firstLineChars="200"/>
              <w:rPr>
                <w:rFonts w:hint="eastAsia" w:ascii="宋体" w:hAnsi="宋体" w:eastAsia="宋体" w:cs="宋体"/>
                <w:color w:val="000000"/>
                <w:kern w:val="0"/>
                <w:sz w:val="18"/>
                <w:szCs w:val="18"/>
                <w:lang w:bidi="ar"/>
              </w:rPr>
            </w:pP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2DA097EA">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一般</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01C13963">
            <w:pPr>
              <w:spacing w:line="260" w:lineRule="exact"/>
              <w:rPr>
                <w:rFonts w:hint="eastAsia" w:ascii="宋体" w:hAnsi="宋体" w:eastAsia="宋体" w:cs="宋体"/>
                <w:color w:val="000000"/>
                <w:sz w:val="18"/>
                <w:szCs w:val="18"/>
                <w:lang w:bidi="ar"/>
              </w:rPr>
            </w:pPr>
            <w:r>
              <w:rPr>
                <w:rStyle w:val="21"/>
                <w:rFonts w:hint="eastAsia" w:ascii="宋体" w:hAnsi="宋体" w:eastAsia="宋体" w:cs="宋体"/>
                <w:sz w:val="18"/>
                <w:szCs w:val="18"/>
                <w:lang w:bidi="ar"/>
              </w:rPr>
              <w:t>逾期不更换或者不修复的，</w:t>
            </w:r>
            <w:r>
              <w:rPr>
                <w:rStyle w:val="21"/>
                <w:rFonts w:hint="eastAsia" w:ascii="宋体" w:hAnsi="宋体" w:eastAsia="宋体" w:cs="宋体"/>
                <w:sz w:val="18"/>
                <w:szCs w:val="18"/>
                <w:lang w:eastAsia="zh-CN" w:bidi="ar"/>
              </w:rPr>
              <w:t>日</w:t>
            </w:r>
            <w:r>
              <w:rPr>
                <w:rStyle w:val="21"/>
                <w:rFonts w:hint="eastAsia" w:ascii="宋体" w:hAnsi="宋体" w:eastAsia="宋体" w:cs="宋体"/>
                <w:sz w:val="18"/>
                <w:szCs w:val="18"/>
                <w:lang w:bidi="ar"/>
              </w:rPr>
              <w:t>最大取水能力为50立方米以上100立方米以下</w:t>
            </w: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5C78B21F">
            <w:pPr>
              <w:spacing w:line="260" w:lineRule="exact"/>
              <w:rPr>
                <w:rFonts w:hint="eastAsia" w:ascii="宋体" w:hAnsi="宋体" w:eastAsia="宋体" w:cs="宋体"/>
                <w:color w:val="000000"/>
                <w:sz w:val="18"/>
                <w:szCs w:val="18"/>
                <w:lang w:bidi="ar"/>
              </w:rPr>
            </w:pPr>
            <w:r>
              <w:rPr>
                <w:rStyle w:val="21"/>
                <w:rFonts w:hint="eastAsia" w:ascii="宋体" w:hAnsi="宋体" w:eastAsia="宋体" w:cs="宋体"/>
                <w:sz w:val="18"/>
                <w:szCs w:val="18"/>
                <w:lang w:bidi="ar"/>
              </w:rPr>
              <w:t>处20万元以上30万元以下罚款</w:t>
            </w:r>
          </w:p>
        </w:tc>
        <w:tc>
          <w:tcPr>
            <w:tcW w:w="56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36C9508C">
            <w:pPr>
              <w:spacing w:line="260" w:lineRule="exact"/>
              <w:rPr>
                <w:rStyle w:val="21"/>
                <w:rFonts w:hint="eastAsia" w:ascii="宋体" w:hAnsi="宋体" w:eastAsia="宋体" w:cs="宋体"/>
                <w:sz w:val="18"/>
                <w:szCs w:val="18"/>
                <w:lang w:bidi="ar"/>
              </w:rPr>
            </w:pPr>
          </w:p>
        </w:tc>
      </w:tr>
      <w:tr w14:paraId="708CF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495"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3766413D">
            <w:pPr>
              <w:spacing w:line="260" w:lineRule="exact"/>
              <w:jc w:val="center"/>
              <w:rPr>
                <w:rFonts w:hint="eastAsia" w:ascii="宋体" w:hAnsi="宋体" w:eastAsia="宋体" w:cs="宋体"/>
                <w:sz w:val="18"/>
                <w:szCs w:val="18"/>
              </w:rPr>
            </w:pPr>
          </w:p>
        </w:tc>
        <w:tc>
          <w:tcPr>
            <w:tcW w:w="1211"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3501E3A1">
            <w:pPr>
              <w:spacing w:line="260" w:lineRule="exact"/>
              <w:rPr>
                <w:rFonts w:hint="eastAsia" w:ascii="宋体" w:hAnsi="宋体" w:eastAsia="宋体" w:cs="宋体"/>
                <w:color w:val="000000"/>
                <w:kern w:val="0"/>
                <w:sz w:val="18"/>
                <w:szCs w:val="18"/>
                <w:lang w:bidi="ar"/>
              </w:rPr>
            </w:pPr>
          </w:p>
        </w:tc>
        <w:tc>
          <w:tcPr>
            <w:tcW w:w="4862"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05EAD1F2">
            <w:pPr>
              <w:spacing w:line="260" w:lineRule="exact"/>
              <w:ind w:firstLine="360" w:firstLineChars="200"/>
              <w:rPr>
                <w:rFonts w:hint="eastAsia" w:ascii="宋体" w:hAnsi="宋体" w:eastAsia="宋体" w:cs="宋体"/>
                <w:color w:val="000000"/>
                <w:kern w:val="0"/>
                <w:sz w:val="18"/>
                <w:szCs w:val="18"/>
                <w:lang w:bidi="ar"/>
              </w:rPr>
            </w:pPr>
          </w:p>
        </w:tc>
        <w:tc>
          <w:tcPr>
            <w:tcW w:w="161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44F493FE">
            <w:pPr>
              <w:spacing w:line="260" w:lineRule="exact"/>
              <w:ind w:firstLine="360" w:firstLineChars="200"/>
              <w:rPr>
                <w:rFonts w:hint="eastAsia" w:ascii="宋体" w:hAnsi="宋体" w:eastAsia="宋体" w:cs="宋体"/>
                <w:color w:val="000000"/>
                <w:kern w:val="0"/>
                <w:sz w:val="18"/>
                <w:szCs w:val="18"/>
                <w:lang w:bidi="ar"/>
              </w:rPr>
            </w:pP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626C6ED4">
            <w:pPr>
              <w:spacing w:line="260" w:lineRule="exact"/>
              <w:jc w:val="center"/>
              <w:rPr>
                <w:rFonts w:hint="eastAsia" w:ascii="宋体" w:hAnsi="宋体" w:eastAsia="宋体" w:cs="宋体"/>
                <w:sz w:val="18"/>
                <w:szCs w:val="18"/>
                <w:lang w:eastAsia="zh-CN"/>
              </w:rPr>
            </w:pPr>
            <w:r>
              <w:rPr>
                <w:rFonts w:hint="eastAsia" w:ascii="宋体" w:hAnsi="宋体" w:eastAsia="宋体" w:cs="宋体"/>
                <w:sz w:val="18"/>
                <w:szCs w:val="18"/>
                <w:lang w:eastAsia="zh-CN"/>
              </w:rPr>
              <w:t>较重</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06F60D38">
            <w:pPr>
              <w:spacing w:line="260" w:lineRule="exact"/>
              <w:rPr>
                <w:rFonts w:hint="eastAsia" w:ascii="宋体" w:hAnsi="宋体" w:eastAsia="宋体" w:cs="宋体"/>
                <w:color w:val="000000"/>
                <w:sz w:val="18"/>
                <w:szCs w:val="18"/>
                <w:lang w:bidi="ar"/>
              </w:rPr>
            </w:pPr>
            <w:r>
              <w:rPr>
                <w:rStyle w:val="21"/>
                <w:rFonts w:hint="eastAsia" w:ascii="宋体" w:hAnsi="宋体" w:eastAsia="宋体" w:cs="宋体"/>
                <w:sz w:val="18"/>
                <w:szCs w:val="18"/>
                <w:lang w:bidi="ar"/>
              </w:rPr>
              <w:t>逾期不更换或者不修复的，</w:t>
            </w:r>
            <w:r>
              <w:rPr>
                <w:rStyle w:val="21"/>
                <w:rFonts w:hint="eastAsia" w:ascii="宋体" w:hAnsi="宋体" w:eastAsia="宋体" w:cs="宋体"/>
                <w:sz w:val="18"/>
                <w:szCs w:val="18"/>
                <w:lang w:eastAsia="zh-CN" w:bidi="ar"/>
              </w:rPr>
              <w:t>日</w:t>
            </w:r>
            <w:r>
              <w:rPr>
                <w:rStyle w:val="21"/>
                <w:rFonts w:hint="eastAsia" w:ascii="宋体" w:hAnsi="宋体" w:eastAsia="宋体" w:cs="宋体"/>
                <w:sz w:val="18"/>
                <w:szCs w:val="18"/>
                <w:lang w:bidi="ar"/>
              </w:rPr>
              <w:t>最大取水能力为100立方米以上200立方米以下</w:t>
            </w: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084FDB10">
            <w:pPr>
              <w:spacing w:line="260" w:lineRule="exact"/>
              <w:rPr>
                <w:rFonts w:hint="eastAsia" w:ascii="宋体" w:hAnsi="宋体" w:eastAsia="宋体" w:cs="宋体"/>
                <w:color w:val="000000"/>
                <w:sz w:val="18"/>
                <w:szCs w:val="18"/>
                <w:lang w:bidi="ar"/>
              </w:rPr>
            </w:pPr>
            <w:r>
              <w:rPr>
                <w:rStyle w:val="21"/>
                <w:rFonts w:hint="eastAsia" w:ascii="宋体" w:hAnsi="宋体" w:eastAsia="宋体" w:cs="宋体"/>
                <w:sz w:val="18"/>
                <w:szCs w:val="18"/>
                <w:lang w:bidi="ar"/>
              </w:rPr>
              <w:t>处30万元以上40万元以下罚款</w:t>
            </w:r>
          </w:p>
        </w:tc>
        <w:tc>
          <w:tcPr>
            <w:tcW w:w="56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5304F8C5">
            <w:pPr>
              <w:spacing w:line="260" w:lineRule="exact"/>
              <w:rPr>
                <w:rStyle w:val="21"/>
                <w:rFonts w:hint="eastAsia" w:ascii="宋体" w:hAnsi="宋体" w:eastAsia="宋体" w:cs="宋体"/>
                <w:sz w:val="18"/>
                <w:szCs w:val="18"/>
                <w:lang w:bidi="ar"/>
              </w:rPr>
            </w:pPr>
          </w:p>
        </w:tc>
      </w:tr>
      <w:tr w14:paraId="3DF255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875" w:hRule="atLeast"/>
          <w:jc w:val="center"/>
        </w:trPr>
        <w:tc>
          <w:tcPr>
            <w:tcW w:w="495" w:type="dxa"/>
            <w:vMerge w:val="continue"/>
            <w:tcBorders>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0B25CDA6">
            <w:pPr>
              <w:spacing w:line="260" w:lineRule="exact"/>
              <w:jc w:val="center"/>
              <w:rPr>
                <w:rFonts w:hint="eastAsia" w:ascii="宋体" w:hAnsi="宋体" w:eastAsia="宋体" w:cs="宋体"/>
                <w:sz w:val="18"/>
                <w:szCs w:val="18"/>
              </w:rPr>
            </w:pPr>
          </w:p>
        </w:tc>
        <w:tc>
          <w:tcPr>
            <w:tcW w:w="1211" w:type="dxa"/>
            <w:vMerge w:val="continue"/>
            <w:tcBorders>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23DA514B">
            <w:pPr>
              <w:spacing w:line="260" w:lineRule="exact"/>
              <w:rPr>
                <w:rFonts w:hint="eastAsia" w:ascii="宋体" w:hAnsi="宋体" w:eastAsia="宋体" w:cs="宋体"/>
                <w:color w:val="000000"/>
                <w:kern w:val="0"/>
                <w:sz w:val="18"/>
                <w:szCs w:val="18"/>
                <w:lang w:bidi="ar"/>
              </w:rPr>
            </w:pPr>
          </w:p>
        </w:tc>
        <w:tc>
          <w:tcPr>
            <w:tcW w:w="4862" w:type="dxa"/>
            <w:vMerge w:val="continue"/>
            <w:tcBorders>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613E18FE">
            <w:pPr>
              <w:spacing w:line="260" w:lineRule="exact"/>
              <w:ind w:firstLine="360" w:firstLineChars="200"/>
              <w:rPr>
                <w:rFonts w:hint="eastAsia" w:ascii="宋体" w:hAnsi="宋体" w:eastAsia="宋体" w:cs="宋体"/>
                <w:color w:val="000000"/>
                <w:kern w:val="0"/>
                <w:sz w:val="18"/>
                <w:szCs w:val="18"/>
                <w:lang w:bidi="ar"/>
              </w:rPr>
            </w:pPr>
          </w:p>
        </w:tc>
        <w:tc>
          <w:tcPr>
            <w:tcW w:w="1613" w:type="dxa"/>
            <w:vMerge w:val="continue"/>
            <w:tcBorders>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4A18F2F9">
            <w:pPr>
              <w:spacing w:line="260" w:lineRule="exact"/>
              <w:ind w:firstLine="360" w:firstLineChars="200"/>
              <w:rPr>
                <w:rFonts w:hint="eastAsia" w:ascii="宋体" w:hAnsi="宋体" w:eastAsia="宋体" w:cs="宋体"/>
                <w:color w:val="000000"/>
                <w:kern w:val="0"/>
                <w:sz w:val="18"/>
                <w:szCs w:val="18"/>
                <w:lang w:bidi="ar"/>
              </w:rPr>
            </w:pP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55F1CD11">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严重</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5BD75464">
            <w:pPr>
              <w:spacing w:line="260" w:lineRule="exact"/>
              <w:rPr>
                <w:rFonts w:hint="eastAsia" w:ascii="宋体" w:hAnsi="宋体" w:eastAsia="宋体" w:cs="宋体"/>
                <w:color w:val="000000"/>
                <w:sz w:val="18"/>
                <w:szCs w:val="18"/>
                <w:lang w:bidi="ar"/>
              </w:rPr>
            </w:pPr>
            <w:r>
              <w:rPr>
                <w:rStyle w:val="21"/>
                <w:rFonts w:hint="eastAsia" w:ascii="宋体" w:hAnsi="宋体" w:eastAsia="宋体" w:cs="宋体"/>
                <w:sz w:val="18"/>
                <w:szCs w:val="18"/>
                <w:lang w:bidi="ar"/>
              </w:rPr>
              <w:t>逾期不更换或者不修复的，</w:t>
            </w:r>
            <w:r>
              <w:rPr>
                <w:rStyle w:val="21"/>
                <w:rFonts w:hint="eastAsia" w:ascii="宋体" w:hAnsi="宋体" w:eastAsia="宋体" w:cs="宋体"/>
                <w:sz w:val="18"/>
                <w:szCs w:val="18"/>
                <w:lang w:eastAsia="zh-CN" w:bidi="ar"/>
              </w:rPr>
              <w:t>日</w:t>
            </w:r>
            <w:r>
              <w:rPr>
                <w:rStyle w:val="21"/>
                <w:rFonts w:hint="eastAsia" w:ascii="宋体" w:hAnsi="宋体" w:eastAsia="宋体" w:cs="宋体"/>
                <w:sz w:val="18"/>
                <w:szCs w:val="18"/>
                <w:lang w:bidi="ar"/>
              </w:rPr>
              <w:t>最大取水能力为200立方米以上的</w:t>
            </w: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1232D370">
            <w:pPr>
              <w:spacing w:line="260" w:lineRule="exact"/>
              <w:rPr>
                <w:rFonts w:hint="eastAsia" w:ascii="宋体" w:hAnsi="宋体" w:eastAsia="宋体" w:cs="宋体"/>
                <w:color w:val="000000"/>
                <w:sz w:val="18"/>
                <w:szCs w:val="18"/>
                <w:lang w:bidi="ar"/>
              </w:rPr>
            </w:pPr>
            <w:r>
              <w:rPr>
                <w:rStyle w:val="21"/>
                <w:rFonts w:hint="eastAsia" w:ascii="宋体" w:hAnsi="宋体" w:eastAsia="宋体" w:cs="宋体"/>
                <w:sz w:val="18"/>
                <w:szCs w:val="18"/>
                <w:lang w:bidi="ar"/>
              </w:rPr>
              <w:t>处40万元以上50万元以下罚款，吊销取水许可证</w:t>
            </w:r>
          </w:p>
        </w:tc>
        <w:tc>
          <w:tcPr>
            <w:tcW w:w="563" w:type="dxa"/>
            <w:vMerge w:val="continue"/>
            <w:tcBorders>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2ECAC8B2">
            <w:pPr>
              <w:spacing w:line="260" w:lineRule="exact"/>
              <w:rPr>
                <w:rStyle w:val="21"/>
                <w:rFonts w:hint="eastAsia" w:ascii="宋体" w:hAnsi="宋体" w:eastAsia="宋体" w:cs="宋体"/>
                <w:sz w:val="18"/>
                <w:szCs w:val="18"/>
                <w:lang w:bidi="ar"/>
              </w:rPr>
            </w:pPr>
          </w:p>
        </w:tc>
      </w:tr>
      <w:tr w14:paraId="2B8604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95" w:type="dxa"/>
            <w:vMerge w:val="restart"/>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44DD5997">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13</w:t>
            </w:r>
          </w:p>
        </w:tc>
        <w:tc>
          <w:tcPr>
            <w:tcW w:w="1211" w:type="dxa"/>
            <w:vMerge w:val="restart"/>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6FFEEB9B">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对侵占、毁坏或者擅自移动地下水监测设施设备及其标志行为的行政处罚</w:t>
            </w:r>
          </w:p>
        </w:tc>
        <w:tc>
          <w:tcPr>
            <w:tcW w:w="4862" w:type="dxa"/>
            <w:vMerge w:val="restart"/>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504A040D">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《地下水管理条例》第六十条 侵占、毁坏或者擅自移动地下水监测设施设备及其标志的，由县级以上地方人民政府水行政、自然资源、生态环境主管部门责令停止违法行为，限期采取补救措施，处2万元以上10万元以下罚款；逾期不采取补救措施的，由县级以上地方人民政府水行政、自然资源、生态环境主管部门组织补救，所需费用由违法行为人承担。</w:t>
            </w:r>
          </w:p>
        </w:tc>
        <w:tc>
          <w:tcPr>
            <w:tcW w:w="1613" w:type="dxa"/>
            <w:vMerge w:val="restart"/>
            <w:tcBorders>
              <w:top w:val="single" w:color="auto" w:sz="4" w:space="0"/>
              <w:left w:val="single" w:color="auto" w:sz="4" w:space="0"/>
              <w:right w:val="single" w:color="auto" w:sz="4" w:space="0"/>
            </w:tcBorders>
            <w:shd w:val="clear" w:color="auto" w:fill="FFFFFF"/>
            <w:noWrap w:val="0"/>
            <w:tcMar>
              <w:top w:w="0" w:type="dxa"/>
              <w:left w:w="0" w:type="dxa"/>
              <w:bottom w:w="0" w:type="dxa"/>
              <w:right w:w="0" w:type="dxa"/>
            </w:tcMar>
            <w:vAlign w:val="center"/>
          </w:tcPr>
          <w:p w14:paraId="03E1419D">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侵占、毁坏或者擅自移动地下水监测设施设备及其标志的</w:t>
            </w: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5E00A3FC">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轻微</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3EED0550">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2877D598">
            <w:pPr>
              <w:spacing w:line="260" w:lineRule="exact"/>
              <w:rPr>
                <w:rStyle w:val="21"/>
                <w:rFonts w:hint="eastAsia" w:ascii="宋体" w:hAnsi="宋体" w:eastAsia="宋体" w:cs="宋体"/>
                <w:sz w:val="18"/>
                <w:szCs w:val="18"/>
                <w:lang w:bidi="ar"/>
              </w:rPr>
            </w:pP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4B291E8C">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0950EF61">
            <w:pPr>
              <w:spacing w:line="260" w:lineRule="exact"/>
              <w:rPr>
                <w:rStyle w:val="21"/>
                <w:rFonts w:hint="eastAsia" w:ascii="宋体" w:hAnsi="宋体" w:eastAsia="宋体" w:cs="宋体"/>
                <w:sz w:val="18"/>
                <w:szCs w:val="18"/>
                <w:lang w:bidi="ar"/>
              </w:rPr>
            </w:pPr>
          </w:p>
        </w:tc>
        <w:tc>
          <w:tcPr>
            <w:tcW w:w="563" w:type="dxa"/>
            <w:vMerge w:val="restart"/>
            <w:tcBorders>
              <w:top w:val="single" w:color="auto" w:sz="4" w:space="0"/>
              <w:left w:val="single" w:color="auto" w:sz="4" w:space="0"/>
              <w:right w:val="single" w:color="auto" w:sz="4" w:space="0"/>
            </w:tcBorders>
            <w:shd w:val="clear" w:color="auto" w:fill="FFFFFF"/>
            <w:noWrap w:val="0"/>
            <w:tcMar>
              <w:top w:w="0" w:type="dxa"/>
              <w:left w:w="0" w:type="dxa"/>
              <w:bottom w:w="0" w:type="dxa"/>
              <w:right w:w="0" w:type="dxa"/>
            </w:tcMar>
            <w:vAlign w:val="center"/>
          </w:tcPr>
          <w:p w14:paraId="2DEF4281">
            <w:pPr>
              <w:spacing w:line="260" w:lineRule="exact"/>
              <w:rPr>
                <w:rStyle w:val="21"/>
                <w:rFonts w:hint="eastAsia" w:ascii="宋体" w:hAnsi="宋体" w:eastAsia="宋体" w:cs="宋体"/>
                <w:sz w:val="18"/>
                <w:szCs w:val="18"/>
                <w:lang w:bidi="ar"/>
              </w:rPr>
            </w:pPr>
          </w:p>
        </w:tc>
      </w:tr>
      <w:tr w14:paraId="522FF1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95"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1E3E253B">
            <w:pPr>
              <w:spacing w:line="260" w:lineRule="exact"/>
              <w:jc w:val="center"/>
              <w:rPr>
                <w:rFonts w:hint="eastAsia" w:ascii="宋体" w:hAnsi="宋体" w:eastAsia="宋体" w:cs="宋体"/>
                <w:sz w:val="18"/>
                <w:szCs w:val="18"/>
              </w:rPr>
            </w:pPr>
          </w:p>
        </w:tc>
        <w:tc>
          <w:tcPr>
            <w:tcW w:w="1211"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3224C181">
            <w:pPr>
              <w:spacing w:line="260" w:lineRule="exact"/>
              <w:rPr>
                <w:rFonts w:hint="eastAsia" w:ascii="宋体" w:hAnsi="宋体" w:eastAsia="宋体" w:cs="宋体"/>
                <w:color w:val="000000"/>
                <w:kern w:val="0"/>
                <w:sz w:val="18"/>
                <w:szCs w:val="18"/>
                <w:lang w:bidi="ar"/>
              </w:rPr>
            </w:pPr>
          </w:p>
        </w:tc>
        <w:tc>
          <w:tcPr>
            <w:tcW w:w="4862"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0B0AD7F2">
            <w:pPr>
              <w:spacing w:line="260" w:lineRule="exact"/>
              <w:ind w:firstLine="360" w:firstLineChars="200"/>
              <w:rPr>
                <w:rFonts w:hint="eastAsia" w:ascii="宋体" w:hAnsi="宋体" w:eastAsia="宋体" w:cs="宋体"/>
                <w:color w:val="000000"/>
                <w:kern w:val="0"/>
                <w:sz w:val="18"/>
                <w:szCs w:val="18"/>
                <w:lang w:bidi="ar"/>
              </w:rPr>
            </w:pPr>
          </w:p>
        </w:tc>
        <w:tc>
          <w:tcPr>
            <w:tcW w:w="161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5EB7753B">
            <w:pPr>
              <w:spacing w:line="260" w:lineRule="exact"/>
              <w:ind w:firstLine="360" w:firstLineChars="200"/>
              <w:rPr>
                <w:rFonts w:hint="eastAsia" w:ascii="宋体" w:hAnsi="宋体" w:eastAsia="宋体" w:cs="宋体"/>
                <w:color w:val="000000"/>
                <w:kern w:val="0"/>
                <w:sz w:val="18"/>
                <w:szCs w:val="18"/>
                <w:lang w:bidi="ar"/>
              </w:rPr>
            </w:pP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75F8734C">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较轻</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00B7F425">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0DB3FB0E">
            <w:pPr>
              <w:spacing w:line="260" w:lineRule="exact"/>
              <w:rPr>
                <w:rStyle w:val="21"/>
                <w:rFonts w:hint="eastAsia" w:ascii="宋体" w:hAnsi="宋体" w:eastAsia="宋体" w:cs="宋体"/>
                <w:sz w:val="18"/>
                <w:szCs w:val="18"/>
                <w:lang w:bidi="ar"/>
              </w:rPr>
            </w:pP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58919C8A">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620E25AF">
            <w:pPr>
              <w:spacing w:line="260" w:lineRule="exact"/>
              <w:rPr>
                <w:rStyle w:val="21"/>
                <w:rFonts w:hint="eastAsia" w:ascii="宋体" w:hAnsi="宋体" w:eastAsia="宋体" w:cs="宋体"/>
                <w:sz w:val="18"/>
                <w:szCs w:val="18"/>
                <w:lang w:bidi="ar"/>
              </w:rPr>
            </w:pPr>
          </w:p>
        </w:tc>
        <w:tc>
          <w:tcPr>
            <w:tcW w:w="56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005AB4F1">
            <w:pPr>
              <w:spacing w:line="260" w:lineRule="exact"/>
              <w:rPr>
                <w:rStyle w:val="21"/>
                <w:rFonts w:hint="eastAsia" w:ascii="宋体" w:hAnsi="宋体" w:eastAsia="宋体" w:cs="宋体"/>
                <w:sz w:val="18"/>
                <w:szCs w:val="18"/>
                <w:lang w:bidi="ar"/>
              </w:rPr>
            </w:pPr>
          </w:p>
        </w:tc>
      </w:tr>
      <w:tr w14:paraId="7FE7F7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95"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2D48AC64">
            <w:pPr>
              <w:spacing w:line="260" w:lineRule="exact"/>
              <w:jc w:val="center"/>
              <w:rPr>
                <w:rFonts w:hint="eastAsia" w:ascii="宋体" w:hAnsi="宋体" w:eastAsia="宋体" w:cs="宋体"/>
                <w:sz w:val="18"/>
                <w:szCs w:val="18"/>
              </w:rPr>
            </w:pPr>
          </w:p>
        </w:tc>
        <w:tc>
          <w:tcPr>
            <w:tcW w:w="1211"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1119B99F">
            <w:pPr>
              <w:spacing w:line="260" w:lineRule="exact"/>
              <w:rPr>
                <w:rFonts w:hint="eastAsia" w:ascii="宋体" w:hAnsi="宋体" w:eastAsia="宋体" w:cs="宋体"/>
                <w:color w:val="000000"/>
                <w:kern w:val="0"/>
                <w:sz w:val="18"/>
                <w:szCs w:val="18"/>
                <w:lang w:bidi="ar"/>
              </w:rPr>
            </w:pPr>
          </w:p>
        </w:tc>
        <w:tc>
          <w:tcPr>
            <w:tcW w:w="4862"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708206FB">
            <w:pPr>
              <w:spacing w:line="260" w:lineRule="exact"/>
              <w:ind w:firstLine="360" w:firstLineChars="200"/>
              <w:rPr>
                <w:rFonts w:hint="eastAsia" w:ascii="宋体" w:hAnsi="宋体" w:eastAsia="宋体" w:cs="宋体"/>
                <w:color w:val="000000"/>
                <w:kern w:val="0"/>
                <w:sz w:val="18"/>
                <w:szCs w:val="18"/>
                <w:lang w:bidi="ar"/>
              </w:rPr>
            </w:pPr>
          </w:p>
        </w:tc>
        <w:tc>
          <w:tcPr>
            <w:tcW w:w="161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69DAC1F2">
            <w:pPr>
              <w:spacing w:line="260" w:lineRule="exact"/>
              <w:ind w:firstLine="360" w:firstLineChars="200"/>
              <w:rPr>
                <w:rFonts w:hint="eastAsia" w:ascii="宋体" w:hAnsi="宋体" w:eastAsia="宋体" w:cs="宋体"/>
                <w:color w:val="000000"/>
                <w:kern w:val="0"/>
                <w:sz w:val="18"/>
                <w:szCs w:val="18"/>
                <w:lang w:bidi="ar"/>
              </w:rPr>
            </w:pP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3BF84E95">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eastAsia" w:ascii="宋体" w:hAnsi="宋体" w:eastAsia="宋体" w:cs="宋体"/>
                <w:sz w:val="18"/>
                <w:szCs w:val="18"/>
              </w:rPr>
            </w:pPr>
            <w:r>
              <w:rPr>
                <w:rFonts w:hint="eastAsia" w:ascii="宋体" w:hAnsi="宋体" w:eastAsia="宋体" w:cs="宋体"/>
                <w:sz w:val="18"/>
                <w:szCs w:val="18"/>
              </w:rPr>
              <w:t>一般</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3105F563">
            <w:pPr>
              <w:keepNext w:val="0"/>
              <w:keepLines w:val="0"/>
              <w:pageBreakBefore w:val="0"/>
              <w:widowControl w:val="0"/>
              <w:kinsoku/>
              <w:wordWrap/>
              <w:overflowPunct/>
              <w:topLinePunct w:val="0"/>
              <w:autoSpaceDE/>
              <w:autoSpaceDN/>
              <w:bidi w:val="0"/>
              <w:adjustRightInd/>
              <w:snapToGrid/>
              <w:spacing w:line="220" w:lineRule="exact"/>
              <w:textAlignment w:val="auto"/>
              <w:rPr>
                <w:rFonts w:hint="eastAsia" w:ascii="宋体" w:hAnsi="宋体" w:eastAsia="宋体" w:cs="宋体"/>
                <w:color w:val="000000"/>
                <w:sz w:val="18"/>
                <w:szCs w:val="18"/>
                <w:lang w:bidi="ar"/>
              </w:rPr>
            </w:pPr>
            <w:r>
              <w:rPr>
                <w:rStyle w:val="21"/>
                <w:rFonts w:hint="eastAsia" w:ascii="宋体" w:hAnsi="宋体" w:eastAsia="宋体" w:cs="宋体"/>
                <w:sz w:val="18"/>
                <w:szCs w:val="18"/>
                <w:lang w:bidi="ar"/>
              </w:rPr>
              <w:t>立即停止违法行为，在限期内采取补救措施，不影响监测数据的真实性、准确性，对监测设施设备影响较小的</w:t>
            </w: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2C01188D">
            <w:pPr>
              <w:keepNext w:val="0"/>
              <w:keepLines w:val="0"/>
              <w:pageBreakBefore w:val="0"/>
              <w:widowControl w:val="0"/>
              <w:kinsoku/>
              <w:wordWrap/>
              <w:overflowPunct/>
              <w:topLinePunct w:val="0"/>
              <w:autoSpaceDE/>
              <w:autoSpaceDN/>
              <w:bidi w:val="0"/>
              <w:adjustRightInd/>
              <w:snapToGrid/>
              <w:spacing w:line="220" w:lineRule="exact"/>
              <w:textAlignment w:val="auto"/>
              <w:rPr>
                <w:rFonts w:hint="eastAsia" w:ascii="宋体" w:hAnsi="宋体" w:eastAsia="宋体" w:cs="宋体"/>
                <w:color w:val="000000"/>
                <w:sz w:val="18"/>
                <w:szCs w:val="18"/>
                <w:lang w:bidi="ar"/>
              </w:rPr>
            </w:pPr>
            <w:r>
              <w:rPr>
                <w:rStyle w:val="21"/>
                <w:rFonts w:hint="eastAsia" w:ascii="宋体" w:hAnsi="宋体" w:eastAsia="宋体" w:cs="宋体"/>
                <w:sz w:val="18"/>
                <w:szCs w:val="18"/>
                <w:lang w:bidi="ar"/>
              </w:rPr>
              <w:t>处2万元以上5万元以下的罚款</w:t>
            </w:r>
          </w:p>
        </w:tc>
        <w:tc>
          <w:tcPr>
            <w:tcW w:w="56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338B5755">
            <w:pPr>
              <w:spacing w:line="260" w:lineRule="exact"/>
              <w:rPr>
                <w:rStyle w:val="21"/>
                <w:rFonts w:hint="eastAsia" w:ascii="宋体" w:hAnsi="宋体" w:eastAsia="宋体" w:cs="宋体"/>
                <w:sz w:val="18"/>
                <w:szCs w:val="18"/>
                <w:lang w:bidi="ar"/>
              </w:rPr>
            </w:pPr>
          </w:p>
        </w:tc>
      </w:tr>
      <w:tr w14:paraId="3F5D55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567" w:hRule="atLeast"/>
          <w:jc w:val="center"/>
        </w:trPr>
        <w:tc>
          <w:tcPr>
            <w:tcW w:w="495"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47209073">
            <w:pPr>
              <w:spacing w:line="260" w:lineRule="exact"/>
              <w:jc w:val="center"/>
              <w:rPr>
                <w:rFonts w:hint="eastAsia" w:ascii="宋体" w:hAnsi="宋体" w:eastAsia="宋体" w:cs="宋体"/>
                <w:sz w:val="18"/>
                <w:szCs w:val="18"/>
              </w:rPr>
            </w:pPr>
          </w:p>
        </w:tc>
        <w:tc>
          <w:tcPr>
            <w:tcW w:w="1211"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161E9347">
            <w:pPr>
              <w:spacing w:line="260" w:lineRule="exact"/>
              <w:rPr>
                <w:rFonts w:hint="eastAsia" w:ascii="宋体" w:hAnsi="宋体" w:eastAsia="宋体" w:cs="宋体"/>
                <w:color w:val="000000"/>
                <w:kern w:val="0"/>
                <w:sz w:val="18"/>
                <w:szCs w:val="18"/>
                <w:lang w:bidi="ar"/>
              </w:rPr>
            </w:pPr>
          </w:p>
        </w:tc>
        <w:tc>
          <w:tcPr>
            <w:tcW w:w="4862"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5819CBA9">
            <w:pPr>
              <w:spacing w:line="260" w:lineRule="exact"/>
              <w:ind w:firstLine="360" w:firstLineChars="200"/>
              <w:rPr>
                <w:rFonts w:hint="eastAsia" w:ascii="宋体" w:hAnsi="宋体" w:eastAsia="宋体" w:cs="宋体"/>
                <w:color w:val="000000"/>
                <w:kern w:val="0"/>
                <w:sz w:val="18"/>
                <w:szCs w:val="18"/>
                <w:lang w:bidi="ar"/>
              </w:rPr>
            </w:pPr>
          </w:p>
        </w:tc>
        <w:tc>
          <w:tcPr>
            <w:tcW w:w="161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62A4EEC9">
            <w:pPr>
              <w:spacing w:line="260" w:lineRule="exact"/>
              <w:ind w:firstLine="360" w:firstLineChars="200"/>
              <w:rPr>
                <w:rFonts w:hint="eastAsia" w:ascii="宋体" w:hAnsi="宋体" w:eastAsia="宋体" w:cs="宋体"/>
                <w:color w:val="000000"/>
                <w:kern w:val="0"/>
                <w:sz w:val="18"/>
                <w:szCs w:val="18"/>
                <w:lang w:bidi="ar"/>
              </w:rPr>
            </w:pP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549BC5E1">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eastAsia" w:ascii="宋体" w:hAnsi="宋体" w:eastAsia="宋体" w:cs="宋体"/>
                <w:sz w:val="18"/>
                <w:szCs w:val="18"/>
                <w:lang w:eastAsia="zh-CN"/>
              </w:rPr>
            </w:pPr>
            <w:r>
              <w:rPr>
                <w:rFonts w:hint="eastAsia" w:ascii="宋体" w:hAnsi="宋体" w:eastAsia="宋体" w:cs="宋体"/>
                <w:sz w:val="18"/>
                <w:szCs w:val="18"/>
                <w:lang w:eastAsia="zh-CN"/>
              </w:rPr>
              <w:t>较重</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6682B03A">
            <w:pPr>
              <w:keepNext w:val="0"/>
              <w:keepLines w:val="0"/>
              <w:pageBreakBefore w:val="0"/>
              <w:widowControl w:val="0"/>
              <w:kinsoku/>
              <w:wordWrap/>
              <w:overflowPunct/>
              <w:topLinePunct w:val="0"/>
              <w:autoSpaceDE/>
              <w:autoSpaceDN/>
              <w:bidi w:val="0"/>
              <w:adjustRightInd/>
              <w:snapToGrid/>
              <w:spacing w:line="220" w:lineRule="exact"/>
              <w:textAlignment w:val="auto"/>
              <w:rPr>
                <w:rFonts w:hint="eastAsia" w:ascii="宋体" w:hAnsi="宋体" w:eastAsia="宋体" w:cs="宋体"/>
                <w:color w:val="000000"/>
                <w:sz w:val="18"/>
                <w:szCs w:val="18"/>
                <w:lang w:bidi="ar"/>
              </w:rPr>
            </w:pPr>
            <w:r>
              <w:rPr>
                <w:rStyle w:val="21"/>
                <w:rFonts w:hint="eastAsia" w:ascii="宋体" w:hAnsi="宋体" w:eastAsia="宋体" w:cs="宋体"/>
                <w:sz w:val="18"/>
                <w:szCs w:val="18"/>
                <w:lang w:bidi="ar"/>
              </w:rPr>
              <w:t>立即停止违法行为，在限期内采取补救措施，但仍造成监测功能损坏的</w:t>
            </w: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221DE993">
            <w:pPr>
              <w:keepNext w:val="0"/>
              <w:keepLines w:val="0"/>
              <w:pageBreakBefore w:val="0"/>
              <w:widowControl w:val="0"/>
              <w:kinsoku/>
              <w:wordWrap/>
              <w:overflowPunct/>
              <w:topLinePunct w:val="0"/>
              <w:autoSpaceDE/>
              <w:autoSpaceDN/>
              <w:bidi w:val="0"/>
              <w:adjustRightInd/>
              <w:snapToGrid/>
              <w:spacing w:line="220" w:lineRule="exact"/>
              <w:textAlignment w:val="auto"/>
              <w:rPr>
                <w:rFonts w:hint="eastAsia" w:ascii="宋体" w:hAnsi="宋体" w:eastAsia="宋体" w:cs="宋体"/>
                <w:color w:val="000000"/>
                <w:sz w:val="18"/>
                <w:szCs w:val="18"/>
                <w:lang w:bidi="ar"/>
              </w:rPr>
            </w:pPr>
            <w:r>
              <w:rPr>
                <w:rStyle w:val="21"/>
                <w:rFonts w:hint="eastAsia" w:ascii="宋体" w:hAnsi="宋体" w:eastAsia="宋体" w:cs="宋体"/>
                <w:sz w:val="18"/>
                <w:szCs w:val="18"/>
                <w:lang w:bidi="ar"/>
              </w:rPr>
              <w:t>处5万元以上7万元以下的罚款</w:t>
            </w:r>
          </w:p>
        </w:tc>
        <w:tc>
          <w:tcPr>
            <w:tcW w:w="56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3524BCD3">
            <w:pPr>
              <w:spacing w:line="260" w:lineRule="exact"/>
              <w:rPr>
                <w:rStyle w:val="21"/>
                <w:rFonts w:hint="eastAsia" w:ascii="宋体" w:hAnsi="宋体" w:eastAsia="宋体" w:cs="宋体"/>
                <w:sz w:val="18"/>
                <w:szCs w:val="18"/>
                <w:lang w:bidi="ar"/>
              </w:rPr>
            </w:pPr>
          </w:p>
        </w:tc>
      </w:tr>
      <w:tr w14:paraId="0B5CF2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567" w:hRule="atLeast"/>
          <w:jc w:val="center"/>
        </w:trPr>
        <w:tc>
          <w:tcPr>
            <w:tcW w:w="495" w:type="dxa"/>
            <w:vMerge w:val="continue"/>
            <w:tcBorders>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7C5D21B1">
            <w:pPr>
              <w:spacing w:line="260" w:lineRule="exact"/>
              <w:jc w:val="center"/>
              <w:rPr>
                <w:rFonts w:hint="eastAsia" w:ascii="宋体" w:hAnsi="宋体" w:eastAsia="宋体" w:cs="宋体"/>
                <w:sz w:val="18"/>
                <w:szCs w:val="18"/>
              </w:rPr>
            </w:pPr>
          </w:p>
        </w:tc>
        <w:tc>
          <w:tcPr>
            <w:tcW w:w="1211" w:type="dxa"/>
            <w:vMerge w:val="continue"/>
            <w:tcBorders>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27982ED4">
            <w:pPr>
              <w:spacing w:line="260" w:lineRule="exact"/>
              <w:rPr>
                <w:rFonts w:hint="eastAsia" w:ascii="宋体" w:hAnsi="宋体" w:eastAsia="宋体" w:cs="宋体"/>
                <w:color w:val="000000"/>
                <w:kern w:val="0"/>
                <w:sz w:val="18"/>
                <w:szCs w:val="18"/>
                <w:lang w:bidi="ar"/>
              </w:rPr>
            </w:pPr>
          </w:p>
        </w:tc>
        <w:tc>
          <w:tcPr>
            <w:tcW w:w="4862" w:type="dxa"/>
            <w:vMerge w:val="continue"/>
            <w:tcBorders>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6D95C028">
            <w:pPr>
              <w:spacing w:line="260" w:lineRule="exact"/>
              <w:ind w:firstLine="360" w:firstLineChars="200"/>
              <w:rPr>
                <w:rFonts w:hint="eastAsia" w:ascii="宋体" w:hAnsi="宋体" w:eastAsia="宋体" w:cs="宋体"/>
                <w:color w:val="000000"/>
                <w:kern w:val="0"/>
                <w:sz w:val="18"/>
                <w:szCs w:val="18"/>
                <w:lang w:bidi="ar"/>
              </w:rPr>
            </w:pPr>
          </w:p>
        </w:tc>
        <w:tc>
          <w:tcPr>
            <w:tcW w:w="1613" w:type="dxa"/>
            <w:vMerge w:val="continue"/>
            <w:tcBorders>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4501F684">
            <w:pPr>
              <w:spacing w:line="260" w:lineRule="exact"/>
              <w:ind w:firstLine="360" w:firstLineChars="200"/>
              <w:rPr>
                <w:rFonts w:hint="eastAsia" w:ascii="宋体" w:hAnsi="宋体" w:eastAsia="宋体" w:cs="宋体"/>
                <w:color w:val="000000"/>
                <w:kern w:val="0"/>
                <w:sz w:val="18"/>
                <w:szCs w:val="18"/>
                <w:lang w:bidi="ar"/>
              </w:rPr>
            </w:pP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1295D468">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eastAsia" w:ascii="宋体" w:hAnsi="宋体" w:eastAsia="宋体" w:cs="宋体"/>
                <w:sz w:val="18"/>
                <w:szCs w:val="18"/>
              </w:rPr>
            </w:pPr>
            <w:r>
              <w:rPr>
                <w:rFonts w:hint="eastAsia" w:ascii="宋体" w:hAnsi="宋体" w:eastAsia="宋体" w:cs="宋体"/>
                <w:sz w:val="18"/>
                <w:szCs w:val="18"/>
              </w:rPr>
              <w:t>严重</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07940FC7">
            <w:pPr>
              <w:keepNext w:val="0"/>
              <w:keepLines w:val="0"/>
              <w:pageBreakBefore w:val="0"/>
              <w:widowControl w:val="0"/>
              <w:kinsoku/>
              <w:wordWrap/>
              <w:overflowPunct/>
              <w:topLinePunct w:val="0"/>
              <w:autoSpaceDE/>
              <w:autoSpaceDN/>
              <w:bidi w:val="0"/>
              <w:adjustRightInd/>
              <w:snapToGrid/>
              <w:spacing w:line="220" w:lineRule="exact"/>
              <w:textAlignment w:val="auto"/>
              <w:rPr>
                <w:rFonts w:hint="eastAsia" w:ascii="宋体" w:hAnsi="宋体" w:eastAsia="宋体" w:cs="宋体"/>
                <w:color w:val="000000"/>
                <w:sz w:val="18"/>
                <w:szCs w:val="18"/>
                <w:lang w:bidi="ar"/>
              </w:rPr>
            </w:pPr>
            <w:r>
              <w:rPr>
                <w:rStyle w:val="21"/>
                <w:rFonts w:hint="eastAsia" w:ascii="宋体" w:hAnsi="宋体" w:eastAsia="宋体" w:cs="宋体"/>
                <w:sz w:val="18"/>
                <w:szCs w:val="18"/>
                <w:lang w:bidi="ar"/>
              </w:rPr>
              <w:t>拒不停止违法行为的，或者逾期不采取补救措施的</w:t>
            </w: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6C9F3559">
            <w:pPr>
              <w:keepNext w:val="0"/>
              <w:keepLines w:val="0"/>
              <w:pageBreakBefore w:val="0"/>
              <w:widowControl w:val="0"/>
              <w:kinsoku/>
              <w:wordWrap/>
              <w:overflowPunct/>
              <w:topLinePunct w:val="0"/>
              <w:autoSpaceDE/>
              <w:autoSpaceDN/>
              <w:bidi w:val="0"/>
              <w:adjustRightInd/>
              <w:snapToGrid/>
              <w:spacing w:line="220" w:lineRule="exact"/>
              <w:textAlignment w:val="auto"/>
              <w:rPr>
                <w:rFonts w:hint="eastAsia" w:ascii="宋体" w:hAnsi="宋体" w:eastAsia="宋体" w:cs="宋体"/>
                <w:color w:val="000000"/>
                <w:sz w:val="18"/>
                <w:szCs w:val="18"/>
                <w:lang w:bidi="ar"/>
              </w:rPr>
            </w:pPr>
            <w:r>
              <w:rPr>
                <w:rStyle w:val="21"/>
                <w:rFonts w:hint="eastAsia" w:ascii="宋体" w:hAnsi="宋体" w:eastAsia="宋体" w:cs="宋体"/>
                <w:sz w:val="18"/>
                <w:szCs w:val="18"/>
                <w:lang w:bidi="ar"/>
              </w:rPr>
              <w:t>处7万元以上10万元以下的罚款</w:t>
            </w:r>
          </w:p>
        </w:tc>
        <w:tc>
          <w:tcPr>
            <w:tcW w:w="563" w:type="dxa"/>
            <w:vMerge w:val="continue"/>
            <w:tcBorders>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2D329D5B">
            <w:pPr>
              <w:spacing w:line="260" w:lineRule="exact"/>
              <w:rPr>
                <w:rStyle w:val="21"/>
                <w:rFonts w:hint="eastAsia" w:ascii="宋体" w:hAnsi="宋体" w:eastAsia="宋体" w:cs="宋体"/>
                <w:sz w:val="18"/>
                <w:szCs w:val="18"/>
                <w:lang w:bidi="ar"/>
              </w:rPr>
            </w:pPr>
          </w:p>
        </w:tc>
      </w:tr>
      <w:tr w14:paraId="1831B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95" w:type="dxa"/>
            <w:vMerge w:val="restart"/>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3627A38B">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14</w:t>
            </w:r>
          </w:p>
        </w:tc>
        <w:tc>
          <w:tcPr>
            <w:tcW w:w="1211" w:type="dxa"/>
            <w:vMerge w:val="restart"/>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5F42303B">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对侵占、损毁、擅自移动用水计量设施，或者干扰用水计量行为的行政处罚</w:t>
            </w:r>
          </w:p>
        </w:tc>
        <w:tc>
          <w:tcPr>
            <w:tcW w:w="4862" w:type="dxa"/>
            <w:vMerge w:val="restart"/>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68115319">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《节约用水条例》第四十六条 侵占、损毁、擅自移动用水计量设施，或者干扰用水计量的，由县级以上地方人民政府水行政、住房城乡建设主管部门或者流域管理机构责令停止违法行为，限期采取补救措施，处1万元以上10万元以下的罚款；造成损失的，依法承担赔偿责任。</w:t>
            </w:r>
          </w:p>
        </w:tc>
        <w:tc>
          <w:tcPr>
            <w:tcW w:w="1613" w:type="dxa"/>
            <w:vMerge w:val="restart"/>
            <w:tcBorders>
              <w:top w:val="single" w:color="auto" w:sz="4" w:space="0"/>
              <w:left w:val="single" w:color="auto" w:sz="4" w:space="0"/>
              <w:right w:val="single" w:color="auto" w:sz="4" w:space="0"/>
            </w:tcBorders>
            <w:shd w:val="clear" w:color="auto" w:fill="FFFFFF"/>
            <w:noWrap w:val="0"/>
            <w:tcMar>
              <w:top w:w="0" w:type="dxa"/>
              <w:left w:w="0" w:type="dxa"/>
              <w:bottom w:w="0" w:type="dxa"/>
              <w:right w:w="0" w:type="dxa"/>
            </w:tcMar>
            <w:vAlign w:val="center"/>
          </w:tcPr>
          <w:p w14:paraId="6657BB1A">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侵占、损毁、擅自移动用水计量设施，或者干扰用水计量的</w:t>
            </w: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1335F470">
            <w:pPr>
              <w:keepNext w:val="0"/>
              <w:keepLines w:val="0"/>
              <w:pageBreakBefore w:val="0"/>
              <w:widowControl w:val="0"/>
              <w:kinsoku/>
              <w:wordWrap/>
              <w:overflowPunct/>
              <w:topLinePunct w:val="0"/>
              <w:autoSpaceDE/>
              <w:autoSpaceDN/>
              <w:bidi w:val="0"/>
              <w:adjustRightInd/>
              <w:spacing w:line="220" w:lineRule="exact"/>
              <w:jc w:val="center"/>
              <w:textAlignment w:val="auto"/>
              <w:rPr>
                <w:rFonts w:hint="eastAsia" w:ascii="宋体" w:hAnsi="宋体" w:eastAsia="宋体" w:cs="宋体"/>
                <w:kern w:val="2"/>
                <w:sz w:val="18"/>
                <w:szCs w:val="18"/>
                <w:highlight w:val="none"/>
                <w:lang w:val="en-US" w:eastAsia="zh-CN" w:bidi="ar-SA"/>
              </w:rPr>
            </w:pPr>
            <w:r>
              <w:rPr>
                <w:rFonts w:hint="eastAsia" w:ascii="宋体" w:hAnsi="宋体" w:eastAsia="宋体" w:cs="宋体"/>
                <w:sz w:val="18"/>
                <w:szCs w:val="18"/>
                <w:highlight w:val="none"/>
              </w:rPr>
              <w:t>轻微</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713E953A">
            <w:pPr>
              <w:keepNext w:val="0"/>
              <w:keepLines w:val="0"/>
              <w:pageBreakBefore w:val="0"/>
              <w:widowControl w:val="0"/>
              <w:kinsoku/>
              <w:wordWrap/>
              <w:overflowPunct/>
              <w:topLinePunct w:val="0"/>
              <w:autoSpaceDE/>
              <w:autoSpaceDN/>
              <w:bidi w:val="0"/>
              <w:adjustRightInd/>
              <w:snapToGrid w:val="0"/>
              <w:spacing w:line="220" w:lineRule="exact"/>
              <w:ind w:firstLine="360" w:firstLineChars="200"/>
              <w:textAlignment w:val="auto"/>
              <w:rPr>
                <w:rStyle w:val="21"/>
                <w:rFonts w:hint="eastAsia" w:ascii="宋体" w:hAnsi="宋体" w:eastAsia="宋体" w:cs="宋体"/>
                <w:color w:val="auto"/>
                <w:sz w:val="18"/>
                <w:szCs w:val="18"/>
                <w:highlight w:val="none"/>
                <w:lang w:val="en-US" w:eastAsia="zh-CN" w:bidi="ar"/>
              </w:rPr>
            </w:pPr>
            <w:r>
              <w:rPr>
                <w:rStyle w:val="21"/>
                <w:rFonts w:hint="eastAsia" w:ascii="宋体" w:hAnsi="宋体" w:eastAsia="宋体" w:cs="宋体"/>
                <w:color w:val="auto"/>
                <w:sz w:val="18"/>
                <w:szCs w:val="18"/>
                <w:highlight w:val="none"/>
                <w:lang w:val="en-US" w:eastAsia="zh-CN" w:bidi="ar"/>
              </w:rPr>
              <w:t>一、在公共供水管网覆盖范围外的：</w:t>
            </w:r>
          </w:p>
          <w:p w14:paraId="0476945D">
            <w:pPr>
              <w:keepNext w:val="0"/>
              <w:keepLines w:val="0"/>
              <w:pageBreakBefore w:val="0"/>
              <w:widowControl w:val="0"/>
              <w:kinsoku/>
              <w:wordWrap/>
              <w:overflowPunct/>
              <w:topLinePunct w:val="0"/>
              <w:autoSpaceDE/>
              <w:autoSpaceDN/>
              <w:bidi w:val="0"/>
              <w:adjustRightInd/>
              <w:snapToGrid w:val="0"/>
              <w:spacing w:line="220" w:lineRule="exact"/>
              <w:ind w:firstLine="360" w:firstLineChars="200"/>
              <w:textAlignment w:val="auto"/>
              <w:rPr>
                <w:rStyle w:val="21"/>
                <w:rFonts w:hint="eastAsia" w:ascii="宋体" w:hAnsi="宋体" w:eastAsia="宋体" w:cs="宋体"/>
                <w:color w:val="auto"/>
                <w:sz w:val="18"/>
                <w:szCs w:val="18"/>
                <w:highlight w:val="none"/>
                <w:lang w:bidi="ar"/>
              </w:rPr>
            </w:pPr>
            <w:r>
              <w:rPr>
                <w:rStyle w:val="21"/>
                <w:rFonts w:hint="eastAsia" w:ascii="宋体" w:hAnsi="宋体" w:eastAsia="宋体" w:cs="宋体"/>
                <w:color w:val="auto"/>
                <w:sz w:val="18"/>
                <w:szCs w:val="18"/>
                <w:highlight w:val="none"/>
                <w:lang w:val="en-US" w:eastAsia="zh-CN" w:bidi="ar"/>
              </w:rPr>
              <w:t>1.首次办理取水许可证，且办证当年初次违法，经核定未超年度取水许可量；</w:t>
            </w:r>
          </w:p>
          <w:p w14:paraId="4FA485EF">
            <w:pPr>
              <w:keepNext w:val="0"/>
              <w:keepLines w:val="0"/>
              <w:pageBreakBefore w:val="0"/>
              <w:widowControl w:val="0"/>
              <w:kinsoku/>
              <w:wordWrap/>
              <w:overflowPunct/>
              <w:topLinePunct w:val="0"/>
              <w:autoSpaceDE/>
              <w:autoSpaceDN/>
              <w:bidi w:val="0"/>
              <w:adjustRightInd/>
              <w:snapToGrid w:val="0"/>
              <w:spacing w:line="220" w:lineRule="exact"/>
              <w:ind w:firstLine="360" w:firstLineChars="200"/>
              <w:textAlignment w:val="auto"/>
              <w:rPr>
                <w:rStyle w:val="21"/>
                <w:rFonts w:hint="eastAsia" w:ascii="宋体" w:hAnsi="宋体" w:eastAsia="宋体" w:cs="宋体"/>
                <w:color w:val="auto"/>
                <w:sz w:val="18"/>
                <w:szCs w:val="18"/>
                <w:highlight w:val="none"/>
                <w:lang w:bidi="ar"/>
              </w:rPr>
            </w:pPr>
            <w:r>
              <w:rPr>
                <w:rStyle w:val="21"/>
                <w:rFonts w:hint="eastAsia" w:ascii="宋体" w:hAnsi="宋体" w:eastAsia="宋体" w:cs="宋体"/>
                <w:color w:val="auto"/>
                <w:sz w:val="18"/>
                <w:szCs w:val="18"/>
                <w:highlight w:val="none"/>
                <w:lang w:val="en-US" w:eastAsia="zh-CN" w:bidi="ar"/>
              </w:rPr>
              <w:t>2.当事人配合检查、调查，立即停止违法行为，并签署承诺书保证不再违反类似规定；</w:t>
            </w:r>
          </w:p>
          <w:p w14:paraId="0E2284A2">
            <w:pPr>
              <w:keepNext w:val="0"/>
              <w:keepLines w:val="0"/>
              <w:pageBreakBefore w:val="0"/>
              <w:widowControl w:val="0"/>
              <w:kinsoku/>
              <w:wordWrap/>
              <w:overflowPunct/>
              <w:topLinePunct w:val="0"/>
              <w:autoSpaceDE/>
              <w:autoSpaceDN/>
              <w:bidi w:val="0"/>
              <w:adjustRightInd/>
              <w:snapToGrid w:val="0"/>
              <w:spacing w:line="220" w:lineRule="exact"/>
              <w:ind w:firstLine="360" w:firstLineChars="200"/>
              <w:textAlignment w:val="auto"/>
              <w:rPr>
                <w:rStyle w:val="21"/>
                <w:rFonts w:hint="eastAsia" w:ascii="宋体" w:hAnsi="宋体" w:eastAsia="宋体" w:cs="宋体"/>
                <w:color w:val="auto"/>
                <w:sz w:val="18"/>
                <w:szCs w:val="18"/>
                <w:highlight w:val="none"/>
                <w:lang w:val="en-US" w:eastAsia="zh-CN" w:bidi="ar"/>
              </w:rPr>
            </w:pPr>
            <w:r>
              <w:rPr>
                <w:rStyle w:val="21"/>
                <w:rFonts w:hint="eastAsia" w:ascii="宋体" w:hAnsi="宋体" w:eastAsia="宋体" w:cs="宋体"/>
                <w:color w:val="auto"/>
                <w:sz w:val="18"/>
                <w:szCs w:val="18"/>
                <w:highlight w:val="none"/>
                <w:lang w:val="en-US" w:eastAsia="zh-CN" w:bidi="ar"/>
              </w:rPr>
              <w:t>3.当事人能在主管部门规定时限内主动采取补救措施改正，未造成社会不良影响或给他人造成危害后果的。</w:t>
            </w:r>
          </w:p>
          <w:p w14:paraId="30BA63F8">
            <w:pPr>
              <w:keepNext w:val="0"/>
              <w:keepLines w:val="0"/>
              <w:pageBreakBefore w:val="0"/>
              <w:widowControl w:val="0"/>
              <w:kinsoku/>
              <w:wordWrap/>
              <w:overflowPunct/>
              <w:topLinePunct w:val="0"/>
              <w:autoSpaceDE/>
              <w:autoSpaceDN/>
              <w:bidi w:val="0"/>
              <w:adjustRightInd/>
              <w:spacing w:line="220" w:lineRule="exact"/>
              <w:ind w:firstLine="360" w:firstLineChars="200"/>
              <w:textAlignment w:val="auto"/>
              <w:rPr>
                <w:rStyle w:val="21"/>
                <w:rFonts w:hint="eastAsia" w:ascii="宋体" w:hAnsi="宋体" w:eastAsia="宋体" w:cs="宋体"/>
                <w:color w:val="auto"/>
                <w:sz w:val="18"/>
                <w:szCs w:val="18"/>
                <w:highlight w:val="none"/>
                <w:lang w:val="en-US" w:eastAsia="zh-CN" w:bidi="ar"/>
              </w:rPr>
            </w:pPr>
            <w:r>
              <w:rPr>
                <w:rStyle w:val="21"/>
                <w:rFonts w:hint="eastAsia" w:ascii="宋体" w:hAnsi="宋体" w:eastAsia="宋体" w:cs="宋体"/>
                <w:color w:val="auto"/>
                <w:sz w:val="18"/>
                <w:szCs w:val="18"/>
                <w:highlight w:val="none"/>
                <w:lang w:val="en-US" w:eastAsia="zh-CN" w:bidi="ar"/>
              </w:rPr>
              <w:t>二、在公共供水管网覆盖范围内的：</w:t>
            </w:r>
          </w:p>
          <w:p w14:paraId="59D5065F">
            <w:pPr>
              <w:keepNext w:val="0"/>
              <w:keepLines w:val="0"/>
              <w:pageBreakBefore w:val="0"/>
              <w:widowControl w:val="0"/>
              <w:kinsoku/>
              <w:wordWrap/>
              <w:overflowPunct/>
              <w:topLinePunct w:val="0"/>
              <w:autoSpaceDE/>
              <w:autoSpaceDN/>
              <w:bidi w:val="0"/>
              <w:adjustRightInd/>
              <w:spacing w:line="220" w:lineRule="exact"/>
              <w:ind w:firstLine="360" w:firstLineChars="200"/>
              <w:textAlignment w:val="auto"/>
              <w:rPr>
                <w:rStyle w:val="21"/>
                <w:rFonts w:hint="eastAsia" w:ascii="宋体" w:hAnsi="宋体" w:eastAsia="宋体" w:cs="宋体"/>
                <w:sz w:val="18"/>
                <w:szCs w:val="18"/>
                <w:highlight w:val="none"/>
                <w:lang w:bidi="ar"/>
              </w:rPr>
            </w:pPr>
            <w:r>
              <w:rPr>
                <w:rStyle w:val="21"/>
                <w:rFonts w:hint="eastAsia" w:ascii="宋体" w:hAnsi="宋体" w:eastAsia="宋体" w:cs="宋体"/>
                <w:sz w:val="18"/>
                <w:szCs w:val="18"/>
                <w:highlight w:val="none"/>
                <w:lang w:bidi="ar"/>
              </w:rPr>
              <w:t>1.当事人</w:t>
            </w:r>
            <w:r>
              <w:rPr>
                <w:rStyle w:val="21"/>
                <w:rFonts w:hint="eastAsia" w:ascii="宋体" w:hAnsi="宋体" w:eastAsia="宋体" w:cs="宋体"/>
                <w:sz w:val="18"/>
                <w:szCs w:val="18"/>
                <w:highlight w:val="none"/>
                <w:lang w:val="en-US" w:eastAsia="zh-CN" w:bidi="ar"/>
              </w:rPr>
              <w:t>立即停止违法行为，积极</w:t>
            </w:r>
            <w:r>
              <w:rPr>
                <w:rStyle w:val="21"/>
                <w:rFonts w:hint="eastAsia" w:ascii="宋体" w:hAnsi="宋体" w:eastAsia="宋体" w:cs="宋体"/>
                <w:sz w:val="18"/>
                <w:szCs w:val="18"/>
                <w:highlight w:val="none"/>
                <w:lang w:bidi="ar"/>
              </w:rPr>
              <w:t>配合检查、调查，</w:t>
            </w:r>
            <w:r>
              <w:rPr>
                <w:rStyle w:val="21"/>
                <w:rFonts w:hint="eastAsia" w:ascii="宋体" w:hAnsi="宋体" w:eastAsia="宋体" w:cs="宋体"/>
                <w:sz w:val="18"/>
                <w:szCs w:val="18"/>
                <w:highlight w:val="none"/>
                <w:lang w:val="en-US" w:eastAsia="zh-CN" w:bidi="ar"/>
              </w:rPr>
              <w:t>且</w:t>
            </w:r>
            <w:r>
              <w:rPr>
                <w:rStyle w:val="21"/>
                <w:rFonts w:hint="eastAsia" w:ascii="宋体" w:hAnsi="宋体" w:eastAsia="宋体" w:cs="宋体"/>
                <w:sz w:val="18"/>
                <w:szCs w:val="18"/>
                <w:highlight w:val="none"/>
                <w:lang w:bidi="ar"/>
              </w:rPr>
              <w:t>属于首次</w:t>
            </w:r>
            <w:r>
              <w:rPr>
                <w:rStyle w:val="21"/>
                <w:rFonts w:hint="eastAsia" w:ascii="宋体" w:hAnsi="宋体" w:eastAsia="宋体" w:cs="宋体"/>
                <w:sz w:val="18"/>
                <w:szCs w:val="18"/>
                <w:highlight w:val="none"/>
                <w:lang w:val="en-US" w:eastAsia="zh-CN" w:bidi="ar"/>
              </w:rPr>
              <w:t>违法</w:t>
            </w:r>
            <w:r>
              <w:rPr>
                <w:rStyle w:val="21"/>
                <w:rFonts w:hint="eastAsia" w:ascii="宋体" w:hAnsi="宋体" w:eastAsia="宋体" w:cs="宋体"/>
                <w:sz w:val="18"/>
                <w:szCs w:val="18"/>
                <w:highlight w:val="none"/>
                <w:lang w:bidi="ar"/>
              </w:rPr>
              <w:t>；</w:t>
            </w:r>
          </w:p>
          <w:p w14:paraId="3AE52930">
            <w:pPr>
              <w:keepNext w:val="0"/>
              <w:keepLines w:val="0"/>
              <w:pageBreakBefore w:val="0"/>
              <w:widowControl w:val="0"/>
              <w:kinsoku/>
              <w:wordWrap/>
              <w:overflowPunct/>
              <w:topLinePunct w:val="0"/>
              <w:autoSpaceDE/>
              <w:autoSpaceDN/>
              <w:bidi w:val="0"/>
              <w:adjustRightInd/>
              <w:spacing w:line="220" w:lineRule="exact"/>
              <w:ind w:firstLine="360" w:firstLineChars="200"/>
              <w:textAlignment w:val="auto"/>
              <w:rPr>
                <w:rStyle w:val="21"/>
                <w:rFonts w:hint="eastAsia" w:ascii="宋体" w:hAnsi="宋体" w:eastAsia="宋体" w:cs="宋体"/>
                <w:sz w:val="18"/>
                <w:szCs w:val="18"/>
                <w:highlight w:val="none"/>
                <w:lang w:eastAsia="zh-CN" w:bidi="ar"/>
              </w:rPr>
            </w:pPr>
            <w:r>
              <w:rPr>
                <w:rStyle w:val="21"/>
                <w:rFonts w:hint="eastAsia" w:ascii="宋体" w:hAnsi="宋体" w:eastAsia="宋体" w:cs="宋体"/>
                <w:sz w:val="18"/>
                <w:szCs w:val="18"/>
                <w:highlight w:val="none"/>
                <w:lang w:bidi="ar"/>
              </w:rPr>
              <w:t>2.当事人能在主管部门规定时限内主动采取补救措施改正，未造成社会不良影响或给他人造成危害后果的</w:t>
            </w:r>
            <w:r>
              <w:rPr>
                <w:rStyle w:val="21"/>
                <w:rFonts w:hint="eastAsia" w:ascii="宋体" w:hAnsi="宋体" w:eastAsia="宋体" w:cs="宋体"/>
                <w:sz w:val="18"/>
                <w:szCs w:val="18"/>
                <w:highlight w:val="none"/>
                <w:lang w:eastAsia="zh-CN" w:bidi="ar"/>
              </w:rPr>
              <w:t>。</w:t>
            </w:r>
          </w:p>
          <w:p w14:paraId="04FBE233">
            <w:pPr>
              <w:keepNext w:val="0"/>
              <w:keepLines w:val="0"/>
              <w:pageBreakBefore w:val="0"/>
              <w:widowControl w:val="0"/>
              <w:kinsoku/>
              <w:wordWrap/>
              <w:overflowPunct/>
              <w:topLinePunct w:val="0"/>
              <w:autoSpaceDE/>
              <w:autoSpaceDN/>
              <w:bidi w:val="0"/>
              <w:adjustRightInd/>
              <w:snapToGrid w:val="0"/>
              <w:spacing w:line="220" w:lineRule="exact"/>
              <w:ind w:firstLine="360" w:firstLineChars="200"/>
              <w:textAlignment w:val="auto"/>
              <w:rPr>
                <w:rFonts w:hint="eastAsia" w:ascii="宋体" w:hAnsi="宋体" w:eastAsia="宋体" w:cs="宋体"/>
                <w:color w:val="000000"/>
                <w:kern w:val="2"/>
                <w:sz w:val="18"/>
                <w:szCs w:val="18"/>
                <w:highlight w:val="none"/>
                <w:u w:val="none"/>
                <w:lang w:val="en-US" w:eastAsia="zh-CN" w:bidi="ar"/>
              </w:rPr>
            </w:pPr>
            <w:r>
              <w:rPr>
                <w:rStyle w:val="21"/>
                <w:rFonts w:hint="eastAsia" w:ascii="宋体" w:hAnsi="宋体" w:eastAsia="宋体" w:cs="宋体"/>
                <w:color w:val="auto"/>
                <w:sz w:val="18"/>
                <w:szCs w:val="18"/>
                <w:highlight w:val="none"/>
                <w:lang w:val="en-US" w:eastAsia="zh-CN" w:bidi="ar"/>
              </w:rPr>
              <w:t>符合上述所有情形的，不予处罚，应将本次违法情况进行登记备案，以后再发生类似问题的将不再适用本条件。</w:t>
            </w: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74E0651E">
            <w:pPr>
              <w:keepNext w:val="0"/>
              <w:keepLines w:val="0"/>
              <w:pageBreakBefore w:val="0"/>
              <w:widowControl w:val="0"/>
              <w:kinsoku/>
              <w:wordWrap/>
              <w:overflowPunct/>
              <w:topLinePunct w:val="0"/>
              <w:autoSpaceDE/>
              <w:autoSpaceDN/>
              <w:bidi w:val="0"/>
              <w:adjustRightInd/>
              <w:snapToGrid w:val="0"/>
              <w:spacing w:line="220" w:lineRule="exact"/>
              <w:textAlignment w:val="auto"/>
              <w:rPr>
                <w:rFonts w:hint="eastAsia" w:ascii="宋体" w:hAnsi="宋体" w:eastAsia="宋体" w:cs="宋体"/>
                <w:color w:val="000000"/>
                <w:kern w:val="2"/>
                <w:sz w:val="18"/>
                <w:szCs w:val="18"/>
                <w:highlight w:val="none"/>
                <w:u w:val="none"/>
                <w:lang w:val="en-US" w:eastAsia="zh-CN" w:bidi="ar"/>
              </w:rPr>
            </w:pPr>
            <w:r>
              <w:rPr>
                <w:rStyle w:val="21"/>
                <w:rFonts w:hint="eastAsia" w:ascii="宋体" w:hAnsi="宋体" w:eastAsia="宋体" w:cs="宋体"/>
                <w:sz w:val="18"/>
                <w:szCs w:val="18"/>
                <w:highlight w:val="none"/>
                <w:lang w:bidi="ar"/>
              </w:rPr>
              <w:t>不予处罚</w:t>
            </w:r>
          </w:p>
        </w:tc>
        <w:tc>
          <w:tcPr>
            <w:tcW w:w="563" w:type="dxa"/>
            <w:vMerge w:val="restart"/>
            <w:tcBorders>
              <w:top w:val="single" w:color="auto" w:sz="4" w:space="0"/>
              <w:left w:val="single" w:color="auto" w:sz="4" w:space="0"/>
              <w:right w:val="single" w:color="auto" w:sz="4" w:space="0"/>
            </w:tcBorders>
            <w:shd w:val="clear" w:color="auto" w:fill="FFFFFF"/>
            <w:noWrap w:val="0"/>
            <w:tcMar>
              <w:top w:w="0" w:type="dxa"/>
              <w:left w:w="0" w:type="dxa"/>
              <w:bottom w:w="0" w:type="dxa"/>
              <w:right w:w="0" w:type="dxa"/>
            </w:tcMar>
            <w:vAlign w:val="center"/>
          </w:tcPr>
          <w:p w14:paraId="73FB672D">
            <w:pPr>
              <w:spacing w:line="260" w:lineRule="exact"/>
              <w:rPr>
                <w:rStyle w:val="21"/>
                <w:rFonts w:hint="eastAsia" w:ascii="宋体" w:hAnsi="宋体" w:eastAsia="宋体" w:cs="宋体"/>
                <w:sz w:val="18"/>
                <w:szCs w:val="18"/>
                <w:lang w:bidi="ar"/>
              </w:rPr>
            </w:pPr>
          </w:p>
        </w:tc>
      </w:tr>
      <w:tr w14:paraId="54BD6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454" w:hRule="atLeast"/>
          <w:jc w:val="center"/>
        </w:trPr>
        <w:tc>
          <w:tcPr>
            <w:tcW w:w="495"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3BCD4A1C">
            <w:pPr>
              <w:spacing w:line="260" w:lineRule="exact"/>
              <w:jc w:val="center"/>
              <w:rPr>
                <w:rFonts w:hint="eastAsia" w:ascii="宋体" w:hAnsi="宋体" w:eastAsia="宋体" w:cs="宋体"/>
                <w:sz w:val="18"/>
                <w:szCs w:val="18"/>
              </w:rPr>
            </w:pPr>
          </w:p>
        </w:tc>
        <w:tc>
          <w:tcPr>
            <w:tcW w:w="1211"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6916A237">
            <w:pPr>
              <w:spacing w:line="260" w:lineRule="exact"/>
              <w:rPr>
                <w:rFonts w:hint="eastAsia" w:ascii="宋体" w:hAnsi="宋体" w:eastAsia="宋体" w:cs="宋体"/>
                <w:color w:val="000000"/>
                <w:kern w:val="0"/>
                <w:sz w:val="18"/>
                <w:szCs w:val="18"/>
                <w:lang w:bidi="ar"/>
              </w:rPr>
            </w:pPr>
          </w:p>
        </w:tc>
        <w:tc>
          <w:tcPr>
            <w:tcW w:w="4862"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290390F8">
            <w:pPr>
              <w:spacing w:line="260" w:lineRule="exact"/>
              <w:ind w:firstLine="360" w:firstLineChars="200"/>
              <w:rPr>
                <w:rFonts w:hint="eastAsia" w:ascii="宋体" w:hAnsi="宋体" w:eastAsia="宋体" w:cs="宋体"/>
                <w:color w:val="000000"/>
                <w:kern w:val="0"/>
                <w:sz w:val="18"/>
                <w:szCs w:val="18"/>
                <w:lang w:bidi="ar"/>
              </w:rPr>
            </w:pPr>
          </w:p>
        </w:tc>
        <w:tc>
          <w:tcPr>
            <w:tcW w:w="161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6144144F">
            <w:pPr>
              <w:spacing w:line="260" w:lineRule="exact"/>
              <w:ind w:firstLine="360" w:firstLineChars="200"/>
              <w:rPr>
                <w:rFonts w:hint="eastAsia" w:ascii="宋体" w:hAnsi="宋体" w:eastAsia="宋体" w:cs="宋体"/>
                <w:color w:val="000000"/>
                <w:kern w:val="0"/>
                <w:sz w:val="18"/>
                <w:szCs w:val="18"/>
                <w:lang w:bidi="ar"/>
              </w:rPr>
            </w:pP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65042E51">
            <w:pPr>
              <w:keepNext w:val="0"/>
              <w:keepLines w:val="0"/>
              <w:pageBreakBefore w:val="0"/>
              <w:widowControl w:val="0"/>
              <w:kinsoku/>
              <w:wordWrap/>
              <w:overflowPunct/>
              <w:topLinePunct w:val="0"/>
              <w:autoSpaceDE/>
              <w:autoSpaceDN/>
              <w:bidi w:val="0"/>
              <w:adjustRightInd/>
              <w:spacing w:line="220" w:lineRule="exact"/>
              <w:jc w:val="center"/>
              <w:textAlignment w:val="auto"/>
              <w:rPr>
                <w:rFonts w:hint="eastAsia" w:ascii="宋体" w:hAnsi="宋体" w:eastAsia="宋体" w:cs="宋体"/>
                <w:sz w:val="18"/>
                <w:szCs w:val="18"/>
              </w:rPr>
            </w:pPr>
            <w:r>
              <w:rPr>
                <w:rFonts w:hint="eastAsia" w:ascii="宋体" w:hAnsi="宋体" w:eastAsia="宋体" w:cs="宋体"/>
                <w:sz w:val="18"/>
                <w:szCs w:val="18"/>
              </w:rPr>
              <w:t>较轻</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15B22DCB">
            <w:pPr>
              <w:keepNext w:val="0"/>
              <w:keepLines w:val="0"/>
              <w:pageBreakBefore w:val="0"/>
              <w:widowControl w:val="0"/>
              <w:kinsoku/>
              <w:wordWrap/>
              <w:overflowPunct/>
              <w:topLinePunct w:val="0"/>
              <w:autoSpaceDE/>
              <w:autoSpaceDN/>
              <w:bidi w:val="0"/>
              <w:adjustRightInd/>
              <w:snapToGrid w:val="0"/>
              <w:spacing w:line="220" w:lineRule="exact"/>
              <w:textAlignment w:val="auto"/>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4B4CDFEA">
            <w:pPr>
              <w:keepNext w:val="0"/>
              <w:keepLines w:val="0"/>
              <w:pageBreakBefore w:val="0"/>
              <w:widowControl w:val="0"/>
              <w:kinsoku/>
              <w:wordWrap/>
              <w:overflowPunct/>
              <w:topLinePunct w:val="0"/>
              <w:autoSpaceDE/>
              <w:autoSpaceDN/>
              <w:bidi w:val="0"/>
              <w:adjustRightInd/>
              <w:spacing w:line="220" w:lineRule="exact"/>
              <w:textAlignment w:val="auto"/>
              <w:rPr>
                <w:rStyle w:val="21"/>
                <w:rFonts w:hint="eastAsia" w:ascii="宋体" w:hAnsi="宋体" w:eastAsia="宋体" w:cs="宋体"/>
                <w:sz w:val="18"/>
                <w:szCs w:val="18"/>
                <w:lang w:bidi="ar"/>
              </w:rPr>
            </w:pP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50D861ED">
            <w:pPr>
              <w:keepNext w:val="0"/>
              <w:keepLines w:val="0"/>
              <w:pageBreakBefore w:val="0"/>
              <w:widowControl w:val="0"/>
              <w:kinsoku/>
              <w:wordWrap/>
              <w:overflowPunct/>
              <w:topLinePunct w:val="0"/>
              <w:autoSpaceDE/>
              <w:autoSpaceDN/>
              <w:bidi w:val="0"/>
              <w:adjustRightInd/>
              <w:snapToGrid w:val="0"/>
              <w:spacing w:line="220" w:lineRule="exact"/>
              <w:textAlignment w:val="auto"/>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46FB0128">
            <w:pPr>
              <w:keepNext w:val="0"/>
              <w:keepLines w:val="0"/>
              <w:pageBreakBefore w:val="0"/>
              <w:widowControl w:val="0"/>
              <w:kinsoku/>
              <w:wordWrap/>
              <w:overflowPunct/>
              <w:topLinePunct w:val="0"/>
              <w:autoSpaceDE/>
              <w:autoSpaceDN/>
              <w:bidi w:val="0"/>
              <w:adjustRightInd/>
              <w:spacing w:line="220" w:lineRule="exact"/>
              <w:textAlignment w:val="auto"/>
              <w:rPr>
                <w:rStyle w:val="21"/>
                <w:rFonts w:hint="eastAsia" w:ascii="宋体" w:hAnsi="宋体" w:eastAsia="宋体" w:cs="宋体"/>
                <w:sz w:val="18"/>
                <w:szCs w:val="18"/>
                <w:lang w:bidi="ar"/>
              </w:rPr>
            </w:pPr>
          </w:p>
        </w:tc>
        <w:tc>
          <w:tcPr>
            <w:tcW w:w="56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470E9B76">
            <w:pPr>
              <w:spacing w:line="260" w:lineRule="exact"/>
              <w:rPr>
                <w:rStyle w:val="21"/>
                <w:rFonts w:hint="eastAsia" w:ascii="宋体" w:hAnsi="宋体" w:eastAsia="宋体" w:cs="宋体"/>
                <w:sz w:val="18"/>
                <w:szCs w:val="18"/>
                <w:lang w:bidi="ar"/>
              </w:rPr>
            </w:pPr>
          </w:p>
        </w:tc>
      </w:tr>
      <w:tr w14:paraId="2EA183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95"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16C78636">
            <w:pPr>
              <w:spacing w:line="260" w:lineRule="exact"/>
              <w:jc w:val="center"/>
              <w:rPr>
                <w:rFonts w:hint="eastAsia" w:ascii="宋体" w:hAnsi="宋体" w:eastAsia="宋体" w:cs="宋体"/>
                <w:sz w:val="18"/>
                <w:szCs w:val="18"/>
              </w:rPr>
            </w:pPr>
          </w:p>
        </w:tc>
        <w:tc>
          <w:tcPr>
            <w:tcW w:w="1211"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5BBBCB28">
            <w:pPr>
              <w:spacing w:line="260" w:lineRule="exact"/>
              <w:rPr>
                <w:rFonts w:hint="eastAsia" w:ascii="宋体" w:hAnsi="宋体" w:eastAsia="宋体" w:cs="宋体"/>
                <w:color w:val="000000"/>
                <w:kern w:val="0"/>
                <w:sz w:val="18"/>
                <w:szCs w:val="18"/>
                <w:lang w:bidi="ar"/>
              </w:rPr>
            </w:pPr>
          </w:p>
        </w:tc>
        <w:tc>
          <w:tcPr>
            <w:tcW w:w="4862"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5B7EF793">
            <w:pPr>
              <w:spacing w:line="260" w:lineRule="exact"/>
              <w:ind w:firstLine="360" w:firstLineChars="200"/>
              <w:rPr>
                <w:rFonts w:hint="eastAsia" w:ascii="宋体" w:hAnsi="宋体" w:eastAsia="宋体" w:cs="宋体"/>
                <w:color w:val="000000"/>
                <w:kern w:val="0"/>
                <w:sz w:val="18"/>
                <w:szCs w:val="18"/>
                <w:lang w:bidi="ar"/>
              </w:rPr>
            </w:pPr>
          </w:p>
        </w:tc>
        <w:tc>
          <w:tcPr>
            <w:tcW w:w="161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68181A08">
            <w:pPr>
              <w:spacing w:line="260" w:lineRule="exact"/>
              <w:ind w:firstLine="360" w:firstLineChars="200"/>
              <w:rPr>
                <w:rFonts w:hint="eastAsia" w:ascii="宋体" w:hAnsi="宋体" w:eastAsia="宋体" w:cs="宋体"/>
                <w:color w:val="000000"/>
                <w:kern w:val="0"/>
                <w:sz w:val="18"/>
                <w:szCs w:val="18"/>
                <w:lang w:bidi="ar"/>
              </w:rPr>
            </w:pP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7406AA36">
            <w:pPr>
              <w:keepNext w:val="0"/>
              <w:keepLines w:val="0"/>
              <w:pageBreakBefore w:val="0"/>
              <w:widowControl w:val="0"/>
              <w:kinsoku/>
              <w:wordWrap/>
              <w:overflowPunct/>
              <w:topLinePunct w:val="0"/>
              <w:autoSpaceDE/>
              <w:autoSpaceDN/>
              <w:bidi w:val="0"/>
              <w:adjustRightInd/>
              <w:spacing w:line="220" w:lineRule="exact"/>
              <w:jc w:val="center"/>
              <w:textAlignment w:val="auto"/>
              <w:rPr>
                <w:rFonts w:hint="eastAsia" w:ascii="宋体" w:hAnsi="宋体" w:eastAsia="宋体" w:cs="宋体"/>
                <w:sz w:val="18"/>
                <w:szCs w:val="18"/>
              </w:rPr>
            </w:pPr>
            <w:r>
              <w:rPr>
                <w:rFonts w:hint="eastAsia" w:ascii="宋体" w:hAnsi="宋体" w:eastAsia="宋体" w:cs="宋体"/>
                <w:sz w:val="18"/>
                <w:szCs w:val="18"/>
              </w:rPr>
              <w:t>一般</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3D28C945">
            <w:pPr>
              <w:keepNext w:val="0"/>
              <w:keepLines w:val="0"/>
              <w:pageBreakBefore w:val="0"/>
              <w:widowControl w:val="0"/>
              <w:kinsoku/>
              <w:wordWrap/>
              <w:overflowPunct/>
              <w:topLinePunct w:val="0"/>
              <w:autoSpaceDE/>
              <w:autoSpaceDN/>
              <w:bidi w:val="0"/>
              <w:adjustRightInd/>
              <w:spacing w:line="220" w:lineRule="exact"/>
              <w:jc w:val="both"/>
              <w:textAlignment w:val="auto"/>
              <w:rPr>
                <w:rFonts w:hint="eastAsia" w:ascii="宋体" w:hAnsi="宋体" w:eastAsia="宋体" w:cs="宋体"/>
                <w:sz w:val="18"/>
                <w:szCs w:val="18"/>
              </w:rPr>
            </w:pPr>
            <w:r>
              <w:rPr>
                <w:rFonts w:hint="eastAsia" w:ascii="宋体" w:hAnsi="宋体" w:eastAsia="宋体" w:cs="宋体"/>
                <w:sz w:val="18"/>
                <w:szCs w:val="18"/>
              </w:rPr>
              <w:t>造成用水计量设施数据误差超过技术规范允许范围不足1倍</w:t>
            </w: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628A583D">
            <w:pPr>
              <w:keepNext w:val="0"/>
              <w:keepLines w:val="0"/>
              <w:pageBreakBefore w:val="0"/>
              <w:widowControl w:val="0"/>
              <w:kinsoku/>
              <w:wordWrap/>
              <w:overflowPunct/>
              <w:topLinePunct w:val="0"/>
              <w:autoSpaceDE/>
              <w:autoSpaceDN/>
              <w:bidi w:val="0"/>
              <w:adjustRightInd/>
              <w:spacing w:line="220" w:lineRule="exact"/>
              <w:textAlignment w:val="auto"/>
              <w:rPr>
                <w:rStyle w:val="21"/>
                <w:rFonts w:hint="eastAsia" w:ascii="宋体" w:hAnsi="宋体" w:eastAsia="宋体" w:cs="宋体"/>
                <w:sz w:val="18"/>
                <w:szCs w:val="18"/>
                <w:lang w:bidi="ar"/>
              </w:rPr>
            </w:pPr>
            <w:r>
              <w:rPr>
                <w:rStyle w:val="21"/>
                <w:rFonts w:hint="eastAsia" w:ascii="宋体" w:hAnsi="宋体" w:eastAsia="宋体" w:cs="宋体"/>
                <w:sz w:val="18"/>
                <w:szCs w:val="18"/>
                <w:lang w:bidi="ar"/>
              </w:rPr>
              <w:t>处1万元以上3万元以下的罚款</w:t>
            </w:r>
          </w:p>
        </w:tc>
        <w:tc>
          <w:tcPr>
            <w:tcW w:w="56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7DFE3103">
            <w:pPr>
              <w:spacing w:line="260" w:lineRule="exact"/>
              <w:rPr>
                <w:rStyle w:val="21"/>
                <w:rFonts w:hint="eastAsia" w:ascii="宋体" w:hAnsi="宋体" w:eastAsia="宋体" w:cs="宋体"/>
                <w:sz w:val="18"/>
                <w:szCs w:val="18"/>
                <w:lang w:bidi="ar"/>
              </w:rPr>
            </w:pPr>
          </w:p>
        </w:tc>
      </w:tr>
      <w:tr w14:paraId="5B367E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95"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30A6339F">
            <w:pPr>
              <w:spacing w:line="260" w:lineRule="exact"/>
              <w:jc w:val="center"/>
              <w:rPr>
                <w:rFonts w:hint="eastAsia" w:ascii="宋体" w:hAnsi="宋体" w:eastAsia="宋体" w:cs="宋体"/>
                <w:sz w:val="18"/>
                <w:szCs w:val="18"/>
              </w:rPr>
            </w:pPr>
          </w:p>
        </w:tc>
        <w:tc>
          <w:tcPr>
            <w:tcW w:w="1211"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13E4C54E">
            <w:pPr>
              <w:spacing w:line="260" w:lineRule="exact"/>
              <w:rPr>
                <w:rFonts w:hint="eastAsia" w:ascii="宋体" w:hAnsi="宋体" w:eastAsia="宋体" w:cs="宋体"/>
                <w:color w:val="000000"/>
                <w:kern w:val="0"/>
                <w:sz w:val="18"/>
                <w:szCs w:val="18"/>
                <w:lang w:bidi="ar"/>
              </w:rPr>
            </w:pPr>
          </w:p>
        </w:tc>
        <w:tc>
          <w:tcPr>
            <w:tcW w:w="4862"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3D6ED393">
            <w:pPr>
              <w:spacing w:line="260" w:lineRule="exact"/>
              <w:ind w:firstLine="360" w:firstLineChars="200"/>
              <w:rPr>
                <w:rFonts w:hint="eastAsia" w:ascii="宋体" w:hAnsi="宋体" w:eastAsia="宋体" w:cs="宋体"/>
                <w:color w:val="000000"/>
                <w:kern w:val="0"/>
                <w:sz w:val="18"/>
                <w:szCs w:val="18"/>
                <w:lang w:bidi="ar"/>
              </w:rPr>
            </w:pPr>
          </w:p>
        </w:tc>
        <w:tc>
          <w:tcPr>
            <w:tcW w:w="161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0AC5D66C">
            <w:pPr>
              <w:spacing w:line="260" w:lineRule="exact"/>
              <w:ind w:firstLine="360" w:firstLineChars="200"/>
              <w:rPr>
                <w:rFonts w:hint="eastAsia" w:ascii="宋体" w:hAnsi="宋体" w:eastAsia="宋体" w:cs="宋体"/>
                <w:color w:val="000000"/>
                <w:kern w:val="0"/>
                <w:sz w:val="18"/>
                <w:szCs w:val="18"/>
                <w:lang w:bidi="ar"/>
              </w:rPr>
            </w:pP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56A78869">
            <w:pPr>
              <w:keepNext w:val="0"/>
              <w:keepLines w:val="0"/>
              <w:pageBreakBefore w:val="0"/>
              <w:widowControl w:val="0"/>
              <w:kinsoku/>
              <w:wordWrap/>
              <w:overflowPunct/>
              <w:topLinePunct w:val="0"/>
              <w:autoSpaceDE/>
              <w:autoSpaceDN/>
              <w:bidi w:val="0"/>
              <w:adjustRightInd/>
              <w:spacing w:line="220" w:lineRule="exact"/>
              <w:jc w:val="center"/>
              <w:textAlignment w:val="auto"/>
              <w:rPr>
                <w:rFonts w:hint="eastAsia" w:ascii="宋体" w:hAnsi="宋体" w:eastAsia="宋体" w:cs="宋体"/>
                <w:sz w:val="18"/>
                <w:szCs w:val="18"/>
                <w:lang w:eastAsia="zh-CN"/>
              </w:rPr>
            </w:pPr>
            <w:r>
              <w:rPr>
                <w:rFonts w:hint="eastAsia" w:ascii="宋体" w:hAnsi="宋体" w:eastAsia="宋体" w:cs="宋体"/>
                <w:sz w:val="18"/>
                <w:szCs w:val="18"/>
                <w:lang w:eastAsia="zh-CN"/>
              </w:rPr>
              <w:t>较重</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1846CB9E">
            <w:pPr>
              <w:keepNext w:val="0"/>
              <w:keepLines w:val="0"/>
              <w:pageBreakBefore w:val="0"/>
              <w:widowControl w:val="0"/>
              <w:kinsoku/>
              <w:wordWrap/>
              <w:overflowPunct/>
              <w:topLinePunct w:val="0"/>
              <w:autoSpaceDE/>
              <w:autoSpaceDN/>
              <w:bidi w:val="0"/>
              <w:adjustRightInd/>
              <w:spacing w:line="220" w:lineRule="exact"/>
              <w:textAlignment w:val="auto"/>
              <w:rPr>
                <w:rStyle w:val="21"/>
                <w:rFonts w:hint="eastAsia" w:ascii="宋体" w:hAnsi="宋体" w:eastAsia="宋体" w:cs="宋体"/>
                <w:sz w:val="18"/>
                <w:szCs w:val="18"/>
                <w:lang w:bidi="ar"/>
              </w:rPr>
            </w:pPr>
            <w:r>
              <w:rPr>
                <w:rFonts w:hint="eastAsia" w:ascii="宋体" w:hAnsi="宋体" w:eastAsia="宋体" w:cs="宋体"/>
                <w:sz w:val="18"/>
                <w:szCs w:val="18"/>
              </w:rPr>
              <w:t>造成用水计量设施数据误差超过技术规范允许范围1倍以上2倍以内</w:t>
            </w: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2558F6D5">
            <w:pPr>
              <w:keepNext w:val="0"/>
              <w:keepLines w:val="0"/>
              <w:pageBreakBefore w:val="0"/>
              <w:widowControl w:val="0"/>
              <w:kinsoku/>
              <w:wordWrap/>
              <w:overflowPunct/>
              <w:topLinePunct w:val="0"/>
              <w:autoSpaceDE/>
              <w:autoSpaceDN/>
              <w:bidi w:val="0"/>
              <w:adjustRightInd/>
              <w:spacing w:line="220" w:lineRule="exact"/>
              <w:textAlignment w:val="auto"/>
              <w:rPr>
                <w:rStyle w:val="21"/>
                <w:rFonts w:hint="eastAsia" w:ascii="宋体" w:hAnsi="宋体" w:eastAsia="宋体" w:cs="宋体"/>
                <w:sz w:val="18"/>
                <w:szCs w:val="18"/>
                <w:lang w:bidi="ar"/>
              </w:rPr>
            </w:pPr>
            <w:r>
              <w:rPr>
                <w:rStyle w:val="21"/>
                <w:rFonts w:hint="eastAsia" w:ascii="宋体" w:hAnsi="宋体" w:eastAsia="宋体" w:cs="宋体"/>
                <w:sz w:val="18"/>
                <w:szCs w:val="18"/>
                <w:lang w:bidi="ar"/>
              </w:rPr>
              <w:t>处3万元以上6万元以下的罚款</w:t>
            </w:r>
          </w:p>
        </w:tc>
        <w:tc>
          <w:tcPr>
            <w:tcW w:w="56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6168F21A">
            <w:pPr>
              <w:spacing w:line="260" w:lineRule="exact"/>
              <w:rPr>
                <w:rStyle w:val="21"/>
                <w:rFonts w:hint="eastAsia" w:ascii="宋体" w:hAnsi="宋体" w:eastAsia="宋体" w:cs="宋体"/>
                <w:sz w:val="18"/>
                <w:szCs w:val="18"/>
                <w:lang w:bidi="ar"/>
              </w:rPr>
            </w:pPr>
          </w:p>
        </w:tc>
      </w:tr>
      <w:tr w14:paraId="6CAC79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95" w:type="dxa"/>
            <w:vMerge w:val="continue"/>
            <w:tcBorders>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7CA99668">
            <w:pPr>
              <w:spacing w:line="260" w:lineRule="exact"/>
              <w:jc w:val="center"/>
              <w:rPr>
                <w:rFonts w:hint="eastAsia" w:ascii="宋体" w:hAnsi="宋体" w:eastAsia="宋体" w:cs="宋体"/>
                <w:sz w:val="18"/>
                <w:szCs w:val="18"/>
              </w:rPr>
            </w:pPr>
          </w:p>
        </w:tc>
        <w:tc>
          <w:tcPr>
            <w:tcW w:w="1211" w:type="dxa"/>
            <w:vMerge w:val="continue"/>
            <w:tcBorders>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273552E1">
            <w:pPr>
              <w:spacing w:line="260" w:lineRule="exact"/>
              <w:rPr>
                <w:rFonts w:hint="eastAsia" w:ascii="宋体" w:hAnsi="宋体" w:eastAsia="宋体" w:cs="宋体"/>
                <w:color w:val="000000"/>
                <w:kern w:val="0"/>
                <w:sz w:val="18"/>
                <w:szCs w:val="18"/>
                <w:lang w:bidi="ar"/>
              </w:rPr>
            </w:pPr>
          </w:p>
        </w:tc>
        <w:tc>
          <w:tcPr>
            <w:tcW w:w="4862" w:type="dxa"/>
            <w:vMerge w:val="continue"/>
            <w:tcBorders>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308BBD2C">
            <w:pPr>
              <w:spacing w:line="260" w:lineRule="exact"/>
              <w:ind w:firstLine="360" w:firstLineChars="200"/>
              <w:rPr>
                <w:rFonts w:hint="eastAsia" w:ascii="宋体" w:hAnsi="宋体" w:eastAsia="宋体" w:cs="宋体"/>
                <w:color w:val="000000"/>
                <w:kern w:val="0"/>
                <w:sz w:val="18"/>
                <w:szCs w:val="18"/>
                <w:lang w:bidi="ar"/>
              </w:rPr>
            </w:pPr>
          </w:p>
        </w:tc>
        <w:tc>
          <w:tcPr>
            <w:tcW w:w="1613" w:type="dxa"/>
            <w:vMerge w:val="continue"/>
            <w:tcBorders>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62433DAD">
            <w:pPr>
              <w:spacing w:line="260" w:lineRule="exact"/>
              <w:ind w:firstLine="360" w:firstLineChars="200"/>
              <w:rPr>
                <w:rFonts w:hint="eastAsia" w:ascii="宋体" w:hAnsi="宋体" w:eastAsia="宋体" w:cs="宋体"/>
                <w:color w:val="000000"/>
                <w:kern w:val="0"/>
                <w:sz w:val="18"/>
                <w:szCs w:val="18"/>
                <w:lang w:bidi="ar"/>
              </w:rPr>
            </w:pP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3ED00DAC">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严重</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3E4C4E22">
            <w:pPr>
              <w:spacing w:line="260" w:lineRule="exact"/>
              <w:rPr>
                <w:rStyle w:val="21"/>
                <w:rFonts w:hint="eastAsia" w:ascii="宋体" w:hAnsi="宋体" w:eastAsia="宋体" w:cs="宋体"/>
                <w:sz w:val="18"/>
                <w:szCs w:val="18"/>
                <w:lang w:bidi="ar"/>
              </w:rPr>
            </w:pPr>
            <w:r>
              <w:rPr>
                <w:rFonts w:hint="eastAsia" w:ascii="宋体" w:hAnsi="宋体" w:eastAsia="宋体" w:cs="宋体"/>
                <w:sz w:val="18"/>
                <w:szCs w:val="18"/>
              </w:rPr>
              <w:t>造成用水计量设施数据误差超过技术规范允许范围2倍以上</w:t>
            </w: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0C57C5D3">
            <w:pPr>
              <w:spacing w:line="260" w:lineRule="exact"/>
              <w:rPr>
                <w:rStyle w:val="21"/>
                <w:rFonts w:hint="eastAsia" w:ascii="宋体" w:hAnsi="宋体" w:eastAsia="宋体" w:cs="宋体"/>
                <w:b/>
                <w:bCs/>
                <w:sz w:val="18"/>
                <w:szCs w:val="18"/>
                <w:lang w:bidi="ar"/>
              </w:rPr>
            </w:pPr>
            <w:r>
              <w:rPr>
                <w:rStyle w:val="21"/>
                <w:rFonts w:hint="eastAsia" w:ascii="宋体" w:hAnsi="宋体" w:eastAsia="宋体" w:cs="宋体"/>
                <w:sz w:val="18"/>
                <w:szCs w:val="18"/>
                <w:lang w:bidi="ar"/>
              </w:rPr>
              <w:t>处6万元以上10万元以下的罚款</w:t>
            </w:r>
          </w:p>
        </w:tc>
        <w:tc>
          <w:tcPr>
            <w:tcW w:w="563" w:type="dxa"/>
            <w:vMerge w:val="continue"/>
            <w:tcBorders>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28E76BC2">
            <w:pPr>
              <w:spacing w:line="260" w:lineRule="exact"/>
              <w:rPr>
                <w:rStyle w:val="21"/>
                <w:rFonts w:hint="eastAsia" w:ascii="宋体" w:hAnsi="宋体" w:eastAsia="宋体" w:cs="宋体"/>
                <w:sz w:val="18"/>
                <w:szCs w:val="18"/>
                <w:lang w:bidi="ar"/>
              </w:rPr>
            </w:pPr>
          </w:p>
        </w:tc>
      </w:tr>
      <w:tr w14:paraId="27890E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680" w:hRule="atLeast"/>
          <w:jc w:val="center"/>
        </w:trPr>
        <w:tc>
          <w:tcPr>
            <w:tcW w:w="495" w:type="dxa"/>
            <w:vMerge w:val="restart"/>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2439E9CE">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15</w:t>
            </w:r>
          </w:p>
        </w:tc>
        <w:tc>
          <w:tcPr>
            <w:tcW w:w="1211" w:type="dxa"/>
            <w:vMerge w:val="restart"/>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61267D84">
            <w:pPr>
              <w:widowControl/>
              <w:spacing w:line="28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对擅自停止使用取退水计量设施，不按规定提供取水、退水计量资料等行为的行政处罚</w:t>
            </w:r>
          </w:p>
        </w:tc>
        <w:tc>
          <w:tcPr>
            <w:tcW w:w="4862" w:type="dxa"/>
            <w:vMerge w:val="restart"/>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6CB751A7">
            <w:pPr>
              <w:widowControl/>
              <w:spacing w:line="28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《取水许可管理办法》第四十九条 取水单位或者个人违反本办法规定，有下列行为之一的，由取水审批机关责令其限期改正，并可处1000元以下罚款：</w:t>
            </w:r>
          </w:p>
          <w:p w14:paraId="6259259E">
            <w:pPr>
              <w:widowControl/>
              <w:spacing w:line="28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（二）擅自停止使用取退水计量设施的；</w:t>
            </w:r>
          </w:p>
          <w:p w14:paraId="24BA029F">
            <w:pPr>
              <w:widowControl/>
              <w:spacing w:line="28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（三）不按规定提供取水、退水计量资料的。</w:t>
            </w:r>
          </w:p>
        </w:tc>
        <w:tc>
          <w:tcPr>
            <w:tcW w:w="1613" w:type="dxa"/>
            <w:vMerge w:val="restart"/>
            <w:tcBorders>
              <w:top w:val="single" w:color="auto" w:sz="4" w:space="0"/>
              <w:left w:val="single" w:color="auto" w:sz="4" w:space="0"/>
              <w:right w:val="single" w:color="auto" w:sz="4" w:space="0"/>
            </w:tcBorders>
            <w:shd w:val="clear" w:color="auto" w:fill="FFFFFF"/>
            <w:noWrap w:val="0"/>
            <w:tcMar>
              <w:top w:w="0" w:type="dxa"/>
              <w:left w:w="0" w:type="dxa"/>
              <w:bottom w:w="0" w:type="dxa"/>
              <w:right w:w="0" w:type="dxa"/>
            </w:tcMar>
            <w:vAlign w:val="center"/>
          </w:tcPr>
          <w:p w14:paraId="5A26355E">
            <w:pPr>
              <w:widowControl/>
              <w:spacing w:line="28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擅自停止使用取退水计量设施、不按规定提供取水、退水计量资料的</w:t>
            </w: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29A4E0B4">
            <w:pPr>
              <w:spacing w:line="280" w:lineRule="exact"/>
              <w:jc w:val="center"/>
              <w:rPr>
                <w:rFonts w:hint="eastAsia" w:ascii="宋体" w:hAnsi="宋体" w:eastAsia="宋体" w:cs="宋体"/>
                <w:sz w:val="18"/>
                <w:szCs w:val="18"/>
              </w:rPr>
            </w:pPr>
            <w:r>
              <w:rPr>
                <w:rFonts w:hint="eastAsia" w:ascii="宋体" w:hAnsi="宋体" w:eastAsia="宋体" w:cs="宋体"/>
                <w:sz w:val="18"/>
                <w:szCs w:val="18"/>
              </w:rPr>
              <w:t>轻微</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207CEDE6">
            <w:pPr>
              <w:snapToGrid w:val="0"/>
              <w:spacing w:line="28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591ACE3C">
            <w:pPr>
              <w:spacing w:line="280" w:lineRule="exact"/>
              <w:rPr>
                <w:rStyle w:val="21"/>
                <w:rFonts w:hint="eastAsia" w:ascii="宋体" w:hAnsi="宋体" w:eastAsia="宋体" w:cs="宋体"/>
                <w:sz w:val="18"/>
                <w:szCs w:val="18"/>
                <w:lang w:bidi="ar"/>
              </w:rPr>
            </w:pP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5131EEAF">
            <w:pPr>
              <w:snapToGrid w:val="0"/>
              <w:spacing w:line="28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3B8521F0">
            <w:pPr>
              <w:spacing w:line="280" w:lineRule="exact"/>
              <w:rPr>
                <w:rStyle w:val="21"/>
                <w:rFonts w:hint="eastAsia" w:ascii="宋体" w:hAnsi="宋体" w:eastAsia="宋体" w:cs="宋体"/>
                <w:sz w:val="18"/>
                <w:szCs w:val="18"/>
                <w:lang w:bidi="ar"/>
              </w:rPr>
            </w:pPr>
          </w:p>
        </w:tc>
        <w:tc>
          <w:tcPr>
            <w:tcW w:w="563" w:type="dxa"/>
            <w:vMerge w:val="restart"/>
            <w:tcBorders>
              <w:top w:val="single" w:color="auto" w:sz="4" w:space="0"/>
              <w:left w:val="single" w:color="auto" w:sz="4" w:space="0"/>
              <w:right w:val="single" w:color="auto" w:sz="4" w:space="0"/>
            </w:tcBorders>
            <w:shd w:val="clear" w:color="auto" w:fill="FFFFFF"/>
            <w:noWrap w:val="0"/>
            <w:tcMar>
              <w:top w:w="0" w:type="dxa"/>
              <w:left w:w="0" w:type="dxa"/>
              <w:bottom w:w="0" w:type="dxa"/>
              <w:right w:w="0" w:type="dxa"/>
            </w:tcMar>
            <w:vAlign w:val="center"/>
          </w:tcPr>
          <w:p w14:paraId="38C85DC5">
            <w:pPr>
              <w:spacing w:line="260" w:lineRule="exact"/>
              <w:rPr>
                <w:rStyle w:val="21"/>
                <w:rFonts w:hint="eastAsia" w:ascii="宋体" w:hAnsi="宋体" w:eastAsia="宋体" w:cs="宋体"/>
                <w:sz w:val="18"/>
                <w:szCs w:val="18"/>
                <w:lang w:bidi="ar"/>
              </w:rPr>
            </w:pPr>
          </w:p>
        </w:tc>
      </w:tr>
      <w:tr w14:paraId="2F0FF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495"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2B770737">
            <w:pPr>
              <w:spacing w:line="260" w:lineRule="exact"/>
              <w:jc w:val="center"/>
              <w:rPr>
                <w:rFonts w:hint="eastAsia" w:ascii="宋体" w:hAnsi="宋体" w:eastAsia="宋体" w:cs="宋体"/>
                <w:sz w:val="18"/>
                <w:szCs w:val="18"/>
              </w:rPr>
            </w:pPr>
          </w:p>
        </w:tc>
        <w:tc>
          <w:tcPr>
            <w:tcW w:w="1211"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405BA158">
            <w:pPr>
              <w:spacing w:line="280" w:lineRule="exact"/>
              <w:rPr>
                <w:rFonts w:hint="eastAsia" w:ascii="宋体" w:hAnsi="宋体" w:eastAsia="宋体" w:cs="宋体"/>
                <w:color w:val="000000"/>
                <w:kern w:val="0"/>
                <w:sz w:val="18"/>
                <w:szCs w:val="18"/>
                <w:lang w:bidi="ar"/>
              </w:rPr>
            </w:pPr>
          </w:p>
        </w:tc>
        <w:tc>
          <w:tcPr>
            <w:tcW w:w="4862"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42D72CCF">
            <w:pPr>
              <w:spacing w:line="280" w:lineRule="exact"/>
              <w:ind w:firstLine="360" w:firstLineChars="200"/>
              <w:rPr>
                <w:rFonts w:hint="eastAsia" w:ascii="宋体" w:hAnsi="宋体" w:eastAsia="宋体" w:cs="宋体"/>
                <w:color w:val="000000"/>
                <w:kern w:val="0"/>
                <w:sz w:val="18"/>
                <w:szCs w:val="18"/>
                <w:lang w:bidi="ar"/>
              </w:rPr>
            </w:pPr>
          </w:p>
        </w:tc>
        <w:tc>
          <w:tcPr>
            <w:tcW w:w="161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58F81B9B">
            <w:pPr>
              <w:spacing w:line="280" w:lineRule="exact"/>
              <w:ind w:firstLine="360" w:firstLineChars="200"/>
              <w:rPr>
                <w:rFonts w:hint="eastAsia" w:ascii="宋体" w:hAnsi="宋体" w:eastAsia="宋体" w:cs="宋体"/>
                <w:color w:val="000000"/>
                <w:kern w:val="0"/>
                <w:sz w:val="18"/>
                <w:szCs w:val="18"/>
                <w:lang w:bidi="ar"/>
              </w:rPr>
            </w:pP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54FE05B2">
            <w:pPr>
              <w:spacing w:line="280" w:lineRule="exact"/>
              <w:jc w:val="center"/>
              <w:rPr>
                <w:rFonts w:hint="eastAsia" w:ascii="宋体" w:hAnsi="宋体" w:eastAsia="宋体" w:cs="宋体"/>
                <w:sz w:val="18"/>
                <w:szCs w:val="18"/>
              </w:rPr>
            </w:pPr>
            <w:r>
              <w:rPr>
                <w:rFonts w:hint="eastAsia" w:ascii="宋体" w:hAnsi="宋体" w:eastAsia="宋体" w:cs="宋体"/>
                <w:sz w:val="18"/>
                <w:szCs w:val="18"/>
              </w:rPr>
              <w:t>较轻</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26069F28">
            <w:pPr>
              <w:snapToGrid w:val="0"/>
              <w:spacing w:line="28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03EBB83A">
            <w:pPr>
              <w:spacing w:line="280" w:lineRule="exact"/>
              <w:rPr>
                <w:rStyle w:val="21"/>
                <w:rFonts w:hint="eastAsia" w:ascii="宋体" w:hAnsi="宋体" w:eastAsia="宋体" w:cs="宋体"/>
                <w:sz w:val="18"/>
                <w:szCs w:val="18"/>
                <w:lang w:bidi="ar"/>
              </w:rPr>
            </w:pP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67B54575">
            <w:pPr>
              <w:snapToGrid w:val="0"/>
              <w:spacing w:line="28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4DAD8A8F">
            <w:pPr>
              <w:spacing w:line="280" w:lineRule="exact"/>
              <w:rPr>
                <w:rStyle w:val="21"/>
                <w:rFonts w:hint="eastAsia" w:ascii="宋体" w:hAnsi="宋体" w:eastAsia="宋体" w:cs="宋体"/>
                <w:sz w:val="18"/>
                <w:szCs w:val="18"/>
                <w:lang w:bidi="ar"/>
              </w:rPr>
            </w:pPr>
          </w:p>
        </w:tc>
        <w:tc>
          <w:tcPr>
            <w:tcW w:w="56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72C24ED8">
            <w:pPr>
              <w:spacing w:line="260" w:lineRule="exact"/>
              <w:rPr>
                <w:rStyle w:val="21"/>
                <w:rFonts w:hint="eastAsia" w:ascii="宋体" w:hAnsi="宋体" w:eastAsia="宋体" w:cs="宋体"/>
                <w:sz w:val="18"/>
                <w:szCs w:val="18"/>
                <w:lang w:bidi="ar"/>
              </w:rPr>
            </w:pPr>
          </w:p>
        </w:tc>
      </w:tr>
      <w:tr w14:paraId="02BE0A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495"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6F01811B">
            <w:pPr>
              <w:spacing w:line="260" w:lineRule="exact"/>
              <w:jc w:val="center"/>
              <w:rPr>
                <w:rFonts w:hint="eastAsia" w:ascii="宋体" w:hAnsi="宋体" w:eastAsia="宋体" w:cs="宋体"/>
                <w:sz w:val="18"/>
                <w:szCs w:val="18"/>
              </w:rPr>
            </w:pPr>
          </w:p>
        </w:tc>
        <w:tc>
          <w:tcPr>
            <w:tcW w:w="1211"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16B6E19F">
            <w:pPr>
              <w:spacing w:line="280" w:lineRule="exact"/>
              <w:rPr>
                <w:rFonts w:hint="eastAsia" w:ascii="宋体" w:hAnsi="宋体" w:eastAsia="宋体" w:cs="宋体"/>
                <w:color w:val="000000"/>
                <w:kern w:val="0"/>
                <w:sz w:val="18"/>
                <w:szCs w:val="18"/>
                <w:lang w:bidi="ar"/>
              </w:rPr>
            </w:pPr>
          </w:p>
        </w:tc>
        <w:tc>
          <w:tcPr>
            <w:tcW w:w="4862"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35D36F47">
            <w:pPr>
              <w:spacing w:line="280" w:lineRule="exact"/>
              <w:ind w:firstLine="360" w:firstLineChars="200"/>
              <w:rPr>
                <w:rFonts w:hint="eastAsia" w:ascii="宋体" w:hAnsi="宋体" w:eastAsia="宋体" w:cs="宋体"/>
                <w:color w:val="000000"/>
                <w:kern w:val="0"/>
                <w:sz w:val="18"/>
                <w:szCs w:val="18"/>
                <w:lang w:bidi="ar"/>
              </w:rPr>
            </w:pPr>
          </w:p>
        </w:tc>
        <w:tc>
          <w:tcPr>
            <w:tcW w:w="161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57E3FC98">
            <w:pPr>
              <w:spacing w:line="280" w:lineRule="exact"/>
              <w:ind w:firstLine="360" w:firstLineChars="200"/>
              <w:rPr>
                <w:rFonts w:hint="eastAsia" w:ascii="宋体" w:hAnsi="宋体" w:eastAsia="宋体" w:cs="宋体"/>
                <w:color w:val="000000"/>
                <w:kern w:val="0"/>
                <w:sz w:val="18"/>
                <w:szCs w:val="18"/>
                <w:lang w:bidi="ar"/>
              </w:rPr>
            </w:pP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2C48BC8A">
            <w:pPr>
              <w:spacing w:line="280" w:lineRule="exact"/>
              <w:jc w:val="center"/>
              <w:rPr>
                <w:rFonts w:hint="eastAsia" w:ascii="宋体" w:hAnsi="宋体" w:eastAsia="宋体" w:cs="宋体"/>
                <w:sz w:val="18"/>
                <w:szCs w:val="18"/>
              </w:rPr>
            </w:pPr>
            <w:r>
              <w:rPr>
                <w:rFonts w:hint="eastAsia" w:ascii="宋体" w:hAnsi="宋体" w:eastAsia="宋体" w:cs="宋体"/>
                <w:sz w:val="18"/>
                <w:szCs w:val="18"/>
              </w:rPr>
              <w:t>一般</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599509BA">
            <w:pPr>
              <w:snapToGrid w:val="0"/>
              <w:spacing w:line="28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0325D787">
            <w:pPr>
              <w:spacing w:line="280" w:lineRule="exact"/>
              <w:rPr>
                <w:rStyle w:val="21"/>
                <w:rFonts w:hint="eastAsia" w:ascii="宋体" w:hAnsi="宋体" w:eastAsia="宋体" w:cs="宋体"/>
                <w:sz w:val="18"/>
                <w:szCs w:val="18"/>
                <w:lang w:bidi="ar"/>
              </w:rPr>
            </w:pP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45AB8A9C">
            <w:pPr>
              <w:snapToGrid w:val="0"/>
              <w:spacing w:line="28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540325E4">
            <w:pPr>
              <w:spacing w:line="280" w:lineRule="exact"/>
              <w:rPr>
                <w:rStyle w:val="21"/>
                <w:rFonts w:hint="eastAsia" w:ascii="宋体" w:hAnsi="宋体" w:eastAsia="宋体" w:cs="宋体"/>
                <w:sz w:val="18"/>
                <w:szCs w:val="18"/>
                <w:lang w:bidi="ar"/>
              </w:rPr>
            </w:pPr>
          </w:p>
        </w:tc>
        <w:tc>
          <w:tcPr>
            <w:tcW w:w="56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766F6FE7">
            <w:pPr>
              <w:spacing w:line="260" w:lineRule="exact"/>
              <w:rPr>
                <w:rStyle w:val="21"/>
                <w:rFonts w:hint="eastAsia" w:ascii="宋体" w:hAnsi="宋体" w:eastAsia="宋体" w:cs="宋体"/>
                <w:sz w:val="18"/>
                <w:szCs w:val="18"/>
                <w:lang w:bidi="ar"/>
              </w:rPr>
            </w:pPr>
          </w:p>
        </w:tc>
      </w:tr>
      <w:tr w14:paraId="0CE7AA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850" w:hRule="atLeast"/>
          <w:jc w:val="center"/>
        </w:trPr>
        <w:tc>
          <w:tcPr>
            <w:tcW w:w="495"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24A88E0C">
            <w:pPr>
              <w:spacing w:line="260" w:lineRule="exact"/>
              <w:jc w:val="center"/>
              <w:rPr>
                <w:rFonts w:hint="eastAsia" w:ascii="宋体" w:hAnsi="宋体" w:eastAsia="宋体" w:cs="宋体"/>
                <w:sz w:val="18"/>
                <w:szCs w:val="18"/>
              </w:rPr>
            </w:pPr>
          </w:p>
        </w:tc>
        <w:tc>
          <w:tcPr>
            <w:tcW w:w="1211"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06627B6E">
            <w:pPr>
              <w:spacing w:line="280" w:lineRule="exact"/>
              <w:rPr>
                <w:rFonts w:hint="eastAsia" w:ascii="宋体" w:hAnsi="宋体" w:eastAsia="宋体" w:cs="宋体"/>
                <w:color w:val="000000"/>
                <w:kern w:val="0"/>
                <w:sz w:val="18"/>
                <w:szCs w:val="18"/>
                <w:lang w:bidi="ar"/>
              </w:rPr>
            </w:pPr>
          </w:p>
        </w:tc>
        <w:tc>
          <w:tcPr>
            <w:tcW w:w="4862"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3D0C92DE">
            <w:pPr>
              <w:spacing w:line="280" w:lineRule="exact"/>
              <w:ind w:firstLine="360" w:firstLineChars="200"/>
              <w:rPr>
                <w:rFonts w:hint="eastAsia" w:ascii="宋体" w:hAnsi="宋体" w:eastAsia="宋体" w:cs="宋体"/>
                <w:color w:val="000000"/>
                <w:kern w:val="0"/>
                <w:sz w:val="18"/>
                <w:szCs w:val="18"/>
                <w:lang w:bidi="ar"/>
              </w:rPr>
            </w:pPr>
          </w:p>
        </w:tc>
        <w:tc>
          <w:tcPr>
            <w:tcW w:w="161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700C1AAC">
            <w:pPr>
              <w:spacing w:line="280" w:lineRule="exact"/>
              <w:ind w:firstLine="360" w:firstLineChars="200"/>
              <w:rPr>
                <w:rFonts w:hint="eastAsia" w:ascii="宋体" w:hAnsi="宋体" w:eastAsia="宋体" w:cs="宋体"/>
                <w:color w:val="000000"/>
                <w:kern w:val="0"/>
                <w:sz w:val="18"/>
                <w:szCs w:val="18"/>
                <w:lang w:bidi="ar"/>
              </w:rPr>
            </w:pP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252BAA09">
            <w:pPr>
              <w:spacing w:line="280" w:lineRule="exact"/>
              <w:jc w:val="center"/>
              <w:rPr>
                <w:rFonts w:hint="eastAsia" w:ascii="宋体" w:hAnsi="宋体" w:eastAsia="宋体" w:cs="宋体"/>
                <w:sz w:val="18"/>
                <w:szCs w:val="18"/>
                <w:lang w:eastAsia="zh-CN"/>
              </w:rPr>
            </w:pPr>
            <w:r>
              <w:rPr>
                <w:rFonts w:hint="eastAsia" w:ascii="宋体" w:hAnsi="宋体" w:eastAsia="宋体" w:cs="宋体"/>
                <w:sz w:val="18"/>
                <w:szCs w:val="18"/>
                <w:lang w:eastAsia="zh-CN"/>
              </w:rPr>
              <w:t>较重</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354F7E26">
            <w:pPr>
              <w:spacing w:line="280" w:lineRule="exact"/>
              <w:rPr>
                <w:rStyle w:val="21"/>
                <w:rFonts w:hint="eastAsia" w:ascii="宋体" w:hAnsi="宋体" w:eastAsia="宋体" w:cs="宋体"/>
                <w:sz w:val="18"/>
                <w:szCs w:val="18"/>
                <w:lang w:bidi="ar"/>
              </w:rPr>
            </w:pPr>
            <w:r>
              <w:rPr>
                <w:rStyle w:val="21"/>
                <w:rFonts w:hint="eastAsia" w:ascii="宋体" w:hAnsi="宋体" w:eastAsia="宋体" w:cs="宋体"/>
                <w:sz w:val="18"/>
                <w:szCs w:val="18"/>
                <w:lang w:bidi="ar"/>
              </w:rPr>
              <w:t>按要求整改的</w:t>
            </w: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358AE585">
            <w:pPr>
              <w:spacing w:line="280" w:lineRule="exact"/>
              <w:rPr>
                <w:rStyle w:val="21"/>
                <w:rFonts w:hint="eastAsia" w:ascii="宋体" w:hAnsi="宋体" w:eastAsia="宋体" w:cs="宋体"/>
                <w:sz w:val="18"/>
                <w:szCs w:val="18"/>
                <w:lang w:bidi="ar"/>
              </w:rPr>
            </w:pPr>
            <w:r>
              <w:rPr>
                <w:rStyle w:val="21"/>
                <w:rFonts w:hint="eastAsia" w:ascii="宋体" w:hAnsi="宋体" w:eastAsia="宋体" w:cs="宋体"/>
                <w:sz w:val="18"/>
                <w:szCs w:val="18"/>
                <w:lang w:bidi="ar"/>
              </w:rPr>
              <w:t>处500元以下罚款</w:t>
            </w:r>
          </w:p>
        </w:tc>
        <w:tc>
          <w:tcPr>
            <w:tcW w:w="56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701EFCFA">
            <w:pPr>
              <w:spacing w:line="260" w:lineRule="exact"/>
              <w:rPr>
                <w:rStyle w:val="21"/>
                <w:rFonts w:hint="eastAsia" w:ascii="宋体" w:hAnsi="宋体" w:eastAsia="宋体" w:cs="宋体"/>
                <w:sz w:val="18"/>
                <w:szCs w:val="18"/>
                <w:lang w:bidi="ar"/>
              </w:rPr>
            </w:pPr>
          </w:p>
        </w:tc>
      </w:tr>
      <w:tr w14:paraId="1D9043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850" w:hRule="atLeast"/>
          <w:jc w:val="center"/>
        </w:trPr>
        <w:tc>
          <w:tcPr>
            <w:tcW w:w="495" w:type="dxa"/>
            <w:vMerge w:val="continue"/>
            <w:tcBorders>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11E4DBF6">
            <w:pPr>
              <w:spacing w:line="260" w:lineRule="exact"/>
              <w:jc w:val="center"/>
              <w:rPr>
                <w:rFonts w:hint="eastAsia" w:ascii="宋体" w:hAnsi="宋体" w:eastAsia="宋体" w:cs="宋体"/>
                <w:sz w:val="18"/>
                <w:szCs w:val="18"/>
              </w:rPr>
            </w:pPr>
          </w:p>
        </w:tc>
        <w:tc>
          <w:tcPr>
            <w:tcW w:w="1211"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398A6098">
            <w:pPr>
              <w:spacing w:line="280" w:lineRule="exact"/>
              <w:rPr>
                <w:rFonts w:hint="eastAsia" w:ascii="宋体" w:hAnsi="宋体" w:eastAsia="宋体" w:cs="宋体"/>
                <w:color w:val="000000"/>
                <w:kern w:val="0"/>
                <w:sz w:val="18"/>
                <w:szCs w:val="18"/>
                <w:lang w:bidi="ar"/>
              </w:rPr>
            </w:pPr>
          </w:p>
        </w:tc>
        <w:tc>
          <w:tcPr>
            <w:tcW w:w="4862"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05A208C8">
            <w:pPr>
              <w:spacing w:line="280" w:lineRule="exact"/>
              <w:ind w:firstLine="360" w:firstLineChars="200"/>
              <w:rPr>
                <w:rFonts w:hint="eastAsia" w:ascii="宋体" w:hAnsi="宋体" w:eastAsia="宋体" w:cs="宋体"/>
                <w:color w:val="000000"/>
                <w:kern w:val="0"/>
                <w:sz w:val="18"/>
                <w:szCs w:val="18"/>
                <w:lang w:bidi="ar"/>
              </w:rPr>
            </w:pPr>
          </w:p>
        </w:tc>
        <w:tc>
          <w:tcPr>
            <w:tcW w:w="1613" w:type="dxa"/>
            <w:vMerge w:val="continue"/>
            <w:tcBorders>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1271F9D8">
            <w:pPr>
              <w:spacing w:line="280" w:lineRule="exact"/>
              <w:ind w:firstLine="360" w:firstLineChars="200"/>
              <w:rPr>
                <w:rFonts w:hint="eastAsia" w:ascii="宋体" w:hAnsi="宋体" w:eastAsia="宋体" w:cs="宋体"/>
                <w:color w:val="000000"/>
                <w:kern w:val="0"/>
                <w:sz w:val="18"/>
                <w:szCs w:val="18"/>
                <w:lang w:bidi="ar"/>
              </w:rPr>
            </w:pP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23822545">
            <w:pPr>
              <w:spacing w:line="280" w:lineRule="exact"/>
              <w:jc w:val="center"/>
              <w:rPr>
                <w:rFonts w:hint="eastAsia" w:ascii="宋体" w:hAnsi="宋体" w:eastAsia="宋体" w:cs="宋体"/>
                <w:sz w:val="18"/>
                <w:szCs w:val="18"/>
              </w:rPr>
            </w:pPr>
            <w:r>
              <w:rPr>
                <w:rFonts w:hint="eastAsia" w:ascii="宋体" w:hAnsi="宋体" w:eastAsia="宋体" w:cs="宋体"/>
                <w:sz w:val="18"/>
                <w:szCs w:val="18"/>
              </w:rPr>
              <w:t>严重</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357BAB0D">
            <w:pPr>
              <w:spacing w:line="280" w:lineRule="exact"/>
              <w:rPr>
                <w:rStyle w:val="21"/>
                <w:rFonts w:hint="eastAsia" w:ascii="宋体" w:hAnsi="宋体" w:eastAsia="宋体" w:cs="宋体"/>
                <w:sz w:val="18"/>
                <w:szCs w:val="18"/>
                <w:lang w:bidi="ar"/>
              </w:rPr>
            </w:pPr>
            <w:r>
              <w:rPr>
                <w:rStyle w:val="21"/>
                <w:rFonts w:hint="eastAsia" w:ascii="宋体" w:hAnsi="宋体" w:eastAsia="宋体" w:cs="宋体"/>
                <w:sz w:val="18"/>
                <w:szCs w:val="18"/>
                <w:lang w:bidi="ar"/>
              </w:rPr>
              <w:t>逾期未整改或者两年内 2 次以上违法的</w:t>
            </w: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7E9D5B26">
            <w:pPr>
              <w:spacing w:line="280" w:lineRule="exact"/>
              <w:rPr>
                <w:rStyle w:val="21"/>
                <w:rFonts w:hint="eastAsia" w:ascii="宋体" w:hAnsi="宋体" w:eastAsia="宋体" w:cs="宋体"/>
                <w:sz w:val="18"/>
                <w:szCs w:val="18"/>
                <w:lang w:bidi="ar"/>
              </w:rPr>
            </w:pPr>
            <w:r>
              <w:rPr>
                <w:rFonts w:hint="eastAsia" w:ascii="宋体" w:hAnsi="宋体" w:eastAsia="宋体" w:cs="宋体"/>
                <w:color w:val="000000"/>
                <w:kern w:val="0"/>
                <w:sz w:val="18"/>
                <w:szCs w:val="18"/>
                <w:lang w:bidi="ar"/>
              </w:rPr>
              <w:t>处500元以上1000元以下</w:t>
            </w:r>
            <w:r>
              <w:rPr>
                <w:rStyle w:val="21"/>
                <w:rFonts w:hint="eastAsia" w:ascii="宋体" w:hAnsi="宋体" w:eastAsia="宋体" w:cs="宋体"/>
                <w:sz w:val="18"/>
                <w:szCs w:val="18"/>
                <w:lang w:bidi="ar"/>
              </w:rPr>
              <w:t>罚款</w:t>
            </w:r>
          </w:p>
        </w:tc>
        <w:tc>
          <w:tcPr>
            <w:tcW w:w="563" w:type="dxa"/>
            <w:vMerge w:val="continue"/>
            <w:tcBorders>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0396FBB0">
            <w:pPr>
              <w:spacing w:line="260" w:lineRule="exact"/>
              <w:rPr>
                <w:rStyle w:val="21"/>
                <w:rFonts w:hint="eastAsia" w:ascii="宋体" w:hAnsi="宋体" w:eastAsia="宋体" w:cs="宋体"/>
                <w:sz w:val="18"/>
                <w:szCs w:val="18"/>
                <w:lang w:bidi="ar"/>
              </w:rPr>
            </w:pPr>
          </w:p>
        </w:tc>
      </w:tr>
      <w:tr w14:paraId="32932D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495" w:type="dxa"/>
            <w:vMerge w:val="restart"/>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54E36431">
            <w:pPr>
              <w:spacing w:line="240" w:lineRule="exact"/>
              <w:rPr>
                <w:rStyle w:val="21"/>
                <w:rFonts w:hint="eastAsia" w:ascii="宋体" w:hAnsi="宋体" w:eastAsia="宋体" w:cs="宋体"/>
                <w:sz w:val="18"/>
                <w:szCs w:val="18"/>
                <w:lang w:bidi="ar"/>
              </w:rPr>
            </w:pPr>
            <w:r>
              <w:rPr>
                <w:rStyle w:val="21"/>
                <w:rFonts w:hint="eastAsia" w:ascii="宋体" w:hAnsi="宋体" w:eastAsia="宋体" w:cs="宋体"/>
                <w:sz w:val="18"/>
                <w:szCs w:val="18"/>
                <w:lang w:bidi="ar"/>
              </w:rPr>
              <w:t>16</w:t>
            </w:r>
          </w:p>
        </w:tc>
        <w:tc>
          <w:tcPr>
            <w:tcW w:w="1211" w:type="dxa"/>
            <w:vMerge w:val="restart"/>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7647DAE8">
            <w:pPr>
              <w:spacing w:line="240" w:lineRule="exact"/>
              <w:rPr>
                <w:rStyle w:val="21"/>
                <w:rFonts w:hint="eastAsia" w:ascii="宋体" w:hAnsi="宋体" w:eastAsia="宋体" w:cs="宋体"/>
                <w:sz w:val="18"/>
                <w:szCs w:val="18"/>
                <w:lang w:bidi="ar"/>
              </w:rPr>
            </w:pPr>
            <w:r>
              <w:rPr>
                <w:rStyle w:val="21"/>
                <w:rFonts w:hint="eastAsia" w:ascii="宋体" w:hAnsi="宋体" w:eastAsia="宋体" w:cs="宋体"/>
                <w:sz w:val="18"/>
                <w:szCs w:val="18"/>
                <w:lang w:bidi="ar"/>
              </w:rPr>
              <w:t>在线计量监测设备未按要求与水行政主管部门的监测设备联网的行政处罚</w:t>
            </w:r>
          </w:p>
        </w:tc>
        <w:tc>
          <w:tcPr>
            <w:tcW w:w="4862" w:type="dxa"/>
            <w:vMerge w:val="restart"/>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689EAD46">
            <w:pPr>
              <w:spacing w:line="240" w:lineRule="exact"/>
              <w:rPr>
                <w:rStyle w:val="21"/>
                <w:rFonts w:hint="eastAsia" w:ascii="宋体" w:hAnsi="宋体" w:eastAsia="宋体" w:cs="宋体"/>
                <w:sz w:val="18"/>
                <w:szCs w:val="18"/>
                <w:lang w:bidi="ar"/>
              </w:rPr>
            </w:pPr>
            <w:r>
              <w:rPr>
                <w:rStyle w:val="21"/>
                <w:rFonts w:hint="eastAsia" w:ascii="宋体" w:hAnsi="宋体" w:eastAsia="宋体" w:cs="宋体"/>
                <w:sz w:val="18"/>
                <w:szCs w:val="18"/>
                <w:lang w:bidi="ar"/>
              </w:rPr>
              <w:t>《河北省节约用水条例》第七十二条 违反本条例规定，有下列情形之一的，由县级以上人民政府水行政主管部门会同有关部门予以处罚：</w:t>
            </w:r>
          </w:p>
          <w:p w14:paraId="03455509">
            <w:pPr>
              <w:spacing w:line="240" w:lineRule="exact"/>
              <w:rPr>
                <w:rStyle w:val="21"/>
                <w:rFonts w:hint="eastAsia" w:ascii="宋体" w:hAnsi="宋体" w:eastAsia="宋体" w:cs="宋体"/>
                <w:sz w:val="18"/>
                <w:szCs w:val="18"/>
                <w:lang w:bidi="ar"/>
              </w:rPr>
            </w:pPr>
            <w:r>
              <w:rPr>
                <w:rStyle w:val="21"/>
                <w:rFonts w:hint="eastAsia" w:ascii="宋体" w:hAnsi="宋体" w:eastAsia="宋体" w:cs="宋体"/>
                <w:sz w:val="18"/>
                <w:szCs w:val="18"/>
                <w:lang w:bidi="ar"/>
              </w:rPr>
              <w:t>（三）在线计量监测设备未按要求与水行政主管部门的监测设备联网的，责令限期改正；逾期未改正的，处五千元以上五万元以下罚款。</w:t>
            </w:r>
          </w:p>
        </w:tc>
        <w:tc>
          <w:tcPr>
            <w:tcW w:w="1613" w:type="dxa"/>
            <w:vMerge w:val="restart"/>
            <w:tcBorders>
              <w:top w:val="single" w:color="auto" w:sz="4" w:space="0"/>
              <w:left w:val="single" w:color="auto" w:sz="4" w:space="0"/>
              <w:right w:val="single" w:color="auto" w:sz="4" w:space="0"/>
            </w:tcBorders>
            <w:shd w:val="clear" w:color="auto" w:fill="FFFFFF"/>
            <w:noWrap w:val="0"/>
            <w:tcMar>
              <w:top w:w="0" w:type="dxa"/>
              <w:left w:w="0" w:type="dxa"/>
              <w:bottom w:w="0" w:type="dxa"/>
              <w:right w:w="0" w:type="dxa"/>
            </w:tcMar>
            <w:vAlign w:val="center"/>
          </w:tcPr>
          <w:p w14:paraId="4D6C7D6F">
            <w:pPr>
              <w:spacing w:line="240" w:lineRule="exact"/>
              <w:rPr>
                <w:rStyle w:val="21"/>
                <w:rFonts w:hint="eastAsia" w:ascii="宋体" w:hAnsi="宋体" w:eastAsia="宋体" w:cs="宋体"/>
                <w:sz w:val="18"/>
                <w:szCs w:val="18"/>
                <w:lang w:bidi="ar"/>
              </w:rPr>
            </w:pPr>
            <w:r>
              <w:rPr>
                <w:rStyle w:val="21"/>
                <w:rFonts w:hint="eastAsia" w:ascii="宋体" w:hAnsi="宋体" w:eastAsia="宋体" w:cs="宋体"/>
                <w:sz w:val="18"/>
                <w:szCs w:val="18"/>
                <w:lang w:bidi="ar"/>
              </w:rPr>
              <w:t>在线计量监测设备未按要求与水行政主管部门的监测设备联网的</w:t>
            </w: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2DEB515F">
            <w:pPr>
              <w:spacing w:line="240" w:lineRule="exact"/>
              <w:jc w:val="center"/>
              <w:rPr>
                <w:rStyle w:val="21"/>
                <w:rFonts w:hint="eastAsia" w:ascii="宋体" w:hAnsi="宋体" w:eastAsia="宋体" w:cs="宋体"/>
                <w:sz w:val="18"/>
                <w:szCs w:val="18"/>
                <w:lang w:bidi="ar"/>
              </w:rPr>
            </w:pPr>
            <w:r>
              <w:rPr>
                <w:rStyle w:val="21"/>
                <w:rFonts w:hint="eastAsia" w:ascii="宋体" w:hAnsi="宋体" w:eastAsia="宋体" w:cs="宋体"/>
                <w:sz w:val="18"/>
                <w:szCs w:val="18"/>
                <w:lang w:bidi="ar"/>
              </w:rPr>
              <w:t>轻微</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71939C10">
            <w:pPr>
              <w:spacing w:line="240" w:lineRule="exact"/>
              <mc:AlternateContent>
                <mc:Choice Requires="wpsCustomData">
                  <wpsCustomData:diagonalParaType/>
                </mc:Choice>
              </mc:AlternateContent>
              <w:rPr>
                <w:rStyle w:val="21"/>
                <w:rFonts w:hint="eastAsia" w:ascii="宋体" w:hAnsi="宋体" w:eastAsia="宋体" w:cs="宋体"/>
                <w:sz w:val="18"/>
                <w:szCs w:val="18"/>
                <w:lang w:bidi="ar"/>
              </w:rPr>
            </w:pPr>
          </w:p>
          <w:p w14:paraId="76A02B3F">
            <w:pPr>
              <w:spacing w:line="240" w:lineRule="exact"/>
              <w:rPr>
                <w:rStyle w:val="21"/>
                <w:rFonts w:hint="eastAsia" w:ascii="宋体" w:hAnsi="宋体" w:eastAsia="宋体" w:cs="宋体"/>
                <w:sz w:val="18"/>
                <w:szCs w:val="18"/>
                <w:lang w:bidi="ar"/>
              </w:rPr>
            </w:pP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48E63CE6">
            <w:pPr>
              <w:spacing w:line="240" w:lineRule="exact"/>
              <mc:AlternateContent>
                <mc:Choice Requires="wpsCustomData">
                  <wpsCustomData:diagonalParaType/>
                </mc:Choice>
              </mc:AlternateContent>
              <w:rPr>
                <w:rStyle w:val="21"/>
                <w:rFonts w:hint="eastAsia" w:ascii="宋体" w:hAnsi="宋体" w:eastAsia="宋体" w:cs="宋体"/>
                <w:sz w:val="18"/>
                <w:szCs w:val="18"/>
                <w:lang w:bidi="ar"/>
              </w:rPr>
            </w:pPr>
          </w:p>
          <w:p w14:paraId="540BC9AC">
            <w:pPr>
              <w:spacing w:line="240" w:lineRule="exact"/>
              <w:rPr>
                <w:rStyle w:val="21"/>
                <w:rFonts w:hint="eastAsia" w:ascii="宋体" w:hAnsi="宋体" w:eastAsia="宋体" w:cs="宋体"/>
                <w:sz w:val="18"/>
                <w:szCs w:val="18"/>
                <w:lang w:bidi="ar"/>
              </w:rPr>
            </w:pPr>
          </w:p>
        </w:tc>
        <w:tc>
          <w:tcPr>
            <w:tcW w:w="563" w:type="dxa"/>
            <w:vMerge w:val="restart"/>
            <w:tcBorders>
              <w:top w:val="single" w:color="auto" w:sz="4" w:space="0"/>
              <w:left w:val="single" w:color="auto" w:sz="4" w:space="0"/>
              <w:right w:val="single" w:color="auto" w:sz="4" w:space="0"/>
            </w:tcBorders>
            <w:shd w:val="clear" w:color="auto" w:fill="FFFFFF"/>
            <w:noWrap w:val="0"/>
            <w:tcMar>
              <w:top w:w="0" w:type="dxa"/>
              <w:left w:w="0" w:type="dxa"/>
              <w:bottom w:w="0" w:type="dxa"/>
              <w:right w:w="0" w:type="dxa"/>
            </w:tcMar>
            <w:vAlign w:val="center"/>
          </w:tcPr>
          <w:p w14:paraId="18E28BA8">
            <w:pPr>
              <w:spacing w:line="260" w:lineRule="exact"/>
              <w:rPr>
                <w:rStyle w:val="21"/>
                <w:rFonts w:hint="eastAsia" w:ascii="宋体" w:hAnsi="宋体" w:eastAsia="宋体" w:cs="宋体"/>
                <w:sz w:val="18"/>
                <w:szCs w:val="18"/>
                <w:lang w:bidi="ar"/>
              </w:rPr>
            </w:pPr>
          </w:p>
        </w:tc>
      </w:tr>
      <w:tr w14:paraId="514F4F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964" w:hRule="atLeast"/>
          <w:jc w:val="center"/>
        </w:trPr>
        <w:tc>
          <w:tcPr>
            <w:tcW w:w="495"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75B5432C">
            <w:pPr>
              <w:spacing w:line="240" w:lineRule="exact"/>
              <w:rPr>
                <w:rStyle w:val="21"/>
                <w:rFonts w:hint="eastAsia" w:ascii="宋体" w:hAnsi="宋体" w:eastAsia="宋体" w:cs="宋体"/>
                <w:sz w:val="18"/>
                <w:szCs w:val="18"/>
                <w:lang w:bidi="ar"/>
              </w:rPr>
            </w:pPr>
          </w:p>
        </w:tc>
        <w:tc>
          <w:tcPr>
            <w:tcW w:w="1211"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3288B20E">
            <w:pPr>
              <w:spacing w:line="240" w:lineRule="exact"/>
              <w:rPr>
                <w:rStyle w:val="21"/>
                <w:rFonts w:hint="eastAsia" w:ascii="宋体" w:hAnsi="宋体" w:eastAsia="宋体" w:cs="宋体"/>
                <w:sz w:val="18"/>
                <w:szCs w:val="18"/>
                <w:lang w:bidi="ar"/>
              </w:rPr>
            </w:pPr>
          </w:p>
        </w:tc>
        <w:tc>
          <w:tcPr>
            <w:tcW w:w="4862"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7264DB5F">
            <w:pPr>
              <w:spacing w:line="240" w:lineRule="exact"/>
              <w:rPr>
                <w:rStyle w:val="21"/>
                <w:rFonts w:hint="eastAsia" w:ascii="宋体" w:hAnsi="宋体" w:eastAsia="宋体" w:cs="宋体"/>
                <w:sz w:val="18"/>
                <w:szCs w:val="18"/>
                <w:lang w:bidi="ar"/>
              </w:rPr>
            </w:pPr>
          </w:p>
        </w:tc>
        <w:tc>
          <w:tcPr>
            <w:tcW w:w="161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373901AF">
            <w:pPr>
              <w:spacing w:line="240" w:lineRule="exact"/>
              <w:rPr>
                <w:rStyle w:val="21"/>
                <w:rFonts w:hint="eastAsia" w:ascii="宋体" w:hAnsi="宋体" w:eastAsia="宋体" w:cs="宋体"/>
                <w:sz w:val="18"/>
                <w:szCs w:val="18"/>
                <w:lang w:bidi="ar"/>
              </w:rPr>
            </w:pP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02E8CDE7">
            <w:pPr>
              <w:spacing w:line="240" w:lineRule="exact"/>
              <w:jc w:val="center"/>
              <w:rPr>
                <w:rStyle w:val="21"/>
                <w:rFonts w:hint="eastAsia" w:ascii="宋体" w:hAnsi="宋体" w:eastAsia="宋体" w:cs="宋体"/>
                <w:sz w:val="18"/>
                <w:szCs w:val="18"/>
                <w:lang w:bidi="ar"/>
              </w:rPr>
            </w:pPr>
            <w:r>
              <w:rPr>
                <w:rStyle w:val="21"/>
                <w:rFonts w:hint="eastAsia" w:ascii="宋体" w:hAnsi="宋体" w:eastAsia="宋体" w:cs="宋体"/>
                <w:sz w:val="18"/>
                <w:szCs w:val="18"/>
                <w:lang w:bidi="ar"/>
              </w:rPr>
              <w:t>较轻</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79979587">
            <w:pPr>
              <w:spacing w:line="240" w:lineRule="exact"/>
              <w:rPr>
                <w:rStyle w:val="21"/>
                <w:rFonts w:hint="eastAsia" w:ascii="宋体" w:hAnsi="宋体" w:eastAsia="宋体" w:cs="宋体"/>
                <w:sz w:val="18"/>
                <w:szCs w:val="18"/>
                <w:lang w:bidi="ar"/>
              </w:rPr>
            </w:pPr>
            <w:r>
              <w:rPr>
                <w:rStyle w:val="21"/>
                <w:rFonts w:hint="eastAsia" w:ascii="宋体" w:hAnsi="宋体" w:eastAsia="宋体" w:cs="宋体"/>
                <w:sz w:val="18"/>
                <w:szCs w:val="18"/>
                <w:lang w:bidi="ar"/>
              </w:rPr>
              <w:t>逾期15</w:t>
            </w:r>
            <w:r>
              <w:rPr>
                <w:rStyle w:val="21"/>
                <w:rFonts w:hint="eastAsia" w:ascii="宋体" w:hAnsi="宋体" w:eastAsia="宋体" w:cs="宋体"/>
                <w:sz w:val="18"/>
                <w:szCs w:val="18"/>
                <w:lang w:eastAsia="zh-CN" w:bidi="ar"/>
              </w:rPr>
              <w:t>日</w:t>
            </w:r>
            <w:r>
              <w:rPr>
                <w:rStyle w:val="21"/>
                <w:rFonts w:hint="eastAsia" w:ascii="宋体" w:hAnsi="宋体" w:eastAsia="宋体" w:cs="宋体"/>
                <w:sz w:val="18"/>
                <w:szCs w:val="18"/>
                <w:lang w:bidi="ar"/>
              </w:rPr>
              <w:t>以内改正的</w:t>
            </w: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779C1DCA">
            <w:pPr>
              <w:spacing w:line="240" w:lineRule="exact"/>
              <w:rPr>
                <w:rStyle w:val="21"/>
                <w:rFonts w:hint="eastAsia" w:ascii="宋体" w:hAnsi="宋体" w:eastAsia="宋体" w:cs="宋体"/>
                <w:sz w:val="18"/>
                <w:szCs w:val="18"/>
                <w:lang w:bidi="ar"/>
              </w:rPr>
            </w:pPr>
            <w:r>
              <w:rPr>
                <w:rStyle w:val="21"/>
                <w:rFonts w:hint="eastAsia" w:ascii="宋体" w:hAnsi="宋体" w:eastAsia="宋体" w:cs="宋体"/>
                <w:sz w:val="18"/>
                <w:szCs w:val="18"/>
                <w:lang w:bidi="ar"/>
              </w:rPr>
              <w:t>处5千元以上1.5万千元以下的罚款</w:t>
            </w:r>
          </w:p>
        </w:tc>
        <w:tc>
          <w:tcPr>
            <w:tcW w:w="56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0A5FCEB6">
            <w:pPr>
              <w:spacing w:line="260" w:lineRule="exact"/>
              <w:rPr>
                <w:rStyle w:val="21"/>
                <w:rFonts w:hint="eastAsia" w:ascii="宋体" w:hAnsi="宋体" w:eastAsia="宋体" w:cs="宋体"/>
                <w:sz w:val="18"/>
                <w:szCs w:val="18"/>
                <w:lang w:bidi="ar"/>
              </w:rPr>
            </w:pPr>
          </w:p>
        </w:tc>
      </w:tr>
      <w:tr w14:paraId="43CAC2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964" w:hRule="atLeast"/>
          <w:jc w:val="center"/>
        </w:trPr>
        <w:tc>
          <w:tcPr>
            <w:tcW w:w="495"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74F5EAAB">
            <w:pPr>
              <w:spacing w:line="240" w:lineRule="exact"/>
              <w:rPr>
                <w:rStyle w:val="21"/>
                <w:rFonts w:hint="eastAsia" w:ascii="宋体" w:hAnsi="宋体" w:eastAsia="宋体" w:cs="宋体"/>
                <w:sz w:val="18"/>
                <w:szCs w:val="18"/>
                <w:lang w:bidi="ar"/>
              </w:rPr>
            </w:pPr>
          </w:p>
        </w:tc>
        <w:tc>
          <w:tcPr>
            <w:tcW w:w="1211"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72BB0B90">
            <w:pPr>
              <w:spacing w:line="240" w:lineRule="exact"/>
              <w:rPr>
                <w:rStyle w:val="21"/>
                <w:rFonts w:hint="eastAsia" w:ascii="宋体" w:hAnsi="宋体" w:eastAsia="宋体" w:cs="宋体"/>
                <w:sz w:val="18"/>
                <w:szCs w:val="18"/>
                <w:lang w:bidi="ar"/>
              </w:rPr>
            </w:pPr>
          </w:p>
        </w:tc>
        <w:tc>
          <w:tcPr>
            <w:tcW w:w="4862"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1991E605">
            <w:pPr>
              <w:spacing w:line="240" w:lineRule="exact"/>
              <w:rPr>
                <w:rStyle w:val="21"/>
                <w:rFonts w:hint="eastAsia" w:ascii="宋体" w:hAnsi="宋体" w:eastAsia="宋体" w:cs="宋体"/>
                <w:sz w:val="18"/>
                <w:szCs w:val="18"/>
                <w:lang w:bidi="ar"/>
              </w:rPr>
            </w:pPr>
          </w:p>
        </w:tc>
        <w:tc>
          <w:tcPr>
            <w:tcW w:w="161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074E09F5">
            <w:pPr>
              <w:spacing w:line="240" w:lineRule="exact"/>
              <w:rPr>
                <w:rStyle w:val="21"/>
                <w:rFonts w:hint="eastAsia" w:ascii="宋体" w:hAnsi="宋体" w:eastAsia="宋体" w:cs="宋体"/>
                <w:sz w:val="18"/>
                <w:szCs w:val="18"/>
                <w:lang w:bidi="ar"/>
              </w:rPr>
            </w:pP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13B7748F">
            <w:pPr>
              <w:spacing w:line="240" w:lineRule="exact"/>
              <w:jc w:val="center"/>
              <w:rPr>
                <w:rStyle w:val="21"/>
                <w:rFonts w:hint="eastAsia" w:ascii="宋体" w:hAnsi="宋体" w:eastAsia="宋体" w:cs="宋体"/>
                <w:sz w:val="18"/>
                <w:szCs w:val="18"/>
                <w:lang w:bidi="ar"/>
              </w:rPr>
            </w:pPr>
            <w:r>
              <w:rPr>
                <w:rStyle w:val="21"/>
                <w:rFonts w:hint="eastAsia" w:ascii="宋体" w:hAnsi="宋体" w:eastAsia="宋体" w:cs="宋体"/>
                <w:sz w:val="18"/>
                <w:szCs w:val="18"/>
                <w:lang w:bidi="ar"/>
              </w:rPr>
              <w:t>一般</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4BC9358F">
            <w:pPr>
              <w:spacing w:line="240" w:lineRule="exact"/>
              <w:rPr>
                <w:rStyle w:val="21"/>
                <w:rFonts w:hint="eastAsia" w:ascii="宋体" w:hAnsi="宋体" w:eastAsia="宋体" w:cs="宋体"/>
                <w:sz w:val="18"/>
                <w:szCs w:val="18"/>
                <w:lang w:bidi="ar"/>
              </w:rPr>
            </w:pPr>
            <w:r>
              <w:rPr>
                <w:rStyle w:val="21"/>
                <w:rFonts w:hint="eastAsia" w:ascii="宋体" w:hAnsi="宋体" w:eastAsia="宋体" w:cs="宋体"/>
                <w:sz w:val="18"/>
                <w:szCs w:val="18"/>
                <w:lang w:bidi="ar"/>
              </w:rPr>
              <w:t>逾期15</w:t>
            </w:r>
            <w:r>
              <w:rPr>
                <w:rStyle w:val="21"/>
                <w:rFonts w:hint="eastAsia" w:ascii="宋体" w:hAnsi="宋体" w:eastAsia="宋体" w:cs="宋体"/>
                <w:sz w:val="18"/>
                <w:szCs w:val="18"/>
                <w:lang w:eastAsia="zh-CN" w:bidi="ar"/>
              </w:rPr>
              <w:t>日</w:t>
            </w:r>
            <w:r>
              <w:rPr>
                <w:rStyle w:val="21"/>
                <w:rFonts w:hint="eastAsia" w:ascii="宋体" w:hAnsi="宋体" w:eastAsia="宋体" w:cs="宋体"/>
                <w:sz w:val="18"/>
                <w:szCs w:val="18"/>
                <w:lang w:bidi="ar"/>
              </w:rPr>
              <w:t>以上、30</w:t>
            </w:r>
            <w:r>
              <w:rPr>
                <w:rStyle w:val="21"/>
                <w:rFonts w:hint="eastAsia" w:ascii="宋体" w:hAnsi="宋体" w:eastAsia="宋体" w:cs="宋体"/>
                <w:sz w:val="18"/>
                <w:szCs w:val="18"/>
                <w:lang w:eastAsia="zh-CN" w:bidi="ar"/>
              </w:rPr>
              <w:t>日</w:t>
            </w:r>
            <w:r>
              <w:rPr>
                <w:rStyle w:val="21"/>
                <w:rFonts w:hint="eastAsia" w:ascii="宋体" w:hAnsi="宋体" w:eastAsia="宋体" w:cs="宋体"/>
                <w:sz w:val="18"/>
                <w:szCs w:val="18"/>
                <w:lang w:bidi="ar"/>
              </w:rPr>
              <w:t>以内改正的</w:t>
            </w: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52C876FD">
            <w:pPr>
              <w:spacing w:line="240" w:lineRule="exact"/>
              <w:rPr>
                <w:rStyle w:val="21"/>
                <w:rFonts w:hint="eastAsia" w:ascii="宋体" w:hAnsi="宋体" w:eastAsia="宋体" w:cs="宋体"/>
                <w:sz w:val="18"/>
                <w:szCs w:val="18"/>
                <w:lang w:bidi="ar"/>
              </w:rPr>
            </w:pPr>
            <w:r>
              <w:rPr>
                <w:rStyle w:val="21"/>
                <w:rFonts w:hint="eastAsia" w:ascii="宋体" w:hAnsi="宋体" w:eastAsia="宋体" w:cs="宋体"/>
                <w:sz w:val="18"/>
                <w:szCs w:val="18"/>
                <w:lang w:bidi="ar"/>
              </w:rPr>
              <w:t>处1.5万元以上2.5万元以下的罚款</w:t>
            </w:r>
          </w:p>
        </w:tc>
        <w:tc>
          <w:tcPr>
            <w:tcW w:w="56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22DF2EC4">
            <w:pPr>
              <w:spacing w:line="260" w:lineRule="exact"/>
              <w:rPr>
                <w:rStyle w:val="21"/>
                <w:rFonts w:hint="eastAsia" w:ascii="宋体" w:hAnsi="宋体" w:eastAsia="宋体" w:cs="宋体"/>
                <w:sz w:val="18"/>
                <w:szCs w:val="18"/>
                <w:lang w:bidi="ar"/>
              </w:rPr>
            </w:pPr>
          </w:p>
        </w:tc>
      </w:tr>
      <w:tr w14:paraId="05CF14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964" w:hRule="atLeast"/>
          <w:jc w:val="center"/>
        </w:trPr>
        <w:tc>
          <w:tcPr>
            <w:tcW w:w="495"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0976170D">
            <w:pPr>
              <w:spacing w:line="240" w:lineRule="exact"/>
              <w:rPr>
                <w:rStyle w:val="21"/>
                <w:rFonts w:hint="eastAsia" w:ascii="宋体" w:hAnsi="宋体" w:eastAsia="宋体" w:cs="宋体"/>
                <w:sz w:val="18"/>
                <w:szCs w:val="18"/>
                <w:lang w:bidi="ar"/>
              </w:rPr>
            </w:pPr>
          </w:p>
        </w:tc>
        <w:tc>
          <w:tcPr>
            <w:tcW w:w="1211"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7549C510">
            <w:pPr>
              <w:spacing w:line="240" w:lineRule="exact"/>
              <w:rPr>
                <w:rStyle w:val="21"/>
                <w:rFonts w:hint="eastAsia" w:ascii="宋体" w:hAnsi="宋体" w:eastAsia="宋体" w:cs="宋体"/>
                <w:sz w:val="18"/>
                <w:szCs w:val="18"/>
                <w:lang w:bidi="ar"/>
              </w:rPr>
            </w:pPr>
          </w:p>
        </w:tc>
        <w:tc>
          <w:tcPr>
            <w:tcW w:w="4862"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2A52FC5C">
            <w:pPr>
              <w:spacing w:line="240" w:lineRule="exact"/>
              <w:rPr>
                <w:rStyle w:val="21"/>
                <w:rFonts w:hint="eastAsia" w:ascii="宋体" w:hAnsi="宋体" w:eastAsia="宋体" w:cs="宋体"/>
                <w:sz w:val="18"/>
                <w:szCs w:val="18"/>
                <w:lang w:bidi="ar"/>
              </w:rPr>
            </w:pPr>
          </w:p>
        </w:tc>
        <w:tc>
          <w:tcPr>
            <w:tcW w:w="161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42953C09">
            <w:pPr>
              <w:spacing w:line="240" w:lineRule="exact"/>
              <w:rPr>
                <w:rStyle w:val="21"/>
                <w:rFonts w:hint="eastAsia" w:ascii="宋体" w:hAnsi="宋体" w:eastAsia="宋体" w:cs="宋体"/>
                <w:sz w:val="18"/>
                <w:szCs w:val="18"/>
                <w:lang w:bidi="ar"/>
              </w:rPr>
            </w:pP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0E4D4F3C">
            <w:pPr>
              <w:spacing w:line="240" w:lineRule="exact"/>
              <w:jc w:val="center"/>
              <w:rPr>
                <w:rStyle w:val="21"/>
                <w:rFonts w:hint="eastAsia" w:ascii="宋体" w:hAnsi="宋体" w:eastAsia="宋体" w:cs="宋体"/>
                <w:sz w:val="18"/>
                <w:szCs w:val="18"/>
                <w:lang w:eastAsia="zh-CN" w:bidi="ar"/>
              </w:rPr>
            </w:pPr>
            <w:r>
              <w:rPr>
                <w:rStyle w:val="21"/>
                <w:rFonts w:hint="eastAsia" w:ascii="宋体" w:hAnsi="宋体" w:eastAsia="宋体" w:cs="宋体"/>
                <w:sz w:val="18"/>
                <w:szCs w:val="18"/>
                <w:lang w:eastAsia="zh-CN" w:bidi="ar"/>
              </w:rPr>
              <w:t>较重</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60526C0D">
            <w:pPr>
              <w:spacing w:line="240" w:lineRule="exact"/>
              <w:rPr>
                <w:rStyle w:val="21"/>
                <w:rFonts w:hint="eastAsia" w:ascii="宋体" w:hAnsi="宋体" w:eastAsia="宋体" w:cs="宋体"/>
                <w:sz w:val="18"/>
                <w:szCs w:val="18"/>
                <w:lang w:bidi="ar"/>
              </w:rPr>
            </w:pPr>
            <w:r>
              <w:rPr>
                <w:rStyle w:val="21"/>
                <w:rFonts w:hint="eastAsia" w:ascii="宋体" w:hAnsi="宋体" w:eastAsia="宋体" w:cs="宋体"/>
                <w:sz w:val="18"/>
                <w:szCs w:val="18"/>
                <w:lang w:bidi="ar"/>
              </w:rPr>
              <w:t>逾期30</w:t>
            </w:r>
            <w:r>
              <w:rPr>
                <w:rStyle w:val="21"/>
                <w:rFonts w:hint="eastAsia" w:ascii="宋体" w:hAnsi="宋体" w:eastAsia="宋体" w:cs="宋体"/>
                <w:sz w:val="18"/>
                <w:szCs w:val="18"/>
                <w:lang w:eastAsia="zh-CN" w:bidi="ar"/>
              </w:rPr>
              <w:t>日</w:t>
            </w:r>
            <w:r>
              <w:rPr>
                <w:rStyle w:val="21"/>
                <w:rFonts w:hint="eastAsia" w:ascii="宋体" w:hAnsi="宋体" w:eastAsia="宋体" w:cs="宋体"/>
                <w:sz w:val="18"/>
                <w:szCs w:val="18"/>
                <w:lang w:bidi="ar"/>
              </w:rPr>
              <w:t>以上、60</w:t>
            </w:r>
            <w:r>
              <w:rPr>
                <w:rStyle w:val="21"/>
                <w:rFonts w:hint="eastAsia" w:ascii="宋体" w:hAnsi="宋体" w:eastAsia="宋体" w:cs="宋体"/>
                <w:sz w:val="18"/>
                <w:szCs w:val="18"/>
                <w:lang w:eastAsia="zh-CN" w:bidi="ar"/>
              </w:rPr>
              <w:t>日</w:t>
            </w:r>
            <w:r>
              <w:rPr>
                <w:rStyle w:val="21"/>
                <w:rFonts w:hint="eastAsia" w:ascii="宋体" w:hAnsi="宋体" w:eastAsia="宋体" w:cs="宋体"/>
                <w:sz w:val="18"/>
                <w:szCs w:val="18"/>
                <w:lang w:bidi="ar"/>
              </w:rPr>
              <w:t>以内改正的</w:t>
            </w: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3AD81F39">
            <w:pPr>
              <w:spacing w:line="240" w:lineRule="exact"/>
              <w:rPr>
                <w:rStyle w:val="21"/>
                <w:rFonts w:hint="eastAsia" w:ascii="宋体" w:hAnsi="宋体" w:eastAsia="宋体" w:cs="宋体"/>
                <w:sz w:val="18"/>
                <w:szCs w:val="18"/>
                <w:lang w:bidi="ar"/>
              </w:rPr>
            </w:pPr>
            <w:r>
              <w:rPr>
                <w:rStyle w:val="21"/>
                <w:rFonts w:hint="eastAsia" w:ascii="宋体" w:hAnsi="宋体" w:eastAsia="宋体" w:cs="宋体"/>
                <w:sz w:val="18"/>
                <w:szCs w:val="18"/>
                <w:lang w:bidi="ar"/>
              </w:rPr>
              <w:t>处2.5万元以上3.5万元以下的罚款</w:t>
            </w:r>
          </w:p>
        </w:tc>
        <w:tc>
          <w:tcPr>
            <w:tcW w:w="56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1AFF9F22">
            <w:pPr>
              <w:spacing w:line="260" w:lineRule="exact"/>
              <w:rPr>
                <w:rStyle w:val="21"/>
                <w:rFonts w:hint="eastAsia" w:ascii="宋体" w:hAnsi="宋体" w:eastAsia="宋体" w:cs="宋体"/>
                <w:sz w:val="18"/>
                <w:szCs w:val="18"/>
                <w:lang w:bidi="ar"/>
              </w:rPr>
            </w:pPr>
          </w:p>
        </w:tc>
      </w:tr>
      <w:tr w14:paraId="765AC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jc w:val="center"/>
        </w:trPr>
        <w:tc>
          <w:tcPr>
            <w:tcW w:w="495" w:type="dxa"/>
            <w:vMerge w:val="continue"/>
            <w:tcBorders>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257CB8DE">
            <w:pPr>
              <w:spacing w:line="240" w:lineRule="exact"/>
              <w:rPr>
                <w:rStyle w:val="21"/>
                <w:rFonts w:hint="eastAsia" w:ascii="宋体" w:hAnsi="宋体" w:eastAsia="宋体" w:cs="宋体"/>
                <w:sz w:val="18"/>
                <w:szCs w:val="18"/>
                <w:lang w:bidi="ar"/>
              </w:rPr>
            </w:pPr>
          </w:p>
        </w:tc>
        <w:tc>
          <w:tcPr>
            <w:tcW w:w="1211" w:type="dxa"/>
            <w:vMerge w:val="continue"/>
            <w:tcBorders>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76A40844">
            <w:pPr>
              <w:spacing w:line="240" w:lineRule="exact"/>
              <w:rPr>
                <w:rStyle w:val="21"/>
                <w:rFonts w:hint="eastAsia" w:ascii="宋体" w:hAnsi="宋体" w:eastAsia="宋体" w:cs="宋体"/>
                <w:sz w:val="18"/>
                <w:szCs w:val="18"/>
                <w:lang w:bidi="ar"/>
              </w:rPr>
            </w:pPr>
          </w:p>
        </w:tc>
        <w:tc>
          <w:tcPr>
            <w:tcW w:w="4862" w:type="dxa"/>
            <w:vMerge w:val="continue"/>
            <w:tcBorders>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6448CACE">
            <w:pPr>
              <w:spacing w:line="240" w:lineRule="exact"/>
              <w:rPr>
                <w:rStyle w:val="21"/>
                <w:rFonts w:hint="eastAsia" w:ascii="宋体" w:hAnsi="宋体" w:eastAsia="宋体" w:cs="宋体"/>
                <w:sz w:val="18"/>
                <w:szCs w:val="18"/>
                <w:lang w:bidi="ar"/>
              </w:rPr>
            </w:pPr>
          </w:p>
        </w:tc>
        <w:tc>
          <w:tcPr>
            <w:tcW w:w="1613" w:type="dxa"/>
            <w:vMerge w:val="continue"/>
            <w:tcBorders>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52B456D2">
            <w:pPr>
              <w:spacing w:line="240" w:lineRule="exact"/>
              <w:rPr>
                <w:rStyle w:val="21"/>
                <w:rFonts w:hint="eastAsia" w:ascii="宋体" w:hAnsi="宋体" w:eastAsia="宋体" w:cs="宋体"/>
                <w:sz w:val="18"/>
                <w:szCs w:val="18"/>
                <w:lang w:bidi="ar"/>
              </w:rPr>
            </w:pP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1123543C">
            <w:pPr>
              <w:spacing w:line="240" w:lineRule="exact"/>
              <w:jc w:val="center"/>
              <w:rPr>
                <w:rStyle w:val="21"/>
                <w:rFonts w:hint="eastAsia" w:ascii="宋体" w:hAnsi="宋体" w:eastAsia="宋体" w:cs="宋体"/>
                <w:sz w:val="18"/>
                <w:szCs w:val="18"/>
                <w:lang w:bidi="ar"/>
              </w:rPr>
            </w:pPr>
            <w:r>
              <w:rPr>
                <w:rStyle w:val="21"/>
                <w:rFonts w:hint="eastAsia" w:ascii="宋体" w:hAnsi="宋体" w:eastAsia="宋体" w:cs="宋体"/>
                <w:sz w:val="18"/>
                <w:szCs w:val="18"/>
                <w:lang w:bidi="ar"/>
              </w:rPr>
              <w:t>严重</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1F8EBA77">
            <w:pPr>
              <w:spacing w:line="240" w:lineRule="exact"/>
              <w:rPr>
                <w:rStyle w:val="21"/>
                <w:rFonts w:hint="eastAsia" w:ascii="宋体" w:hAnsi="宋体" w:eastAsia="宋体" w:cs="宋体"/>
                <w:sz w:val="18"/>
                <w:szCs w:val="18"/>
                <w:lang w:bidi="ar"/>
              </w:rPr>
            </w:pPr>
            <w:r>
              <w:rPr>
                <w:rStyle w:val="21"/>
                <w:rFonts w:hint="eastAsia" w:ascii="宋体" w:hAnsi="宋体" w:eastAsia="宋体" w:cs="宋体"/>
                <w:sz w:val="18"/>
                <w:szCs w:val="18"/>
                <w:lang w:bidi="ar"/>
              </w:rPr>
              <w:t>逾期60</w:t>
            </w:r>
            <w:r>
              <w:rPr>
                <w:rStyle w:val="21"/>
                <w:rFonts w:hint="eastAsia" w:ascii="宋体" w:hAnsi="宋体" w:eastAsia="宋体" w:cs="宋体"/>
                <w:sz w:val="18"/>
                <w:szCs w:val="18"/>
                <w:lang w:eastAsia="zh-CN" w:bidi="ar"/>
              </w:rPr>
              <w:t>日</w:t>
            </w:r>
            <w:r>
              <w:rPr>
                <w:rStyle w:val="21"/>
                <w:rFonts w:hint="eastAsia" w:ascii="宋体" w:hAnsi="宋体" w:eastAsia="宋体" w:cs="宋体"/>
                <w:sz w:val="18"/>
                <w:szCs w:val="18"/>
                <w:lang w:bidi="ar"/>
              </w:rPr>
              <w:t>以上未改正的</w:t>
            </w: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37CCE7E1">
            <w:pPr>
              <w:spacing w:line="240" w:lineRule="exact"/>
              <w:rPr>
                <w:rStyle w:val="21"/>
                <w:rFonts w:hint="eastAsia" w:ascii="宋体" w:hAnsi="宋体" w:eastAsia="宋体" w:cs="宋体"/>
                <w:sz w:val="18"/>
                <w:szCs w:val="18"/>
                <w:lang w:bidi="ar"/>
              </w:rPr>
            </w:pPr>
            <w:r>
              <w:rPr>
                <w:rStyle w:val="21"/>
                <w:rFonts w:hint="eastAsia" w:ascii="宋体" w:hAnsi="宋体" w:eastAsia="宋体" w:cs="宋体"/>
                <w:sz w:val="18"/>
                <w:szCs w:val="18"/>
                <w:lang w:bidi="ar"/>
              </w:rPr>
              <w:t>处3.5元以上5万以下的罚款</w:t>
            </w:r>
          </w:p>
        </w:tc>
        <w:tc>
          <w:tcPr>
            <w:tcW w:w="563" w:type="dxa"/>
            <w:vMerge w:val="continue"/>
            <w:tcBorders>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79B539C3">
            <w:pPr>
              <w:spacing w:line="260" w:lineRule="exact"/>
              <w:rPr>
                <w:rStyle w:val="21"/>
                <w:rFonts w:hint="eastAsia" w:ascii="宋体" w:hAnsi="宋体" w:eastAsia="宋体" w:cs="宋体"/>
                <w:sz w:val="18"/>
                <w:szCs w:val="18"/>
                <w:lang w:bidi="ar"/>
              </w:rPr>
            </w:pPr>
          </w:p>
        </w:tc>
      </w:tr>
      <w:tr w14:paraId="18A820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564" w:hRule="atLeast"/>
          <w:jc w:val="center"/>
        </w:trPr>
        <w:tc>
          <w:tcPr>
            <w:tcW w:w="495" w:type="dxa"/>
            <w:vMerge w:val="restart"/>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1DEBEA64">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17</w:t>
            </w:r>
          </w:p>
        </w:tc>
        <w:tc>
          <w:tcPr>
            <w:tcW w:w="1211" w:type="dxa"/>
            <w:vMerge w:val="restart"/>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1821EDB8">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对不按照规定报送年度取水情况、拒绝接受监督检查或者弄虚作假等行为的行政处罚</w:t>
            </w:r>
          </w:p>
        </w:tc>
        <w:tc>
          <w:tcPr>
            <w:tcW w:w="4862" w:type="dxa"/>
            <w:vMerge w:val="restart"/>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44EF0A54">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《取水许可和水资源费征收管理条例》第五十二条 有下列行为之一的，责令停止违法行为，限期改正，处5000元以上2万元以下罚款；情节严重的，吊销取水许可证：</w:t>
            </w:r>
          </w:p>
          <w:p w14:paraId="013A5F44">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（一）不按照规定报送年度取水情况的；</w:t>
            </w:r>
          </w:p>
          <w:p w14:paraId="25797164">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（二）拒绝接受监督检查或者弄虚作假的；</w:t>
            </w:r>
          </w:p>
          <w:p w14:paraId="0BE6A641">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（三）退水水质达不到规定要求的。</w:t>
            </w:r>
          </w:p>
        </w:tc>
        <w:tc>
          <w:tcPr>
            <w:tcW w:w="1613" w:type="dxa"/>
            <w:vMerge w:val="restart"/>
            <w:tcBorders>
              <w:top w:val="single" w:color="auto" w:sz="4" w:space="0"/>
              <w:left w:val="single" w:color="auto" w:sz="4" w:space="0"/>
              <w:right w:val="single" w:color="auto" w:sz="4" w:space="0"/>
            </w:tcBorders>
            <w:shd w:val="clear" w:color="auto" w:fill="FFFFFF"/>
            <w:noWrap w:val="0"/>
            <w:tcMar>
              <w:top w:w="0" w:type="dxa"/>
              <w:left w:w="0" w:type="dxa"/>
              <w:bottom w:w="0" w:type="dxa"/>
              <w:right w:w="0" w:type="dxa"/>
            </w:tcMar>
            <w:vAlign w:val="center"/>
          </w:tcPr>
          <w:p w14:paraId="4EF62C0D">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不按照规定报送年度取水情况的</w:t>
            </w: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5D2566F6">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轻微</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7A362286">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1EB79909">
            <w:pPr>
              <w:spacing w:line="260" w:lineRule="exact"/>
              <w:rPr>
                <w:rStyle w:val="21"/>
                <w:rFonts w:hint="eastAsia" w:ascii="宋体" w:hAnsi="宋体" w:eastAsia="宋体" w:cs="宋体"/>
                <w:sz w:val="18"/>
                <w:szCs w:val="18"/>
                <w:lang w:bidi="ar"/>
              </w:rPr>
            </w:pP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45A0E9C8">
            <w:pPr>
              <w:snapToGrid/>
              <w:spacing w:line="24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0DDBAC5B">
            <w:pPr>
              <w:spacing w:line="240" w:lineRule="exact"/>
              <w:rPr>
                <w:rStyle w:val="21"/>
                <w:rFonts w:hint="eastAsia" w:ascii="宋体" w:hAnsi="宋体" w:eastAsia="宋体" w:cs="宋体"/>
                <w:sz w:val="18"/>
                <w:szCs w:val="18"/>
                <w:lang w:bidi="ar"/>
              </w:rPr>
            </w:pPr>
          </w:p>
        </w:tc>
        <w:tc>
          <w:tcPr>
            <w:tcW w:w="563" w:type="dxa"/>
            <w:vMerge w:val="restart"/>
            <w:tcBorders>
              <w:top w:val="single" w:color="auto" w:sz="4" w:space="0"/>
              <w:left w:val="single" w:color="auto" w:sz="4" w:space="0"/>
              <w:right w:val="single" w:color="auto" w:sz="4" w:space="0"/>
            </w:tcBorders>
            <w:shd w:val="clear" w:color="auto" w:fill="FFFFFF"/>
            <w:noWrap w:val="0"/>
            <w:tcMar>
              <w:top w:w="0" w:type="dxa"/>
              <w:left w:w="0" w:type="dxa"/>
              <w:bottom w:w="0" w:type="dxa"/>
              <w:right w:w="0" w:type="dxa"/>
            </w:tcMar>
            <w:vAlign w:val="center"/>
          </w:tcPr>
          <w:p w14:paraId="02868D14">
            <w:pPr>
              <w:spacing w:line="260" w:lineRule="exact"/>
              <w:rPr>
                <w:rStyle w:val="21"/>
                <w:rFonts w:hint="eastAsia" w:ascii="宋体" w:hAnsi="宋体" w:eastAsia="宋体" w:cs="宋体"/>
                <w:sz w:val="18"/>
                <w:szCs w:val="18"/>
                <w:lang w:bidi="ar"/>
              </w:rPr>
            </w:pPr>
          </w:p>
        </w:tc>
      </w:tr>
      <w:tr w14:paraId="5188D0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6" w:hRule="atLeast"/>
          <w:jc w:val="center"/>
        </w:trPr>
        <w:tc>
          <w:tcPr>
            <w:tcW w:w="495"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185AAD52">
            <w:pPr>
              <w:spacing w:line="260" w:lineRule="exact"/>
              <w:jc w:val="center"/>
              <w:rPr>
                <w:rFonts w:hint="eastAsia" w:ascii="宋体" w:hAnsi="宋体" w:eastAsia="宋体" w:cs="宋体"/>
                <w:sz w:val="18"/>
                <w:szCs w:val="18"/>
              </w:rPr>
            </w:pPr>
          </w:p>
        </w:tc>
        <w:tc>
          <w:tcPr>
            <w:tcW w:w="1211"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53154AC7">
            <w:pPr>
              <w:spacing w:line="260" w:lineRule="exact"/>
              <w:rPr>
                <w:rFonts w:hint="eastAsia" w:ascii="宋体" w:hAnsi="宋体" w:eastAsia="宋体" w:cs="宋体"/>
                <w:color w:val="000000"/>
                <w:kern w:val="0"/>
                <w:sz w:val="18"/>
                <w:szCs w:val="18"/>
                <w:lang w:bidi="ar"/>
              </w:rPr>
            </w:pPr>
          </w:p>
        </w:tc>
        <w:tc>
          <w:tcPr>
            <w:tcW w:w="4862"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707F01F7">
            <w:pPr>
              <w:spacing w:line="260" w:lineRule="exact"/>
              <w:ind w:firstLine="360" w:firstLineChars="200"/>
              <w:rPr>
                <w:rFonts w:hint="eastAsia" w:ascii="宋体" w:hAnsi="宋体" w:eastAsia="宋体" w:cs="宋体"/>
                <w:color w:val="000000"/>
                <w:kern w:val="0"/>
                <w:sz w:val="18"/>
                <w:szCs w:val="18"/>
                <w:lang w:bidi="ar"/>
              </w:rPr>
            </w:pPr>
          </w:p>
        </w:tc>
        <w:tc>
          <w:tcPr>
            <w:tcW w:w="161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3470528D">
            <w:pPr>
              <w:spacing w:line="260" w:lineRule="exact"/>
              <w:ind w:firstLine="360" w:firstLineChars="200"/>
              <w:rPr>
                <w:rFonts w:hint="eastAsia" w:ascii="宋体" w:hAnsi="宋体" w:eastAsia="宋体" w:cs="宋体"/>
                <w:color w:val="000000"/>
                <w:kern w:val="0"/>
                <w:sz w:val="18"/>
                <w:szCs w:val="18"/>
                <w:lang w:bidi="ar"/>
              </w:rPr>
            </w:pP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54DFD086">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较轻</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5C2F494A">
            <w:pPr>
              <w:spacing w:line="240" w:lineRule="exact"/>
              <w:rPr>
                <w:rFonts w:hint="eastAsia" w:ascii="宋体" w:hAnsi="宋体" w:eastAsia="宋体" w:cs="宋体"/>
                <w:color w:val="000000"/>
                <w:sz w:val="18"/>
                <w:szCs w:val="18"/>
                <w:lang w:bidi="ar"/>
              </w:rPr>
            </w:pPr>
            <w:r>
              <w:rPr>
                <w:rStyle w:val="21"/>
                <w:rFonts w:hint="eastAsia" w:ascii="宋体" w:hAnsi="宋体" w:eastAsia="宋体" w:cs="宋体"/>
                <w:sz w:val="18"/>
                <w:szCs w:val="18"/>
                <w:lang w:bidi="ar"/>
              </w:rPr>
              <w:t>不按规定期限报送年度取水情况，超过规定期限15</w:t>
            </w:r>
            <w:r>
              <w:rPr>
                <w:rStyle w:val="21"/>
                <w:rFonts w:hint="eastAsia" w:ascii="宋体" w:hAnsi="宋体" w:eastAsia="宋体" w:cs="宋体"/>
                <w:sz w:val="18"/>
                <w:szCs w:val="18"/>
                <w:lang w:eastAsia="zh-CN" w:bidi="ar"/>
              </w:rPr>
              <w:t>日</w:t>
            </w:r>
            <w:r>
              <w:rPr>
                <w:rStyle w:val="21"/>
                <w:rFonts w:hint="eastAsia" w:ascii="宋体" w:hAnsi="宋体" w:eastAsia="宋体" w:cs="宋体"/>
                <w:sz w:val="18"/>
                <w:szCs w:val="18"/>
                <w:lang w:bidi="ar"/>
              </w:rPr>
              <w:t>不足30</w:t>
            </w:r>
            <w:r>
              <w:rPr>
                <w:rStyle w:val="21"/>
                <w:rFonts w:hint="eastAsia" w:ascii="宋体" w:hAnsi="宋体" w:eastAsia="宋体" w:cs="宋体"/>
                <w:sz w:val="18"/>
                <w:szCs w:val="18"/>
                <w:lang w:eastAsia="zh-CN" w:bidi="ar"/>
              </w:rPr>
              <w:t>日</w:t>
            </w:r>
            <w:r>
              <w:rPr>
                <w:rStyle w:val="21"/>
                <w:rFonts w:hint="eastAsia" w:ascii="宋体" w:hAnsi="宋体" w:eastAsia="宋体" w:cs="宋体"/>
                <w:sz w:val="18"/>
                <w:szCs w:val="18"/>
                <w:lang w:bidi="ar"/>
              </w:rPr>
              <w:t>，报送情况符合要求</w:t>
            </w: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4B053CF1">
            <w:pPr>
              <w:spacing w:line="240" w:lineRule="exact"/>
              <w:rPr>
                <w:rFonts w:hint="eastAsia" w:ascii="宋体" w:hAnsi="宋体" w:eastAsia="宋体" w:cs="宋体"/>
                <w:color w:val="000000"/>
                <w:sz w:val="18"/>
                <w:szCs w:val="18"/>
                <w:lang w:bidi="ar"/>
              </w:rPr>
            </w:pPr>
            <w:r>
              <w:rPr>
                <w:rStyle w:val="21"/>
                <w:rFonts w:hint="eastAsia" w:ascii="宋体" w:hAnsi="宋体" w:eastAsia="宋体" w:cs="宋体"/>
                <w:sz w:val="18"/>
                <w:szCs w:val="18"/>
                <w:lang w:bidi="ar"/>
              </w:rPr>
              <w:t>处5千元以上8千元以下罚款</w:t>
            </w:r>
          </w:p>
        </w:tc>
        <w:tc>
          <w:tcPr>
            <w:tcW w:w="56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35E640D2">
            <w:pPr>
              <w:spacing w:line="260" w:lineRule="exact"/>
              <w:rPr>
                <w:rStyle w:val="21"/>
                <w:rFonts w:hint="eastAsia" w:ascii="宋体" w:hAnsi="宋体" w:eastAsia="宋体" w:cs="宋体"/>
                <w:sz w:val="18"/>
                <w:szCs w:val="18"/>
                <w:lang w:bidi="ar"/>
              </w:rPr>
            </w:pPr>
          </w:p>
        </w:tc>
      </w:tr>
      <w:tr w14:paraId="4A1A95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837" w:hRule="atLeast"/>
          <w:jc w:val="center"/>
        </w:trPr>
        <w:tc>
          <w:tcPr>
            <w:tcW w:w="495"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402353E5">
            <w:pPr>
              <w:spacing w:line="260" w:lineRule="exact"/>
              <w:jc w:val="center"/>
              <w:rPr>
                <w:rFonts w:hint="eastAsia" w:ascii="宋体" w:hAnsi="宋体" w:eastAsia="宋体" w:cs="宋体"/>
                <w:sz w:val="18"/>
                <w:szCs w:val="18"/>
              </w:rPr>
            </w:pPr>
          </w:p>
        </w:tc>
        <w:tc>
          <w:tcPr>
            <w:tcW w:w="1211"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2C9FF9CF">
            <w:pPr>
              <w:spacing w:line="260" w:lineRule="exact"/>
              <w:rPr>
                <w:rFonts w:hint="eastAsia" w:ascii="宋体" w:hAnsi="宋体" w:eastAsia="宋体" w:cs="宋体"/>
                <w:color w:val="000000"/>
                <w:kern w:val="0"/>
                <w:sz w:val="18"/>
                <w:szCs w:val="18"/>
                <w:lang w:bidi="ar"/>
              </w:rPr>
            </w:pPr>
          </w:p>
        </w:tc>
        <w:tc>
          <w:tcPr>
            <w:tcW w:w="4862"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2F344FB3">
            <w:pPr>
              <w:spacing w:line="260" w:lineRule="exact"/>
              <w:ind w:firstLine="360" w:firstLineChars="200"/>
              <w:rPr>
                <w:rFonts w:hint="eastAsia" w:ascii="宋体" w:hAnsi="宋体" w:eastAsia="宋体" w:cs="宋体"/>
                <w:color w:val="000000"/>
                <w:kern w:val="0"/>
                <w:sz w:val="18"/>
                <w:szCs w:val="18"/>
                <w:lang w:bidi="ar"/>
              </w:rPr>
            </w:pPr>
          </w:p>
        </w:tc>
        <w:tc>
          <w:tcPr>
            <w:tcW w:w="161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1477AC22">
            <w:pPr>
              <w:spacing w:line="260" w:lineRule="exact"/>
              <w:ind w:firstLine="360" w:firstLineChars="200"/>
              <w:rPr>
                <w:rFonts w:hint="eastAsia" w:ascii="宋体" w:hAnsi="宋体" w:eastAsia="宋体" w:cs="宋体"/>
                <w:color w:val="000000"/>
                <w:kern w:val="0"/>
                <w:sz w:val="18"/>
                <w:szCs w:val="18"/>
                <w:lang w:bidi="ar"/>
              </w:rPr>
            </w:pP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17A3C154">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一般</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2BE9512B">
            <w:pPr>
              <w:spacing w:line="240" w:lineRule="exact"/>
              <w:rPr>
                <w:rFonts w:hint="eastAsia" w:ascii="宋体" w:hAnsi="宋体" w:eastAsia="宋体" w:cs="宋体"/>
                <w:color w:val="000000"/>
                <w:sz w:val="18"/>
                <w:szCs w:val="18"/>
                <w:lang w:bidi="ar"/>
              </w:rPr>
            </w:pPr>
            <w:r>
              <w:rPr>
                <w:rStyle w:val="21"/>
                <w:rFonts w:hint="eastAsia" w:ascii="宋体" w:hAnsi="宋体" w:eastAsia="宋体" w:cs="宋体"/>
                <w:sz w:val="18"/>
                <w:szCs w:val="18"/>
                <w:lang w:bidi="ar"/>
              </w:rPr>
              <w:t>不按规定期限报送年度取水情况，超过规定期限30</w:t>
            </w:r>
            <w:r>
              <w:rPr>
                <w:rStyle w:val="21"/>
                <w:rFonts w:hint="eastAsia" w:ascii="宋体" w:hAnsi="宋体" w:eastAsia="宋体" w:cs="宋体"/>
                <w:sz w:val="18"/>
                <w:szCs w:val="18"/>
                <w:lang w:eastAsia="zh-CN" w:bidi="ar"/>
              </w:rPr>
              <w:t>日</w:t>
            </w:r>
            <w:r>
              <w:rPr>
                <w:rStyle w:val="21"/>
                <w:rFonts w:hint="eastAsia" w:ascii="宋体" w:hAnsi="宋体" w:eastAsia="宋体" w:cs="宋体"/>
                <w:sz w:val="18"/>
                <w:szCs w:val="18"/>
                <w:lang w:bidi="ar"/>
              </w:rPr>
              <w:t>，报送情况符合要求</w:t>
            </w: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5CB5351D">
            <w:pPr>
              <w:spacing w:line="240" w:lineRule="exact"/>
              <w:rPr>
                <w:rFonts w:hint="eastAsia" w:ascii="宋体" w:hAnsi="宋体" w:eastAsia="宋体" w:cs="宋体"/>
                <w:color w:val="000000"/>
                <w:sz w:val="18"/>
                <w:szCs w:val="18"/>
                <w:lang w:bidi="ar"/>
              </w:rPr>
            </w:pPr>
            <w:r>
              <w:rPr>
                <w:rStyle w:val="21"/>
                <w:rFonts w:hint="eastAsia" w:ascii="宋体" w:hAnsi="宋体" w:eastAsia="宋体" w:cs="宋体"/>
                <w:sz w:val="18"/>
                <w:szCs w:val="18"/>
                <w:lang w:bidi="ar"/>
              </w:rPr>
              <w:t>处8千元以上1万元以下罚款</w:t>
            </w:r>
          </w:p>
        </w:tc>
        <w:tc>
          <w:tcPr>
            <w:tcW w:w="56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1FC5CD5E">
            <w:pPr>
              <w:spacing w:line="260" w:lineRule="exact"/>
              <w:rPr>
                <w:rStyle w:val="21"/>
                <w:rFonts w:hint="eastAsia" w:ascii="宋体" w:hAnsi="宋体" w:eastAsia="宋体" w:cs="宋体"/>
                <w:sz w:val="18"/>
                <w:szCs w:val="18"/>
                <w:lang w:bidi="ar"/>
              </w:rPr>
            </w:pPr>
          </w:p>
        </w:tc>
      </w:tr>
      <w:tr w14:paraId="044D58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5" w:hRule="atLeast"/>
          <w:jc w:val="center"/>
        </w:trPr>
        <w:tc>
          <w:tcPr>
            <w:tcW w:w="495"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25702317">
            <w:pPr>
              <w:spacing w:line="260" w:lineRule="exact"/>
              <w:jc w:val="center"/>
              <w:rPr>
                <w:rFonts w:hint="eastAsia" w:ascii="宋体" w:hAnsi="宋体" w:eastAsia="宋体" w:cs="宋体"/>
                <w:sz w:val="18"/>
                <w:szCs w:val="18"/>
              </w:rPr>
            </w:pPr>
          </w:p>
        </w:tc>
        <w:tc>
          <w:tcPr>
            <w:tcW w:w="1211"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4D5CAF47">
            <w:pPr>
              <w:spacing w:line="260" w:lineRule="exact"/>
              <w:rPr>
                <w:rFonts w:hint="eastAsia" w:ascii="宋体" w:hAnsi="宋体" w:eastAsia="宋体" w:cs="宋体"/>
                <w:color w:val="000000"/>
                <w:kern w:val="0"/>
                <w:sz w:val="18"/>
                <w:szCs w:val="18"/>
                <w:lang w:bidi="ar"/>
              </w:rPr>
            </w:pPr>
          </w:p>
        </w:tc>
        <w:tc>
          <w:tcPr>
            <w:tcW w:w="4862"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3BC20567">
            <w:pPr>
              <w:spacing w:line="260" w:lineRule="exact"/>
              <w:ind w:firstLine="360" w:firstLineChars="200"/>
              <w:rPr>
                <w:rFonts w:hint="eastAsia" w:ascii="宋体" w:hAnsi="宋体" w:eastAsia="宋体" w:cs="宋体"/>
                <w:color w:val="000000"/>
                <w:kern w:val="0"/>
                <w:sz w:val="18"/>
                <w:szCs w:val="18"/>
                <w:lang w:bidi="ar"/>
              </w:rPr>
            </w:pPr>
          </w:p>
        </w:tc>
        <w:tc>
          <w:tcPr>
            <w:tcW w:w="161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7B57749B">
            <w:pPr>
              <w:spacing w:line="260" w:lineRule="exact"/>
              <w:ind w:firstLine="360" w:firstLineChars="200"/>
              <w:rPr>
                <w:rFonts w:hint="eastAsia" w:ascii="宋体" w:hAnsi="宋体" w:eastAsia="宋体" w:cs="宋体"/>
                <w:color w:val="000000"/>
                <w:kern w:val="0"/>
                <w:sz w:val="18"/>
                <w:szCs w:val="18"/>
                <w:lang w:bidi="ar"/>
              </w:rPr>
            </w:pP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5B7C9CE7">
            <w:pPr>
              <w:spacing w:line="260" w:lineRule="exact"/>
              <w:jc w:val="center"/>
              <w:rPr>
                <w:rFonts w:hint="eastAsia" w:ascii="宋体" w:hAnsi="宋体" w:eastAsia="宋体" w:cs="宋体"/>
                <w:sz w:val="18"/>
                <w:szCs w:val="18"/>
                <w:lang w:eastAsia="zh-CN"/>
              </w:rPr>
            </w:pPr>
            <w:r>
              <w:rPr>
                <w:rFonts w:hint="eastAsia" w:ascii="宋体" w:hAnsi="宋体" w:eastAsia="宋体" w:cs="宋体"/>
                <w:sz w:val="18"/>
                <w:szCs w:val="18"/>
                <w:lang w:eastAsia="zh-CN"/>
              </w:rPr>
              <w:t>较重</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1AD07044">
            <w:pPr>
              <w:spacing w:line="240" w:lineRule="exact"/>
              <w:rPr>
                <w:rFonts w:hint="eastAsia" w:ascii="宋体" w:hAnsi="宋体" w:eastAsia="宋体" w:cs="宋体"/>
                <w:color w:val="000000"/>
                <w:sz w:val="18"/>
                <w:szCs w:val="18"/>
                <w:lang w:bidi="ar"/>
              </w:rPr>
            </w:pPr>
            <w:r>
              <w:rPr>
                <w:rStyle w:val="21"/>
                <w:rFonts w:hint="eastAsia" w:ascii="宋体" w:hAnsi="宋体" w:eastAsia="宋体" w:cs="宋体"/>
                <w:sz w:val="18"/>
                <w:szCs w:val="18"/>
                <w:lang w:bidi="ar"/>
              </w:rPr>
              <w:t>不按规定期限报送年度取水情况，超过规定期限30</w:t>
            </w:r>
            <w:r>
              <w:rPr>
                <w:rStyle w:val="21"/>
                <w:rFonts w:hint="eastAsia" w:ascii="宋体" w:hAnsi="宋体" w:eastAsia="宋体" w:cs="宋体"/>
                <w:sz w:val="18"/>
                <w:szCs w:val="18"/>
                <w:lang w:eastAsia="zh-CN" w:bidi="ar"/>
              </w:rPr>
              <w:t>日</w:t>
            </w:r>
            <w:r>
              <w:rPr>
                <w:rStyle w:val="21"/>
                <w:rFonts w:hint="eastAsia" w:ascii="宋体" w:hAnsi="宋体" w:eastAsia="宋体" w:cs="宋体"/>
                <w:sz w:val="18"/>
                <w:szCs w:val="18"/>
                <w:lang w:bidi="ar"/>
              </w:rPr>
              <w:t>，报送情况不符合要求</w:t>
            </w: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0A027F43">
            <w:pPr>
              <w:spacing w:line="240" w:lineRule="exact"/>
              <w:rPr>
                <w:rFonts w:hint="eastAsia" w:ascii="宋体" w:hAnsi="宋体" w:eastAsia="宋体" w:cs="宋体"/>
                <w:color w:val="000000"/>
                <w:sz w:val="18"/>
                <w:szCs w:val="18"/>
                <w:lang w:bidi="ar"/>
              </w:rPr>
            </w:pPr>
            <w:r>
              <w:rPr>
                <w:rStyle w:val="21"/>
                <w:rFonts w:hint="eastAsia" w:ascii="宋体" w:hAnsi="宋体" w:eastAsia="宋体" w:cs="宋体"/>
                <w:sz w:val="18"/>
                <w:szCs w:val="18"/>
                <w:lang w:bidi="ar"/>
              </w:rPr>
              <w:t>处1万元以上1万8千元以下罚款</w:t>
            </w:r>
          </w:p>
        </w:tc>
        <w:tc>
          <w:tcPr>
            <w:tcW w:w="56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14BBD7A5">
            <w:pPr>
              <w:spacing w:line="260" w:lineRule="exact"/>
              <w:rPr>
                <w:rStyle w:val="21"/>
                <w:rFonts w:hint="eastAsia" w:ascii="宋体" w:hAnsi="宋体" w:eastAsia="宋体" w:cs="宋体"/>
                <w:sz w:val="18"/>
                <w:szCs w:val="18"/>
                <w:lang w:bidi="ar"/>
              </w:rPr>
            </w:pPr>
          </w:p>
        </w:tc>
      </w:tr>
      <w:tr w14:paraId="728978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5" w:hRule="atLeast"/>
          <w:jc w:val="center"/>
        </w:trPr>
        <w:tc>
          <w:tcPr>
            <w:tcW w:w="495"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0B74FA1C">
            <w:pPr>
              <w:spacing w:line="260" w:lineRule="exact"/>
              <w:jc w:val="center"/>
              <w:rPr>
                <w:rFonts w:hint="eastAsia" w:ascii="宋体" w:hAnsi="宋体" w:eastAsia="宋体" w:cs="宋体"/>
                <w:sz w:val="18"/>
                <w:szCs w:val="18"/>
              </w:rPr>
            </w:pPr>
          </w:p>
        </w:tc>
        <w:tc>
          <w:tcPr>
            <w:tcW w:w="1211"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3E274210">
            <w:pPr>
              <w:spacing w:line="260" w:lineRule="exact"/>
              <w:rPr>
                <w:rFonts w:hint="eastAsia" w:ascii="宋体" w:hAnsi="宋体" w:eastAsia="宋体" w:cs="宋体"/>
                <w:color w:val="000000"/>
                <w:kern w:val="0"/>
                <w:sz w:val="18"/>
                <w:szCs w:val="18"/>
                <w:lang w:bidi="ar"/>
              </w:rPr>
            </w:pPr>
          </w:p>
        </w:tc>
        <w:tc>
          <w:tcPr>
            <w:tcW w:w="4862"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1AFDD72E">
            <w:pPr>
              <w:spacing w:line="260" w:lineRule="exact"/>
              <w:ind w:firstLine="360" w:firstLineChars="200"/>
              <w:rPr>
                <w:rFonts w:hint="eastAsia" w:ascii="宋体" w:hAnsi="宋体" w:eastAsia="宋体" w:cs="宋体"/>
                <w:color w:val="000000"/>
                <w:kern w:val="0"/>
                <w:sz w:val="18"/>
                <w:szCs w:val="18"/>
                <w:lang w:bidi="ar"/>
              </w:rPr>
            </w:pPr>
          </w:p>
        </w:tc>
        <w:tc>
          <w:tcPr>
            <w:tcW w:w="1613" w:type="dxa"/>
            <w:vMerge w:val="continue"/>
            <w:tcBorders>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57493BCC">
            <w:pPr>
              <w:spacing w:line="260" w:lineRule="exact"/>
              <w:ind w:firstLine="360" w:firstLineChars="200"/>
              <w:rPr>
                <w:rFonts w:hint="eastAsia" w:ascii="宋体" w:hAnsi="宋体" w:eastAsia="宋体" w:cs="宋体"/>
                <w:color w:val="000000"/>
                <w:kern w:val="0"/>
                <w:sz w:val="18"/>
                <w:szCs w:val="18"/>
                <w:lang w:bidi="ar"/>
              </w:rPr>
            </w:pP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541407B1">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严重</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29234C70">
            <w:pPr>
              <w:spacing w:line="260" w:lineRule="exact"/>
              <w:rPr>
                <w:rFonts w:hint="eastAsia" w:ascii="宋体" w:hAnsi="宋体" w:eastAsia="宋体" w:cs="宋体"/>
                <w:color w:val="000000"/>
                <w:sz w:val="18"/>
                <w:szCs w:val="18"/>
                <w:lang w:bidi="ar"/>
              </w:rPr>
            </w:pPr>
            <w:r>
              <w:rPr>
                <w:rStyle w:val="21"/>
                <w:rFonts w:hint="eastAsia" w:ascii="宋体" w:hAnsi="宋体" w:eastAsia="宋体" w:cs="宋体"/>
                <w:sz w:val="18"/>
                <w:szCs w:val="18"/>
                <w:lang w:bidi="ar"/>
              </w:rPr>
              <w:t>拒不报送年度取水情况</w:t>
            </w: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2C6407E2">
            <w:pPr>
              <w:spacing w:line="240" w:lineRule="exact"/>
              <w:rPr>
                <w:rFonts w:hint="eastAsia" w:ascii="宋体" w:hAnsi="宋体" w:eastAsia="宋体" w:cs="宋体"/>
                <w:color w:val="000000"/>
                <w:sz w:val="18"/>
                <w:szCs w:val="18"/>
                <w:lang w:bidi="ar"/>
              </w:rPr>
            </w:pPr>
            <w:r>
              <w:rPr>
                <w:rStyle w:val="21"/>
                <w:rFonts w:hint="eastAsia" w:ascii="宋体" w:hAnsi="宋体" w:eastAsia="宋体" w:cs="宋体"/>
                <w:sz w:val="18"/>
                <w:szCs w:val="18"/>
                <w:lang w:bidi="ar"/>
              </w:rPr>
              <w:t>处1万8千元以上2万元以下罚款，吊销取水许可证</w:t>
            </w:r>
          </w:p>
        </w:tc>
        <w:tc>
          <w:tcPr>
            <w:tcW w:w="56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24A5A7FE">
            <w:pPr>
              <w:spacing w:line="260" w:lineRule="exact"/>
              <w:rPr>
                <w:rStyle w:val="21"/>
                <w:rFonts w:hint="eastAsia" w:ascii="宋体" w:hAnsi="宋体" w:eastAsia="宋体" w:cs="宋体"/>
                <w:sz w:val="18"/>
                <w:szCs w:val="18"/>
                <w:lang w:bidi="ar"/>
              </w:rPr>
            </w:pPr>
          </w:p>
        </w:tc>
      </w:tr>
      <w:tr w14:paraId="455EEF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495"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72CD1AD3">
            <w:pPr>
              <w:spacing w:line="260" w:lineRule="exact"/>
              <w:jc w:val="center"/>
              <w:rPr>
                <w:rFonts w:hint="eastAsia" w:ascii="宋体" w:hAnsi="宋体" w:eastAsia="宋体" w:cs="宋体"/>
                <w:sz w:val="18"/>
                <w:szCs w:val="18"/>
              </w:rPr>
            </w:pPr>
          </w:p>
        </w:tc>
        <w:tc>
          <w:tcPr>
            <w:tcW w:w="1211"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3D23EC2A">
            <w:pPr>
              <w:spacing w:line="260" w:lineRule="exact"/>
              <w:rPr>
                <w:rFonts w:hint="eastAsia" w:ascii="宋体" w:hAnsi="宋体" w:eastAsia="宋体" w:cs="宋体"/>
                <w:color w:val="000000"/>
                <w:kern w:val="0"/>
                <w:sz w:val="18"/>
                <w:szCs w:val="18"/>
                <w:lang w:bidi="ar"/>
              </w:rPr>
            </w:pPr>
          </w:p>
        </w:tc>
        <w:tc>
          <w:tcPr>
            <w:tcW w:w="4862"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0A7468B6">
            <w:pPr>
              <w:widowControl/>
              <w:spacing w:line="260" w:lineRule="exact"/>
              <w:jc w:val="both"/>
              <w:textAlignment w:val="center"/>
              <w:rPr>
                <w:rFonts w:hint="eastAsia" w:ascii="宋体" w:hAnsi="宋体" w:eastAsia="宋体" w:cs="宋体"/>
                <w:color w:val="000000"/>
                <w:kern w:val="0"/>
                <w:sz w:val="18"/>
                <w:szCs w:val="18"/>
                <w:lang w:bidi="ar"/>
              </w:rPr>
            </w:pPr>
          </w:p>
        </w:tc>
        <w:tc>
          <w:tcPr>
            <w:tcW w:w="1613" w:type="dxa"/>
            <w:vMerge w:val="restart"/>
            <w:tcBorders>
              <w:top w:val="single" w:color="auto" w:sz="4" w:space="0"/>
              <w:left w:val="single" w:color="auto" w:sz="4" w:space="0"/>
              <w:right w:val="single" w:color="auto" w:sz="4" w:space="0"/>
            </w:tcBorders>
            <w:shd w:val="clear" w:color="auto" w:fill="FFFFFF"/>
            <w:noWrap w:val="0"/>
            <w:tcMar>
              <w:top w:w="0" w:type="dxa"/>
              <w:left w:w="0" w:type="dxa"/>
              <w:bottom w:w="0" w:type="dxa"/>
              <w:right w:w="0" w:type="dxa"/>
            </w:tcMar>
            <w:vAlign w:val="center"/>
          </w:tcPr>
          <w:p w14:paraId="3224EE14">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拒绝接受监督检查或者弄虚作假的</w:t>
            </w: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4B50E863">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轻微</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70952AEC">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3624A8C7">
            <w:pPr>
              <w:spacing w:line="260" w:lineRule="exact"/>
              <w:rPr>
                <w:rStyle w:val="21"/>
                <w:rFonts w:hint="eastAsia" w:ascii="宋体" w:hAnsi="宋体" w:eastAsia="宋体" w:cs="宋体"/>
                <w:sz w:val="18"/>
                <w:szCs w:val="18"/>
                <w:lang w:bidi="ar"/>
              </w:rPr>
            </w:pP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7FE3D1FF">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50A591CE">
            <w:pPr>
              <w:spacing w:line="260" w:lineRule="exact"/>
              <w:rPr>
                <w:rStyle w:val="21"/>
                <w:rFonts w:hint="eastAsia" w:ascii="宋体" w:hAnsi="宋体" w:eastAsia="宋体" w:cs="宋体"/>
                <w:sz w:val="18"/>
                <w:szCs w:val="18"/>
                <w:lang w:bidi="ar"/>
              </w:rPr>
            </w:pPr>
          </w:p>
        </w:tc>
        <w:tc>
          <w:tcPr>
            <w:tcW w:w="56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0880D5A2">
            <w:pPr>
              <w:spacing w:line="260" w:lineRule="exact"/>
              <w:rPr>
                <w:rStyle w:val="21"/>
                <w:rFonts w:hint="eastAsia" w:ascii="宋体" w:hAnsi="宋体" w:eastAsia="宋体" w:cs="宋体"/>
                <w:sz w:val="18"/>
                <w:szCs w:val="18"/>
                <w:lang w:bidi="ar"/>
              </w:rPr>
            </w:pPr>
          </w:p>
        </w:tc>
      </w:tr>
      <w:tr w14:paraId="20C2FE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567" w:hRule="atLeast"/>
          <w:jc w:val="center"/>
        </w:trPr>
        <w:tc>
          <w:tcPr>
            <w:tcW w:w="495"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6B3E4DAE">
            <w:pPr>
              <w:spacing w:line="260" w:lineRule="exact"/>
              <w:jc w:val="center"/>
              <w:rPr>
                <w:rFonts w:hint="eastAsia" w:ascii="宋体" w:hAnsi="宋体" w:eastAsia="宋体" w:cs="宋体"/>
                <w:sz w:val="18"/>
                <w:szCs w:val="18"/>
              </w:rPr>
            </w:pPr>
          </w:p>
        </w:tc>
        <w:tc>
          <w:tcPr>
            <w:tcW w:w="1211"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5D66663D">
            <w:pPr>
              <w:spacing w:line="260" w:lineRule="exact"/>
              <w:rPr>
                <w:rFonts w:hint="eastAsia" w:ascii="宋体" w:hAnsi="宋体" w:eastAsia="宋体" w:cs="宋体"/>
                <w:color w:val="000000"/>
                <w:kern w:val="0"/>
                <w:sz w:val="18"/>
                <w:szCs w:val="18"/>
                <w:lang w:bidi="ar"/>
              </w:rPr>
            </w:pPr>
          </w:p>
        </w:tc>
        <w:tc>
          <w:tcPr>
            <w:tcW w:w="4862"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53804C3E">
            <w:pPr>
              <w:spacing w:line="260" w:lineRule="exact"/>
              <w:ind w:firstLine="360" w:firstLineChars="200"/>
              <w:rPr>
                <w:rFonts w:hint="eastAsia" w:ascii="宋体" w:hAnsi="宋体" w:eastAsia="宋体" w:cs="宋体"/>
                <w:color w:val="000000"/>
                <w:kern w:val="0"/>
                <w:sz w:val="18"/>
                <w:szCs w:val="18"/>
                <w:lang w:bidi="ar"/>
              </w:rPr>
            </w:pPr>
          </w:p>
        </w:tc>
        <w:tc>
          <w:tcPr>
            <w:tcW w:w="161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1326C4BC">
            <w:pPr>
              <w:spacing w:line="260" w:lineRule="exact"/>
              <w:ind w:firstLine="360" w:firstLineChars="200"/>
              <w:rPr>
                <w:rFonts w:hint="eastAsia" w:ascii="宋体" w:hAnsi="宋体" w:eastAsia="宋体" w:cs="宋体"/>
                <w:color w:val="000000"/>
                <w:kern w:val="0"/>
                <w:sz w:val="18"/>
                <w:szCs w:val="18"/>
                <w:lang w:bidi="ar"/>
              </w:rPr>
            </w:pP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51FEEBD3">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较轻</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12C33ED0">
            <w:pPr>
              <w:spacing w:line="260" w:lineRule="exact"/>
              <w:rPr>
                <w:rFonts w:hint="eastAsia" w:ascii="宋体" w:hAnsi="宋体" w:eastAsia="宋体" w:cs="宋体"/>
                <w:color w:val="000000"/>
                <w:sz w:val="18"/>
                <w:szCs w:val="18"/>
                <w:lang w:bidi="ar"/>
              </w:rPr>
            </w:pPr>
            <w:r>
              <w:rPr>
                <w:rStyle w:val="21"/>
                <w:rFonts w:hint="eastAsia" w:ascii="宋体" w:hAnsi="宋体" w:eastAsia="宋体" w:cs="宋体"/>
                <w:sz w:val="18"/>
                <w:szCs w:val="18"/>
                <w:lang w:bidi="ar"/>
              </w:rPr>
              <w:t>拒绝接受监督检查，在限期内改正的</w:t>
            </w: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0F338DF5">
            <w:pPr>
              <w:spacing w:line="260" w:lineRule="exact"/>
              <w:rPr>
                <w:rFonts w:hint="eastAsia" w:ascii="宋体" w:hAnsi="宋体" w:eastAsia="宋体" w:cs="宋体"/>
                <w:color w:val="000000"/>
                <w:sz w:val="18"/>
                <w:szCs w:val="18"/>
                <w:lang w:bidi="ar"/>
              </w:rPr>
            </w:pPr>
            <w:r>
              <w:rPr>
                <w:rStyle w:val="21"/>
                <w:rFonts w:hint="eastAsia" w:ascii="宋体" w:hAnsi="宋体" w:eastAsia="宋体" w:cs="宋体"/>
                <w:sz w:val="18"/>
                <w:szCs w:val="18"/>
                <w:lang w:bidi="ar"/>
              </w:rPr>
              <w:t>处5千元罚款</w:t>
            </w:r>
          </w:p>
        </w:tc>
        <w:tc>
          <w:tcPr>
            <w:tcW w:w="56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414F40AA">
            <w:pPr>
              <w:spacing w:line="260" w:lineRule="exact"/>
              <w:rPr>
                <w:rStyle w:val="21"/>
                <w:rFonts w:hint="eastAsia" w:ascii="宋体" w:hAnsi="宋体" w:eastAsia="宋体" w:cs="宋体"/>
                <w:sz w:val="18"/>
                <w:szCs w:val="18"/>
                <w:lang w:bidi="ar"/>
              </w:rPr>
            </w:pPr>
          </w:p>
        </w:tc>
      </w:tr>
      <w:tr w14:paraId="3E581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959" w:hRule="atLeast"/>
          <w:jc w:val="center"/>
        </w:trPr>
        <w:tc>
          <w:tcPr>
            <w:tcW w:w="495"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05524800">
            <w:pPr>
              <w:spacing w:line="260" w:lineRule="exact"/>
              <w:jc w:val="center"/>
              <w:rPr>
                <w:rFonts w:hint="eastAsia" w:ascii="宋体" w:hAnsi="宋体" w:eastAsia="宋体" w:cs="宋体"/>
                <w:sz w:val="18"/>
                <w:szCs w:val="18"/>
              </w:rPr>
            </w:pPr>
          </w:p>
        </w:tc>
        <w:tc>
          <w:tcPr>
            <w:tcW w:w="1211"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7B8A412B">
            <w:pPr>
              <w:spacing w:line="260" w:lineRule="exact"/>
              <w:rPr>
                <w:rFonts w:hint="eastAsia" w:ascii="宋体" w:hAnsi="宋体" w:eastAsia="宋体" w:cs="宋体"/>
                <w:color w:val="000000"/>
                <w:kern w:val="0"/>
                <w:sz w:val="18"/>
                <w:szCs w:val="18"/>
                <w:lang w:bidi="ar"/>
              </w:rPr>
            </w:pPr>
          </w:p>
        </w:tc>
        <w:tc>
          <w:tcPr>
            <w:tcW w:w="4862"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01E7E421">
            <w:pPr>
              <w:spacing w:line="260" w:lineRule="exact"/>
              <w:ind w:firstLine="360" w:firstLineChars="200"/>
              <w:rPr>
                <w:rFonts w:hint="eastAsia" w:ascii="宋体" w:hAnsi="宋体" w:eastAsia="宋体" w:cs="宋体"/>
                <w:color w:val="000000"/>
                <w:kern w:val="0"/>
                <w:sz w:val="18"/>
                <w:szCs w:val="18"/>
                <w:lang w:bidi="ar"/>
              </w:rPr>
            </w:pPr>
          </w:p>
        </w:tc>
        <w:tc>
          <w:tcPr>
            <w:tcW w:w="161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125E7E6D">
            <w:pPr>
              <w:spacing w:line="260" w:lineRule="exact"/>
              <w:ind w:firstLine="360" w:firstLineChars="200"/>
              <w:rPr>
                <w:rFonts w:hint="eastAsia" w:ascii="宋体" w:hAnsi="宋体" w:eastAsia="宋体" w:cs="宋体"/>
                <w:color w:val="000000"/>
                <w:kern w:val="0"/>
                <w:sz w:val="18"/>
                <w:szCs w:val="18"/>
                <w:lang w:bidi="ar"/>
              </w:rPr>
            </w:pP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1C5AD557">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一般</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1B7BEDED">
            <w:pPr>
              <w:spacing w:line="260" w:lineRule="exact"/>
              <w:rPr>
                <w:rFonts w:hint="eastAsia" w:ascii="宋体" w:hAnsi="宋体" w:eastAsia="宋体" w:cs="宋体"/>
                <w:color w:val="000000"/>
                <w:sz w:val="18"/>
                <w:szCs w:val="18"/>
                <w:lang w:bidi="ar"/>
              </w:rPr>
            </w:pPr>
            <w:r>
              <w:rPr>
                <w:rStyle w:val="21"/>
                <w:rFonts w:hint="eastAsia" w:ascii="宋体" w:hAnsi="宋体" w:eastAsia="宋体" w:cs="宋体"/>
                <w:sz w:val="18"/>
                <w:szCs w:val="18"/>
                <w:lang w:bidi="ar"/>
              </w:rPr>
              <w:t>拒绝接受监督检查，未在限期内改正，或者弄虚作假但在限期内改正的</w:t>
            </w: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4E314347">
            <w:pPr>
              <w:spacing w:line="260" w:lineRule="exact"/>
              <w:rPr>
                <w:rFonts w:hint="eastAsia" w:ascii="宋体" w:hAnsi="宋体" w:eastAsia="宋体" w:cs="宋体"/>
                <w:color w:val="000000"/>
                <w:sz w:val="18"/>
                <w:szCs w:val="18"/>
                <w:lang w:bidi="ar"/>
              </w:rPr>
            </w:pPr>
            <w:r>
              <w:rPr>
                <w:rStyle w:val="21"/>
                <w:rFonts w:hint="eastAsia" w:ascii="宋体" w:hAnsi="宋体" w:eastAsia="宋体" w:cs="宋体"/>
                <w:sz w:val="18"/>
                <w:szCs w:val="18"/>
                <w:lang w:bidi="ar"/>
              </w:rPr>
              <w:t>处5千元以上1万元以下罚款</w:t>
            </w:r>
          </w:p>
        </w:tc>
        <w:tc>
          <w:tcPr>
            <w:tcW w:w="56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20C62684">
            <w:pPr>
              <w:spacing w:line="260" w:lineRule="exact"/>
              <w:rPr>
                <w:rStyle w:val="21"/>
                <w:rFonts w:hint="eastAsia" w:ascii="宋体" w:hAnsi="宋体" w:eastAsia="宋体" w:cs="宋体"/>
                <w:sz w:val="18"/>
                <w:szCs w:val="18"/>
                <w:lang w:bidi="ar"/>
              </w:rPr>
            </w:pPr>
          </w:p>
        </w:tc>
      </w:tr>
      <w:tr w14:paraId="63ED8F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jc w:val="center"/>
        </w:trPr>
        <w:tc>
          <w:tcPr>
            <w:tcW w:w="495"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1B1D08AA">
            <w:pPr>
              <w:spacing w:line="260" w:lineRule="exact"/>
              <w:jc w:val="center"/>
              <w:rPr>
                <w:rFonts w:hint="eastAsia" w:ascii="宋体" w:hAnsi="宋体" w:eastAsia="宋体" w:cs="宋体"/>
                <w:sz w:val="18"/>
                <w:szCs w:val="18"/>
              </w:rPr>
            </w:pPr>
          </w:p>
        </w:tc>
        <w:tc>
          <w:tcPr>
            <w:tcW w:w="1211"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465480B0">
            <w:pPr>
              <w:spacing w:line="260" w:lineRule="exact"/>
              <w:rPr>
                <w:rFonts w:hint="eastAsia" w:ascii="宋体" w:hAnsi="宋体" w:eastAsia="宋体" w:cs="宋体"/>
                <w:color w:val="000000"/>
                <w:kern w:val="0"/>
                <w:sz w:val="18"/>
                <w:szCs w:val="18"/>
                <w:lang w:bidi="ar"/>
              </w:rPr>
            </w:pPr>
          </w:p>
        </w:tc>
        <w:tc>
          <w:tcPr>
            <w:tcW w:w="4862"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49E23FE6">
            <w:pPr>
              <w:spacing w:line="260" w:lineRule="exact"/>
              <w:ind w:firstLine="360" w:firstLineChars="200"/>
              <w:rPr>
                <w:rFonts w:hint="eastAsia" w:ascii="宋体" w:hAnsi="宋体" w:eastAsia="宋体" w:cs="宋体"/>
                <w:color w:val="000000"/>
                <w:kern w:val="0"/>
                <w:sz w:val="18"/>
                <w:szCs w:val="18"/>
                <w:lang w:bidi="ar"/>
              </w:rPr>
            </w:pPr>
          </w:p>
        </w:tc>
        <w:tc>
          <w:tcPr>
            <w:tcW w:w="161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146B9DE8">
            <w:pPr>
              <w:spacing w:line="260" w:lineRule="exact"/>
              <w:ind w:firstLine="360" w:firstLineChars="200"/>
              <w:rPr>
                <w:rFonts w:hint="eastAsia" w:ascii="宋体" w:hAnsi="宋体" w:eastAsia="宋体" w:cs="宋体"/>
                <w:color w:val="000000"/>
                <w:kern w:val="0"/>
                <w:sz w:val="18"/>
                <w:szCs w:val="18"/>
                <w:lang w:bidi="ar"/>
              </w:rPr>
            </w:pP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4622F738">
            <w:pPr>
              <w:spacing w:line="260" w:lineRule="exact"/>
              <w:jc w:val="center"/>
              <w:rPr>
                <w:rFonts w:hint="eastAsia" w:ascii="宋体" w:hAnsi="宋体" w:eastAsia="宋体" w:cs="宋体"/>
                <w:sz w:val="18"/>
                <w:szCs w:val="18"/>
                <w:lang w:eastAsia="zh-CN"/>
              </w:rPr>
            </w:pPr>
            <w:r>
              <w:rPr>
                <w:rFonts w:hint="eastAsia" w:ascii="宋体" w:hAnsi="宋体" w:eastAsia="宋体" w:cs="宋体"/>
                <w:sz w:val="18"/>
                <w:szCs w:val="18"/>
                <w:lang w:eastAsia="zh-CN"/>
              </w:rPr>
              <w:t>较重</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3D8BA2D4">
            <w:pPr>
              <w:spacing w:line="260" w:lineRule="exact"/>
              <w:rPr>
                <w:rFonts w:hint="eastAsia" w:ascii="宋体" w:hAnsi="宋体" w:eastAsia="宋体" w:cs="宋体"/>
                <w:color w:val="000000"/>
                <w:sz w:val="18"/>
                <w:szCs w:val="18"/>
                <w:lang w:bidi="ar"/>
              </w:rPr>
            </w:pPr>
            <w:r>
              <w:rPr>
                <w:rStyle w:val="21"/>
                <w:rFonts w:hint="eastAsia" w:ascii="宋体" w:hAnsi="宋体" w:eastAsia="宋体" w:cs="宋体"/>
                <w:sz w:val="18"/>
                <w:szCs w:val="18"/>
                <w:lang w:bidi="ar"/>
              </w:rPr>
              <w:t>弄虚作假且未在限期内改正的</w:t>
            </w: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58A1673A">
            <w:pPr>
              <w:spacing w:line="260" w:lineRule="exact"/>
              <w:rPr>
                <w:rFonts w:hint="eastAsia" w:ascii="宋体" w:hAnsi="宋体" w:eastAsia="宋体" w:cs="宋体"/>
                <w:color w:val="000000"/>
                <w:sz w:val="18"/>
                <w:szCs w:val="18"/>
                <w:lang w:bidi="ar"/>
              </w:rPr>
            </w:pPr>
            <w:r>
              <w:rPr>
                <w:rStyle w:val="21"/>
                <w:rFonts w:hint="eastAsia" w:ascii="宋体" w:hAnsi="宋体" w:eastAsia="宋体" w:cs="宋体"/>
                <w:sz w:val="18"/>
                <w:szCs w:val="18"/>
                <w:lang w:bidi="ar"/>
              </w:rPr>
              <w:t>处1万元以上1万8千元以下罚款</w:t>
            </w:r>
          </w:p>
        </w:tc>
        <w:tc>
          <w:tcPr>
            <w:tcW w:w="56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1CB2F49B">
            <w:pPr>
              <w:spacing w:line="260" w:lineRule="exact"/>
              <w:rPr>
                <w:rStyle w:val="21"/>
                <w:rFonts w:hint="eastAsia" w:ascii="宋体" w:hAnsi="宋体" w:eastAsia="宋体" w:cs="宋体"/>
                <w:sz w:val="18"/>
                <w:szCs w:val="18"/>
                <w:lang w:bidi="ar"/>
              </w:rPr>
            </w:pPr>
          </w:p>
        </w:tc>
      </w:tr>
      <w:tr w14:paraId="3FBB3D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1269" w:hRule="atLeast"/>
          <w:jc w:val="center"/>
        </w:trPr>
        <w:tc>
          <w:tcPr>
            <w:tcW w:w="495"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46D0F5B3">
            <w:pPr>
              <w:spacing w:line="260" w:lineRule="exact"/>
              <w:jc w:val="center"/>
              <w:rPr>
                <w:rFonts w:hint="eastAsia" w:ascii="宋体" w:hAnsi="宋体" w:eastAsia="宋体" w:cs="宋体"/>
                <w:sz w:val="18"/>
                <w:szCs w:val="18"/>
              </w:rPr>
            </w:pPr>
          </w:p>
        </w:tc>
        <w:tc>
          <w:tcPr>
            <w:tcW w:w="1211"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6F206331">
            <w:pPr>
              <w:spacing w:line="260" w:lineRule="exact"/>
              <w:rPr>
                <w:rFonts w:hint="eastAsia" w:ascii="宋体" w:hAnsi="宋体" w:eastAsia="宋体" w:cs="宋体"/>
                <w:color w:val="000000"/>
                <w:kern w:val="0"/>
                <w:sz w:val="18"/>
                <w:szCs w:val="18"/>
                <w:lang w:bidi="ar"/>
              </w:rPr>
            </w:pPr>
          </w:p>
        </w:tc>
        <w:tc>
          <w:tcPr>
            <w:tcW w:w="4862"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7107A40B">
            <w:pPr>
              <w:spacing w:line="260" w:lineRule="exact"/>
              <w:ind w:firstLine="360" w:firstLineChars="200"/>
              <w:rPr>
                <w:rFonts w:hint="eastAsia" w:ascii="宋体" w:hAnsi="宋体" w:eastAsia="宋体" w:cs="宋体"/>
                <w:color w:val="000000"/>
                <w:kern w:val="0"/>
                <w:sz w:val="18"/>
                <w:szCs w:val="18"/>
                <w:lang w:bidi="ar"/>
              </w:rPr>
            </w:pPr>
          </w:p>
        </w:tc>
        <w:tc>
          <w:tcPr>
            <w:tcW w:w="161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1AD8B531">
            <w:pPr>
              <w:spacing w:line="260" w:lineRule="exact"/>
              <w:ind w:firstLine="360" w:firstLineChars="200"/>
              <w:rPr>
                <w:rFonts w:hint="eastAsia" w:ascii="宋体" w:hAnsi="宋体" w:eastAsia="宋体" w:cs="宋体"/>
                <w:color w:val="000000"/>
                <w:kern w:val="0"/>
                <w:sz w:val="18"/>
                <w:szCs w:val="18"/>
                <w:lang w:bidi="ar"/>
              </w:rPr>
            </w:pPr>
          </w:p>
        </w:tc>
        <w:tc>
          <w:tcPr>
            <w:tcW w:w="825" w:type="dxa"/>
            <w:tcBorders>
              <w:top w:val="single" w:color="auto" w:sz="4" w:space="0"/>
              <w:left w:val="single" w:color="auto" w:sz="4" w:space="0"/>
              <w:right w:val="single" w:color="auto" w:sz="4" w:space="0"/>
            </w:tcBorders>
            <w:shd w:val="clear" w:color="auto" w:fill="FFFFFF"/>
            <w:noWrap w:val="0"/>
            <w:tcMar>
              <w:top w:w="0" w:type="dxa"/>
              <w:left w:w="0" w:type="dxa"/>
              <w:bottom w:w="0" w:type="dxa"/>
              <w:right w:w="0" w:type="dxa"/>
            </w:tcMar>
            <w:vAlign w:val="center"/>
          </w:tcPr>
          <w:p w14:paraId="0FD435C3">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严重</w:t>
            </w:r>
          </w:p>
        </w:tc>
        <w:tc>
          <w:tcPr>
            <w:tcW w:w="3906" w:type="dxa"/>
            <w:tcBorders>
              <w:top w:val="single" w:color="auto" w:sz="4" w:space="0"/>
              <w:left w:val="single" w:color="auto" w:sz="4" w:space="0"/>
              <w:right w:val="single" w:color="auto" w:sz="4" w:space="0"/>
            </w:tcBorders>
            <w:shd w:val="clear" w:color="auto" w:fill="FFFFFF"/>
            <w:noWrap w:val="0"/>
            <w:tcMar>
              <w:top w:w="0" w:type="dxa"/>
              <w:left w:w="0" w:type="dxa"/>
              <w:bottom w:w="0" w:type="dxa"/>
              <w:right w:w="0" w:type="dxa"/>
            </w:tcMar>
            <w:vAlign w:val="center"/>
          </w:tcPr>
          <w:p w14:paraId="11C0E73C">
            <w:pPr>
              <w:spacing w:line="260" w:lineRule="exact"/>
              <w:rPr>
                <w:rStyle w:val="21"/>
                <w:rFonts w:hint="eastAsia" w:ascii="宋体" w:hAnsi="宋体" w:eastAsia="宋体" w:cs="宋体"/>
                <w:color w:val="auto"/>
                <w:sz w:val="18"/>
                <w:szCs w:val="18"/>
                <w:lang w:bidi="ar"/>
              </w:rPr>
            </w:pPr>
            <w:r>
              <w:rPr>
                <w:rStyle w:val="21"/>
                <w:rFonts w:hint="eastAsia" w:ascii="宋体" w:hAnsi="宋体" w:eastAsia="宋体" w:cs="宋体"/>
                <w:sz w:val="18"/>
                <w:szCs w:val="18"/>
                <w:lang w:bidi="ar"/>
              </w:rPr>
              <w:t>拒绝接受监督检查或者弄虚作假，且拒不改正</w:t>
            </w: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45A8692E">
            <w:pPr>
              <w:spacing w:line="260" w:lineRule="exact"/>
              <w:rPr>
                <w:rStyle w:val="21"/>
                <w:rFonts w:hint="eastAsia" w:ascii="宋体" w:hAnsi="宋体" w:eastAsia="宋体" w:cs="宋体"/>
                <w:color w:val="auto"/>
                <w:sz w:val="18"/>
                <w:szCs w:val="18"/>
                <w:lang w:bidi="ar"/>
              </w:rPr>
            </w:pPr>
            <w:r>
              <w:rPr>
                <w:rStyle w:val="21"/>
                <w:rFonts w:hint="eastAsia" w:ascii="宋体" w:hAnsi="宋体" w:eastAsia="宋体" w:cs="宋体"/>
                <w:sz w:val="18"/>
                <w:szCs w:val="18"/>
                <w:lang w:bidi="ar"/>
              </w:rPr>
              <w:t>处1万8千元以上2万元以下罚款，吊销取水许可证</w:t>
            </w:r>
          </w:p>
        </w:tc>
        <w:tc>
          <w:tcPr>
            <w:tcW w:w="56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63FC0E1D">
            <w:pPr>
              <w:spacing w:line="260" w:lineRule="exact"/>
              <w:rPr>
                <w:rStyle w:val="21"/>
                <w:rFonts w:hint="eastAsia" w:ascii="宋体" w:hAnsi="宋体" w:eastAsia="宋体" w:cs="宋体"/>
                <w:sz w:val="18"/>
                <w:szCs w:val="18"/>
                <w:lang w:bidi="ar"/>
              </w:rPr>
            </w:pPr>
          </w:p>
        </w:tc>
      </w:tr>
      <w:tr w14:paraId="03F241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454" w:hRule="atLeast"/>
          <w:jc w:val="center"/>
        </w:trPr>
        <w:tc>
          <w:tcPr>
            <w:tcW w:w="495" w:type="dxa"/>
            <w:vMerge w:val="restart"/>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66886048">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18</w:t>
            </w:r>
          </w:p>
        </w:tc>
        <w:tc>
          <w:tcPr>
            <w:tcW w:w="1211" w:type="dxa"/>
            <w:vMerge w:val="restart"/>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7268FB89">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未按规定申报年度计划用水量、未取得用水计划擅自取用水以及虚报、瞒报、伪造、篡改用水原始记录和统计台账的行政处罚</w:t>
            </w:r>
          </w:p>
        </w:tc>
        <w:tc>
          <w:tcPr>
            <w:tcW w:w="4862" w:type="dxa"/>
            <w:vMerge w:val="restart"/>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71F3FE9A">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《河北省节约用水条例》第七十一条 违反本条例规定，计划用水单位有下列情形之一的，由县级以上人民政府水行政主管部门责令停止违法行为，限期改正，处五千元以上二万元以下罚款；情节严重的，吊销取水许可证：</w:t>
            </w:r>
          </w:p>
          <w:p w14:paraId="48EDA173">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（一）未按规定申报年度计划用水量的；</w:t>
            </w:r>
          </w:p>
          <w:p w14:paraId="4EDB560B">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（二）未取得用水计划擅自取用水的；</w:t>
            </w:r>
          </w:p>
          <w:p w14:paraId="6444A70D">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（三）虚报、瞒报、伪造、篡改用水原始记录和统计台账的。</w:t>
            </w:r>
          </w:p>
        </w:tc>
        <w:tc>
          <w:tcPr>
            <w:tcW w:w="1613" w:type="dxa"/>
            <w:vMerge w:val="restart"/>
            <w:tcBorders>
              <w:top w:val="single" w:color="auto" w:sz="4" w:space="0"/>
              <w:left w:val="single" w:color="auto" w:sz="4" w:space="0"/>
              <w:right w:val="single" w:color="auto" w:sz="4" w:space="0"/>
            </w:tcBorders>
            <w:shd w:val="clear" w:color="auto" w:fill="FFFFFF"/>
            <w:noWrap w:val="0"/>
            <w:tcMar>
              <w:top w:w="0" w:type="dxa"/>
              <w:left w:w="0" w:type="dxa"/>
              <w:bottom w:w="0" w:type="dxa"/>
              <w:right w:w="0" w:type="dxa"/>
            </w:tcMar>
            <w:vAlign w:val="center"/>
          </w:tcPr>
          <w:p w14:paraId="2DDF2B47">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未按规定申报年度计划用水量的</w:t>
            </w: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0A1441BA">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轻微</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00AD06E4">
            <w:pPr>
              <w:spacing w:line="260" w:lineRule="exact"/>
              <w:rPr>
                <w:rStyle w:val="21"/>
                <w:rFonts w:hint="eastAsia" w:ascii="宋体" w:hAnsi="宋体" w:eastAsia="宋体" w:cs="宋体"/>
                <w:sz w:val="18"/>
                <w:szCs w:val="18"/>
                <w:lang w:bidi="ar"/>
              </w:rPr>
            </w:pPr>
            <w:r>
              <w:rPr>
                <w:rStyle w:val="21"/>
                <w:rFonts w:hint="eastAsia" w:ascii="宋体" w:hAnsi="宋体" w:eastAsia="宋体" w:cs="宋体"/>
                <w:sz w:val="18"/>
                <w:szCs w:val="18"/>
                <w:lang w:bidi="ar"/>
              </w:rPr>
              <w:t>1.当事人</w:t>
            </w:r>
            <w:r>
              <w:rPr>
                <w:rStyle w:val="21"/>
                <w:rFonts w:hint="eastAsia" w:ascii="宋体" w:hAnsi="宋体" w:eastAsia="宋体" w:cs="宋体"/>
                <w:sz w:val="18"/>
                <w:szCs w:val="18"/>
                <w:lang w:val="en-US" w:eastAsia="zh-CN" w:bidi="ar"/>
              </w:rPr>
              <w:t>积极</w:t>
            </w:r>
            <w:r>
              <w:rPr>
                <w:rStyle w:val="21"/>
                <w:rFonts w:hint="eastAsia" w:ascii="宋体" w:hAnsi="宋体" w:eastAsia="宋体" w:cs="宋体"/>
                <w:sz w:val="18"/>
                <w:szCs w:val="18"/>
                <w:lang w:bidi="ar"/>
              </w:rPr>
              <w:t>配合检查、调查，属于首次</w:t>
            </w:r>
            <w:r>
              <w:rPr>
                <w:rStyle w:val="21"/>
                <w:rFonts w:hint="eastAsia" w:ascii="宋体" w:hAnsi="宋体" w:eastAsia="宋体" w:cs="宋体"/>
                <w:sz w:val="18"/>
                <w:szCs w:val="18"/>
                <w:lang w:val="en-US" w:eastAsia="zh-CN" w:bidi="ar"/>
              </w:rPr>
              <w:t>违法</w:t>
            </w:r>
            <w:r>
              <w:rPr>
                <w:rStyle w:val="21"/>
                <w:rFonts w:hint="eastAsia" w:ascii="宋体" w:hAnsi="宋体" w:eastAsia="宋体" w:cs="宋体"/>
                <w:sz w:val="18"/>
                <w:szCs w:val="18"/>
                <w:lang w:bidi="ar"/>
              </w:rPr>
              <w:t>；</w:t>
            </w:r>
          </w:p>
          <w:p w14:paraId="4C69744F">
            <w:pPr>
              <w:spacing w:line="260" w:lineRule="exact"/>
              <w:rPr>
                <w:rStyle w:val="21"/>
                <w:rFonts w:hint="eastAsia" w:ascii="宋体" w:hAnsi="宋体" w:eastAsia="宋体" w:cs="宋体"/>
                <w:sz w:val="18"/>
                <w:szCs w:val="18"/>
                <w:lang w:bidi="ar"/>
              </w:rPr>
            </w:pPr>
            <w:r>
              <w:rPr>
                <w:rStyle w:val="21"/>
                <w:rFonts w:hint="eastAsia" w:ascii="宋体" w:hAnsi="宋体" w:eastAsia="宋体" w:cs="宋体"/>
                <w:sz w:val="18"/>
                <w:szCs w:val="18"/>
                <w:lang w:bidi="ar"/>
              </w:rPr>
              <w:t>2.在</w:t>
            </w:r>
            <w:r>
              <w:rPr>
                <w:rStyle w:val="21"/>
                <w:rFonts w:hint="eastAsia" w:ascii="宋体" w:hAnsi="宋体" w:eastAsia="宋体" w:cs="宋体"/>
                <w:sz w:val="18"/>
                <w:szCs w:val="18"/>
                <w:lang w:val="en-US" w:eastAsia="zh-CN" w:bidi="ar"/>
              </w:rPr>
              <w:t>限定期限</w:t>
            </w:r>
            <w:r>
              <w:rPr>
                <w:rStyle w:val="21"/>
                <w:rFonts w:hint="eastAsia" w:ascii="宋体" w:hAnsi="宋体" w:eastAsia="宋体" w:cs="宋体"/>
                <w:sz w:val="18"/>
                <w:szCs w:val="18"/>
                <w:lang w:bidi="ar"/>
              </w:rPr>
              <w:t>内</w:t>
            </w:r>
            <w:r>
              <w:rPr>
                <w:rStyle w:val="21"/>
                <w:rFonts w:hint="eastAsia" w:ascii="宋体" w:hAnsi="宋体" w:eastAsia="宋体" w:cs="宋体"/>
                <w:sz w:val="18"/>
                <w:szCs w:val="18"/>
                <w:lang w:val="en-US" w:eastAsia="zh-CN" w:bidi="ar"/>
              </w:rPr>
              <w:t>按规定申报年度计划用水量</w:t>
            </w:r>
            <w:r>
              <w:rPr>
                <w:rStyle w:val="21"/>
                <w:rFonts w:hint="eastAsia" w:ascii="宋体" w:hAnsi="宋体" w:eastAsia="宋体" w:cs="宋体"/>
                <w:sz w:val="18"/>
                <w:szCs w:val="18"/>
                <w:lang w:bidi="ar"/>
              </w:rPr>
              <w:t>，签订承诺书；</w:t>
            </w:r>
          </w:p>
          <w:p w14:paraId="23388F7E">
            <w:pPr>
              <w:spacing w:line="260" w:lineRule="exact"/>
              <w:rPr>
                <w:rStyle w:val="21"/>
                <w:rFonts w:hint="eastAsia" w:ascii="宋体" w:hAnsi="宋体" w:eastAsia="宋体" w:cs="宋体"/>
                <w:sz w:val="18"/>
                <w:szCs w:val="18"/>
                <w:lang w:bidi="ar"/>
              </w:rPr>
            </w:pPr>
            <w:r>
              <w:rPr>
                <w:rStyle w:val="21"/>
                <w:rFonts w:hint="eastAsia" w:ascii="宋体" w:hAnsi="宋体" w:eastAsia="宋体" w:cs="宋体"/>
                <w:sz w:val="18"/>
                <w:szCs w:val="18"/>
                <w:lang w:bidi="ar"/>
              </w:rPr>
              <w:t>3.没有造成危害后果的；</w:t>
            </w:r>
          </w:p>
          <w:p w14:paraId="303BD76E">
            <w:pPr>
              <w:spacing w:line="260" w:lineRule="exact"/>
              <w:rPr>
                <w:rStyle w:val="21"/>
                <w:rFonts w:hint="eastAsia" w:ascii="宋体" w:hAnsi="宋体" w:eastAsia="宋体" w:cs="宋体"/>
                <w:sz w:val="18"/>
                <w:szCs w:val="18"/>
                <w:lang w:val="en-US" w:eastAsia="zh-CN" w:bidi="ar"/>
              </w:rPr>
            </w:pPr>
            <w:r>
              <w:rPr>
                <w:rStyle w:val="21"/>
                <w:rFonts w:hint="eastAsia" w:ascii="宋体" w:hAnsi="宋体" w:eastAsia="宋体" w:cs="宋体"/>
                <w:sz w:val="18"/>
                <w:szCs w:val="18"/>
                <w:lang w:val="en-US" w:eastAsia="zh-CN" w:bidi="ar"/>
              </w:rPr>
              <w:t>（注：符合上述所有情形的，不予处罚，应将本次违法情况进行登记备案，以后再发生类似问题的将不再适用本条件）</w:t>
            </w: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0DF4F54A">
            <w:pPr>
              <w:spacing w:line="260" w:lineRule="exact"/>
              <w:rPr>
                <w:rStyle w:val="21"/>
                <w:rFonts w:hint="eastAsia" w:ascii="宋体" w:hAnsi="宋体" w:eastAsia="宋体" w:cs="宋体"/>
                <w:sz w:val="18"/>
                <w:szCs w:val="18"/>
                <w:lang w:val="en-US" w:eastAsia="zh-CN" w:bidi="ar"/>
              </w:rPr>
            </w:pPr>
            <w:r>
              <w:rPr>
                <w:rStyle w:val="21"/>
                <w:rFonts w:hint="eastAsia" w:ascii="宋体" w:hAnsi="宋体" w:eastAsia="宋体" w:cs="宋体"/>
                <w:sz w:val="18"/>
                <w:szCs w:val="18"/>
                <w:lang w:bidi="ar"/>
              </w:rPr>
              <w:t>不予处罚</w:t>
            </w:r>
          </w:p>
        </w:tc>
        <w:tc>
          <w:tcPr>
            <w:tcW w:w="563" w:type="dxa"/>
            <w:vMerge w:val="restart"/>
            <w:tcBorders>
              <w:top w:val="single" w:color="auto" w:sz="4" w:space="0"/>
              <w:left w:val="single" w:color="auto" w:sz="4" w:space="0"/>
              <w:right w:val="single" w:color="auto" w:sz="4" w:space="0"/>
            </w:tcBorders>
            <w:shd w:val="clear" w:color="auto" w:fill="FFFFFF"/>
            <w:noWrap w:val="0"/>
            <w:tcMar>
              <w:top w:w="0" w:type="dxa"/>
              <w:left w:w="0" w:type="dxa"/>
              <w:bottom w:w="0" w:type="dxa"/>
              <w:right w:w="0" w:type="dxa"/>
            </w:tcMar>
            <w:vAlign w:val="center"/>
          </w:tcPr>
          <w:p w14:paraId="3164C79C">
            <w:pPr>
              <w:spacing w:line="260" w:lineRule="exact"/>
              <w:rPr>
                <w:rStyle w:val="21"/>
                <w:rFonts w:hint="eastAsia" w:ascii="宋体" w:hAnsi="宋体" w:eastAsia="宋体" w:cs="宋体"/>
                <w:sz w:val="18"/>
                <w:szCs w:val="18"/>
                <w:lang w:bidi="ar"/>
              </w:rPr>
            </w:pPr>
          </w:p>
        </w:tc>
      </w:tr>
      <w:tr w14:paraId="47DF3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454" w:hRule="atLeast"/>
          <w:jc w:val="center"/>
        </w:trPr>
        <w:tc>
          <w:tcPr>
            <w:tcW w:w="495"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52897FC3">
            <w:pPr>
              <w:spacing w:line="260" w:lineRule="exact"/>
              <w:jc w:val="center"/>
              <w:rPr>
                <w:rFonts w:hint="eastAsia" w:ascii="宋体" w:hAnsi="宋体" w:eastAsia="宋体" w:cs="宋体"/>
                <w:sz w:val="18"/>
                <w:szCs w:val="18"/>
              </w:rPr>
            </w:pPr>
          </w:p>
        </w:tc>
        <w:tc>
          <w:tcPr>
            <w:tcW w:w="1211"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192FBFBE">
            <w:pPr>
              <w:spacing w:line="260" w:lineRule="exact"/>
              <w:rPr>
                <w:rFonts w:hint="eastAsia" w:ascii="宋体" w:hAnsi="宋体" w:eastAsia="宋体" w:cs="宋体"/>
                <w:color w:val="000000"/>
                <w:kern w:val="0"/>
                <w:sz w:val="18"/>
                <w:szCs w:val="18"/>
                <w:lang w:bidi="ar"/>
              </w:rPr>
            </w:pPr>
          </w:p>
        </w:tc>
        <w:tc>
          <w:tcPr>
            <w:tcW w:w="4862"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6D4F7C1F">
            <w:pPr>
              <w:spacing w:line="260" w:lineRule="exact"/>
              <w:ind w:firstLine="360" w:firstLineChars="200"/>
              <w:rPr>
                <w:rFonts w:hint="eastAsia" w:ascii="宋体" w:hAnsi="宋体" w:eastAsia="宋体" w:cs="宋体"/>
                <w:color w:val="000000"/>
                <w:kern w:val="0"/>
                <w:sz w:val="18"/>
                <w:szCs w:val="18"/>
                <w:lang w:bidi="ar"/>
              </w:rPr>
            </w:pPr>
          </w:p>
        </w:tc>
        <w:tc>
          <w:tcPr>
            <w:tcW w:w="161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7E36E7FF">
            <w:pPr>
              <w:spacing w:line="260" w:lineRule="exact"/>
              <w:ind w:firstLine="360" w:firstLineChars="200"/>
              <w:rPr>
                <w:rFonts w:hint="eastAsia" w:ascii="宋体" w:hAnsi="宋体" w:eastAsia="宋体" w:cs="宋体"/>
                <w:color w:val="000000"/>
                <w:kern w:val="0"/>
                <w:sz w:val="18"/>
                <w:szCs w:val="18"/>
                <w:lang w:bidi="ar"/>
              </w:rPr>
            </w:pP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4AC2F93A">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较轻</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5D7E98B4">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726B199F">
            <w:pPr>
              <w:spacing w:line="260" w:lineRule="exact"/>
              <w:rPr>
                <w:rStyle w:val="21"/>
                <w:rFonts w:hint="eastAsia" w:ascii="宋体" w:hAnsi="宋体" w:eastAsia="宋体" w:cs="宋体"/>
                <w:sz w:val="18"/>
                <w:szCs w:val="18"/>
                <w:lang w:bidi="ar"/>
              </w:rPr>
            </w:pP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7CC7AE06">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7307E70E">
            <w:pPr>
              <w:spacing w:line="260" w:lineRule="exact"/>
              <w:rPr>
                <w:rStyle w:val="21"/>
                <w:rFonts w:hint="eastAsia" w:ascii="宋体" w:hAnsi="宋体" w:eastAsia="宋体" w:cs="宋体"/>
                <w:sz w:val="18"/>
                <w:szCs w:val="18"/>
                <w:lang w:bidi="ar"/>
              </w:rPr>
            </w:pPr>
          </w:p>
        </w:tc>
        <w:tc>
          <w:tcPr>
            <w:tcW w:w="56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70D6057A">
            <w:pPr>
              <w:spacing w:line="260" w:lineRule="exact"/>
              <w:rPr>
                <w:rStyle w:val="21"/>
                <w:rFonts w:hint="eastAsia" w:ascii="宋体" w:hAnsi="宋体" w:eastAsia="宋体" w:cs="宋体"/>
                <w:sz w:val="18"/>
                <w:szCs w:val="18"/>
                <w:lang w:bidi="ar"/>
              </w:rPr>
            </w:pPr>
          </w:p>
        </w:tc>
      </w:tr>
      <w:tr w14:paraId="1C108A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95"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16BC3EF7">
            <w:pPr>
              <w:spacing w:line="260" w:lineRule="exact"/>
              <w:jc w:val="center"/>
              <w:rPr>
                <w:rFonts w:hint="eastAsia" w:ascii="宋体" w:hAnsi="宋体" w:eastAsia="宋体" w:cs="宋体"/>
                <w:sz w:val="18"/>
                <w:szCs w:val="18"/>
              </w:rPr>
            </w:pPr>
          </w:p>
        </w:tc>
        <w:tc>
          <w:tcPr>
            <w:tcW w:w="1211"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5B97FBDB">
            <w:pPr>
              <w:spacing w:line="260" w:lineRule="exact"/>
              <w:rPr>
                <w:rFonts w:hint="eastAsia" w:ascii="宋体" w:hAnsi="宋体" w:eastAsia="宋体" w:cs="宋体"/>
                <w:color w:val="000000"/>
                <w:kern w:val="0"/>
                <w:sz w:val="18"/>
                <w:szCs w:val="18"/>
                <w:lang w:bidi="ar"/>
              </w:rPr>
            </w:pPr>
          </w:p>
        </w:tc>
        <w:tc>
          <w:tcPr>
            <w:tcW w:w="4862"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6958BFF8">
            <w:pPr>
              <w:spacing w:line="260" w:lineRule="exact"/>
              <w:ind w:firstLine="360" w:firstLineChars="200"/>
              <w:rPr>
                <w:rFonts w:hint="eastAsia" w:ascii="宋体" w:hAnsi="宋体" w:eastAsia="宋体" w:cs="宋体"/>
                <w:color w:val="000000"/>
                <w:kern w:val="0"/>
                <w:sz w:val="18"/>
                <w:szCs w:val="18"/>
                <w:lang w:bidi="ar"/>
              </w:rPr>
            </w:pPr>
          </w:p>
        </w:tc>
        <w:tc>
          <w:tcPr>
            <w:tcW w:w="161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08AC1C01">
            <w:pPr>
              <w:spacing w:line="260" w:lineRule="exact"/>
              <w:ind w:firstLine="360" w:firstLineChars="200"/>
              <w:rPr>
                <w:rFonts w:hint="eastAsia" w:ascii="宋体" w:hAnsi="宋体" w:eastAsia="宋体" w:cs="宋体"/>
                <w:color w:val="000000"/>
                <w:kern w:val="0"/>
                <w:sz w:val="18"/>
                <w:szCs w:val="18"/>
                <w:lang w:bidi="ar"/>
              </w:rPr>
            </w:pP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6A97FC51">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一般</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03A59883">
            <w:pPr>
              <w:spacing w:line="240" w:lineRule="exact"/>
              <w:rPr>
                <w:rFonts w:hint="eastAsia" w:ascii="宋体" w:hAnsi="宋体" w:eastAsia="宋体" w:cs="宋体"/>
                <w:color w:val="000000"/>
                <w:sz w:val="18"/>
                <w:szCs w:val="18"/>
                <w:lang w:val="en" w:eastAsia="zh-CN" w:bidi="ar"/>
              </w:rPr>
            </w:pPr>
            <w:r>
              <w:rPr>
                <w:rStyle w:val="21"/>
                <w:rFonts w:hint="eastAsia" w:ascii="宋体" w:hAnsi="宋体" w:eastAsia="宋体" w:cs="宋体"/>
                <w:spacing w:val="-6"/>
                <w:sz w:val="18"/>
                <w:szCs w:val="18"/>
                <w:lang w:val="en" w:bidi="ar"/>
              </w:rPr>
              <w:t>不按规定期限申报年度计划用水量的，超过规定期限</w:t>
            </w:r>
            <w:r>
              <w:rPr>
                <w:rStyle w:val="21"/>
                <w:rFonts w:hint="eastAsia" w:ascii="宋体" w:hAnsi="宋体" w:eastAsia="宋体" w:cs="宋体"/>
                <w:spacing w:val="-6"/>
                <w:sz w:val="18"/>
                <w:szCs w:val="18"/>
                <w:lang w:val="en-US" w:eastAsia="zh-CN" w:bidi="ar"/>
              </w:rPr>
              <w:t>15</w:t>
            </w:r>
            <w:r>
              <w:rPr>
                <w:rStyle w:val="21"/>
                <w:rFonts w:hint="eastAsia" w:ascii="宋体" w:hAnsi="宋体" w:eastAsia="宋体" w:cs="宋体"/>
                <w:spacing w:val="-6"/>
                <w:sz w:val="18"/>
                <w:szCs w:val="18"/>
                <w:lang w:val="en" w:eastAsia="zh-CN" w:bidi="ar"/>
              </w:rPr>
              <w:t>日</w:t>
            </w:r>
            <w:r>
              <w:rPr>
                <w:rStyle w:val="21"/>
                <w:rFonts w:hint="eastAsia" w:ascii="宋体" w:hAnsi="宋体" w:eastAsia="宋体" w:cs="宋体"/>
                <w:spacing w:val="-6"/>
                <w:sz w:val="18"/>
                <w:szCs w:val="18"/>
                <w:lang w:val="en" w:bidi="ar"/>
              </w:rPr>
              <w:t>不足</w:t>
            </w:r>
            <w:r>
              <w:rPr>
                <w:rStyle w:val="21"/>
                <w:rFonts w:hint="eastAsia" w:ascii="宋体" w:hAnsi="宋体" w:eastAsia="宋体" w:cs="宋体"/>
                <w:spacing w:val="-6"/>
                <w:sz w:val="18"/>
                <w:szCs w:val="18"/>
                <w:lang w:val="en-US" w:eastAsia="zh-CN" w:bidi="ar"/>
              </w:rPr>
              <w:t>30</w:t>
            </w:r>
            <w:r>
              <w:rPr>
                <w:rStyle w:val="21"/>
                <w:rFonts w:hint="eastAsia" w:ascii="宋体" w:hAnsi="宋体" w:eastAsia="宋体" w:cs="宋体"/>
                <w:spacing w:val="-6"/>
                <w:sz w:val="18"/>
                <w:szCs w:val="18"/>
                <w:lang w:val="en" w:eastAsia="zh-CN" w:bidi="ar"/>
              </w:rPr>
              <w:t>日</w:t>
            </w: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24D336F0">
            <w:pPr>
              <w:spacing w:line="240" w:lineRule="exact"/>
              <w:rPr>
                <w:rFonts w:hint="eastAsia" w:ascii="宋体" w:hAnsi="宋体" w:eastAsia="宋体" w:cs="宋体"/>
                <w:color w:val="000000"/>
                <w:sz w:val="18"/>
                <w:szCs w:val="18"/>
                <w:lang w:bidi="ar"/>
              </w:rPr>
            </w:pPr>
            <w:r>
              <w:rPr>
                <w:rStyle w:val="21"/>
                <w:rFonts w:hint="eastAsia" w:ascii="宋体" w:hAnsi="宋体" w:eastAsia="宋体" w:cs="宋体"/>
                <w:sz w:val="18"/>
                <w:szCs w:val="18"/>
                <w:lang w:val="en" w:bidi="ar"/>
              </w:rPr>
              <w:t>处</w:t>
            </w:r>
            <w:r>
              <w:rPr>
                <w:rStyle w:val="21"/>
                <w:rFonts w:hint="eastAsia" w:ascii="宋体" w:hAnsi="宋体" w:eastAsia="宋体" w:cs="宋体"/>
                <w:sz w:val="18"/>
                <w:szCs w:val="18"/>
                <w:lang w:val="en-US" w:eastAsia="zh-CN" w:bidi="ar"/>
              </w:rPr>
              <w:t>5</w:t>
            </w:r>
            <w:r>
              <w:rPr>
                <w:rStyle w:val="21"/>
                <w:rFonts w:hint="eastAsia" w:ascii="宋体" w:hAnsi="宋体" w:eastAsia="宋体" w:cs="宋体"/>
                <w:sz w:val="18"/>
                <w:szCs w:val="18"/>
                <w:lang w:val="en" w:bidi="ar"/>
              </w:rPr>
              <w:t>千元以上</w:t>
            </w:r>
            <w:r>
              <w:rPr>
                <w:rStyle w:val="21"/>
                <w:rFonts w:hint="eastAsia" w:ascii="宋体" w:hAnsi="宋体" w:eastAsia="宋体" w:cs="宋体"/>
                <w:sz w:val="18"/>
                <w:szCs w:val="18"/>
                <w:lang w:val="en-US" w:eastAsia="zh-CN" w:bidi="ar"/>
              </w:rPr>
              <w:t>1</w:t>
            </w:r>
            <w:r>
              <w:rPr>
                <w:rStyle w:val="21"/>
                <w:rFonts w:hint="eastAsia" w:ascii="宋体" w:hAnsi="宋体" w:eastAsia="宋体" w:cs="宋体"/>
                <w:sz w:val="18"/>
                <w:szCs w:val="18"/>
                <w:lang w:val="en" w:bidi="ar"/>
              </w:rPr>
              <w:t>万元以下罚款</w:t>
            </w:r>
          </w:p>
        </w:tc>
        <w:tc>
          <w:tcPr>
            <w:tcW w:w="56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7C38DAE0">
            <w:pPr>
              <w:spacing w:line="260" w:lineRule="exact"/>
              <w:rPr>
                <w:rStyle w:val="21"/>
                <w:rFonts w:hint="eastAsia" w:ascii="宋体" w:hAnsi="宋体" w:eastAsia="宋体" w:cs="宋体"/>
                <w:sz w:val="18"/>
                <w:szCs w:val="18"/>
                <w:lang w:bidi="ar"/>
              </w:rPr>
            </w:pPr>
          </w:p>
        </w:tc>
      </w:tr>
      <w:tr w14:paraId="029594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495"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44535B92">
            <w:pPr>
              <w:spacing w:line="260" w:lineRule="exact"/>
              <w:jc w:val="center"/>
              <w:rPr>
                <w:rFonts w:hint="eastAsia" w:ascii="宋体" w:hAnsi="宋体" w:eastAsia="宋体" w:cs="宋体"/>
                <w:sz w:val="18"/>
                <w:szCs w:val="18"/>
              </w:rPr>
            </w:pPr>
          </w:p>
        </w:tc>
        <w:tc>
          <w:tcPr>
            <w:tcW w:w="1211"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05BEA4E5">
            <w:pPr>
              <w:spacing w:line="260" w:lineRule="exact"/>
              <w:rPr>
                <w:rFonts w:hint="eastAsia" w:ascii="宋体" w:hAnsi="宋体" w:eastAsia="宋体" w:cs="宋体"/>
                <w:color w:val="000000"/>
                <w:kern w:val="0"/>
                <w:sz w:val="18"/>
                <w:szCs w:val="18"/>
                <w:lang w:bidi="ar"/>
              </w:rPr>
            </w:pPr>
          </w:p>
        </w:tc>
        <w:tc>
          <w:tcPr>
            <w:tcW w:w="4862"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659F9848">
            <w:pPr>
              <w:spacing w:line="260" w:lineRule="exact"/>
              <w:ind w:firstLine="360" w:firstLineChars="200"/>
              <w:rPr>
                <w:rFonts w:hint="eastAsia" w:ascii="宋体" w:hAnsi="宋体" w:eastAsia="宋体" w:cs="宋体"/>
                <w:color w:val="000000"/>
                <w:kern w:val="0"/>
                <w:sz w:val="18"/>
                <w:szCs w:val="18"/>
                <w:lang w:bidi="ar"/>
              </w:rPr>
            </w:pPr>
          </w:p>
        </w:tc>
        <w:tc>
          <w:tcPr>
            <w:tcW w:w="161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58A7C6A2">
            <w:pPr>
              <w:spacing w:line="260" w:lineRule="exact"/>
              <w:ind w:firstLine="360" w:firstLineChars="200"/>
              <w:rPr>
                <w:rFonts w:hint="eastAsia" w:ascii="宋体" w:hAnsi="宋体" w:eastAsia="宋体" w:cs="宋体"/>
                <w:color w:val="000000"/>
                <w:kern w:val="0"/>
                <w:sz w:val="18"/>
                <w:szCs w:val="18"/>
                <w:lang w:bidi="ar"/>
              </w:rPr>
            </w:pP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09568507">
            <w:pPr>
              <w:spacing w:line="260" w:lineRule="exact"/>
              <w:jc w:val="center"/>
              <w:rPr>
                <w:rFonts w:hint="eastAsia" w:ascii="宋体" w:hAnsi="宋体" w:eastAsia="宋体" w:cs="宋体"/>
                <w:sz w:val="18"/>
                <w:szCs w:val="18"/>
                <w:lang w:eastAsia="zh-CN"/>
              </w:rPr>
            </w:pPr>
            <w:r>
              <w:rPr>
                <w:rFonts w:hint="eastAsia" w:ascii="宋体" w:hAnsi="宋体" w:eastAsia="宋体" w:cs="宋体"/>
                <w:sz w:val="18"/>
                <w:szCs w:val="18"/>
                <w:lang w:eastAsia="zh-CN"/>
              </w:rPr>
              <w:t>较重</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0FD4EBFC">
            <w:pPr>
              <w:spacing w:line="240" w:lineRule="exact"/>
              <w:rPr>
                <w:rFonts w:hint="eastAsia" w:ascii="宋体" w:hAnsi="宋体" w:eastAsia="宋体" w:cs="宋体"/>
                <w:color w:val="000000"/>
                <w:sz w:val="18"/>
                <w:szCs w:val="18"/>
                <w:lang w:val="en" w:eastAsia="zh-CN" w:bidi="ar"/>
              </w:rPr>
            </w:pPr>
            <w:r>
              <w:rPr>
                <w:rStyle w:val="21"/>
                <w:rFonts w:hint="eastAsia" w:ascii="宋体" w:hAnsi="宋体" w:eastAsia="宋体" w:cs="宋体"/>
                <w:sz w:val="18"/>
                <w:szCs w:val="18"/>
                <w:lang w:val="en" w:bidi="ar"/>
              </w:rPr>
              <w:t>不按规定期限申报年度计划用水量的，超过规定期限</w:t>
            </w:r>
            <w:r>
              <w:rPr>
                <w:rStyle w:val="21"/>
                <w:rFonts w:hint="eastAsia" w:ascii="宋体" w:hAnsi="宋体" w:eastAsia="宋体" w:cs="宋体"/>
                <w:sz w:val="18"/>
                <w:szCs w:val="18"/>
                <w:lang w:val="en-US" w:eastAsia="zh-CN" w:bidi="ar"/>
              </w:rPr>
              <w:t>30</w:t>
            </w:r>
            <w:r>
              <w:rPr>
                <w:rStyle w:val="21"/>
                <w:rFonts w:hint="eastAsia" w:ascii="宋体" w:hAnsi="宋体" w:eastAsia="宋体" w:cs="宋体"/>
                <w:sz w:val="18"/>
                <w:szCs w:val="18"/>
                <w:lang w:val="en" w:eastAsia="zh-CN" w:bidi="ar"/>
              </w:rPr>
              <w:t>日</w:t>
            </w: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6C68308B">
            <w:pPr>
              <w:spacing w:line="240" w:lineRule="exact"/>
              <w:rPr>
                <w:rFonts w:hint="eastAsia" w:ascii="宋体" w:hAnsi="宋体" w:eastAsia="宋体" w:cs="宋体"/>
                <w:color w:val="000000"/>
                <w:sz w:val="18"/>
                <w:szCs w:val="18"/>
                <w:lang w:bidi="ar"/>
              </w:rPr>
            </w:pPr>
            <w:r>
              <w:rPr>
                <w:rStyle w:val="21"/>
                <w:rFonts w:hint="eastAsia" w:ascii="宋体" w:hAnsi="宋体" w:eastAsia="宋体" w:cs="宋体"/>
                <w:sz w:val="18"/>
                <w:szCs w:val="18"/>
                <w:lang w:val="en" w:bidi="ar"/>
              </w:rPr>
              <w:t>处</w:t>
            </w:r>
            <w:r>
              <w:rPr>
                <w:rStyle w:val="21"/>
                <w:rFonts w:hint="eastAsia" w:ascii="宋体" w:hAnsi="宋体" w:eastAsia="宋体" w:cs="宋体"/>
                <w:sz w:val="18"/>
                <w:szCs w:val="18"/>
                <w:lang w:val="en-US" w:eastAsia="zh-CN" w:bidi="ar"/>
              </w:rPr>
              <w:t>1</w:t>
            </w:r>
            <w:r>
              <w:rPr>
                <w:rStyle w:val="21"/>
                <w:rFonts w:hint="eastAsia" w:ascii="宋体" w:hAnsi="宋体" w:eastAsia="宋体" w:cs="宋体"/>
                <w:sz w:val="18"/>
                <w:szCs w:val="18"/>
                <w:lang w:val="en" w:bidi="ar"/>
              </w:rPr>
              <w:t>万元以上</w:t>
            </w:r>
            <w:r>
              <w:rPr>
                <w:rStyle w:val="21"/>
                <w:rFonts w:hint="eastAsia" w:ascii="宋体" w:hAnsi="宋体" w:eastAsia="宋体" w:cs="宋体"/>
                <w:sz w:val="18"/>
                <w:szCs w:val="18"/>
                <w:lang w:val="en-US" w:eastAsia="zh-CN" w:bidi="ar"/>
              </w:rPr>
              <w:t>1.8</w:t>
            </w:r>
            <w:r>
              <w:rPr>
                <w:rStyle w:val="21"/>
                <w:rFonts w:hint="eastAsia" w:ascii="宋体" w:hAnsi="宋体" w:eastAsia="宋体" w:cs="宋体"/>
                <w:sz w:val="18"/>
                <w:szCs w:val="18"/>
                <w:lang w:val="en" w:bidi="ar"/>
              </w:rPr>
              <w:t>万元以下罚款</w:t>
            </w:r>
          </w:p>
        </w:tc>
        <w:tc>
          <w:tcPr>
            <w:tcW w:w="56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4842D2D7">
            <w:pPr>
              <w:spacing w:line="260" w:lineRule="exact"/>
              <w:rPr>
                <w:rStyle w:val="21"/>
                <w:rFonts w:hint="eastAsia" w:ascii="宋体" w:hAnsi="宋体" w:eastAsia="宋体" w:cs="宋体"/>
                <w:sz w:val="18"/>
                <w:szCs w:val="18"/>
                <w:lang w:bidi="ar"/>
              </w:rPr>
            </w:pPr>
          </w:p>
        </w:tc>
      </w:tr>
      <w:tr w14:paraId="045026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jc w:val="center"/>
        </w:trPr>
        <w:tc>
          <w:tcPr>
            <w:tcW w:w="495"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4CAEFB0F">
            <w:pPr>
              <w:spacing w:line="260" w:lineRule="exact"/>
              <w:jc w:val="center"/>
              <w:rPr>
                <w:rFonts w:hint="eastAsia" w:ascii="宋体" w:hAnsi="宋体" w:eastAsia="宋体" w:cs="宋体"/>
                <w:sz w:val="18"/>
                <w:szCs w:val="18"/>
              </w:rPr>
            </w:pPr>
          </w:p>
        </w:tc>
        <w:tc>
          <w:tcPr>
            <w:tcW w:w="1211"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5A7BCC30">
            <w:pPr>
              <w:spacing w:line="260" w:lineRule="exact"/>
              <w:rPr>
                <w:rFonts w:hint="eastAsia" w:ascii="宋体" w:hAnsi="宋体" w:eastAsia="宋体" w:cs="宋体"/>
                <w:color w:val="000000"/>
                <w:kern w:val="0"/>
                <w:sz w:val="18"/>
                <w:szCs w:val="18"/>
                <w:lang w:bidi="ar"/>
              </w:rPr>
            </w:pPr>
          </w:p>
        </w:tc>
        <w:tc>
          <w:tcPr>
            <w:tcW w:w="4862"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71064B72">
            <w:pPr>
              <w:spacing w:line="260" w:lineRule="exact"/>
              <w:ind w:firstLine="360" w:firstLineChars="200"/>
              <w:rPr>
                <w:rFonts w:hint="eastAsia" w:ascii="宋体" w:hAnsi="宋体" w:eastAsia="宋体" w:cs="宋体"/>
                <w:color w:val="000000"/>
                <w:kern w:val="0"/>
                <w:sz w:val="18"/>
                <w:szCs w:val="18"/>
                <w:lang w:bidi="ar"/>
              </w:rPr>
            </w:pPr>
          </w:p>
        </w:tc>
        <w:tc>
          <w:tcPr>
            <w:tcW w:w="1613" w:type="dxa"/>
            <w:vMerge w:val="continue"/>
            <w:tcBorders>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00602B10">
            <w:pPr>
              <w:spacing w:line="260" w:lineRule="exact"/>
              <w:ind w:firstLine="360" w:firstLineChars="200"/>
              <w:rPr>
                <w:rFonts w:hint="eastAsia" w:ascii="宋体" w:hAnsi="宋体" w:eastAsia="宋体" w:cs="宋体"/>
                <w:color w:val="000000"/>
                <w:kern w:val="0"/>
                <w:sz w:val="18"/>
                <w:szCs w:val="18"/>
                <w:lang w:bidi="ar"/>
              </w:rPr>
            </w:pP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7E072748">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严重</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19FC7307">
            <w:pPr>
              <w:spacing w:line="240" w:lineRule="exact"/>
              <w:rPr>
                <w:rFonts w:hint="eastAsia" w:ascii="宋体" w:hAnsi="宋体" w:eastAsia="宋体" w:cs="宋体"/>
                <w:color w:val="000000"/>
                <w:sz w:val="18"/>
                <w:szCs w:val="18"/>
                <w:lang w:bidi="ar"/>
              </w:rPr>
            </w:pPr>
            <w:r>
              <w:rPr>
                <w:rStyle w:val="21"/>
                <w:rFonts w:hint="eastAsia" w:ascii="宋体" w:hAnsi="宋体" w:eastAsia="宋体" w:cs="宋体"/>
                <w:sz w:val="18"/>
                <w:szCs w:val="18"/>
                <w:lang w:bidi="ar"/>
              </w:rPr>
              <w:t>拒不申报年度计划用水量</w:t>
            </w: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1D3B54F6">
            <w:pPr>
              <w:spacing w:line="240" w:lineRule="exact"/>
              <w:rPr>
                <w:rFonts w:hint="eastAsia" w:ascii="宋体" w:hAnsi="宋体" w:eastAsia="宋体" w:cs="宋体"/>
                <w:color w:val="000000"/>
                <w:sz w:val="18"/>
                <w:szCs w:val="18"/>
                <w:lang w:bidi="ar"/>
              </w:rPr>
            </w:pPr>
            <w:r>
              <w:rPr>
                <w:rStyle w:val="21"/>
                <w:rFonts w:hint="eastAsia" w:ascii="宋体" w:hAnsi="宋体" w:eastAsia="宋体" w:cs="宋体"/>
                <w:sz w:val="18"/>
                <w:szCs w:val="18"/>
                <w:lang w:val="en" w:bidi="ar"/>
              </w:rPr>
              <w:t>处</w:t>
            </w:r>
            <w:r>
              <w:rPr>
                <w:rStyle w:val="21"/>
                <w:rFonts w:hint="eastAsia" w:ascii="宋体" w:hAnsi="宋体" w:eastAsia="宋体" w:cs="宋体"/>
                <w:sz w:val="18"/>
                <w:szCs w:val="18"/>
                <w:lang w:val="en-US" w:eastAsia="zh-CN" w:bidi="ar"/>
              </w:rPr>
              <w:t>1.8</w:t>
            </w:r>
            <w:r>
              <w:rPr>
                <w:rStyle w:val="21"/>
                <w:rFonts w:hint="eastAsia" w:ascii="宋体" w:hAnsi="宋体" w:eastAsia="宋体" w:cs="宋体"/>
                <w:sz w:val="18"/>
                <w:szCs w:val="18"/>
                <w:lang w:val="en" w:bidi="ar"/>
              </w:rPr>
              <w:t>万元以上</w:t>
            </w:r>
            <w:r>
              <w:rPr>
                <w:rStyle w:val="21"/>
                <w:rFonts w:hint="eastAsia" w:ascii="宋体" w:hAnsi="宋体" w:eastAsia="宋体" w:cs="宋体"/>
                <w:sz w:val="18"/>
                <w:szCs w:val="18"/>
                <w:lang w:val="en-US" w:eastAsia="zh-CN" w:bidi="ar"/>
              </w:rPr>
              <w:t>2</w:t>
            </w:r>
            <w:r>
              <w:rPr>
                <w:rStyle w:val="21"/>
                <w:rFonts w:hint="eastAsia" w:ascii="宋体" w:hAnsi="宋体" w:eastAsia="宋体" w:cs="宋体"/>
                <w:sz w:val="18"/>
                <w:szCs w:val="18"/>
                <w:lang w:val="en" w:bidi="ar"/>
              </w:rPr>
              <w:t>万元以下罚款，</w:t>
            </w:r>
            <w:r>
              <w:rPr>
                <w:rStyle w:val="21"/>
                <w:rFonts w:hint="eastAsia" w:ascii="宋体" w:hAnsi="宋体" w:eastAsia="宋体" w:cs="宋体"/>
                <w:sz w:val="18"/>
                <w:szCs w:val="18"/>
                <w:lang w:bidi="ar"/>
              </w:rPr>
              <w:t>吊销取水许可证</w:t>
            </w:r>
          </w:p>
        </w:tc>
        <w:tc>
          <w:tcPr>
            <w:tcW w:w="56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15ACB93F">
            <w:pPr>
              <w:spacing w:line="260" w:lineRule="exact"/>
              <w:rPr>
                <w:rStyle w:val="21"/>
                <w:rFonts w:hint="eastAsia" w:ascii="宋体" w:hAnsi="宋体" w:eastAsia="宋体" w:cs="宋体"/>
                <w:sz w:val="18"/>
                <w:szCs w:val="18"/>
                <w:lang w:bidi="ar"/>
              </w:rPr>
            </w:pPr>
          </w:p>
        </w:tc>
      </w:tr>
      <w:tr w14:paraId="11F35B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95"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697C9402">
            <w:pPr>
              <w:spacing w:line="260" w:lineRule="exact"/>
              <w:jc w:val="center"/>
              <w:rPr>
                <w:rFonts w:hint="eastAsia" w:ascii="宋体" w:hAnsi="宋体" w:eastAsia="宋体" w:cs="宋体"/>
                <w:sz w:val="18"/>
                <w:szCs w:val="18"/>
              </w:rPr>
            </w:pPr>
          </w:p>
        </w:tc>
        <w:tc>
          <w:tcPr>
            <w:tcW w:w="1211"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44195EB7">
            <w:pPr>
              <w:spacing w:line="260" w:lineRule="exact"/>
              <w:rPr>
                <w:rFonts w:hint="eastAsia" w:ascii="宋体" w:hAnsi="宋体" w:eastAsia="宋体" w:cs="宋体"/>
                <w:color w:val="000000"/>
                <w:kern w:val="0"/>
                <w:sz w:val="18"/>
                <w:szCs w:val="18"/>
                <w:lang w:bidi="ar"/>
              </w:rPr>
            </w:pPr>
          </w:p>
        </w:tc>
        <w:tc>
          <w:tcPr>
            <w:tcW w:w="4862"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2B36A8E2">
            <w:pPr>
              <w:widowControl/>
              <w:spacing w:line="260" w:lineRule="exact"/>
              <w:jc w:val="both"/>
              <w:textAlignment w:val="center"/>
              <w:rPr>
                <w:rFonts w:hint="eastAsia" w:ascii="宋体" w:hAnsi="宋体" w:eastAsia="宋体" w:cs="宋体"/>
                <w:color w:val="000000"/>
                <w:kern w:val="0"/>
                <w:sz w:val="18"/>
                <w:szCs w:val="18"/>
                <w:lang w:bidi="ar"/>
              </w:rPr>
            </w:pPr>
          </w:p>
        </w:tc>
        <w:tc>
          <w:tcPr>
            <w:tcW w:w="1613" w:type="dxa"/>
            <w:vMerge w:val="restart"/>
            <w:tcBorders>
              <w:top w:val="single" w:color="auto" w:sz="4" w:space="0"/>
              <w:left w:val="single" w:color="auto" w:sz="4" w:space="0"/>
              <w:right w:val="single" w:color="auto" w:sz="4" w:space="0"/>
            </w:tcBorders>
            <w:shd w:val="clear" w:color="auto" w:fill="FFFFFF"/>
            <w:noWrap w:val="0"/>
            <w:tcMar>
              <w:top w:w="0" w:type="dxa"/>
              <w:left w:w="0" w:type="dxa"/>
              <w:bottom w:w="0" w:type="dxa"/>
              <w:right w:w="0" w:type="dxa"/>
            </w:tcMar>
            <w:vAlign w:val="center"/>
          </w:tcPr>
          <w:p w14:paraId="01F0FC66">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未取得用水计划擅自取用水的</w:t>
            </w: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57998288">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轻微</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674AC6F1">
            <w:pPr>
              <w:spacing w:line="240" w:lineRule="exact"/>
              <w:rPr>
                <w:rStyle w:val="21"/>
                <w:rFonts w:hint="eastAsia" w:ascii="宋体" w:hAnsi="宋体" w:eastAsia="宋体" w:cs="宋体"/>
                <w:sz w:val="18"/>
                <w:szCs w:val="18"/>
                <w:lang w:val="en" w:bidi="ar"/>
              </w:rPr>
            </w:pPr>
            <w:r>
              <w:rPr>
                <w:rStyle w:val="21"/>
                <w:rFonts w:hint="eastAsia" w:ascii="宋体" w:hAnsi="宋体" w:eastAsia="宋体" w:cs="宋体"/>
                <w:sz w:val="18"/>
                <w:szCs w:val="18"/>
                <w:lang w:val="en" w:bidi="ar"/>
              </w:rPr>
              <w:t>1.当事人</w:t>
            </w:r>
            <w:r>
              <w:rPr>
                <w:rStyle w:val="21"/>
                <w:rFonts w:hint="eastAsia" w:ascii="宋体" w:hAnsi="宋体" w:eastAsia="宋体" w:cs="宋体"/>
                <w:sz w:val="18"/>
                <w:szCs w:val="18"/>
                <w:lang w:val="en-US" w:eastAsia="zh-CN" w:bidi="ar"/>
              </w:rPr>
              <w:t>积极</w:t>
            </w:r>
            <w:r>
              <w:rPr>
                <w:rStyle w:val="21"/>
                <w:rFonts w:hint="eastAsia" w:ascii="宋体" w:hAnsi="宋体" w:eastAsia="宋体" w:cs="宋体"/>
                <w:sz w:val="18"/>
                <w:szCs w:val="18"/>
                <w:lang w:val="en" w:bidi="ar"/>
              </w:rPr>
              <w:t>配合检查、调查，属于首次</w:t>
            </w:r>
            <w:r>
              <w:rPr>
                <w:rStyle w:val="21"/>
                <w:rFonts w:hint="eastAsia" w:ascii="宋体" w:hAnsi="宋体" w:eastAsia="宋体" w:cs="宋体"/>
                <w:sz w:val="18"/>
                <w:szCs w:val="18"/>
                <w:lang w:val="en-US" w:eastAsia="zh-CN" w:bidi="ar"/>
              </w:rPr>
              <w:t>违法</w:t>
            </w:r>
            <w:r>
              <w:rPr>
                <w:rStyle w:val="21"/>
                <w:rFonts w:hint="eastAsia" w:ascii="宋体" w:hAnsi="宋体" w:eastAsia="宋体" w:cs="宋体"/>
                <w:sz w:val="18"/>
                <w:szCs w:val="18"/>
                <w:lang w:val="en" w:bidi="ar"/>
              </w:rPr>
              <w:t>；</w:t>
            </w:r>
          </w:p>
          <w:p w14:paraId="6E059412">
            <w:pPr>
              <w:spacing w:line="240" w:lineRule="exact"/>
              <w:rPr>
                <w:rStyle w:val="21"/>
                <w:rFonts w:hint="eastAsia" w:ascii="宋体" w:hAnsi="宋体" w:eastAsia="宋体" w:cs="宋体"/>
                <w:sz w:val="18"/>
                <w:szCs w:val="18"/>
                <w:lang w:val="en" w:bidi="ar"/>
              </w:rPr>
            </w:pPr>
            <w:r>
              <w:rPr>
                <w:rStyle w:val="21"/>
                <w:rFonts w:hint="eastAsia" w:ascii="宋体" w:hAnsi="宋体" w:eastAsia="宋体" w:cs="宋体"/>
                <w:sz w:val="18"/>
                <w:szCs w:val="18"/>
                <w:lang w:val="en" w:bidi="ar"/>
              </w:rPr>
              <w:t>2.</w:t>
            </w:r>
            <w:r>
              <w:rPr>
                <w:rStyle w:val="21"/>
                <w:rFonts w:hint="eastAsia" w:ascii="宋体" w:hAnsi="宋体" w:eastAsia="宋体" w:cs="宋体"/>
                <w:sz w:val="18"/>
                <w:szCs w:val="18"/>
                <w:lang w:val="en-US" w:eastAsia="zh-CN" w:bidi="ar"/>
              </w:rPr>
              <w:t>立即停止取用水行为</w:t>
            </w:r>
            <w:r>
              <w:rPr>
                <w:rStyle w:val="21"/>
                <w:rFonts w:hint="eastAsia" w:ascii="宋体" w:hAnsi="宋体" w:eastAsia="宋体" w:cs="宋体"/>
                <w:sz w:val="18"/>
                <w:szCs w:val="18"/>
                <w:lang w:val="en" w:bidi="ar"/>
              </w:rPr>
              <w:t>，</w:t>
            </w:r>
            <w:r>
              <w:rPr>
                <w:rStyle w:val="21"/>
                <w:rFonts w:hint="eastAsia" w:ascii="宋体" w:hAnsi="宋体" w:eastAsia="宋体" w:cs="宋体"/>
                <w:sz w:val="18"/>
                <w:szCs w:val="18"/>
                <w:lang w:val="en-US" w:eastAsia="zh-CN" w:bidi="ar"/>
              </w:rPr>
              <w:t>主动申请用水计划，</w:t>
            </w:r>
            <w:r>
              <w:rPr>
                <w:rStyle w:val="21"/>
                <w:rFonts w:hint="eastAsia" w:ascii="宋体" w:hAnsi="宋体" w:eastAsia="宋体" w:cs="宋体"/>
                <w:sz w:val="18"/>
                <w:szCs w:val="18"/>
                <w:lang w:val="en" w:bidi="ar"/>
              </w:rPr>
              <w:t>签订承诺书；</w:t>
            </w:r>
          </w:p>
          <w:p w14:paraId="1F3A0582">
            <w:pPr>
              <w:spacing w:line="240" w:lineRule="exact"/>
              <w:rPr>
                <w:rStyle w:val="21"/>
                <w:rFonts w:hint="eastAsia" w:ascii="宋体" w:hAnsi="宋体" w:eastAsia="宋体" w:cs="宋体"/>
                <w:sz w:val="18"/>
                <w:szCs w:val="18"/>
                <w:lang w:val="en" w:bidi="ar"/>
              </w:rPr>
            </w:pPr>
            <w:r>
              <w:rPr>
                <w:rStyle w:val="21"/>
                <w:rFonts w:hint="eastAsia" w:ascii="宋体" w:hAnsi="宋体" w:eastAsia="宋体" w:cs="宋体"/>
                <w:sz w:val="18"/>
                <w:szCs w:val="18"/>
                <w:lang w:val="en" w:bidi="ar"/>
              </w:rPr>
              <w:t>3.没有造成危害后果的；</w:t>
            </w:r>
          </w:p>
          <w:p w14:paraId="70D5E79F">
            <w:pPr>
              <w:spacing w:line="240" w:lineRule="exact"/>
              <w:rPr>
                <w:rStyle w:val="21"/>
                <w:rFonts w:hint="eastAsia" w:ascii="宋体" w:hAnsi="宋体" w:eastAsia="宋体" w:cs="宋体"/>
                <w:sz w:val="18"/>
                <w:szCs w:val="18"/>
                <w:lang w:val="en-US" w:eastAsia="zh-CN" w:bidi="ar"/>
              </w:rPr>
            </w:pPr>
            <w:r>
              <w:rPr>
                <w:rStyle w:val="21"/>
                <w:rFonts w:hint="eastAsia" w:ascii="宋体" w:hAnsi="宋体" w:eastAsia="宋体" w:cs="宋体"/>
                <w:sz w:val="18"/>
                <w:szCs w:val="18"/>
                <w:lang w:val="en-US" w:eastAsia="zh-CN" w:bidi="ar"/>
              </w:rPr>
              <w:t>（注：符合上述所有情形的，不予处罚，应将本次违法情况进行登记备案，以后再发生类似问题的将不再适用本条件）</w:t>
            </w: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345C01F6">
            <w:pPr>
              <w:spacing w:line="240" w:lineRule="exact"/>
              <w:rPr>
                <w:rStyle w:val="21"/>
                <w:rFonts w:hint="eastAsia" w:ascii="宋体" w:hAnsi="宋体" w:eastAsia="宋体" w:cs="宋体"/>
                <w:sz w:val="18"/>
                <w:szCs w:val="18"/>
                <w:lang w:val="en-US" w:eastAsia="zh-CN" w:bidi="ar"/>
              </w:rPr>
            </w:pPr>
            <w:r>
              <w:rPr>
                <w:rStyle w:val="21"/>
                <w:rFonts w:hint="eastAsia" w:ascii="宋体" w:hAnsi="宋体" w:eastAsia="宋体" w:cs="宋体"/>
                <w:sz w:val="18"/>
                <w:szCs w:val="18"/>
                <w:lang w:val="en" w:bidi="ar"/>
              </w:rPr>
              <w:t>不予处罚</w:t>
            </w:r>
          </w:p>
        </w:tc>
        <w:tc>
          <w:tcPr>
            <w:tcW w:w="56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12EF93E8">
            <w:pPr>
              <w:spacing w:line="260" w:lineRule="exact"/>
              <w:rPr>
                <w:rStyle w:val="21"/>
                <w:rFonts w:hint="eastAsia" w:ascii="宋体" w:hAnsi="宋体" w:eastAsia="宋体" w:cs="宋体"/>
                <w:sz w:val="18"/>
                <w:szCs w:val="18"/>
                <w:lang w:bidi="ar"/>
              </w:rPr>
            </w:pPr>
          </w:p>
        </w:tc>
      </w:tr>
      <w:tr w14:paraId="4EE449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567" w:hRule="atLeast"/>
          <w:jc w:val="center"/>
        </w:trPr>
        <w:tc>
          <w:tcPr>
            <w:tcW w:w="495"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6BEBB2A7">
            <w:pPr>
              <w:spacing w:line="260" w:lineRule="exact"/>
              <w:jc w:val="center"/>
              <w:rPr>
                <w:rFonts w:hint="eastAsia" w:ascii="宋体" w:hAnsi="宋体" w:eastAsia="宋体" w:cs="宋体"/>
                <w:sz w:val="18"/>
                <w:szCs w:val="18"/>
              </w:rPr>
            </w:pPr>
          </w:p>
        </w:tc>
        <w:tc>
          <w:tcPr>
            <w:tcW w:w="1211"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2DBA5E10">
            <w:pPr>
              <w:spacing w:line="260" w:lineRule="exact"/>
              <w:rPr>
                <w:rFonts w:hint="eastAsia" w:ascii="宋体" w:hAnsi="宋体" w:eastAsia="宋体" w:cs="宋体"/>
                <w:color w:val="000000"/>
                <w:kern w:val="0"/>
                <w:sz w:val="18"/>
                <w:szCs w:val="18"/>
                <w:lang w:bidi="ar"/>
              </w:rPr>
            </w:pPr>
          </w:p>
        </w:tc>
        <w:tc>
          <w:tcPr>
            <w:tcW w:w="4862"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32F2EA87">
            <w:pPr>
              <w:spacing w:line="260" w:lineRule="exact"/>
              <w:ind w:firstLine="360" w:firstLineChars="200"/>
              <w:rPr>
                <w:rFonts w:hint="eastAsia" w:ascii="宋体" w:hAnsi="宋体" w:eastAsia="宋体" w:cs="宋体"/>
                <w:color w:val="000000"/>
                <w:kern w:val="0"/>
                <w:sz w:val="18"/>
                <w:szCs w:val="18"/>
                <w:lang w:bidi="ar"/>
              </w:rPr>
            </w:pPr>
          </w:p>
        </w:tc>
        <w:tc>
          <w:tcPr>
            <w:tcW w:w="161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60016689">
            <w:pPr>
              <w:spacing w:line="260" w:lineRule="exact"/>
              <w:ind w:firstLine="360" w:firstLineChars="200"/>
              <w:rPr>
                <w:rFonts w:hint="eastAsia" w:ascii="宋体" w:hAnsi="宋体" w:eastAsia="宋体" w:cs="宋体"/>
                <w:color w:val="000000"/>
                <w:kern w:val="0"/>
                <w:sz w:val="18"/>
                <w:szCs w:val="18"/>
                <w:lang w:bidi="ar"/>
              </w:rPr>
            </w:pP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2B481F50">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较轻</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3DCA12AB">
            <w:pPr>
              <w:spacing w:line="240" w:lineRule="exact"/>
              <w:rPr>
                <w:rFonts w:hint="eastAsia" w:ascii="宋体" w:hAnsi="宋体" w:eastAsia="宋体" w:cs="宋体"/>
                <w:color w:val="000000"/>
                <w:sz w:val="18"/>
                <w:szCs w:val="18"/>
                <w:lang w:val="en" w:bidi="ar"/>
              </w:rPr>
            </w:pPr>
            <w:r>
              <w:rPr>
                <w:rStyle w:val="21"/>
                <w:rFonts w:hint="eastAsia" w:ascii="宋体" w:hAnsi="宋体" w:eastAsia="宋体" w:cs="宋体"/>
                <w:sz w:val="18"/>
                <w:szCs w:val="18"/>
                <w:lang w:val="en" w:bidi="ar"/>
              </w:rPr>
              <w:t>立即停止违法行为、在限期采取补救措施的</w:t>
            </w: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3978957C">
            <w:pPr>
              <w:spacing w:line="240" w:lineRule="exact"/>
              <w:rPr>
                <w:rFonts w:hint="eastAsia" w:ascii="宋体" w:hAnsi="宋体" w:eastAsia="宋体" w:cs="宋体"/>
                <w:color w:val="000000"/>
                <w:sz w:val="18"/>
                <w:szCs w:val="18"/>
                <w:lang w:val="en" w:bidi="ar"/>
              </w:rPr>
            </w:pPr>
            <w:r>
              <w:rPr>
                <w:rStyle w:val="21"/>
                <w:rFonts w:hint="eastAsia" w:ascii="宋体" w:hAnsi="宋体" w:eastAsia="宋体" w:cs="宋体"/>
                <w:sz w:val="18"/>
                <w:szCs w:val="18"/>
                <w:lang w:val="en" w:bidi="ar"/>
              </w:rPr>
              <w:t>处</w:t>
            </w:r>
            <w:r>
              <w:rPr>
                <w:rStyle w:val="21"/>
                <w:rFonts w:hint="eastAsia" w:ascii="宋体" w:hAnsi="宋体" w:eastAsia="宋体" w:cs="宋体"/>
                <w:sz w:val="18"/>
                <w:szCs w:val="18"/>
                <w:lang w:val="en-US" w:eastAsia="zh-CN" w:bidi="ar"/>
              </w:rPr>
              <w:t>5</w:t>
            </w:r>
            <w:r>
              <w:rPr>
                <w:rStyle w:val="21"/>
                <w:rFonts w:hint="eastAsia" w:ascii="宋体" w:hAnsi="宋体" w:eastAsia="宋体" w:cs="宋体"/>
                <w:sz w:val="18"/>
                <w:szCs w:val="18"/>
                <w:lang w:val="en" w:bidi="ar"/>
              </w:rPr>
              <w:t>千元以上</w:t>
            </w:r>
            <w:r>
              <w:rPr>
                <w:rStyle w:val="21"/>
                <w:rFonts w:hint="eastAsia" w:ascii="宋体" w:hAnsi="宋体" w:eastAsia="宋体" w:cs="宋体"/>
                <w:sz w:val="18"/>
                <w:szCs w:val="18"/>
                <w:lang w:val="en-US" w:eastAsia="zh-CN" w:bidi="ar"/>
              </w:rPr>
              <w:t>1</w:t>
            </w:r>
            <w:r>
              <w:rPr>
                <w:rStyle w:val="21"/>
                <w:rFonts w:hint="eastAsia" w:ascii="宋体" w:hAnsi="宋体" w:eastAsia="宋体" w:cs="宋体"/>
                <w:sz w:val="18"/>
                <w:szCs w:val="18"/>
                <w:lang w:val="en" w:bidi="ar"/>
              </w:rPr>
              <w:t>万元以下罚款</w:t>
            </w:r>
          </w:p>
        </w:tc>
        <w:tc>
          <w:tcPr>
            <w:tcW w:w="56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5CA05FD4">
            <w:pPr>
              <w:spacing w:line="260" w:lineRule="exact"/>
              <w:rPr>
                <w:rStyle w:val="21"/>
                <w:rFonts w:hint="eastAsia" w:ascii="宋体" w:hAnsi="宋体" w:eastAsia="宋体" w:cs="宋体"/>
                <w:sz w:val="18"/>
                <w:szCs w:val="18"/>
                <w:lang w:bidi="ar"/>
              </w:rPr>
            </w:pPr>
          </w:p>
        </w:tc>
      </w:tr>
      <w:tr w14:paraId="33248F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495"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4F1014E6">
            <w:pPr>
              <w:spacing w:line="260" w:lineRule="exact"/>
              <w:jc w:val="center"/>
              <w:rPr>
                <w:rFonts w:hint="eastAsia" w:ascii="宋体" w:hAnsi="宋体" w:eastAsia="宋体" w:cs="宋体"/>
                <w:sz w:val="18"/>
                <w:szCs w:val="18"/>
              </w:rPr>
            </w:pPr>
          </w:p>
        </w:tc>
        <w:tc>
          <w:tcPr>
            <w:tcW w:w="1211"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08CF07BA">
            <w:pPr>
              <w:spacing w:line="260" w:lineRule="exact"/>
              <w:rPr>
                <w:rFonts w:hint="eastAsia" w:ascii="宋体" w:hAnsi="宋体" w:eastAsia="宋体" w:cs="宋体"/>
                <w:color w:val="000000"/>
                <w:kern w:val="0"/>
                <w:sz w:val="18"/>
                <w:szCs w:val="18"/>
                <w:lang w:bidi="ar"/>
              </w:rPr>
            </w:pPr>
          </w:p>
        </w:tc>
        <w:tc>
          <w:tcPr>
            <w:tcW w:w="4862"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2A4B3B0C">
            <w:pPr>
              <w:spacing w:line="260" w:lineRule="exact"/>
              <w:ind w:firstLine="360" w:firstLineChars="200"/>
              <w:rPr>
                <w:rFonts w:hint="eastAsia" w:ascii="宋体" w:hAnsi="宋体" w:eastAsia="宋体" w:cs="宋体"/>
                <w:color w:val="000000"/>
                <w:kern w:val="0"/>
                <w:sz w:val="18"/>
                <w:szCs w:val="18"/>
                <w:lang w:bidi="ar"/>
              </w:rPr>
            </w:pPr>
          </w:p>
        </w:tc>
        <w:tc>
          <w:tcPr>
            <w:tcW w:w="161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7AA41B4D">
            <w:pPr>
              <w:spacing w:line="260" w:lineRule="exact"/>
              <w:ind w:firstLine="360" w:firstLineChars="200"/>
              <w:rPr>
                <w:rFonts w:hint="eastAsia" w:ascii="宋体" w:hAnsi="宋体" w:eastAsia="宋体" w:cs="宋体"/>
                <w:color w:val="000000"/>
                <w:kern w:val="0"/>
                <w:sz w:val="18"/>
                <w:szCs w:val="18"/>
                <w:lang w:bidi="ar"/>
              </w:rPr>
            </w:pP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676CBA47">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一般</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17074EE6">
            <w:pPr>
              <w:spacing w:line="240" w:lineRule="exact"/>
              <w:rPr>
                <w:rFonts w:hint="eastAsia" w:ascii="宋体" w:hAnsi="宋体" w:eastAsia="宋体" w:cs="宋体"/>
                <w:color w:val="000000"/>
                <w:sz w:val="18"/>
                <w:szCs w:val="18"/>
                <w:lang w:val="en" w:eastAsia="zh-CN" w:bidi="ar"/>
              </w:rPr>
            </w:pPr>
            <w:r>
              <w:rPr>
                <w:rStyle w:val="21"/>
                <w:rFonts w:hint="eastAsia" w:ascii="宋体" w:hAnsi="宋体" w:eastAsia="宋体" w:cs="宋体"/>
                <w:sz w:val="18"/>
                <w:szCs w:val="18"/>
                <w:lang w:val="en" w:bidi="ar"/>
              </w:rPr>
              <w:t>立即停止违法行为、但未在限期采取补救措施的，超规定期限不足</w:t>
            </w:r>
            <w:r>
              <w:rPr>
                <w:rStyle w:val="21"/>
                <w:rFonts w:hint="eastAsia" w:ascii="宋体" w:hAnsi="宋体" w:eastAsia="宋体" w:cs="宋体"/>
                <w:sz w:val="18"/>
                <w:szCs w:val="18"/>
                <w:lang w:val="en-US" w:eastAsia="zh-CN" w:bidi="ar"/>
              </w:rPr>
              <w:t>15</w:t>
            </w:r>
            <w:r>
              <w:rPr>
                <w:rStyle w:val="21"/>
                <w:rFonts w:hint="eastAsia" w:ascii="宋体" w:hAnsi="宋体" w:eastAsia="宋体" w:cs="宋体"/>
                <w:sz w:val="18"/>
                <w:szCs w:val="18"/>
                <w:lang w:val="en" w:eastAsia="zh-CN" w:bidi="ar"/>
              </w:rPr>
              <w:t>日</w:t>
            </w: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4F5893B4">
            <w:pPr>
              <w:spacing w:line="240" w:lineRule="exact"/>
              <w:rPr>
                <w:rFonts w:hint="eastAsia" w:ascii="宋体" w:hAnsi="宋体" w:eastAsia="宋体" w:cs="宋体"/>
                <w:color w:val="000000"/>
                <w:sz w:val="18"/>
                <w:szCs w:val="18"/>
                <w:lang w:val="en" w:bidi="ar"/>
              </w:rPr>
            </w:pPr>
            <w:r>
              <w:rPr>
                <w:rStyle w:val="21"/>
                <w:rFonts w:hint="eastAsia" w:ascii="宋体" w:hAnsi="宋体" w:eastAsia="宋体" w:cs="宋体"/>
                <w:sz w:val="18"/>
                <w:szCs w:val="18"/>
                <w:lang w:val="en" w:bidi="ar"/>
              </w:rPr>
              <w:t>处</w:t>
            </w:r>
            <w:r>
              <w:rPr>
                <w:rStyle w:val="21"/>
                <w:rFonts w:hint="eastAsia" w:ascii="宋体" w:hAnsi="宋体" w:eastAsia="宋体" w:cs="宋体"/>
                <w:sz w:val="18"/>
                <w:szCs w:val="18"/>
                <w:lang w:val="en-US" w:eastAsia="zh-CN" w:bidi="ar"/>
              </w:rPr>
              <w:t>1</w:t>
            </w:r>
            <w:r>
              <w:rPr>
                <w:rStyle w:val="21"/>
                <w:rFonts w:hint="eastAsia" w:ascii="宋体" w:hAnsi="宋体" w:eastAsia="宋体" w:cs="宋体"/>
                <w:sz w:val="18"/>
                <w:szCs w:val="18"/>
                <w:lang w:val="en" w:bidi="ar"/>
              </w:rPr>
              <w:t>万元以上</w:t>
            </w:r>
            <w:r>
              <w:rPr>
                <w:rStyle w:val="21"/>
                <w:rFonts w:hint="eastAsia" w:ascii="宋体" w:hAnsi="宋体" w:eastAsia="宋体" w:cs="宋体"/>
                <w:sz w:val="18"/>
                <w:szCs w:val="18"/>
                <w:lang w:val="en-US" w:eastAsia="zh-CN" w:bidi="ar"/>
              </w:rPr>
              <w:t>1.5</w:t>
            </w:r>
            <w:r>
              <w:rPr>
                <w:rStyle w:val="21"/>
                <w:rFonts w:hint="eastAsia" w:ascii="宋体" w:hAnsi="宋体" w:eastAsia="宋体" w:cs="宋体"/>
                <w:sz w:val="18"/>
                <w:szCs w:val="18"/>
                <w:lang w:val="en" w:bidi="ar"/>
              </w:rPr>
              <w:t>万元以下罚款</w:t>
            </w:r>
          </w:p>
        </w:tc>
        <w:tc>
          <w:tcPr>
            <w:tcW w:w="56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712AD65A">
            <w:pPr>
              <w:spacing w:line="260" w:lineRule="exact"/>
              <w:rPr>
                <w:rStyle w:val="21"/>
                <w:rFonts w:hint="eastAsia" w:ascii="宋体" w:hAnsi="宋体" w:eastAsia="宋体" w:cs="宋体"/>
                <w:sz w:val="18"/>
                <w:szCs w:val="18"/>
                <w:lang w:bidi="ar"/>
              </w:rPr>
            </w:pPr>
          </w:p>
        </w:tc>
      </w:tr>
      <w:tr w14:paraId="56FF27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567" w:hRule="atLeast"/>
          <w:jc w:val="center"/>
        </w:trPr>
        <w:tc>
          <w:tcPr>
            <w:tcW w:w="495"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001F12C7">
            <w:pPr>
              <w:spacing w:line="260" w:lineRule="exact"/>
              <w:jc w:val="center"/>
              <w:rPr>
                <w:rFonts w:hint="eastAsia" w:ascii="宋体" w:hAnsi="宋体" w:eastAsia="宋体" w:cs="宋体"/>
                <w:sz w:val="18"/>
                <w:szCs w:val="18"/>
              </w:rPr>
            </w:pPr>
          </w:p>
        </w:tc>
        <w:tc>
          <w:tcPr>
            <w:tcW w:w="1211"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44D984E7">
            <w:pPr>
              <w:spacing w:line="260" w:lineRule="exact"/>
              <w:rPr>
                <w:rFonts w:hint="eastAsia" w:ascii="宋体" w:hAnsi="宋体" w:eastAsia="宋体" w:cs="宋体"/>
                <w:color w:val="000000"/>
                <w:kern w:val="0"/>
                <w:sz w:val="18"/>
                <w:szCs w:val="18"/>
                <w:lang w:bidi="ar"/>
              </w:rPr>
            </w:pPr>
          </w:p>
        </w:tc>
        <w:tc>
          <w:tcPr>
            <w:tcW w:w="4862"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6DDAA1C4">
            <w:pPr>
              <w:spacing w:line="260" w:lineRule="exact"/>
              <w:ind w:firstLine="360" w:firstLineChars="200"/>
              <w:rPr>
                <w:rFonts w:hint="eastAsia" w:ascii="宋体" w:hAnsi="宋体" w:eastAsia="宋体" w:cs="宋体"/>
                <w:color w:val="000000"/>
                <w:kern w:val="0"/>
                <w:sz w:val="18"/>
                <w:szCs w:val="18"/>
                <w:lang w:bidi="ar"/>
              </w:rPr>
            </w:pPr>
          </w:p>
        </w:tc>
        <w:tc>
          <w:tcPr>
            <w:tcW w:w="161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63A2182A">
            <w:pPr>
              <w:spacing w:line="260" w:lineRule="exact"/>
              <w:ind w:firstLine="360" w:firstLineChars="200"/>
              <w:rPr>
                <w:rFonts w:hint="eastAsia" w:ascii="宋体" w:hAnsi="宋体" w:eastAsia="宋体" w:cs="宋体"/>
                <w:color w:val="000000"/>
                <w:kern w:val="0"/>
                <w:sz w:val="18"/>
                <w:szCs w:val="18"/>
                <w:lang w:bidi="ar"/>
              </w:rPr>
            </w:pP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258194D0">
            <w:pPr>
              <w:spacing w:line="260" w:lineRule="exact"/>
              <w:jc w:val="center"/>
              <w:rPr>
                <w:rFonts w:hint="eastAsia" w:ascii="宋体" w:hAnsi="宋体" w:eastAsia="宋体" w:cs="宋体"/>
                <w:sz w:val="18"/>
                <w:szCs w:val="18"/>
                <w:lang w:eastAsia="zh-CN"/>
              </w:rPr>
            </w:pPr>
            <w:r>
              <w:rPr>
                <w:rFonts w:hint="eastAsia" w:ascii="宋体" w:hAnsi="宋体" w:eastAsia="宋体" w:cs="宋体"/>
                <w:sz w:val="18"/>
                <w:szCs w:val="18"/>
                <w:lang w:eastAsia="zh-CN"/>
              </w:rPr>
              <w:t>较重</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2BCC5A5F">
            <w:pPr>
              <w:spacing w:line="240" w:lineRule="exact"/>
              <w:rPr>
                <w:rFonts w:hint="eastAsia" w:ascii="宋体" w:hAnsi="宋体" w:eastAsia="宋体" w:cs="宋体"/>
                <w:color w:val="000000"/>
                <w:sz w:val="18"/>
                <w:szCs w:val="18"/>
                <w:lang w:val="en" w:bidi="ar"/>
              </w:rPr>
            </w:pPr>
            <w:r>
              <w:rPr>
                <w:rStyle w:val="21"/>
                <w:rFonts w:hint="eastAsia" w:ascii="宋体" w:hAnsi="宋体" w:eastAsia="宋体" w:cs="宋体"/>
                <w:sz w:val="18"/>
                <w:szCs w:val="18"/>
                <w:lang w:val="en" w:bidi="ar"/>
              </w:rPr>
              <w:t>立即停止违法行为、但未在限期采取补救措施的，超过规定期限</w:t>
            </w:r>
            <w:r>
              <w:rPr>
                <w:rStyle w:val="21"/>
                <w:rFonts w:hint="eastAsia" w:ascii="宋体" w:hAnsi="宋体" w:eastAsia="宋体" w:cs="宋体"/>
                <w:sz w:val="18"/>
                <w:szCs w:val="18"/>
                <w:lang w:val="en-US" w:eastAsia="zh-CN" w:bidi="ar"/>
              </w:rPr>
              <w:t>15</w:t>
            </w:r>
            <w:r>
              <w:rPr>
                <w:rStyle w:val="21"/>
                <w:rFonts w:hint="eastAsia" w:ascii="宋体" w:hAnsi="宋体" w:eastAsia="宋体" w:cs="宋体"/>
                <w:sz w:val="18"/>
                <w:szCs w:val="18"/>
                <w:lang w:val="en" w:eastAsia="zh-CN" w:bidi="ar"/>
              </w:rPr>
              <w:t>日</w:t>
            </w:r>
            <w:r>
              <w:rPr>
                <w:rStyle w:val="21"/>
                <w:rFonts w:hint="eastAsia" w:ascii="宋体" w:hAnsi="宋体" w:eastAsia="宋体" w:cs="宋体"/>
                <w:sz w:val="18"/>
                <w:szCs w:val="18"/>
                <w:lang w:val="en" w:bidi="ar"/>
              </w:rPr>
              <w:t>以上</w:t>
            </w: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25B5B54A">
            <w:pPr>
              <w:spacing w:line="240" w:lineRule="exact"/>
              <w:rPr>
                <w:rFonts w:hint="eastAsia" w:ascii="宋体" w:hAnsi="宋体" w:eastAsia="宋体" w:cs="宋体"/>
                <w:color w:val="000000"/>
                <w:sz w:val="18"/>
                <w:szCs w:val="18"/>
                <w:lang w:val="en" w:bidi="ar"/>
              </w:rPr>
            </w:pPr>
            <w:r>
              <w:rPr>
                <w:rStyle w:val="21"/>
                <w:rFonts w:hint="eastAsia" w:ascii="宋体" w:hAnsi="宋体" w:eastAsia="宋体" w:cs="宋体"/>
                <w:sz w:val="18"/>
                <w:szCs w:val="18"/>
                <w:lang w:val="en" w:bidi="ar"/>
              </w:rPr>
              <w:t>处</w:t>
            </w:r>
            <w:r>
              <w:rPr>
                <w:rStyle w:val="21"/>
                <w:rFonts w:hint="eastAsia" w:ascii="宋体" w:hAnsi="宋体" w:eastAsia="宋体" w:cs="宋体"/>
                <w:sz w:val="18"/>
                <w:szCs w:val="18"/>
                <w:lang w:val="en-US" w:eastAsia="zh-CN" w:bidi="ar"/>
              </w:rPr>
              <w:t>1.5</w:t>
            </w:r>
            <w:r>
              <w:rPr>
                <w:rStyle w:val="21"/>
                <w:rFonts w:hint="eastAsia" w:ascii="宋体" w:hAnsi="宋体" w:eastAsia="宋体" w:cs="宋体"/>
                <w:sz w:val="18"/>
                <w:szCs w:val="18"/>
                <w:lang w:val="en" w:bidi="ar"/>
              </w:rPr>
              <w:t>万元以上</w:t>
            </w:r>
            <w:r>
              <w:rPr>
                <w:rStyle w:val="21"/>
                <w:rFonts w:hint="eastAsia" w:ascii="宋体" w:hAnsi="宋体" w:eastAsia="宋体" w:cs="宋体"/>
                <w:sz w:val="18"/>
                <w:szCs w:val="18"/>
                <w:lang w:val="en-US" w:eastAsia="zh-CN" w:bidi="ar"/>
              </w:rPr>
              <w:t>1.8</w:t>
            </w:r>
            <w:r>
              <w:rPr>
                <w:rStyle w:val="21"/>
                <w:rFonts w:hint="eastAsia" w:ascii="宋体" w:hAnsi="宋体" w:eastAsia="宋体" w:cs="宋体"/>
                <w:sz w:val="18"/>
                <w:szCs w:val="18"/>
                <w:lang w:val="en" w:bidi="ar"/>
              </w:rPr>
              <w:t>万元以下罚款</w:t>
            </w:r>
          </w:p>
        </w:tc>
        <w:tc>
          <w:tcPr>
            <w:tcW w:w="56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456535CC">
            <w:pPr>
              <w:spacing w:line="260" w:lineRule="exact"/>
              <w:rPr>
                <w:rStyle w:val="21"/>
                <w:rFonts w:hint="eastAsia" w:ascii="宋体" w:hAnsi="宋体" w:eastAsia="宋体" w:cs="宋体"/>
                <w:sz w:val="18"/>
                <w:szCs w:val="18"/>
                <w:lang w:bidi="ar"/>
              </w:rPr>
            </w:pPr>
          </w:p>
        </w:tc>
      </w:tr>
      <w:tr w14:paraId="17BCE6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0" w:hRule="atLeast"/>
          <w:jc w:val="center"/>
        </w:trPr>
        <w:tc>
          <w:tcPr>
            <w:tcW w:w="495"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1925DB9D">
            <w:pPr>
              <w:spacing w:line="260" w:lineRule="exact"/>
              <w:jc w:val="center"/>
              <w:rPr>
                <w:rFonts w:hint="eastAsia" w:ascii="宋体" w:hAnsi="宋体" w:eastAsia="宋体" w:cs="宋体"/>
                <w:sz w:val="18"/>
                <w:szCs w:val="18"/>
              </w:rPr>
            </w:pPr>
          </w:p>
        </w:tc>
        <w:tc>
          <w:tcPr>
            <w:tcW w:w="1211"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600E9596">
            <w:pPr>
              <w:spacing w:line="260" w:lineRule="exact"/>
              <w:rPr>
                <w:rFonts w:hint="eastAsia" w:ascii="宋体" w:hAnsi="宋体" w:eastAsia="宋体" w:cs="宋体"/>
                <w:color w:val="000000"/>
                <w:kern w:val="0"/>
                <w:sz w:val="18"/>
                <w:szCs w:val="18"/>
                <w:lang w:bidi="ar"/>
              </w:rPr>
            </w:pPr>
          </w:p>
        </w:tc>
        <w:tc>
          <w:tcPr>
            <w:tcW w:w="4862"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1EEA81BF">
            <w:pPr>
              <w:spacing w:line="260" w:lineRule="exact"/>
              <w:ind w:firstLine="360" w:firstLineChars="200"/>
              <w:rPr>
                <w:rFonts w:hint="eastAsia" w:ascii="宋体" w:hAnsi="宋体" w:eastAsia="宋体" w:cs="宋体"/>
                <w:color w:val="000000"/>
                <w:kern w:val="0"/>
                <w:sz w:val="18"/>
                <w:szCs w:val="18"/>
                <w:lang w:bidi="ar"/>
              </w:rPr>
            </w:pPr>
          </w:p>
        </w:tc>
        <w:tc>
          <w:tcPr>
            <w:tcW w:w="1613" w:type="dxa"/>
            <w:vMerge w:val="continue"/>
            <w:tcBorders>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184735AB">
            <w:pPr>
              <w:spacing w:line="260" w:lineRule="exact"/>
              <w:ind w:firstLine="360" w:firstLineChars="200"/>
              <w:rPr>
                <w:rFonts w:hint="eastAsia" w:ascii="宋体" w:hAnsi="宋体" w:eastAsia="宋体" w:cs="宋体"/>
                <w:color w:val="000000"/>
                <w:kern w:val="0"/>
                <w:sz w:val="18"/>
                <w:szCs w:val="18"/>
                <w:lang w:bidi="ar"/>
              </w:rPr>
            </w:pP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125283CA">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严重</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13C01E20">
            <w:pPr>
              <w:spacing w:line="240" w:lineRule="exact"/>
              <w:rPr>
                <w:rFonts w:hint="eastAsia" w:ascii="宋体" w:hAnsi="宋体" w:eastAsia="宋体" w:cs="宋体"/>
                <w:color w:val="000000"/>
                <w:sz w:val="18"/>
                <w:szCs w:val="18"/>
                <w:lang w:bidi="ar"/>
              </w:rPr>
            </w:pPr>
            <w:r>
              <w:rPr>
                <w:rStyle w:val="21"/>
                <w:rFonts w:hint="eastAsia" w:ascii="宋体" w:hAnsi="宋体" w:eastAsia="宋体" w:cs="宋体"/>
                <w:sz w:val="18"/>
                <w:szCs w:val="18"/>
                <w:lang w:bidi="ar"/>
              </w:rPr>
              <w:t>拒不停止违法行为，拒不整改的</w:t>
            </w: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51D29B91">
            <w:pPr>
              <w:spacing w:line="240" w:lineRule="exact"/>
              <w:rPr>
                <w:rFonts w:hint="eastAsia" w:ascii="宋体" w:hAnsi="宋体" w:eastAsia="宋体" w:cs="宋体"/>
                <w:color w:val="000000"/>
                <w:sz w:val="18"/>
                <w:szCs w:val="18"/>
                <w:lang w:val="en" w:bidi="ar"/>
              </w:rPr>
            </w:pPr>
            <w:r>
              <w:rPr>
                <w:rStyle w:val="21"/>
                <w:rFonts w:hint="eastAsia" w:ascii="宋体" w:hAnsi="宋体" w:eastAsia="宋体" w:cs="宋体"/>
                <w:sz w:val="18"/>
                <w:szCs w:val="18"/>
                <w:lang w:val="en" w:bidi="ar"/>
              </w:rPr>
              <w:t>处</w:t>
            </w:r>
            <w:r>
              <w:rPr>
                <w:rStyle w:val="21"/>
                <w:rFonts w:hint="eastAsia" w:ascii="宋体" w:hAnsi="宋体" w:eastAsia="宋体" w:cs="宋体"/>
                <w:sz w:val="18"/>
                <w:szCs w:val="18"/>
                <w:lang w:val="en-US" w:eastAsia="zh-CN" w:bidi="ar"/>
              </w:rPr>
              <w:t>1.8</w:t>
            </w:r>
            <w:r>
              <w:rPr>
                <w:rStyle w:val="21"/>
                <w:rFonts w:hint="eastAsia" w:ascii="宋体" w:hAnsi="宋体" w:eastAsia="宋体" w:cs="宋体"/>
                <w:sz w:val="18"/>
                <w:szCs w:val="18"/>
                <w:lang w:val="en" w:bidi="ar"/>
              </w:rPr>
              <w:t>万元以上</w:t>
            </w:r>
            <w:r>
              <w:rPr>
                <w:rStyle w:val="21"/>
                <w:rFonts w:hint="eastAsia" w:ascii="宋体" w:hAnsi="宋体" w:eastAsia="宋体" w:cs="宋体"/>
                <w:sz w:val="18"/>
                <w:szCs w:val="18"/>
                <w:lang w:val="en-US" w:eastAsia="zh-CN" w:bidi="ar"/>
              </w:rPr>
              <w:t>2</w:t>
            </w:r>
            <w:r>
              <w:rPr>
                <w:rStyle w:val="21"/>
                <w:rFonts w:hint="eastAsia" w:ascii="宋体" w:hAnsi="宋体" w:eastAsia="宋体" w:cs="宋体"/>
                <w:sz w:val="18"/>
                <w:szCs w:val="18"/>
                <w:lang w:val="en" w:bidi="ar"/>
              </w:rPr>
              <w:t>万元以下罚款</w:t>
            </w:r>
            <w:r>
              <w:rPr>
                <w:rStyle w:val="21"/>
                <w:rFonts w:hint="eastAsia" w:ascii="宋体" w:hAnsi="宋体" w:eastAsia="宋体" w:cs="宋体"/>
                <w:sz w:val="18"/>
                <w:szCs w:val="18"/>
                <w:lang w:bidi="ar"/>
              </w:rPr>
              <w:t>，吊销取水许可证</w:t>
            </w:r>
          </w:p>
        </w:tc>
        <w:tc>
          <w:tcPr>
            <w:tcW w:w="56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461D7119">
            <w:pPr>
              <w:spacing w:line="260" w:lineRule="exact"/>
              <w:rPr>
                <w:rStyle w:val="21"/>
                <w:rFonts w:hint="eastAsia" w:ascii="宋体" w:hAnsi="宋体" w:eastAsia="宋体" w:cs="宋体"/>
                <w:sz w:val="18"/>
                <w:szCs w:val="18"/>
                <w:lang w:bidi="ar"/>
              </w:rPr>
            </w:pPr>
          </w:p>
        </w:tc>
      </w:tr>
      <w:tr w14:paraId="605292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95"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042E6252">
            <w:pPr>
              <w:spacing w:line="260" w:lineRule="exact"/>
              <w:jc w:val="center"/>
              <w:rPr>
                <w:rFonts w:hint="eastAsia" w:ascii="宋体" w:hAnsi="宋体" w:eastAsia="宋体" w:cs="宋体"/>
                <w:sz w:val="18"/>
                <w:szCs w:val="18"/>
              </w:rPr>
            </w:pPr>
          </w:p>
        </w:tc>
        <w:tc>
          <w:tcPr>
            <w:tcW w:w="1211"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40004DAF">
            <w:pPr>
              <w:spacing w:line="260" w:lineRule="exact"/>
              <w:rPr>
                <w:rFonts w:hint="eastAsia" w:ascii="宋体" w:hAnsi="宋体" w:eastAsia="宋体" w:cs="宋体"/>
                <w:color w:val="000000"/>
                <w:kern w:val="0"/>
                <w:sz w:val="18"/>
                <w:szCs w:val="18"/>
                <w:lang w:bidi="ar"/>
              </w:rPr>
            </w:pPr>
          </w:p>
        </w:tc>
        <w:tc>
          <w:tcPr>
            <w:tcW w:w="4862"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3C9A92B6">
            <w:pPr>
              <w:spacing w:line="260" w:lineRule="exact"/>
              <w:ind w:firstLine="360" w:firstLineChars="200"/>
              <w:rPr>
                <w:rFonts w:hint="eastAsia" w:ascii="宋体" w:hAnsi="宋体" w:eastAsia="宋体" w:cs="宋体"/>
                <w:color w:val="000000"/>
                <w:kern w:val="0"/>
                <w:sz w:val="18"/>
                <w:szCs w:val="18"/>
                <w:lang w:bidi="ar"/>
              </w:rPr>
            </w:pPr>
          </w:p>
        </w:tc>
        <w:tc>
          <w:tcPr>
            <w:tcW w:w="1613" w:type="dxa"/>
            <w:vMerge w:val="restart"/>
            <w:tcBorders>
              <w:top w:val="single" w:color="auto" w:sz="4" w:space="0"/>
              <w:left w:val="single" w:color="auto" w:sz="4" w:space="0"/>
              <w:right w:val="single" w:color="auto" w:sz="4" w:space="0"/>
            </w:tcBorders>
            <w:shd w:val="clear" w:color="auto" w:fill="FFFFFF"/>
            <w:noWrap w:val="0"/>
            <w:tcMar>
              <w:top w:w="0" w:type="dxa"/>
              <w:left w:w="0" w:type="dxa"/>
              <w:bottom w:w="0" w:type="dxa"/>
              <w:right w:w="0" w:type="dxa"/>
            </w:tcMar>
            <w:vAlign w:val="center"/>
          </w:tcPr>
          <w:p w14:paraId="751BD8B9">
            <w:pPr>
              <w:spacing w:line="260" w:lineRule="exact"/>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虚报、瞒报、伪造、篡改用水原始记录和统计台账的</w:t>
            </w: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76B984CD">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轻微</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1480AE28">
            <w:pPr>
              <w:spacing w:line="240" w:lineRule="exact"/>
              <w:rPr>
                <w:rStyle w:val="21"/>
                <w:rFonts w:hint="eastAsia" w:ascii="宋体" w:hAnsi="宋体" w:eastAsia="宋体" w:cs="宋体"/>
                <w:sz w:val="18"/>
                <w:szCs w:val="18"/>
                <w:lang w:bidi="ar"/>
              </w:rPr>
            </w:pPr>
            <w:r>
              <w:rPr>
                <w:rStyle w:val="21"/>
                <w:rFonts w:hint="eastAsia" w:ascii="宋体" w:hAnsi="宋体" w:eastAsia="宋体" w:cs="宋体"/>
                <w:sz w:val="18"/>
                <w:szCs w:val="18"/>
                <w:lang w:bidi="ar"/>
              </w:rPr>
              <w:t>1.当事人</w:t>
            </w:r>
            <w:r>
              <w:rPr>
                <w:rStyle w:val="21"/>
                <w:rFonts w:hint="eastAsia" w:ascii="宋体" w:hAnsi="宋体" w:eastAsia="宋体" w:cs="宋体"/>
                <w:sz w:val="18"/>
                <w:szCs w:val="18"/>
                <w:lang w:val="en-US" w:eastAsia="zh-CN" w:bidi="ar"/>
              </w:rPr>
              <w:t>积极</w:t>
            </w:r>
            <w:r>
              <w:rPr>
                <w:rStyle w:val="21"/>
                <w:rFonts w:hint="eastAsia" w:ascii="宋体" w:hAnsi="宋体" w:eastAsia="宋体" w:cs="宋体"/>
                <w:sz w:val="18"/>
                <w:szCs w:val="18"/>
                <w:lang w:bidi="ar"/>
              </w:rPr>
              <w:t>配合检查、调查，属于首次</w:t>
            </w:r>
            <w:r>
              <w:rPr>
                <w:rStyle w:val="21"/>
                <w:rFonts w:hint="eastAsia" w:ascii="宋体" w:hAnsi="宋体" w:eastAsia="宋体" w:cs="宋体"/>
                <w:sz w:val="18"/>
                <w:szCs w:val="18"/>
                <w:lang w:val="en-US" w:eastAsia="zh-CN" w:bidi="ar"/>
              </w:rPr>
              <w:t>违法</w:t>
            </w:r>
            <w:r>
              <w:rPr>
                <w:rStyle w:val="21"/>
                <w:rFonts w:hint="eastAsia" w:ascii="宋体" w:hAnsi="宋体" w:eastAsia="宋体" w:cs="宋体"/>
                <w:sz w:val="18"/>
                <w:szCs w:val="18"/>
                <w:lang w:bidi="ar"/>
              </w:rPr>
              <w:t>；</w:t>
            </w:r>
          </w:p>
          <w:p w14:paraId="5C7461DE">
            <w:pPr>
              <w:spacing w:line="240" w:lineRule="exact"/>
              <w:rPr>
                <w:rStyle w:val="21"/>
                <w:rFonts w:hint="eastAsia" w:ascii="宋体" w:hAnsi="宋体" w:eastAsia="宋体" w:cs="宋体"/>
                <w:sz w:val="18"/>
                <w:szCs w:val="18"/>
                <w:lang w:bidi="ar"/>
              </w:rPr>
            </w:pPr>
            <w:r>
              <w:rPr>
                <w:rStyle w:val="21"/>
                <w:rFonts w:hint="eastAsia" w:ascii="宋体" w:hAnsi="宋体" w:eastAsia="宋体" w:cs="宋体"/>
                <w:sz w:val="18"/>
                <w:szCs w:val="18"/>
                <w:lang w:bidi="ar"/>
              </w:rPr>
              <w:t>2.在</w:t>
            </w:r>
            <w:r>
              <w:rPr>
                <w:rStyle w:val="21"/>
                <w:rFonts w:hint="eastAsia" w:ascii="宋体" w:hAnsi="宋体" w:eastAsia="宋体" w:cs="宋体"/>
                <w:sz w:val="18"/>
                <w:szCs w:val="18"/>
                <w:lang w:val="en-US" w:eastAsia="zh-CN" w:bidi="ar"/>
              </w:rPr>
              <w:t>限定期限</w:t>
            </w:r>
            <w:r>
              <w:rPr>
                <w:rStyle w:val="21"/>
                <w:rFonts w:hint="eastAsia" w:ascii="宋体" w:hAnsi="宋体" w:eastAsia="宋体" w:cs="宋体"/>
                <w:sz w:val="18"/>
                <w:szCs w:val="18"/>
                <w:lang w:bidi="ar"/>
              </w:rPr>
              <w:t>内</w:t>
            </w:r>
            <w:r>
              <w:rPr>
                <w:rStyle w:val="21"/>
                <w:rFonts w:hint="eastAsia" w:ascii="宋体" w:hAnsi="宋体" w:eastAsia="宋体" w:cs="宋体"/>
                <w:sz w:val="18"/>
                <w:szCs w:val="18"/>
                <w:lang w:val="en-US" w:eastAsia="zh-CN" w:bidi="ar"/>
              </w:rPr>
              <w:t>改正</w:t>
            </w:r>
            <w:r>
              <w:rPr>
                <w:rStyle w:val="21"/>
                <w:rFonts w:hint="eastAsia" w:ascii="宋体" w:hAnsi="宋体" w:eastAsia="宋体" w:cs="宋体"/>
                <w:sz w:val="18"/>
                <w:szCs w:val="18"/>
                <w:lang w:bidi="ar"/>
              </w:rPr>
              <w:t>虚报、瞒报、伪造、篡改用水原始记录和统计台账</w:t>
            </w:r>
            <w:r>
              <w:rPr>
                <w:rStyle w:val="21"/>
                <w:rFonts w:hint="eastAsia" w:ascii="宋体" w:hAnsi="宋体" w:eastAsia="宋体" w:cs="宋体"/>
                <w:sz w:val="18"/>
                <w:szCs w:val="18"/>
                <w:lang w:val="en-US" w:eastAsia="zh-CN" w:bidi="ar"/>
              </w:rPr>
              <w:t>，</w:t>
            </w:r>
            <w:r>
              <w:rPr>
                <w:rStyle w:val="21"/>
                <w:rFonts w:hint="eastAsia" w:ascii="宋体" w:hAnsi="宋体" w:eastAsia="宋体" w:cs="宋体"/>
                <w:sz w:val="18"/>
                <w:szCs w:val="18"/>
                <w:lang w:bidi="ar"/>
              </w:rPr>
              <w:t>签订承诺书；</w:t>
            </w:r>
          </w:p>
          <w:p w14:paraId="6F96D0CD">
            <w:pPr>
              <w:spacing w:line="240" w:lineRule="exact"/>
              <w:rPr>
                <w:rStyle w:val="21"/>
                <w:rFonts w:hint="eastAsia" w:ascii="宋体" w:hAnsi="宋体" w:eastAsia="宋体" w:cs="宋体"/>
                <w:sz w:val="18"/>
                <w:szCs w:val="18"/>
                <w:lang w:bidi="ar"/>
              </w:rPr>
            </w:pPr>
            <w:r>
              <w:rPr>
                <w:rStyle w:val="21"/>
                <w:rFonts w:hint="eastAsia" w:ascii="宋体" w:hAnsi="宋体" w:eastAsia="宋体" w:cs="宋体"/>
                <w:sz w:val="18"/>
                <w:szCs w:val="18"/>
                <w:lang w:bidi="ar"/>
              </w:rPr>
              <w:t>3.没有造成危害后果的；</w:t>
            </w:r>
          </w:p>
          <w:p w14:paraId="3CBE00E3">
            <w:pPr>
              <w:spacing w:line="240" w:lineRule="exact"/>
              <w:rPr>
                <w:rStyle w:val="21"/>
                <w:rFonts w:hint="eastAsia" w:ascii="宋体" w:hAnsi="宋体" w:eastAsia="宋体" w:cs="宋体"/>
                <w:sz w:val="18"/>
                <w:szCs w:val="18"/>
                <w:lang w:val="en-US" w:eastAsia="zh-CN" w:bidi="ar"/>
              </w:rPr>
            </w:pPr>
            <w:r>
              <w:rPr>
                <w:rStyle w:val="21"/>
                <w:rFonts w:hint="eastAsia" w:ascii="宋体" w:hAnsi="宋体" w:eastAsia="宋体" w:cs="宋体"/>
                <w:sz w:val="18"/>
                <w:szCs w:val="18"/>
                <w:lang w:val="en-US" w:eastAsia="zh-CN" w:bidi="ar"/>
              </w:rPr>
              <w:t>（注：符合上述所有情形的，不予处罚，应将本次违法情况进行登记备案，以后再发生类似问题的将不再适用本条件）</w:t>
            </w: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2C2EE4FE">
            <w:pPr>
              <w:spacing w:line="240" w:lineRule="exact"/>
              <w:rPr>
                <w:rStyle w:val="21"/>
                <w:rFonts w:hint="eastAsia" w:ascii="宋体" w:hAnsi="宋体" w:eastAsia="宋体" w:cs="宋体"/>
                <w:sz w:val="18"/>
                <w:szCs w:val="18"/>
                <w:lang w:val="en-US" w:eastAsia="zh-CN" w:bidi="ar"/>
              </w:rPr>
            </w:pPr>
            <w:r>
              <w:rPr>
                <w:rStyle w:val="21"/>
                <w:rFonts w:hint="eastAsia" w:ascii="宋体" w:hAnsi="宋体" w:eastAsia="宋体" w:cs="宋体"/>
                <w:sz w:val="18"/>
                <w:szCs w:val="18"/>
                <w:lang w:bidi="ar"/>
              </w:rPr>
              <w:t>不予处罚</w:t>
            </w:r>
          </w:p>
        </w:tc>
        <w:tc>
          <w:tcPr>
            <w:tcW w:w="56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51F614FF">
            <w:pPr>
              <w:spacing w:line="260" w:lineRule="exact"/>
              <w:rPr>
                <w:rStyle w:val="21"/>
                <w:rFonts w:hint="eastAsia" w:ascii="宋体" w:hAnsi="宋体" w:eastAsia="宋体" w:cs="宋体"/>
                <w:sz w:val="18"/>
                <w:szCs w:val="18"/>
                <w:lang w:bidi="ar"/>
              </w:rPr>
            </w:pPr>
          </w:p>
        </w:tc>
      </w:tr>
      <w:tr w14:paraId="75F3F3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95"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11A50437">
            <w:pPr>
              <w:spacing w:line="260" w:lineRule="exact"/>
              <w:jc w:val="center"/>
              <w:rPr>
                <w:rFonts w:hint="eastAsia" w:ascii="宋体" w:hAnsi="宋体" w:eastAsia="宋体" w:cs="宋体"/>
                <w:sz w:val="18"/>
                <w:szCs w:val="18"/>
              </w:rPr>
            </w:pPr>
          </w:p>
        </w:tc>
        <w:tc>
          <w:tcPr>
            <w:tcW w:w="1211"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52B7B895">
            <w:pPr>
              <w:spacing w:line="260" w:lineRule="exact"/>
              <w:rPr>
                <w:rFonts w:hint="eastAsia" w:ascii="宋体" w:hAnsi="宋体" w:eastAsia="宋体" w:cs="宋体"/>
                <w:color w:val="000000"/>
                <w:kern w:val="0"/>
                <w:sz w:val="18"/>
                <w:szCs w:val="18"/>
                <w:lang w:bidi="ar"/>
              </w:rPr>
            </w:pPr>
          </w:p>
        </w:tc>
        <w:tc>
          <w:tcPr>
            <w:tcW w:w="4862"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0A1B7EA0">
            <w:pPr>
              <w:spacing w:line="260" w:lineRule="exact"/>
              <w:ind w:firstLine="360" w:firstLineChars="200"/>
              <w:rPr>
                <w:rFonts w:hint="eastAsia" w:ascii="宋体" w:hAnsi="宋体" w:eastAsia="宋体" w:cs="宋体"/>
                <w:color w:val="000000"/>
                <w:kern w:val="0"/>
                <w:sz w:val="18"/>
                <w:szCs w:val="18"/>
                <w:lang w:bidi="ar"/>
              </w:rPr>
            </w:pPr>
          </w:p>
        </w:tc>
        <w:tc>
          <w:tcPr>
            <w:tcW w:w="161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334A7C81">
            <w:pPr>
              <w:spacing w:line="260" w:lineRule="exact"/>
              <w:ind w:firstLine="360" w:firstLineChars="200"/>
              <w:rPr>
                <w:rFonts w:hint="eastAsia" w:ascii="宋体" w:hAnsi="宋体" w:eastAsia="宋体" w:cs="宋体"/>
                <w:color w:val="000000"/>
                <w:kern w:val="0"/>
                <w:sz w:val="18"/>
                <w:szCs w:val="18"/>
                <w:lang w:bidi="ar"/>
              </w:rPr>
            </w:pP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078BACBA">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较轻</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22A9EDAB">
            <w:pPr>
              <w:spacing w:line="240" w:lineRule="exact"/>
              <w:rPr>
                <w:rStyle w:val="21"/>
                <w:rFonts w:hint="eastAsia" w:ascii="宋体" w:hAnsi="宋体" w:eastAsia="宋体" w:cs="宋体"/>
                <w:sz w:val="18"/>
                <w:szCs w:val="18"/>
                <w:highlight w:val="none"/>
                <w:lang w:val="en-US" w:bidi="ar"/>
              </w:rPr>
            </w:pPr>
            <w:r>
              <w:rPr>
                <w:rFonts w:hint="eastAsia" w:ascii="宋体" w:hAnsi="宋体" w:eastAsia="宋体" w:cs="宋体"/>
                <w:spacing w:val="7"/>
                <w:sz w:val="18"/>
                <w:szCs w:val="18"/>
                <w:highlight w:val="none"/>
                <w:lang w:val="en-US" w:eastAsia="zh-CN"/>
              </w:rPr>
              <w:t>发现</w:t>
            </w:r>
            <w:r>
              <w:rPr>
                <w:rFonts w:hint="eastAsia" w:ascii="宋体" w:hAnsi="宋体" w:eastAsia="宋体" w:cs="宋体"/>
                <w:spacing w:val="7"/>
                <w:sz w:val="18"/>
                <w:szCs w:val="18"/>
                <w:highlight w:val="none"/>
              </w:rPr>
              <w:t>虚报、瞒报、伪造、篡改原始用水记录台账</w:t>
            </w:r>
            <w:r>
              <w:rPr>
                <w:rFonts w:hint="eastAsia" w:ascii="宋体" w:hAnsi="宋体" w:eastAsia="宋体" w:cs="宋体"/>
                <w:spacing w:val="7"/>
                <w:sz w:val="18"/>
                <w:szCs w:val="18"/>
                <w:highlight w:val="none"/>
                <w:lang w:val="en-US" w:eastAsia="zh-CN"/>
              </w:rPr>
              <w:t>任一情形1处的</w:t>
            </w: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64BAF7CC">
            <w:pPr>
              <w:spacing w:line="240" w:lineRule="exact"/>
              <w:rPr>
                <w:rStyle w:val="21"/>
                <w:rFonts w:hint="eastAsia" w:ascii="宋体" w:hAnsi="宋体" w:eastAsia="宋体" w:cs="宋体"/>
                <w:sz w:val="18"/>
                <w:szCs w:val="18"/>
                <w:lang w:bidi="ar"/>
              </w:rPr>
            </w:pPr>
            <w:r>
              <w:rPr>
                <w:rStyle w:val="21"/>
                <w:rFonts w:hint="eastAsia" w:ascii="宋体" w:hAnsi="宋体" w:eastAsia="宋体" w:cs="宋体"/>
                <w:sz w:val="18"/>
                <w:szCs w:val="18"/>
                <w:lang w:val="en" w:bidi="ar"/>
              </w:rPr>
              <w:t>处</w:t>
            </w:r>
            <w:r>
              <w:rPr>
                <w:rStyle w:val="21"/>
                <w:rFonts w:hint="eastAsia" w:ascii="宋体" w:hAnsi="宋体" w:eastAsia="宋体" w:cs="宋体"/>
                <w:sz w:val="18"/>
                <w:szCs w:val="18"/>
                <w:lang w:val="en-US" w:eastAsia="zh-CN" w:bidi="ar"/>
              </w:rPr>
              <w:t>5</w:t>
            </w:r>
            <w:r>
              <w:rPr>
                <w:rStyle w:val="21"/>
                <w:rFonts w:hint="eastAsia" w:ascii="宋体" w:hAnsi="宋体" w:eastAsia="宋体" w:cs="宋体"/>
                <w:sz w:val="18"/>
                <w:szCs w:val="18"/>
                <w:lang w:val="en" w:bidi="ar"/>
              </w:rPr>
              <w:t>千元以上</w:t>
            </w:r>
            <w:r>
              <w:rPr>
                <w:rStyle w:val="21"/>
                <w:rFonts w:hint="eastAsia" w:ascii="宋体" w:hAnsi="宋体" w:eastAsia="宋体" w:cs="宋体"/>
                <w:sz w:val="18"/>
                <w:szCs w:val="18"/>
                <w:lang w:val="en-US" w:eastAsia="zh-CN" w:bidi="ar"/>
              </w:rPr>
              <w:t>1</w:t>
            </w:r>
            <w:r>
              <w:rPr>
                <w:rStyle w:val="21"/>
                <w:rFonts w:hint="eastAsia" w:ascii="宋体" w:hAnsi="宋体" w:eastAsia="宋体" w:cs="宋体"/>
                <w:sz w:val="18"/>
                <w:szCs w:val="18"/>
                <w:lang w:val="en" w:bidi="ar"/>
              </w:rPr>
              <w:t>万元以下罚款</w:t>
            </w:r>
          </w:p>
        </w:tc>
        <w:tc>
          <w:tcPr>
            <w:tcW w:w="56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49349628">
            <w:pPr>
              <w:spacing w:line="260" w:lineRule="exact"/>
              <w:rPr>
                <w:rStyle w:val="21"/>
                <w:rFonts w:hint="eastAsia" w:ascii="宋体" w:hAnsi="宋体" w:eastAsia="宋体" w:cs="宋体"/>
                <w:sz w:val="18"/>
                <w:szCs w:val="18"/>
                <w:lang w:bidi="ar"/>
              </w:rPr>
            </w:pPr>
          </w:p>
        </w:tc>
      </w:tr>
      <w:tr w14:paraId="583257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95"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0081EF58">
            <w:pPr>
              <w:spacing w:line="260" w:lineRule="exact"/>
              <w:jc w:val="center"/>
              <w:rPr>
                <w:rFonts w:hint="eastAsia" w:ascii="宋体" w:hAnsi="宋体" w:eastAsia="宋体" w:cs="宋体"/>
                <w:sz w:val="18"/>
                <w:szCs w:val="18"/>
              </w:rPr>
            </w:pPr>
          </w:p>
        </w:tc>
        <w:tc>
          <w:tcPr>
            <w:tcW w:w="1211"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4D6C5069">
            <w:pPr>
              <w:spacing w:line="260" w:lineRule="exact"/>
              <w:rPr>
                <w:rFonts w:hint="eastAsia" w:ascii="宋体" w:hAnsi="宋体" w:eastAsia="宋体" w:cs="宋体"/>
                <w:color w:val="000000"/>
                <w:kern w:val="0"/>
                <w:sz w:val="18"/>
                <w:szCs w:val="18"/>
                <w:lang w:bidi="ar"/>
              </w:rPr>
            </w:pPr>
          </w:p>
        </w:tc>
        <w:tc>
          <w:tcPr>
            <w:tcW w:w="4862"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42E2A510">
            <w:pPr>
              <w:spacing w:line="260" w:lineRule="exact"/>
              <w:ind w:firstLine="360" w:firstLineChars="200"/>
              <w:rPr>
                <w:rFonts w:hint="eastAsia" w:ascii="宋体" w:hAnsi="宋体" w:eastAsia="宋体" w:cs="宋体"/>
                <w:color w:val="000000"/>
                <w:kern w:val="0"/>
                <w:sz w:val="18"/>
                <w:szCs w:val="18"/>
                <w:lang w:bidi="ar"/>
              </w:rPr>
            </w:pPr>
          </w:p>
        </w:tc>
        <w:tc>
          <w:tcPr>
            <w:tcW w:w="161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0FB58429">
            <w:pPr>
              <w:spacing w:line="260" w:lineRule="exact"/>
              <w:ind w:firstLine="360" w:firstLineChars="200"/>
              <w:rPr>
                <w:rFonts w:hint="eastAsia" w:ascii="宋体" w:hAnsi="宋体" w:eastAsia="宋体" w:cs="宋体"/>
                <w:color w:val="000000"/>
                <w:kern w:val="0"/>
                <w:sz w:val="18"/>
                <w:szCs w:val="18"/>
                <w:lang w:bidi="ar"/>
              </w:rPr>
            </w:pP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4A2B2BFA">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一般</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1F857340">
            <w:pPr>
              <w:spacing w:line="240" w:lineRule="exact"/>
              <w:rPr>
                <w:rStyle w:val="21"/>
                <w:rFonts w:hint="eastAsia" w:ascii="宋体" w:hAnsi="宋体" w:eastAsia="宋体" w:cs="宋体"/>
                <w:sz w:val="18"/>
                <w:szCs w:val="18"/>
                <w:highlight w:val="none"/>
                <w:lang w:bidi="ar"/>
              </w:rPr>
            </w:pPr>
            <w:r>
              <w:rPr>
                <w:rFonts w:hint="eastAsia" w:ascii="宋体" w:hAnsi="宋体" w:eastAsia="宋体" w:cs="宋体"/>
                <w:spacing w:val="7"/>
                <w:sz w:val="18"/>
                <w:szCs w:val="18"/>
                <w:highlight w:val="none"/>
                <w:lang w:val="en-US" w:eastAsia="zh-CN"/>
              </w:rPr>
              <w:t>发现</w:t>
            </w:r>
            <w:r>
              <w:rPr>
                <w:rFonts w:hint="eastAsia" w:ascii="宋体" w:hAnsi="宋体" w:eastAsia="宋体" w:cs="宋体"/>
                <w:spacing w:val="7"/>
                <w:sz w:val="18"/>
                <w:szCs w:val="18"/>
                <w:highlight w:val="none"/>
              </w:rPr>
              <w:t>虚报、瞒报、伪造、篡改原始用水记录台账</w:t>
            </w:r>
            <w:r>
              <w:rPr>
                <w:rFonts w:hint="eastAsia" w:ascii="宋体" w:hAnsi="宋体" w:eastAsia="宋体" w:cs="宋体"/>
                <w:spacing w:val="7"/>
                <w:sz w:val="18"/>
                <w:szCs w:val="18"/>
                <w:highlight w:val="none"/>
                <w:lang w:val="en-US" w:eastAsia="zh-CN"/>
              </w:rPr>
              <w:t>任一情形2处的</w:t>
            </w: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38F0FED8">
            <w:pPr>
              <w:spacing w:line="240" w:lineRule="exact"/>
              <w:rPr>
                <w:rStyle w:val="21"/>
                <w:rFonts w:hint="eastAsia" w:ascii="宋体" w:hAnsi="宋体" w:eastAsia="宋体" w:cs="宋体"/>
                <w:sz w:val="18"/>
                <w:szCs w:val="18"/>
                <w:lang w:bidi="ar"/>
              </w:rPr>
            </w:pPr>
            <w:r>
              <w:rPr>
                <w:rStyle w:val="21"/>
                <w:rFonts w:hint="eastAsia" w:ascii="宋体" w:hAnsi="宋体" w:eastAsia="宋体" w:cs="宋体"/>
                <w:sz w:val="18"/>
                <w:szCs w:val="18"/>
                <w:lang w:val="en" w:bidi="ar"/>
              </w:rPr>
              <w:t>处</w:t>
            </w:r>
            <w:r>
              <w:rPr>
                <w:rStyle w:val="21"/>
                <w:rFonts w:hint="eastAsia" w:ascii="宋体" w:hAnsi="宋体" w:eastAsia="宋体" w:cs="宋体"/>
                <w:sz w:val="18"/>
                <w:szCs w:val="18"/>
                <w:lang w:val="en-US" w:eastAsia="zh-CN" w:bidi="ar"/>
              </w:rPr>
              <w:t>1</w:t>
            </w:r>
            <w:r>
              <w:rPr>
                <w:rStyle w:val="21"/>
                <w:rFonts w:hint="eastAsia" w:ascii="宋体" w:hAnsi="宋体" w:eastAsia="宋体" w:cs="宋体"/>
                <w:sz w:val="18"/>
                <w:szCs w:val="18"/>
                <w:lang w:val="en" w:bidi="ar"/>
              </w:rPr>
              <w:t>万元以上</w:t>
            </w:r>
            <w:r>
              <w:rPr>
                <w:rStyle w:val="21"/>
                <w:rFonts w:hint="eastAsia" w:ascii="宋体" w:hAnsi="宋体" w:eastAsia="宋体" w:cs="宋体"/>
                <w:sz w:val="18"/>
                <w:szCs w:val="18"/>
                <w:lang w:val="en-US" w:eastAsia="zh-CN" w:bidi="ar"/>
              </w:rPr>
              <w:t>1.5万</w:t>
            </w:r>
            <w:r>
              <w:rPr>
                <w:rStyle w:val="21"/>
                <w:rFonts w:hint="eastAsia" w:ascii="宋体" w:hAnsi="宋体" w:eastAsia="宋体" w:cs="宋体"/>
                <w:sz w:val="18"/>
                <w:szCs w:val="18"/>
                <w:lang w:val="en" w:bidi="ar"/>
              </w:rPr>
              <w:t>以下罚款</w:t>
            </w:r>
          </w:p>
        </w:tc>
        <w:tc>
          <w:tcPr>
            <w:tcW w:w="56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69B20AA2">
            <w:pPr>
              <w:spacing w:line="260" w:lineRule="exact"/>
              <w:rPr>
                <w:rStyle w:val="21"/>
                <w:rFonts w:hint="eastAsia" w:ascii="宋体" w:hAnsi="宋体" w:eastAsia="宋体" w:cs="宋体"/>
                <w:sz w:val="18"/>
                <w:szCs w:val="18"/>
                <w:lang w:bidi="ar"/>
              </w:rPr>
            </w:pPr>
          </w:p>
        </w:tc>
      </w:tr>
      <w:tr w14:paraId="551E5D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567" w:hRule="atLeast"/>
          <w:jc w:val="center"/>
        </w:trPr>
        <w:tc>
          <w:tcPr>
            <w:tcW w:w="495"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59A24288">
            <w:pPr>
              <w:spacing w:line="260" w:lineRule="exact"/>
              <w:jc w:val="center"/>
              <w:rPr>
                <w:rFonts w:hint="eastAsia" w:ascii="宋体" w:hAnsi="宋体" w:eastAsia="宋体" w:cs="宋体"/>
                <w:sz w:val="18"/>
                <w:szCs w:val="18"/>
              </w:rPr>
            </w:pPr>
          </w:p>
        </w:tc>
        <w:tc>
          <w:tcPr>
            <w:tcW w:w="1211"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7081253A">
            <w:pPr>
              <w:spacing w:line="260" w:lineRule="exact"/>
              <w:rPr>
                <w:rFonts w:hint="eastAsia" w:ascii="宋体" w:hAnsi="宋体" w:eastAsia="宋体" w:cs="宋体"/>
                <w:color w:val="000000"/>
                <w:kern w:val="0"/>
                <w:sz w:val="18"/>
                <w:szCs w:val="18"/>
                <w:lang w:bidi="ar"/>
              </w:rPr>
            </w:pPr>
          </w:p>
        </w:tc>
        <w:tc>
          <w:tcPr>
            <w:tcW w:w="4862"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66787678">
            <w:pPr>
              <w:spacing w:line="260" w:lineRule="exact"/>
              <w:ind w:firstLine="360" w:firstLineChars="200"/>
              <w:rPr>
                <w:rFonts w:hint="eastAsia" w:ascii="宋体" w:hAnsi="宋体" w:eastAsia="宋体" w:cs="宋体"/>
                <w:color w:val="000000"/>
                <w:kern w:val="0"/>
                <w:sz w:val="18"/>
                <w:szCs w:val="18"/>
                <w:lang w:bidi="ar"/>
              </w:rPr>
            </w:pPr>
          </w:p>
        </w:tc>
        <w:tc>
          <w:tcPr>
            <w:tcW w:w="161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224784B1">
            <w:pPr>
              <w:spacing w:line="260" w:lineRule="exact"/>
              <w:ind w:firstLine="360" w:firstLineChars="200"/>
              <w:rPr>
                <w:rFonts w:hint="eastAsia" w:ascii="宋体" w:hAnsi="宋体" w:eastAsia="宋体" w:cs="宋体"/>
                <w:color w:val="000000"/>
                <w:kern w:val="0"/>
                <w:sz w:val="18"/>
                <w:szCs w:val="18"/>
                <w:lang w:bidi="ar"/>
              </w:rPr>
            </w:pP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0668357A">
            <w:pPr>
              <w:spacing w:line="260" w:lineRule="exact"/>
              <w:jc w:val="center"/>
              <w:rPr>
                <w:rFonts w:hint="eastAsia" w:ascii="宋体" w:hAnsi="宋体" w:eastAsia="宋体" w:cs="宋体"/>
                <w:sz w:val="18"/>
                <w:szCs w:val="18"/>
                <w:lang w:eastAsia="zh-CN"/>
              </w:rPr>
            </w:pPr>
            <w:r>
              <w:rPr>
                <w:rFonts w:hint="eastAsia" w:ascii="宋体" w:hAnsi="宋体" w:eastAsia="宋体" w:cs="宋体"/>
                <w:sz w:val="18"/>
                <w:szCs w:val="18"/>
                <w:lang w:eastAsia="zh-CN"/>
              </w:rPr>
              <w:t>较重</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5E55AA0A">
            <w:pPr>
              <w:spacing w:line="240" w:lineRule="exact"/>
              <w:rPr>
                <w:rStyle w:val="21"/>
                <w:rFonts w:hint="eastAsia" w:ascii="宋体" w:hAnsi="宋体" w:eastAsia="宋体" w:cs="宋体"/>
                <w:sz w:val="18"/>
                <w:szCs w:val="18"/>
                <w:highlight w:val="none"/>
                <w:lang w:bidi="ar"/>
              </w:rPr>
            </w:pPr>
            <w:r>
              <w:rPr>
                <w:rFonts w:hint="eastAsia" w:ascii="宋体" w:hAnsi="宋体" w:eastAsia="宋体" w:cs="宋体"/>
                <w:spacing w:val="7"/>
                <w:sz w:val="18"/>
                <w:szCs w:val="18"/>
                <w:highlight w:val="none"/>
                <w:lang w:val="en-US" w:eastAsia="zh-CN"/>
              </w:rPr>
              <w:t>发现</w:t>
            </w:r>
            <w:r>
              <w:rPr>
                <w:rFonts w:hint="eastAsia" w:ascii="宋体" w:hAnsi="宋体" w:eastAsia="宋体" w:cs="宋体"/>
                <w:spacing w:val="7"/>
                <w:sz w:val="18"/>
                <w:szCs w:val="18"/>
                <w:highlight w:val="none"/>
              </w:rPr>
              <w:t>虚报、瞒报、伪造、篡改原始用水记录台账</w:t>
            </w:r>
            <w:r>
              <w:rPr>
                <w:rFonts w:hint="eastAsia" w:ascii="宋体" w:hAnsi="宋体" w:eastAsia="宋体" w:cs="宋体"/>
                <w:spacing w:val="7"/>
                <w:sz w:val="18"/>
                <w:szCs w:val="18"/>
                <w:highlight w:val="none"/>
                <w:lang w:val="en-US" w:eastAsia="zh-CN"/>
              </w:rPr>
              <w:t>任一情形3处的</w:t>
            </w: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3B2EA73B">
            <w:pPr>
              <w:spacing w:line="240" w:lineRule="exact"/>
              <w:rPr>
                <w:rStyle w:val="21"/>
                <w:rFonts w:hint="eastAsia" w:ascii="宋体" w:hAnsi="宋体" w:eastAsia="宋体" w:cs="宋体"/>
                <w:sz w:val="18"/>
                <w:szCs w:val="18"/>
                <w:lang w:bidi="ar"/>
              </w:rPr>
            </w:pPr>
            <w:r>
              <w:rPr>
                <w:rStyle w:val="21"/>
                <w:rFonts w:hint="eastAsia" w:ascii="宋体" w:hAnsi="宋体" w:eastAsia="宋体" w:cs="宋体"/>
                <w:sz w:val="18"/>
                <w:szCs w:val="18"/>
                <w:lang w:val="en" w:bidi="ar"/>
              </w:rPr>
              <w:t>处</w:t>
            </w:r>
            <w:r>
              <w:rPr>
                <w:rStyle w:val="21"/>
                <w:rFonts w:hint="eastAsia" w:ascii="宋体" w:hAnsi="宋体" w:eastAsia="宋体" w:cs="宋体"/>
                <w:sz w:val="18"/>
                <w:szCs w:val="18"/>
                <w:lang w:val="en-US" w:eastAsia="zh-CN" w:bidi="ar"/>
              </w:rPr>
              <w:t>1.5</w:t>
            </w:r>
            <w:r>
              <w:rPr>
                <w:rStyle w:val="21"/>
                <w:rFonts w:hint="eastAsia" w:ascii="宋体" w:hAnsi="宋体" w:eastAsia="宋体" w:cs="宋体"/>
                <w:sz w:val="18"/>
                <w:szCs w:val="18"/>
                <w:lang w:val="en" w:bidi="ar"/>
              </w:rPr>
              <w:t>万元以上</w:t>
            </w:r>
            <w:r>
              <w:rPr>
                <w:rStyle w:val="21"/>
                <w:rFonts w:hint="eastAsia" w:ascii="宋体" w:hAnsi="宋体" w:eastAsia="宋体" w:cs="宋体"/>
                <w:sz w:val="18"/>
                <w:szCs w:val="18"/>
                <w:lang w:val="en-US" w:eastAsia="zh-CN" w:bidi="ar"/>
              </w:rPr>
              <w:t>1.8</w:t>
            </w:r>
            <w:r>
              <w:rPr>
                <w:rStyle w:val="21"/>
                <w:rFonts w:hint="eastAsia" w:ascii="宋体" w:hAnsi="宋体" w:eastAsia="宋体" w:cs="宋体"/>
                <w:sz w:val="18"/>
                <w:szCs w:val="18"/>
                <w:lang w:val="en" w:bidi="ar"/>
              </w:rPr>
              <w:t>万元以下罚款</w:t>
            </w:r>
          </w:p>
        </w:tc>
        <w:tc>
          <w:tcPr>
            <w:tcW w:w="56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12FCBFD0">
            <w:pPr>
              <w:spacing w:line="260" w:lineRule="exact"/>
              <w:rPr>
                <w:rStyle w:val="21"/>
                <w:rFonts w:hint="eastAsia" w:ascii="宋体" w:hAnsi="宋体" w:eastAsia="宋体" w:cs="宋体"/>
                <w:sz w:val="18"/>
                <w:szCs w:val="18"/>
                <w:lang w:bidi="ar"/>
              </w:rPr>
            </w:pPr>
          </w:p>
        </w:tc>
      </w:tr>
      <w:tr w14:paraId="2C53C6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95" w:type="dxa"/>
            <w:vMerge w:val="continue"/>
            <w:tcBorders>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20606722">
            <w:pPr>
              <w:spacing w:line="260" w:lineRule="exact"/>
              <w:jc w:val="center"/>
              <w:rPr>
                <w:rFonts w:hint="eastAsia" w:ascii="宋体" w:hAnsi="宋体" w:eastAsia="宋体" w:cs="宋体"/>
                <w:sz w:val="18"/>
                <w:szCs w:val="18"/>
              </w:rPr>
            </w:pPr>
          </w:p>
        </w:tc>
        <w:tc>
          <w:tcPr>
            <w:tcW w:w="1211" w:type="dxa"/>
            <w:vMerge w:val="continue"/>
            <w:tcBorders>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034FC5BC">
            <w:pPr>
              <w:spacing w:line="260" w:lineRule="exact"/>
              <w:rPr>
                <w:rFonts w:hint="eastAsia" w:ascii="宋体" w:hAnsi="宋体" w:eastAsia="宋体" w:cs="宋体"/>
                <w:color w:val="000000"/>
                <w:kern w:val="0"/>
                <w:sz w:val="18"/>
                <w:szCs w:val="18"/>
                <w:lang w:bidi="ar"/>
              </w:rPr>
            </w:pPr>
          </w:p>
        </w:tc>
        <w:tc>
          <w:tcPr>
            <w:tcW w:w="4862" w:type="dxa"/>
            <w:vMerge w:val="continue"/>
            <w:tcBorders>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697D4493">
            <w:pPr>
              <w:spacing w:line="260" w:lineRule="exact"/>
              <w:ind w:firstLine="360" w:firstLineChars="200"/>
              <w:rPr>
                <w:rFonts w:hint="eastAsia" w:ascii="宋体" w:hAnsi="宋体" w:eastAsia="宋体" w:cs="宋体"/>
                <w:color w:val="000000"/>
                <w:kern w:val="0"/>
                <w:sz w:val="18"/>
                <w:szCs w:val="18"/>
                <w:lang w:bidi="ar"/>
              </w:rPr>
            </w:pPr>
          </w:p>
        </w:tc>
        <w:tc>
          <w:tcPr>
            <w:tcW w:w="1613" w:type="dxa"/>
            <w:vMerge w:val="continue"/>
            <w:tcBorders>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7B3132BB">
            <w:pPr>
              <w:spacing w:line="260" w:lineRule="exact"/>
              <w:ind w:firstLine="360" w:firstLineChars="200"/>
              <w:rPr>
                <w:rFonts w:hint="eastAsia" w:ascii="宋体" w:hAnsi="宋体" w:eastAsia="宋体" w:cs="宋体"/>
                <w:color w:val="000000"/>
                <w:kern w:val="0"/>
                <w:sz w:val="18"/>
                <w:szCs w:val="18"/>
                <w:lang w:bidi="ar"/>
              </w:rPr>
            </w:pP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53440C9C">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严重</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44D4BC9B">
            <w:pPr>
              <w:spacing w:line="240" w:lineRule="exact"/>
              <w:rPr>
                <w:rStyle w:val="21"/>
                <w:rFonts w:hint="eastAsia" w:ascii="宋体" w:hAnsi="宋体" w:eastAsia="宋体" w:cs="宋体"/>
                <w:sz w:val="18"/>
                <w:szCs w:val="18"/>
                <w:highlight w:val="none"/>
                <w:lang w:bidi="ar"/>
              </w:rPr>
            </w:pPr>
            <w:r>
              <w:rPr>
                <w:rFonts w:hint="eastAsia" w:ascii="宋体" w:hAnsi="宋体" w:eastAsia="宋体" w:cs="宋体"/>
                <w:spacing w:val="7"/>
                <w:sz w:val="18"/>
                <w:szCs w:val="18"/>
                <w:highlight w:val="none"/>
                <w:lang w:val="en-US" w:eastAsia="zh-CN"/>
              </w:rPr>
              <w:t>发现</w:t>
            </w:r>
            <w:r>
              <w:rPr>
                <w:rFonts w:hint="eastAsia" w:ascii="宋体" w:hAnsi="宋体" w:eastAsia="宋体" w:cs="宋体"/>
                <w:spacing w:val="7"/>
                <w:sz w:val="18"/>
                <w:szCs w:val="18"/>
                <w:highlight w:val="none"/>
              </w:rPr>
              <w:t>虚报、瞒报、伪造、篡改原始用水记录台账</w:t>
            </w:r>
            <w:r>
              <w:rPr>
                <w:rFonts w:hint="eastAsia" w:ascii="宋体" w:hAnsi="宋体" w:eastAsia="宋体" w:cs="宋体"/>
                <w:spacing w:val="7"/>
                <w:sz w:val="18"/>
                <w:szCs w:val="18"/>
                <w:highlight w:val="none"/>
                <w:lang w:val="en-US" w:eastAsia="zh-CN"/>
              </w:rPr>
              <w:t>任一情形4处及以上的</w:t>
            </w: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333ADA4B">
            <w:pPr>
              <w:spacing w:line="240" w:lineRule="exact"/>
              <w:rPr>
                <w:rStyle w:val="21"/>
                <w:rFonts w:hint="eastAsia" w:ascii="宋体" w:hAnsi="宋体" w:eastAsia="宋体" w:cs="宋体"/>
                <w:sz w:val="18"/>
                <w:szCs w:val="18"/>
                <w:lang w:bidi="ar"/>
              </w:rPr>
            </w:pPr>
            <w:r>
              <w:rPr>
                <w:rStyle w:val="21"/>
                <w:rFonts w:hint="eastAsia" w:ascii="宋体" w:hAnsi="宋体" w:eastAsia="宋体" w:cs="宋体"/>
                <w:sz w:val="18"/>
                <w:szCs w:val="18"/>
                <w:lang w:val="en" w:bidi="ar"/>
              </w:rPr>
              <w:t>处</w:t>
            </w:r>
            <w:r>
              <w:rPr>
                <w:rStyle w:val="21"/>
                <w:rFonts w:hint="eastAsia" w:ascii="宋体" w:hAnsi="宋体" w:eastAsia="宋体" w:cs="宋体"/>
                <w:sz w:val="18"/>
                <w:szCs w:val="18"/>
                <w:lang w:val="en-US" w:eastAsia="zh-CN" w:bidi="ar"/>
              </w:rPr>
              <w:t>1.8</w:t>
            </w:r>
            <w:r>
              <w:rPr>
                <w:rStyle w:val="21"/>
                <w:rFonts w:hint="eastAsia" w:ascii="宋体" w:hAnsi="宋体" w:eastAsia="宋体" w:cs="宋体"/>
                <w:sz w:val="18"/>
                <w:szCs w:val="18"/>
                <w:lang w:val="en" w:bidi="ar"/>
              </w:rPr>
              <w:t>万元以上</w:t>
            </w:r>
            <w:r>
              <w:rPr>
                <w:rStyle w:val="21"/>
                <w:rFonts w:hint="eastAsia" w:ascii="宋体" w:hAnsi="宋体" w:eastAsia="宋体" w:cs="宋体"/>
                <w:sz w:val="18"/>
                <w:szCs w:val="18"/>
                <w:lang w:val="en-US" w:eastAsia="zh-CN" w:bidi="ar"/>
              </w:rPr>
              <w:t>2</w:t>
            </w:r>
            <w:r>
              <w:rPr>
                <w:rStyle w:val="21"/>
                <w:rFonts w:hint="eastAsia" w:ascii="宋体" w:hAnsi="宋体" w:eastAsia="宋体" w:cs="宋体"/>
                <w:sz w:val="18"/>
                <w:szCs w:val="18"/>
                <w:lang w:val="en" w:bidi="ar"/>
              </w:rPr>
              <w:t>万元以下罚款</w:t>
            </w:r>
            <w:r>
              <w:rPr>
                <w:rStyle w:val="21"/>
                <w:rFonts w:hint="eastAsia" w:ascii="宋体" w:hAnsi="宋体" w:eastAsia="宋体" w:cs="宋体"/>
                <w:sz w:val="18"/>
                <w:szCs w:val="18"/>
                <w:lang w:bidi="ar"/>
              </w:rPr>
              <w:t>，吊销取水许可证</w:t>
            </w:r>
          </w:p>
        </w:tc>
        <w:tc>
          <w:tcPr>
            <w:tcW w:w="563" w:type="dxa"/>
            <w:vMerge w:val="continue"/>
            <w:tcBorders>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4F19FD1F">
            <w:pPr>
              <w:spacing w:line="260" w:lineRule="exact"/>
              <w:rPr>
                <w:rStyle w:val="21"/>
                <w:rFonts w:hint="eastAsia" w:ascii="宋体" w:hAnsi="宋体" w:eastAsia="宋体" w:cs="宋体"/>
                <w:sz w:val="18"/>
                <w:szCs w:val="18"/>
                <w:lang w:bidi="ar"/>
              </w:rPr>
            </w:pPr>
          </w:p>
        </w:tc>
      </w:tr>
      <w:tr w14:paraId="24D5BC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95" w:type="dxa"/>
            <w:vMerge w:val="restart"/>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1A9E25BE">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19</w:t>
            </w:r>
          </w:p>
        </w:tc>
        <w:tc>
          <w:tcPr>
            <w:tcW w:w="1211" w:type="dxa"/>
            <w:vMerge w:val="restart"/>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5ED71C25">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对伪造、涂改、冒用取水申请批准文件、取水许可证行为的行政处罚</w:t>
            </w:r>
          </w:p>
        </w:tc>
        <w:tc>
          <w:tcPr>
            <w:tcW w:w="4862" w:type="dxa"/>
            <w:vMerge w:val="restart"/>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01D27BC3">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《取水许可和水资源费征收管理条例》第五十六条 伪造、涂改、冒用取水申请批准文件、取水许可证的，责令改正，没收违法所得和非法财物，并处2万元以上10万元以下罚款；构成犯罪的，依法追究刑事责任。</w:t>
            </w:r>
          </w:p>
        </w:tc>
        <w:tc>
          <w:tcPr>
            <w:tcW w:w="1613" w:type="dxa"/>
            <w:vMerge w:val="restart"/>
            <w:tcBorders>
              <w:top w:val="single" w:color="auto" w:sz="4" w:space="0"/>
              <w:left w:val="single" w:color="auto" w:sz="4" w:space="0"/>
              <w:right w:val="single" w:color="auto" w:sz="4" w:space="0"/>
            </w:tcBorders>
            <w:shd w:val="clear" w:color="auto" w:fill="FFFFFF"/>
            <w:noWrap w:val="0"/>
            <w:tcMar>
              <w:top w:w="0" w:type="dxa"/>
              <w:left w:w="0" w:type="dxa"/>
              <w:bottom w:w="0" w:type="dxa"/>
              <w:right w:w="0" w:type="dxa"/>
            </w:tcMar>
            <w:vAlign w:val="center"/>
          </w:tcPr>
          <w:p w14:paraId="26984DDF">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伪造、涂改、冒用取水申请批准文件、取水许可证的</w:t>
            </w: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08072DB5">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轻微</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595E2A90">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3C633BC4">
            <w:pPr>
              <w:spacing w:line="260" w:lineRule="exact"/>
              <w:rPr>
                <w:rStyle w:val="21"/>
                <w:rFonts w:hint="eastAsia" w:ascii="宋体" w:hAnsi="宋体" w:eastAsia="宋体" w:cs="宋体"/>
                <w:sz w:val="18"/>
                <w:szCs w:val="18"/>
                <w:lang w:bidi="ar"/>
              </w:rPr>
            </w:pP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2A146EB7">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4CFF859C">
            <w:pPr>
              <w:spacing w:line="260" w:lineRule="exact"/>
              <w:rPr>
                <w:rStyle w:val="21"/>
                <w:rFonts w:hint="eastAsia" w:ascii="宋体" w:hAnsi="宋体" w:eastAsia="宋体" w:cs="宋体"/>
                <w:sz w:val="18"/>
                <w:szCs w:val="18"/>
                <w:lang w:bidi="ar"/>
              </w:rPr>
            </w:pPr>
          </w:p>
        </w:tc>
        <w:tc>
          <w:tcPr>
            <w:tcW w:w="563" w:type="dxa"/>
            <w:vMerge w:val="restart"/>
            <w:tcBorders>
              <w:top w:val="single" w:color="auto" w:sz="4" w:space="0"/>
              <w:left w:val="single" w:color="auto" w:sz="4" w:space="0"/>
              <w:right w:val="single" w:color="auto" w:sz="4" w:space="0"/>
            </w:tcBorders>
            <w:shd w:val="clear" w:color="auto" w:fill="FFFFFF"/>
            <w:noWrap w:val="0"/>
            <w:tcMar>
              <w:top w:w="0" w:type="dxa"/>
              <w:left w:w="0" w:type="dxa"/>
              <w:bottom w:w="0" w:type="dxa"/>
              <w:right w:w="0" w:type="dxa"/>
            </w:tcMar>
            <w:vAlign w:val="center"/>
          </w:tcPr>
          <w:p w14:paraId="3FC883B6">
            <w:pPr>
              <w:spacing w:line="260" w:lineRule="exact"/>
              <w:rPr>
                <w:rStyle w:val="21"/>
                <w:rFonts w:hint="eastAsia" w:ascii="宋体" w:hAnsi="宋体" w:eastAsia="宋体" w:cs="宋体"/>
                <w:sz w:val="18"/>
                <w:szCs w:val="18"/>
                <w:lang w:bidi="ar"/>
              </w:rPr>
            </w:pPr>
          </w:p>
        </w:tc>
      </w:tr>
      <w:tr w14:paraId="570926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737" w:hRule="atLeast"/>
          <w:jc w:val="center"/>
        </w:trPr>
        <w:tc>
          <w:tcPr>
            <w:tcW w:w="495"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0DACB008">
            <w:pPr>
              <w:spacing w:line="260" w:lineRule="exact"/>
              <w:jc w:val="center"/>
              <w:rPr>
                <w:rFonts w:hint="eastAsia" w:ascii="宋体" w:hAnsi="宋体" w:eastAsia="宋体" w:cs="宋体"/>
                <w:sz w:val="18"/>
                <w:szCs w:val="18"/>
              </w:rPr>
            </w:pPr>
          </w:p>
        </w:tc>
        <w:tc>
          <w:tcPr>
            <w:tcW w:w="1211"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6843C89F">
            <w:pPr>
              <w:spacing w:line="260" w:lineRule="exact"/>
              <w:rPr>
                <w:rFonts w:hint="eastAsia" w:ascii="宋体" w:hAnsi="宋体" w:eastAsia="宋体" w:cs="宋体"/>
                <w:color w:val="000000"/>
                <w:kern w:val="0"/>
                <w:sz w:val="18"/>
                <w:szCs w:val="18"/>
                <w:lang w:bidi="ar"/>
              </w:rPr>
            </w:pPr>
          </w:p>
        </w:tc>
        <w:tc>
          <w:tcPr>
            <w:tcW w:w="4862"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505D8865">
            <w:pPr>
              <w:spacing w:line="260" w:lineRule="exact"/>
              <w:ind w:firstLine="360" w:firstLineChars="200"/>
              <w:rPr>
                <w:rFonts w:hint="eastAsia" w:ascii="宋体" w:hAnsi="宋体" w:eastAsia="宋体" w:cs="宋体"/>
                <w:color w:val="000000"/>
                <w:kern w:val="0"/>
                <w:sz w:val="18"/>
                <w:szCs w:val="18"/>
                <w:lang w:bidi="ar"/>
              </w:rPr>
            </w:pPr>
          </w:p>
        </w:tc>
        <w:tc>
          <w:tcPr>
            <w:tcW w:w="161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4FBB80F6">
            <w:pPr>
              <w:spacing w:line="260" w:lineRule="exact"/>
              <w:ind w:firstLine="360" w:firstLineChars="200"/>
              <w:rPr>
                <w:rFonts w:hint="eastAsia" w:ascii="宋体" w:hAnsi="宋体" w:eastAsia="宋体" w:cs="宋体"/>
                <w:color w:val="000000"/>
                <w:kern w:val="0"/>
                <w:sz w:val="18"/>
                <w:szCs w:val="18"/>
                <w:lang w:bidi="ar"/>
              </w:rPr>
            </w:pP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47FD8020">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较轻</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5E209250">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伪造、涂改、冒用取水申请批准文件未形成建设取水工程或者设施事实的</w:t>
            </w: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30543869">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没收违法所得和非法财物，处</w:t>
            </w:r>
            <w:r>
              <w:rPr>
                <w:rFonts w:hint="eastAsia" w:ascii="宋体" w:hAnsi="宋体" w:eastAsia="宋体" w:cs="宋体"/>
                <w:color w:val="000000"/>
                <w:kern w:val="0"/>
                <w:sz w:val="18"/>
                <w:szCs w:val="18"/>
                <w:lang w:val="en-US" w:eastAsia="zh-CN" w:bidi="ar"/>
              </w:rPr>
              <w:t>2</w:t>
            </w:r>
            <w:r>
              <w:rPr>
                <w:rFonts w:hint="eastAsia" w:ascii="宋体" w:hAnsi="宋体" w:eastAsia="宋体" w:cs="宋体"/>
                <w:color w:val="000000"/>
                <w:kern w:val="0"/>
                <w:sz w:val="18"/>
                <w:szCs w:val="18"/>
                <w:lang w:bidi="ar"/>
              </w:rPr>
              <w:t>万元以上</w:t>
            </w:r>
            <w:r>
              <w:rPr>
                <w:rFonts w:hint="eastAsia" w:ascii="宋体" w:hAnsi="宋体" w:eastAsia="宋体" w:cs="宋体"/>
                <w:color w:val="000000"/>
                <w:kern w:val="0"/>
                <w:sz w:val="18"/>
                <w:szCs w:val="18"/>
                <w:lang w:val="en-US" w:eastAsia="zh-CN" w:bidi="ar"/>
              </w:rPr>
              <w:t>4</w:t>
            </w:r>
            <w:r>
              <w:rPr>
                <w:rFonts w:hint="eastAsia" w:ascii="宋体" w:hAnsi="宋体" w:eastAsia="宋体" w:cs="宋体"/>
                <w:color w:val="000000"/>
                <w:kern w:val="0"/>
                <w:sz w:val="18"/>
                <w:szCs w:val="18"/>
                <w:lang w:bidi="ar"/>
              </w:rPr>
              <w:t>万元以下罚款</w:t>
            </w:r>
          </w:p>
        </w:tc>
        <w:tc>
          <w:tcPr>
            <w:tcW w:w="56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0B94CDDE">
            <w:pPr>
              <w:spacing w:line="260" w:lineRule="exact"/>
              <w:rPr>
                <w:rStyle w:val="21"/>
                <w:rFonts w:hint="eastAsia" w:ascii="宋体" w:hAnsi="宋体" w:eastAsia="宋体" w:cs="宋体"/>
                <w:sz w:val="18"/>
                <w:szCs w:val="18"/>
                <w:lang w:bidi="ar"/>
              </w:rPr>
            </w:pPr>
          </w:p>
        </w:tc>
      </w:tr>
      <w:tr w14:paraId="6BE17F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964" w:hRule="atLeast"/>
          <w:jc w:val="center"/>
        </w:trPr>
        <w:tc>
          <w:tcPr>
            <w:tcW w:w="495"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7B2B1C11">
            <w:pPr>
              <w:spacing w:line="260" w:lineRule="exact"/>
              <w:jc w:val="center"/>
              <w:rPr>
                <w:rFonts w:hint="eastAsia" w:ascii="宋体" w:hAnsi="宋体" w:eastAsia="宋体" w:cs="宋体"/>
                <w:sz w:val="18"/>
                <w:szCs w:val="18"/>
              </w:rPr>
            </w:pPr>
          </w:p>
        </w:tc>
        <w:tc>
          <w:tcPr>
            <w:tcW w:w="1211"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06AF9C7B">
            <w:pPr>
              <w:spacing w:line="260" w:lineRule="exact"/>
              <w:rPr>
                <w:rFonts w:hint="eastAsia" w:ascii="宋体" w:hAnsi="宋体" w:eastAsia="宋体" w:cs="宋体"/>
                <w:color w:val="000000"/>
                <w:kern w:val="0"/>
                <w:sz w:val="18"/>
                <w:szCs w:val="18"/>
                <w:lang w:bidi="ar"/>
              </w:rPr>
            </w:pPr>
          </w:p>
        </w:tc>
        <w:tc>
          <w:tcPr>
            <w:tcW w:w="4862"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08834267">
            <w:pPr>
              <w:spacing w:line="260" w:lineRule="exact"/>
              <w:ind w:firstLine="360" w:firstLineChars="200"/>
              <w:rPr>
                <w:rFonts w:hint="eastAsia" w:ascii="宋体" w:hAnsi="宋体" w:eastAsia="宋体" w:cs="宋体"/>
                <w:color w:val="000000"/>
                <w:kern w:val="0"/>
                <w:sz w:val="18"/>
                <w:szCs w:val="18"/>
                <w:lang w:bidi="ar"/>
              </w:rPr>
            </w:pPr>
          </w:p>
        </w:tc>
        <w:tc>
          <w:tcPr>
            <w:tcW w:w="161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5B5FBF38">
            <w:pPr>
              <w:spacing w:line="260" w:lineRule="exact"/>
              <w:ind w:firstLine="360" w:firstLineChars="200"/>
              <w:rPr>
                <w:rFonts w:hint="eastAsia" w:ascii="宋体" w:hAnsi="宋体" w:eastAsia="宋体" w:cs="宋体"/>
                <w:color w:val="000000"/>
                <w:kern w:val="0"/>
                <w:sz w:val="18"/>
                <w:szCs w:val="18"/>
                <w:lang w:bidi="ar"/>
              </w:rPr>
            </w:pP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1A127B0F">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一般</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3B14E024">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伪造、涂改、冒用取水申请批准文件，开始建设取水工程或者设施的</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bidi="ar"/>
              </w:rPr>
              <w:t>在限期内改正违法行为的</w:t>
            </w: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3DCB8050">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没收违法所得和非法财物，处</w:t>
            </w:r>
            <w:r>
              <w:rPr>
                <w:rFonts w:hint="eastAsia" w:ascii="宋体" w:hAnsi="宋体" w:eastAsia="宋体" w:cs="宋体"/>
                <w:color w:val="000000"/>
                <w:kern w:val="0"/>
                <w:sz w:val="18"/>
                <w:szCs w:val="18"/>
                <w:lang w:val="en-US" w:eastAsia="zh-CN" w:bidi="ar"/>
              </w:rPr>
              <w:t>4</w:t>
            </w:r>
            <w:r>
              <w:rPr>
                <w:rFonts w:hint="eastAsia" w:ascii="宋体" w:hAnsi="宋体" w:eastAsia="宋体" w:cs="宋体"/>
                <w:color w:val="000000"/>
                <w:kern w:val="0"/>
                <w:sz w:val="18"/>
                <w:szCs w:val="18"/>
                <w:lang w:bidi="ar"/>
              </w:rPr>
              <w:t>万元以上</w:t>
            </w:r>
            <w:r>
              <w:rPr>
                <w:rFonts w:hint="eastAsia" w:ascii="宋体" w:hAnsi="宋体" w:eastAsia="宋体" w:cs="宋体"/>
                <w:color w:val="000000"/>
                <w:kern w:val="0"/>
                <w:sz w:val="18"/>
                <w:szCs w:val="18"/>
                <w:lang w:val="en-US" w:eastAsia="zh-CN" w:bidi="ar"/>
              </w:rPr>
              <w:t>6</w:t>
            </w:r>
            <w:r>
              <w:rPr>
                <w:rFonts w:hint="eastAsia" w:ascii="宋体" w:hAnsi="宋体" w:eastAsia="宋体" w:cs="宋体"/>
                <w:color w:val="000000"/>
                <w:kern w:val="0"/>
                <w:sz w:val="18"/>
                <w:szCs w:val="18"/>
                <w:lang w:bidi="ar"/>
              </w:rPr>
              <w:t>万元以下罚款</w:t>
            </w:r>
          </w:p>
        </w:tc>
        <w:tc>
          <w:tcPr>
            <w:tcW w:w="56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61906272">
            <w:pPr>
              <w:spacing w:line="260" w:lineRule="exact"/>
              <w:rPr>
                <w:rStyle w:val="21"/>
                <w:rFonts w:hint="eastAsia" w:ascii="宋体" w:hAnsi="宋体" w:eastAsia="宋体" w:cs="宋体"/>
                <w:sz w:val="18"/>
                <w:szCs w:val="18"/>
                <w:lang w:bidi="ar"/>
              </w:rPr>
            </w:pPr>
          </w:p>
        </w:tc>
      </w:tr>
      <w:tr w14:paraId="47A086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jc w:val="center"/>
        </w:trPr>
        <w:tc>
          <w:tcPr>
            <w:tcW w:w="495"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38F1BF4C">
            <w:pPr>
              <w:spacing w:line="260" w:lineRule="exact"/>
              <w:jc w:val="center"/>
              <w:rPr>
                <w:rFonts w:hint="eastAsia" w:ascii="宋体" w:hAnsi="宋体" w:eastAsia="宋体" w:cs="宋体"/>
                <w:sz w:val="18"/>
                <w:szCs w:val="18"/>
              </w:rPr>
            </w:pPr>
          </w:p>
        </w:tc>
        <w:tc>
          <w:tcPr>
            <w:tcW w:w="1211"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7A1B4284">
            <w:pPr>
              <w:spacing w:line="260" w:lineRule="exact"/>
              <w:rPr>
                <w:rFonts w:hint="eastAsia" w:ascii="宋体" w:hAnsi="宋体" w:eastAsia="宋体" w:cs="宋体"/>
                <w:color w:val="000000"/>
                <w:kern w:val="0"/>
                <w:sz w:val="18"/>
                <w:szCs w:val="18"/>
                <w:lang w:bidi="ar"/>
              </w:rPr>
            </w:pPr>
          </w:p>
        </w:tc>
        <w:tc>
          <w:tcPr>
            <w:tcW w:w="4862"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230FA811">
            <w:pPr>
              <w:spacing w:line="260" w:lineRule="exact"/>
              <w:ind w:firstLine="360" w:firstLineChars="200"/>
              <w:rPr>
                <w:rFonts w:hint="eastAsia" w:ascii="宋体" w:hAnsi="宋体" w:eastAsia="宋体" w:cs="宋体"/>
                <w:color w:val="000000"/>
                <w:kern w:val="0"/>
                <w:sz w:val="18"/>
                <w:szCs w:val="18"/>
                <w:lang w:bidi="ar"/>
              </w:rPr>
            </w:pPr>
          </w:p>
        </w:tc>
        <w:tc>
          <w:tcPr>
            <w:tcW w:w="161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651C831B">
            <w:pPr>
              <w:spacing w:line="260" w:lineRule="exact"/>
              <w:ind w:firstLine="360" w:firstLineChars="200"/>
              <w:rPr>
                <w:rFonts w:hint="eastAsia" w:ascii="宋体" w:hAnsi="宋体" w:eastAsia="宋体" w:cs="宋体"/>
                <w:color w:val="000000"/>
                <w:kern w:val="0"/>
                <w:sz w:val="18"/>
                <w:szCs w:val="18"/>
                <w:lang w:bidi="ar"/>
              </w:rPr>
            </w:pP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70113C9E">
            <w:pPr>
              <w:spacing w:line="260" w:lineRule="exact"/>
              <w:jc w:val="center"/>
              <w:rPr>
                <w:rFonts w:hint="eastAsia" w:ascii="宋体" w:hAnsi="宋体" w:eastAsia="宋体" w:cs="宋体"/>
                <w:sz w:val="18"/>
                <w:szCs w:val="18"/>
                <w:lang w:eastAsia="zh-CN"/>
              </w:rPr>
            </w:pPr>
            <w:r>
              <w:rPr>
                <w:rFonts w:hint="eastAsia" w:ascii="宋体" w:hAnsi="宋体" w:eastAsia="宋体" w:cs="宋体"/>
                <w:sz w:val="18"/>
                <w:szCs w:val="18"/>
                <w:lang w:eastAsia="zh-CN"/>
              </w:rPr>
              <w:t>较重</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79FE950F">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伪造、涂改、冒用取水申请批准文件，开始建设取水工程或者设施，未在限期内改正违法行为的</w:t>
            </w: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557C5C59">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没收违法所得和非法财物，处</w:t>
            </w:r>
            <w:r>
              <w:rPr>
                <w:rFonts w:hint="eastAsia" w:ascii="宋体" w:hAnsi="宋体" w:eastAsia="宋体" w:cs="宋体"/>
                <w:color w:val="000000"/>
                <w:kern w:val="0"/>
                <w:sz w:val="18"/>
                <w:szCs w:val="18"/>
                <w:lang w:val="en-US" w:eastAsia="zh-CN" w:bidi="ar"/>
              </w:rPr>
              <w:t>6</w:t>
            </w:r>
            <w:r>
              <w:rPr>
                <w:rFonts w:hint="eastAsia" w:ascii="宋体" w:hAnsi="宋体" w:eastAsia="宋体" w:cs="宋体"/>
                <w:color w:val="000000"/>
                <w:kern w:val="0"/>
                <w:sz w:val="18"/>
                <w:szCs w:val="18"/>
                <w:lang w:bidi="ar"/>
              </w:rPr>
              <w:t>万元以上</w:t>
            </w:r>
            <w:r>
              <w:rPr>
                <w:rFonts w:hint="eastAsia" w:ascii="宋体" w:hAnsi="宋体" w:eastAsia="宋体" w:cs="宋体"/>
                <w:color w:val="000000"/>
                <w:kern w:val="0"/>
                <w:sz w:val="18"/>
                <w:szCs w:val="18"/>
                <w:lang w:val="en-US" w:eastAsia="zh-CN" w:bidi="ar"/>
              </w:rPr>
              <w:t>9</w:t>
            </w:r>
            <w:r>
              <w:rPr>
                <w:rFonts w:hint="eastAsia" w:ascii="宋体" w:hAnsi="宋体" w:eastAsia="宋体" w:cs="宋体"/>
                <w:color w:val="000000"/>
                <w:kern w:val="0"/>
                <w:sz w:val="18"/>
                <w:szCs w:val="18"/>
                <w:lang w:bidi="ar"/>
              </w:rPr>
              <w:t>万元以下罚款</w:t>
            </w:r>
          </w:p>
        </w:tc>
        <w:tc>
          <w:tcPr>
            <w:tcW w:w="56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26F242CD">
            <w:pPr>
              <w:spacing w:line="260" w:lineRule="exact"/>
              <w:rPr>
                <w:rStyle w:val="21"/>
                <w:rFonts w:hint="eastAsia" w:ascii="宋体" w:hAnsi="宋体" w:eastAsia="宋体" w:cs="宋体"/>
                <w:sz w:val="18"/>
                <w:szCs w:val="18"/>
                <w:lang w:bidi="ar"/>
              </w:rPr>
            </w:pPr>
          </w:p>
        </w:tc>
      </w:tr>
      <w:tr w14:paraId="28B1E7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737" w:hRule="atLeast"/>
          <w:jc w:val="center"/>
        </w:trPr>
        <w:tc>
          <w:tcPr>
            <w:tcW w:w="495" w:type="dxa"/>
            <w:vMerge w:val="continue"/>
            <w:tcBorders>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7B6EDBE6">
            <w:pPr>
              <w:spacing w:line="260" w:lineRule="exact"/>
              <w:jc w:val="center"/>
              <w:rPr>
                <w:rFonts w:hint="eastAsia" w:ascii="宋体" w:hAnsi="宋体" w:eastAsia="宋体" w:cs="宋体"/>
                <w:sz w:val="18"/>
                <w:szCs w:val="18"/>
              </w:rPr>
            </w:pPr>
          </w:p>
        </w:tc>
        <w:tc>
          <w:tcPr>
            <w:tcW w:w="1211" w:type="dxa"/>
            <w:vMerge w:val="continue"/>
            <w:tcBorders>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097E04BD">
            <w:pPr>
              <w:spacing w:line="260" w:lineRule="exact"/>
              <w:rPr>
                <w:rFonts w:hint="eastAsia" w:ascii="宋体" w:hAnsi="宋体" w:eastAsia="宋体" w:cs="宋体"/>
                <w:color w:val="000000"/>
                <w:kern w:val="0"/>
                <w:sz w:val="18"/>
                <w:szCs w:val="18"/>
                <w:lang w:bidi="ar"/>
              </w:rPr>
            </w:pPr>
          </w:p>
        </w:tc>
        <w:tc>
          <w:tcPr>
            <w:tcW w:w="4862" w:type="dxa"/>
            <w:vMerge w:val="continue"/>
            <w:tcBorders>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650B7E16">
            <w:pPr>
              <w:spacing w:line="260" w:lineRule="exact"/>
              <w:ind w:firstLine="360" w:firstLineChars="200"/>
              <w:rPr>
                <w:rFonts w:hint="eastAsia" w:ascii="宋体" w:hAnsi="宋体" w:eastAsia="宋体" w:cs="宋体"/>
                <w:color w:val="000000"/>
                <w:kern w:val="0"/>
                <w:sz w:val="18"/>
                <w:szCs w:val="18"/>
                <w:lang w:bidi="ar"/>
              </w:rPr>
            </w:pPr>
          </w:p>
        </w:tc>
        <w:tc>
          <w:tcPr>
            <w:tcW w:w="1613" w:type="dxa"/>
            <w:vMerge w:val="continue"/>
            <w:tcBorders>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3179FDC8">
            <w:pPr>
              <w:spacing w:line="260" w:lineRule="exact"/>
              <w:ind w:firstLine="360" w:firstLineChars="200"/>
              <w:rPr>
                <w:rFonts w:hint="eastAsia" w:ascii="宋体" w:hAnsi="宋体" w:eastAsia="宋体" w:cs="宋体"/>
                <w:color w:val="000000"/>
                <w:kern w:val="0"/>
                <w:sz w:val="18"/>
                <w:szCs w:val="18"/>
                <w:lang w:bidi="ar"/>
              </w:rPr>
            </w:pP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36FA56AD">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严重</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229B86F3">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伪造、涂改、冒用取水申请批准文件，取水工程或者设施已建成的</w:t>
            </w: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1232B21E">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没收违法所得和非法财物，处</w:t>
            </w:r>
            <w:r>
              <w:rPr>
                <w:rFonts w:hint="eastAsia" w:ascii="宋体" w:hAnsi="宋体" w:eastAsia="宋体" w:cs="宋体"/>
                <w:color w:val="000000"/>
                <w:kern w:val="0"/>
                <w:sz w:val="18"/>
                <w:szCs w:val="18"/>
                <w:lang w:val="en-US" w:eastAsia="zh-CN" w:bidi="ar"/>
              </w:rPr>
              <w:t>9</w:t>
            </w:r>
            <w:r>
              <w:rPr>
                <w:rFonts w:hint="eastAsia" w:ascii="宋体" w:hAnsi="宋体" w:eastAsia="宋体" w:cs="宋体"/>
                <w:color w:val="000000"/>
                <w:kern w:val="0"/>
                <w:sz w:val="18"/>
                <w:szCs w:val="18"/>
                <w:lang w:bidi="ar"/>
              </w:rPr>
              <w:t>万元以上</w:t>
            </w:r>
            <w:r>
              <w:rPr>
                <w:rFonts w:hint="eastAsia" w:ascii="宋体" w:hAnsi="宋体" w:eastAsia="宋体" w:cs="宋体"/>
                <w:color w:val="000000"/>
                <w:kern w:val="0"/>
                <w:sz w:val="18"/>
                <w:szCs w:val="18"/>
                <w:lang w:val="en-US" w:eastAsia="zh-CN" w:bidi="ar"/>
              </w:rPr>
              <w:t>10</w:t>
            </w:r>
            <w:r>
              <w:rPr>
                <w:rFonts w:hint="eastAsia" w:ascii="宋体" w:hAnsi="宋体" w:eastAsia="宋体" w:cs="宋体"/>
                <w:color w:val="000000"/>
                <w:kern w:val="0"/>
                <w:sz w:val="18"/>
                <w:szCs w:val="18"/>
                <w:lang w:bidi="ar"/>
              </w:rPr>
              <w:t>万元以下罚款</w:t>
            </w:r>
          </w:p>
        </w:tc>
        <w:tc>
          <w:tcPr>
            <w:tcW w:w="563" w:type="dxa"/>
            <w:vMerge w:val="continue"/>
            <w:tcBorders>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12D42E8C">
            <w:pPr>
              <w:spacing w:line="260" w:lineRule="exact"/>
              <w:rPr>
                <w:rStyle w:val="21"/>
                <w:rFonts w:hint="eastAsia" w:ascii="宋体" w:hAnsi="宋体" w:eastAsia="宋体" w:cs="宋体"/>
                <w:sz w:val="18"/>
                <w:szCs w:val="18"/>
                <w:lang w:bidi="ar"/>
              </w:rPr>
            </w:pPr>
          </w:p>
        </w:tc>
      </w:tr>
      <w:tr w14:paraId="68EA41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454" w:hRule="atLeast"/>
          <w:jc w:val="center"/>
        </w:trPr>
        <w:tc>
          <w:tcPr>
            <w:tcW w:w="495" w:type="dxa"/>
            <w:vMerge w:val="restart"/>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2B170531">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20</w:t>
            </w:r>
          </w:p>
        </w:tc>
        <w:tc>
          <w:tcPr>
            <w:tcW w:w="1211" w:type="dxa"/>
            <w:vMerge w:val="restart"/>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0D70FC04">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对业主单位或者其委托的从事建设项目水资源论证工作的单位在建设项目水资源论证工作中弄虚作假行为的行政处罚</w:t>
            </w:r>
          </w:p>
        </w:tc>
        <w:tc>
          <w:tcPr>
            <w:tcW w:w="4862" w:type="dxa"/>
            <w:vMerge w:val="restart"/>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1DD57D53">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《建设项目水资源论证管理办法》第十二条 业主单位或者其委托的从事建设项目水资源论证工作的单位，在建设项目水资源论证工作中弄虚作假的，由水行政主管部门处违法所得3倍以下，最高不超过3万元的罚款。违反《取水许可和水资源费征收管理条例》第五十条的，依照其规定处罚。</w:t>
            </w:r>
          </w:p>
        </w:tc>
        <w:tc>
          <w:tcPr>
            <w:tcW w:w="1613" w:type="dxa"/>
            <w:vMerge w:val="restart"/>
            <w:tcBorders>
              <w:top w:val="single" w:color="auto" w:sz="4" w:space="0"/>
              <w:left w:val="single" w:color="auto" w:sz="4" w:space="0"/>
              <w:right w:val="single" w:color="auto" w:sz="4" w:space="0"/>
            </w:tcBorders>
            <w:shd w:val="clear" w:color="auto" w:fill="FFFFFF"/>
            <w:noWrap w:val="0"/>
            <w:tcMar>
              <w:top w:w="0" w:type="dxa"/>
              <w:left w:w="0" w:type="dxa"/>
              <w:bottom w:w="0" w:type="dxa"/>
              <w:right w:w="0" w:type="dxa"/>
            </w:tcMar>
            <w:vAlign w:val="center"/>
          </w:tcPr>
          <w:p w14:paraId="7DD6149E">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业主单位或者其委托的从事建设项目水资源论证工作的单位，在建设项目水资源论证工作中弄虚作假的</w:t>
            </w: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75CD50E1">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轻微</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687D0310">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55415317">
            <w:pPr>
              <w:spacing w:line="260" w:lineRule="exact"/>
              <w:rPr>
                <w:rStyle w:val="21"/>
                <w:rFonts w:hint="eastAsia" w:ascii="宋体" w:hAnsi="宋体" w:eastAsia="宋体" w:cs="宋体"/>
                <w:sz w:val="18"/>
                <w:szCs w:val="18"/>
                <w:lang w:bidi="ar"/>
              </w:rPr>
            </w:pP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0C981A27">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34C40463">
            <w:pPr>
              <w:spacing w:line="260" w:lineRule="exact"/>
              <w:rPr>
                <w:rStyle w:val="21"/>
                <w:rFonts w:hint="eastAsia" w:ascii="宋体" w:hAnsi="宋体" w:eastAsia="宋体" w:cs="宋体"/>
                <w:sz w:val="18"/>
                <w:szCs w:val="18"/>
                <w:lang w:bidi="ar"/>
              </w:rPr>
            </w:pPr>
          </w:p>
        </w:tc>
        <w:tc>
          <w:tcPr>
            <w:tcW w:w="563" w:type="dxa"/>
            <w:vMerge w:val="restart"/>
            <w:tcBorders>
              <w:top w:val="single" w:color="auto" w:sz="4" w:space="0"/>
              <w:left w:val="single" w:color="auto" w:sz="4" w:space="0"/>
              <w:right w:val="single" w:color="auto" w:sz="4" w:space="0"/>
            </w:tcBorders>
            <w:shd w:val="clear" w:color="auto" w:fill="FFFFFF"/>
            <w:noWrap w:val="0"/>
            <w:tcMar>
              <w:top w:w="0" w:type="dxa"/>
              <w:left w:w="0" w:type="dxa"/>
              <w:bottom w:w="0" w:type="dxa"/>
              <w:right w:w="0" w:type="dxa"/>
            </w:tcMar>
            <w:vAlign w:val="center"/>
          </w:tcPr>
          <w:p w14:paraId="7CE829F9">
            <w:pPr>
              <w:spacing w:line="260" w:lineRule="exact"/>
              <w:rPr>
                <w:rStyle w:val="21"/>
                <w:rFonts w:hint="eastAsia" w:ascii="宋体" w:hAnsi="宋体" w:eastAsia="宋体" w:cs="宋体"/>
                <w:sz w:val="18"/>
                <w:szCs w:val="18"/>
                <w:lang w:bidi="ar"/>
              </w:rPr>
            </w:pPr>
          </w:p>
        </w:tc>
      </w:tr>
      <w:tr w14:paraId="728EF1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95"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3997E061">
            <w:pPr>
              <w:spacing w:line="260" w:lineRule="exact"/>
              <w:jc w:val="center"/>
              <w:rPr>
                <w:rFonts w:hint="eastAsia" w:ascii="宋体" w:hAnsi="宋体" w:eastAsia="宋体" w:cs="宋体"/>
                <w:sz w:val="18"/>
                <w:szCs w:val="18"/>
              </w:rPr>
            </w:pPr>
          </w:p>
        </w:tc>
        <w:tc>
          <w:tcPr>
            <w:tcW w:w="1211"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6C652178">
            <w:pPr>
              <w:spacing w:line="260" w:lineRule="exact"/>
              <w:rPr>
                <w:rFonts w:hint="eastAsia" w:ascii="宋体" w:hAnsi="宋体" w:eastAsia="宋体" w:cs="宋体"/>
                <w:color w:val="000000"/>
                <w:kern w:val="0"/>
                <w:sz w:val="18"/>
                <w:szCs w:val="18"/>
                <w:lang w:bidi="ar"/>
              </w:rPr>
            </w:pPr>
          </w:p>
        </w:tc>
        <w:tc>
          <w:tcPr>
            <w:tcW w:w="4862"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2CDD8B78">
            <w:pPr>
              <w:spacing w:line="260" w:lineRule="exact"/>
              <w:ind w:firstLine="360" w:firstLineChars="200"/>
              <w:rPr>
                <w:rFonts w:hint="eastAsia" w:ascii="宋体" w:hAnsi="宋体" w:eastAsia="宋体" w:cs="宋体"/>
                <w:color w:val="000000"/>
                <w:kern w:val="0"/>
                <w:sz w:val="18"/>
                <w:szCs w:val="18"/>
                <w:lang w:bidi="ar"/>
              </w:rPr>
            </w:pPr>
          </w:p>
        </w:tc>
        <w:tc>
          <w:tcPr>
            <w:tcW w:w="161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46F27902">
            <w:pPr>
              <w:spacing w:line="260" w:lineRule="exact"/>
              <w:ind w:firstLine="360" w:firstLineChars="200"/>
              <w:rPr>
                <w:rFonts w:hint="eastAsia" w:ascii="宋体" w:hAnsi="宋体" w:eastAsia="宋体" w:cs="宋体"/>
                <w:color w:val="000000"/>
                <w:kern w:val="0"/>
                <w:sz w:val="18"/>
                <w:szCs w:val="18"/>
                <w:lang w:bidi="ar"/>
              </w:rPr>
            </w:pP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21D4A60C">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较轻</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4508CE72">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2693DA56">
            <w:pPr>
              <w:spacing w:line="260" w:lineRule="exact"/>
              <w:rPr>
                <w:rStyle w:val="21"/>
                <w:rFonts w:hint="eastAsia" w:ascii="宋体" w:hAnsi="宋体" w:eastAsia="宋体" w:cs="宋体"/>
                <w:sz w:val="18"/>
                <w:szCs w:val="18"/>
                <w:lang w:bidi="ar"/>
              </w:rPr>
            </w:pP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2FB653FB">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7E9FE40E">
            <w:pPr>
              <w:spacing w:line="260" w:lineRule="exact"/>
              <w:rPr>
                <w:rStyle w:val="21"/>
                <w:rFonts w:hint="eastAsia" w:ascii="宋体" w:hAnsi="宋体" w:eastAsia="宋体" w:cs="宋体"/>
                <w:sz w:val="18"/>
                <w:szCs w:val="18"/>
                <w:lang w:bidi="ar"/>
              </w:rPr>
            </w:pPr>
          </w:p>
        </w:tc>
        <w:tc>
          <w:tcPr>
            <w:tcW w:w="56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157E6D87">
            <w:pPr>
              <w:spacing w:line="260" w:lineRule="exact"/>
              <w:rPr>
                <w:rStyle w:val="21"/>
                <w:rFonts w:hint="eastAsia" w:ascii="宋体" w:hAnsi="宋体" w:eastAsia="宋体" w:cs="宋体"/>
                <w:sz w:val="18"/>
                <w:szCs w:val="18"/>
                <w:lang w:bidi="ar"/>
              </w:rPr>
            </w:pPr>
          </w:p>
        </w:tc>
      </w:tr>
      <w:tr w14:paraId="4F0289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740" w:hRule="atLeast"/>
          <w:jc w:val="center"/>
        </w:trPr>
        <w:tc>
          <w:tcPr>
            <w:tcW w:w="495"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031B59AF">
            <w:pPr>
              <w:spacing w:line="260" w:lineRule="exact"/>
              <w:jc w:val="center"/>
              <w:rPr>
                <w:rFonts w:hint="eastAsia" w:ascii="宋体" w:hAnsi="宋体" w:eastAsia="宋体" w:cs="宋体"/>
                <w:sz w:val="18"/>
                <w:szCs w:val="18"/>
              </w:rPr>
            </w:pPr>
          </w:p>
        </w:tc>
        <w:tc>
          <w:tcPr>
            <w:tcW w:w="1211"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5841AC40">
            <w:pPr>
              <w:spacing w:line="260" w:lineRule="exact"/>
              <w:rPr>
                <w:rFonts w:hint="eastAsia" w:ascii="宋体" w:hAnsi="宋体" w:eastAsia="宋体" w:cs="宋体"/>
                <w:color w:val="000000"/>
                <w:kern w:val="0"/>
                <w:sz w:val="18"/>
                <w:szCs w:val="18"/>
                <w:lang w:bidi="ar"/>
              </w:rPr>
            </w:pPr>
          </w:p>
        </w:tc>
        <w:tc>
          <w:tcPr>
            <w:tcW w:w="4862"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1CB1CA08">
            <w:pPr>
              <w:spacing w:line="260" w:lineRule="exact"/>
              <w:ind w:firstLine="360" w:firstLineChars="200"/>
              <w:rPr>
                <w:rFonts w:hint="eastAsia" w:ascii="宋体" w:hAnsi="宋体" w:eastAsia="宋体" w:cs="宋体"/>
                <w:color w:val="000000"/>
                <w:kern w:val="0"/>
                <w:sz w:val="18"/>
                <w:szCs w:val="18"/>
                <w:lang w:bidi="ar"/>
              </w:rPr>
            </w:pPr>
          </w:p>
        </w:tc>
        <w:tc>
          <w:tcPr>
            <w:tcW w:w="161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6B0051C1">
            <w:pPr>
              <w:spacing w:line="260" w:lineRule="exact"/>
              <w:ind w:firstLine="360" w:firstLineChars="200"/>
              <w:rPr>
                <w:rFonts w:hint="eastAsia" w:ascii="宋体" w:hAnsi="宋体" w:eastAsia="宋体" w:cs="宋体"/>
                <w:color w:val="000000"/>
                <w:kern w:val="0"/>
                <w:sz w:val="18"/>
                <w:szCs w:val="18"/>
                <w:lang w:bidi="ar"/>
              </w:rPr>
            </w:pP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6190DBD4">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一般</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39B6E7E2">
            <w:pPr>
              <w:spacing w:line="260" w:lineRule="exact"/>
              <w:rPr>
                <w:rFonts w:hint="eastAsia" w:ascii="宋体" w:hAnsi="宋体" w:eastAsia="宋体" w:cs="宋体"/>
                <w:color w:val="000000"/>
                <w:sz w:val="18"/>
                <w:szCs w:val="18"/>
                <w:lang w:bidi="ar"/>
              </w:rPr>
            </w:pPr>
            <w:r>
              <w:rPr>
                <w:rStyle w:val="21"/>
                <w:rFonts w:hint="eastAsia" w:ascii="宋体" w:hAnsi="宋体" w:eastAsia="宋体" w:cs="宋体"/>
                <w:sz w:val="18"/>
                <w:szCs w:val="18"/>
                <w:lang w:bidi="ar"/>
              </w:rPr>
              <w:t>违法所得在</w:t>
            </w:r>
            <w:r>
              <w:rPr>
                <w:rStyle w:val="21"/>
                <w:rFonts w:hint="eastAsia" w:ascii="宋体" w:hAnsi="宋体" w:eastAsia="宋体" w:cs="宋体"/>
                <w:sz w:val="18"/>
                <w:szCs w:val="18"/>
                <w:lang w:val="en-US" w:eastAsia="zh-CN" w:bidi="ar"/>
              </w:rPr>
              <w:t>5</w:t>
            </w:r>
            <w:r>
              <w:rPr>
                <w:rStyle w:val="21"/>
                <w:rFonts w:hint="eastAsia" w:ascii="宋体" w:hAnsi="宋体" w:eastAsia="宋体" w:cs="宋体"/>
                <w:sz w:val="18"/>
                <w:szCs w:val="18"/>
                <w:lang w:bidi="ar"/>
              </w:rPr>
              <w:t>千元以下的</w:t>
            </w: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1BA64AA6">
            <w:pPr>
              <w:spacing w:line="260" w:lineRule="exact"/>
              <w:rPr>
                <w:rFonts w:hint="eastAsia" w:ascii="宋体" w:hAnsi="宋体" w:eastAsia="宋体" w:cs="宋体"/>
                <w:color w:val="000000"/>
                <w:sz w:val="18"/>
                <w:szCs w:val="18"/>
                <w:lang w:bidi="ar"/>
              </w:rPr>
            </w:pPr>
            <w:r>
              <w:rPr>
                <w:rStyle w:val="21"/>
                <w:rFonts w:hint="eastAsia" w:ascii="宋体" w:hAnsi="宋体" w:eastAsia="宋体" w:cs="宋体"/>
                <w:sz w:val="18"/>
                <w:szCs w:val="18"/>
                <w:lang w:bidi="ar"/>
              </w:rPr>
              <w:t>处以违法所得一倍的罚款，最高不超过3万元的罚款</w:t>
            </w:r>
          </w:p>
        </w:tc>
        <w:tc>
          <w:tcPr>
            <w:tcW w:w="56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4D20DB8A">
            <w:pPr>
              <w:spacing w:line="260" w:lineRule="exact"/>
              <w:rPr>
                <w:rStyle w:val="21"/>
                <w:rFonts w:hint="eastAsia" w:ascii="宋体" w:hAnsi="宋体" w:eastAsia="宋体" w:cs="宋体"/>
                <w:sz w:val="18"/>
                <w:szCs w:val="18"/>
                <w:lang w:bidi="ar"/>
              </w:rPr>
            </w:pPr>
          </w:p>
        </w:tc>
      </w:tr>
      <w:tr w14:paraId="0C057E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495"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386554A7">
            <w:pPr>
              <w:spacing w:line="260" w:lineRule="exact"/>
              <w:jc w:val="center"/>
              <w:rPr>
                <w:rFonts w:hint="eastAsia" w:ascii="宋体" w:hAnsi="宋体" w:eastAsia="宋体" w:cs="宋体"/>
                <w:sz w:val="18"/>
                <w:szCs w:val="18"/>
              </w:rPr>
            </w:pPr>
          </w:p>
        </w:tc>
        <w:tc>
          <w:tcPr>
            <w:tcW w:w="1211"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154B1A4C">
            <w:pPr>
              <w:spacing w:line="260" w:lineRule="exact"/>
              <w:rPr>
                <w:rFonts w:hint="eastAsia" w:ascii="宋体" w:hAnsi="宋体" w:eastAsia="宋体" w:cs="宋体"/>
                <w:color w:val="000000"/>
                <w:kern w:val="0"/>
                <w:sz w:val="18"/>
                <w:szCs w:val="18"/>
                <w:lang w:bidi="ar"/>
              </w:rPr>
            </w:pPr>
          </w:p>
        </w:tc>
        <w:tc>
          <w:tcPr>
            <w:tcW w:w="4862"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1F6661B3">
            <w:pPr>
              <w:spacing w:line="260" w:lineRule="exact"/>
              <w:ind w:firstLine="360" w:firstLineChars="200"/>
              <w:rPr>
                <w:rFonts w:hint="eastAsia" w:ascii="宋体" w:hAnsi="宋体" w:eastAsia="宋体" w:cs="宋体"/>
                <w:color w:val="000000"/>
                <w:kern w:val="0"/>
                <w:sz w:val="18"/>
                <w:szCs w:val="18"/>
                <w:lang w:bidi="ar"/>
              </w:rPr>
            </w:pPr>
          </w:p>
        </w:tc>
        <w:tc>
          <w:tcPr>
            <w:tcW w:w="161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073311A6">
            <w:pPr>
              <w:spacing w:line="260" w:lineRule="exact"/>
              <w:ind w:firstLine="360" w:firstLineChars="200"/>
              <w:rPr>
                <w:rFonts w:hint="eastAsia" w:ascii="宋体" w:hAnsi="宋体" w:eastAsia="宋体" w:cs="宋体"/>
                <w:color w:val="000000"/>
                <w:kern w:val="0"/>
                <w:sz w:val="18"/>
                <w:szCs w:val="18"/>
                <w:lang w:bidi="ar"/>
              </w:rPr>
            </w:pP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1D6D6F52">
            <w:pPr>
              <w:spacing w:line="260" w:lineRule="exact"/>
              <w:jc w:val="center"/>
              <w:rPr>
                <w:rFonts w:hint="eastAsia" w:ascii="宋体" w:hAnsi="宋体" w:eastAsia="宋体" w:cs="宋体"/>
                <w:sz w:val="18"/>
                <w:szCs w:val="18"/>
                <w:lang w:eastAsia="zh-CN"/>
              </w:rPr>
            </w:pPr>
            <w:r>
              <w:rPr>
                <w:rFonts w:hint="eastAsia" w:ascii="宋体" w:hAnsi="宋体" w:eastAsia="宋体" w:cs="宋体"/>
                <w:sz w:val="18"/>
                <w:szCs w:val="18"/>
                <w:lang w:eastAsia="zh-CN"/>
              </w:rPr>
              <w:t>较重</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03EE4D0D">
            <w:pPr>
              <w:spacing w:line="260" w:lineRule="exact"/>
              <w:rPr>
                <w:rFonts w:hint="eastAsia" w:ascii="宋体" w:hAnsi="宋体" w:eastAsia="宋体" w:cs="宋体"/>
                <w:color w:val="000000"/>
                <w:sz w:val="18"/>
                <w:szCs w:val="18"/>
                <w:lang w:bidi="ar"/>
              </w:rPr>
            </w:pPr>
            <w:r>
              <w:rPr>
                <w:rStyle w:val="21"/>
                <w:rFonts w:hint="eastAsia" w:ascii="宋体" w:hAnsi="宋体" w:eastAsia="宋体" w:cs="宋体"/>
                <w:sz w:val="18"/>
                <w:szCs w:val="18"/>
                <w:lang w:bidi="ar"/>
              </w:rPr>
              <w:t>违法所得在</w:t>
            </w:r>
            <w:r>
              <w:rPr>
                <w:rStyle w:val="21"/>
                <w:rFonts w:hint="eastAsia" w:ascii="宋体" w:hAnsi="宋体" w:eastAsia="宋体" w:cs="宋体"/>
                <w:sz w:val="18"/>
                <w:szCs w:val="18"/>
                <w:lang w:val="en-US" w:eastAsia="zh-CN" w:bidi="ar"/>
              </w:rPr>
              <w:t>5</w:t>
            </w:r>
            <w:r>
              <w:rPr>
                <w:rStyle w:val="21"/>
                <w:rFonts w:hint="eastAsia" w:ascii="宋体" w:hAnsi="宋体" w:eastAsia="宋体" w:cs="宋体"/>
                <w:sz w:val="18"/>
                <w:szCs w:val="18"/>
                <w:lang w:bidi="ar"/>
              </w:rPr>
              <w:t>千元以上</w:t>
            </w:r>
            <w:r>
              <w:rPr>
                <w:rStyle w:val="21"/>
                <w:rFonts w:hint="eastAsia" w:ascii="宋体" w:hAnsi="宋体" w:eastAsia="宋体" w:cs="宋体"/>
                <w:sz w:val="18"/>
                <w:szCs w:val="18"/>
                <w:lang w:val="en-US" w:eastAsia="zh-CN" w:bidi="ar"/>
              </w:rPr>
              <w:t>1</w:t>
            </w:r>
            <w:r>
              <w:rPr>
                <w:rStyle w:val="21"/>
                <w:rFonts w:hint="eastAsia" w:ascii="宋体" w:hAnsi="宋体" w:eastAsia="宋体" w:cs="宋体"/>
                <w:sz w:val="18"/>
                <w:szCs w:val="18"/>
                <w:lang w:bidi="ar"/>
              </w:rPr>
              <w:t>万元以下的</w:t>
            </w: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5F4A0B9B">
            <w:pPr>
              <w:spacing w:line="260" w:lineRule="exact"/>
              <w:rPr>
                <w:rFonts w:hint="eastAsia" w:ascii="宋体" w:hAnsi="宋体" w:eastAsia="宋体" w:cs="宋体"/>
                <w:color w:val="000000"/>
                <w:sz w:val="18"/>
                <w:szCs w:val="18"/>
                <w:lang w:bidi="ar"/>
              </w:rPr>
            </w:pPr>
            <w:r>
              <w:rPr>
                <w:rStyle w:val="21"/>
                <w:rFonts w:hint="eastAsia" w:ascii="宋体" w:hAnsi="宋体" w:eastAsia="宋体" w:cs="宋体"/>
                <w:sz w:val="18"/>
                <w:szCs w:val="18"/>
                <w:lang w:bidi="ar"/>
              </w:rPr>
              <w:t>处以违法所得一倍以上二倍以下的罚款，最高不超过3万元的罚款</w:t>
            </w:r>
          </w:p>
        </w:tc>
        <w:tc>
          <w:tcPr>
            <w:tcW w:w="56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4AFE6997">
            <w:pPr>
              <w:spacing w:line="260" w:lineRule="exact"/>
              <w:rPr>
                <w:rStyle w:val="21"/>
                <w:rFonts w:hint="eastAsia" w:ascii="宋体" w:hAnsi="宋体" w:eastAsia="宋体" w:cs="宋体"/>
                <w:sz w:val="18"/>
                <w:szCs w:val="18"/>
                <w:lang w:bidi="ar"/>
              </w:rPr>
            </w:pPr>
          </w:p>
        </w:tc>
      </w:tr>
      <w:tr w14:paraId="3C5BAE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926" w:hRule="atLeast"/>
          <w:jc w:val="center"/>
        </w:trPr>
        <w:tc>
          <w:tcPr>
            <w:tcW w:w="495" w:type="dxa"/>
            <w:vMerge w:val="continue"/>
            <w:tcBorders>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7FC84525">
            <w:pPr>
              <w:spacing w:line="260" w:lineRule="exact"/>
              <w:jc w:val="center"/>
              <w:rPr>
                <w:rFonts w:hint="eastAsia" w:ascii="宋体" w:hAnsi="宋体" w:eastAsia="宋体" w:cs="宋体"/>
                <w:sz w:val="18"/>
                <w:szCs w:val="18"/>
              </w:rPr>
            </w:pPr>
          </w:p>
        </w:tc>
        <w:tc>
          <w:tcPr>
            <w:tcW w:w="1211" w:type="dxa"/>
            <w:vMerge w:val="continue"/>
            <w:tcBorders>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589EE506">
            <w:pPr>
              <w:spacing w:line="260" w:lineRule="exact"/>
              <w:rPr>
                <w:rFonts w:hint="eastAsia" w:ascii="宋体" w:hAnsi="宋体" w:eastAsia="宋体" w:cs="宋体"/>
                <w:color w:val="000000"/>
                <w:kern w:val="0"/>
                <w:sz w:val="18"/>
                <w:szCs w:val="18"/>
                <w:lang w:bidi="ar"/>
              </w:rPr>
            </w:pPr>
          </w:p>
        </w:tc>
        <w:tc>
          <w:tcPr>
            <w:tcW w:w="4862" w:type="dxa"/>
            <w:vMerge w:val="continue"/>
            <w:tcBorders>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2373E999">
            <w:pPr>
              <w:spacing w:line="260" w:lineRule="exact"/>
              <w:ind w:firstLine="360" w:firstLineChars="200"/>
              <w:rPr>
                <w:rFonts w:hint="eastAsia" w:ascii="宋体" w:hAnsi="宋体" w:eastAsia="宋体" w:cs="宋体"/>
                <w:color w:val="000000"/>
                <w:kern w:val="0"/>
                <w:sz w:val="18"/>
                <w:szCs w:val="18"/>
                <w:lang w:bidi="ar"/>
              </w:rPr>
            </w:pPr>
          </w:p>
        </w:tc>
        <w:tc>
          <w:tcPr>
            <w:tcW w:w="1613" w:type="dxa"/>
            <w:vMerge w:val="continue"/>
            <w:tcBorders>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553E242A">
            <w:pPr>
              <w:spacing w:line="260" w:lineRule="exact"/>
              <w:ind w:firstLine="360" w:firstLineChars="200"/>
              <w:rPr>
                <w:rFonts w:hint="eastAsia" w:ascii="宋体" w:hAnsi="宋体" w:eastAsia="宋体" w:cs="宋体"/>
                <w:color w:val="000000"/>
                <w:kern w:val="0"/>
                <w:sz w:val="18"/>
                <w:szCs w:val="18"/>
                <w:lang w:bidi="ar"/>
              </w:rPr>
            </w:pP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2244782E">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严重</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5D545DAA">
            <w:pPr>
              <w:spacing w:line="260" w:lineRule="exact"/>
              <w:rPr>
                <w:rFonts w:hint="eastAsia" w:ascii="宋体" w:hAnsi="宋体" w:eastAsia="宋体" w:cs="宋体"/>
                <w:color w:val="000000"/>
                <w:sz w:val="18"/>
                <w:szCs w:val="18"/>
                <w:lang w:bidi="ar"/>
              </w:rPr>
            </w:pPr>
            <w:r>
              <w:rPr>
                <w:rStyle w:val="21"/>
                <w:rFonts w:hint="eastAsia" w:ascii="宋体" w:hAnsi="宋体" w:eastAsia="宋体" w:cs="宋体"/>
                <w:sz w:val="18"/>
                <w:szCs w:val="18"/>
                <w:lang w:bidi="ar"/>
              </w:rPr>
              <w:t>违法所得在</w:t>
            </w:r>
            <w:r>
              <w:rPr>
                <w:rStyle w:val="21"/>
                <w:rFonts w:hint="eastAsia" w:ascii="宋体" w:hAnsi="宋体" w:eastAsia="宋体" w:cs="宋体"/>
                <w:sz w:val="18"/>
                <w:szCs w:val="18"/>
                <w:lang w:val="en-US" w:eastAsia="zh-CN" w:bidi="ar"/>
              </w:rPr>
              <w:t>1</w:t>
            </w:r>
            <w:r>
              <w:rPr>
                <w:rStyle w:val="21"/>
                <w:rFonts w:hint="eastAsia" w:ascii="宋体" w:hAnsi="宋体" w:eastAsia="宋体" w:cs="宋体"/>
                <w:sz w:val="18"/>
                <w:szCs w:val="18"/>
                <w:lang w:bidi="ar"/>
              </w:rPr>
              <w:t>万元以上的</w:t>
            </w: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03E86442">
            <w:pPr>
              <w:spacing w:line="260" w:lineRule="exact"/>
              <w:rPr>
                <w:rFonts w:hint="eastAsia" w:ascii="宋体" w:hAnsi="宋体" w:eastAsia="宋体" w:cs="宋体"/>
                <w:color w:val="000000"/>
                <w:sz w:val="18"/>
                <w:szCs w:val="18"/>
                <w:lang w:bidi="ar"/>
              </w:rPr>
            </w:pPr>
            <w:r>
              <w:rPr>
                <w:rStyle w:val="21"/>
                <w:rFonts w:hint="eastAsia" w:ascii="宋体" w:hAnsi="宋体" w:eastAsia="宋体" w:cs="宋体"/>
                <w:sz w:val="18"/>
                <w:szCs w:val="18"/>
                <w:lang w:bidi="ar"/>
              </w:rPr>
              <w:t>处以违法所得二倍以上三倍以下的罚款，最高不超过3万元的罚款</w:t>
            </w:r>
          </w:p>
        </w:tc>
        <w:tc>
          <w:tcPr>
            <w:tcW w:w="563" w:type="dxa"/>
            <w:vMerge w:val="continue"/>
            <w:tcBorders>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0178E500">
            <w:pPr>
              <w:spacing w:line="260" w:lineRule="exact"/>
              <w:rPr>
                <w:rStyle w:val="21"/>
                <w:rFonts w:hint="eastAsia" w:ascii="宋体" w:hAnsi="宋体" w:eastAsia="宋体" w:cs="宋体"/>
                <w:sz w:val="18"/>
                <w:szCs w:val="18"/>
                <w:lang w:bidi="ar"/>
              </w:rPr>
            </w:pPr>
          </w:p>
        </w:tc>
      </w:tr>
      <w:tr w14:paraId="3524CF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567" w:hRule="atLeast"/>
          <w:jc w:val="center"/>
        </w:trPr>
        <w:tc>
          <w:tcPr>
            <w:tcW w:w="495" w:type="dxa"/>
            <w:vMerge w:val="restart"/>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0295E6C3">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21</w:t>
            </w:r>
          </w:p>
        </w:tc>
        <w:tc>
          <w:tcPr>
            <w:tcW w:w="1211" w:type="dxa"/>
            <w:vMerge w:val="restart"/>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660A1DFA">
            <w:pPr>
              <w:widowControl/>
              <w:spacing w:line="260" w:lineRule="exact"/>
              <w:jc w:val="both"/>
              <w:textAlignment w:val="center"/>
              <w:rPr>
                <w:rFonts w:hint="eastAsia" w:ascii="宋体" w:hAnsi="宋体" w:eastAsia="宋体" w:cs="宋体"/>
                <w:color w:val="000000"/>
                <w:kern w:val="0"/>
                <w:sz w:val="18"/>
                <w:szCs w:val="18"/>
                <w:highlight w:val="none"/>
                <w:lang w:bidi="ar"/>
              </w:rPr>
            </w:pPr>
            <w:r>
              <w:rPr>
                <w:rFonts w:hint="eastAsia" w:ascii="宋体" w:hAnsi="宋体" w:eastAsia="宋体" w:cs="宋体"/>
                <w:color w:val="000000"/>
                <w:kern w:val="0"/>
                <w:sz w:val="18"/>
                <w:szCs w:val="18"/>
                <w:highlight w:val="none"/>
                <w:lang w:bidi="ar"/>
              </w:rPr>
              <w:t>对建设项目的节水设施没有建成或者没有达到国家规定的要求擅自投入使用行为的行政处罚</w:t>
            </w:r>
          </w:p>
        </w:tc>
        <w:tc>
          <w:tcPr>
            <w:tcW w:w="4862" w:type="dxa"/>
            <w:vMerge w:val="restart"/>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1B88CBCF">
            <w:pPr>
              <w:widowControl/>
              <w:spacing w:line="260" w:lineRule="exact"/>
              <w:jc w:val="both"/>
              <w:textAlignment w:val="center"/>
              <w:rPr>
                <w:rFonts w:hint="eastAsia" w:ascii="宋体" w:hAnsi="宋体" w:eastAsia="宋体" w:cs="宋体"/>
                <w:color w:val="000000"/>
                <w:kern w:val="0"/>
                <w:sz w:val="18"/>
                <w:szCs w:val="18"/>
                <w:highlight w:val="none"/>
                <w:lang w:bidi="ar"/>
              </w:rPr>
            </w:pPr>
            <w:r>
              <w:rPr>
                <w:rFonts w:hint="eastAsia" w:ascii="宋体" w:hAnsi="宋体" w:eastAsia="宋体" w:cs="宋体"/>
                <w:color w:val="000000"/>
                <w:kern w:val="0"/>
                <w:sz w:val="18"/>
                <w:szCs w:val="18"/>
                <w:highlight w:val="none"/>
                <w:lang w:bidi="ar"/>
              </w:rPr>
              <w:t>《中华人民共和国水法》第七十一条 建设项目的节水设施没有建成或者没有达到国家规定的要求，擅自投入使用的，由县级以上人民政府有关部门或者流域管理机构依据职权，责令停止使用，限期改正，处五万元以上十万元以下的罚款。</w:t>
            </w:r>
          </w:p>
          <w:p w14:paraId="4DCB4C89">
            <w:pPr>
              <w:widowControl/>
              <w:spacing w:line="260" w:lineRule="exact"/>
              <w:jc w:val="both"/>
              <w:textAlignment w:val="center"/>
              <w:rPr>
                <w:rFonts w:hint="eastAsia" w:ascii="宋体" w:hAnsi="宋体" w:eastAsia="宋体" w:cs="宋体"/>
                <w:color w:val="000000"/>
                <w:kern w:val="0"/>
                <w:sz w:val="18"/>
                <w:szCs w:val="18"/>
                <w:highlight w:val="none"/>
                <w:lang w:bidi="ar"/>
              </w:rPr>
            </w:pPr>
            <w:r>
              <w:rPr>
                <w:rFonts w:hint="eastAsia" w:ascii="宋体" w:hAnsi="宋体" w:eastAsia="宋体" w:cs="宋体"/>
                <w:color w:val="000000"/>
                <w:kern w:val="0"/>
                <w:sz w:val="18"/>
                <w:szCs w:val="18"/>
                <w:highlight w:val="none"/>
                <w:lang w:bidi="ar"/>
              </w:rPr>
              <w:t>《河北省节约用水条例》第七十三条 违反本条例规定，有下列行为之一的，由县级以上人民政府有关部门按照职责分工予以处罚：</w:t>
            </w:r>
          </w:p>
          <w:p w14:paraId="2EE843AA">
            <w:pPr>
              <w:pStyle w:val="2"/>
              <w:spacing w:line="260" w:lineRule="exact"/>
              <w:rPr>
                <w:rFonts w:hint="eastAsia" w:ascii="宋体" w:hAnsi="宋体" w:eastAsia="宋体" w:cs="宋体"/>
                <w:sz w:val="18"/>
                <w:szCs w:val="18"/>
                <w:highlight w:val="none"/>
              </w:rPr>
            </w:pPr>
            <w:r>
              <w:rPr>
                <w:rFonts w:hint="eastAsia" w:ascii="宋体" w:hAnsi="宋体" w:eastAsia="宋体" w:cs="宋体"/>
                <w:color w:val="000000"/>
                <w:kern w:val="0"/>
                <w:sz w:val="18"/>
                <w:szCs w:val="18"/>
                <w:highlight w:val="none"/>
                <w:lang w:bidi="ar"/>
              </w:rPr>
              <w:t>（一）项目建设单位未落实建设节水设施要求的，或者建设项目擅自停用节水设施的，责令限期改正；逾期未改正的，处五万元以上十万元以下罚款。</w:t>
            </w:r>
          </w:p>
        </w:tc>
        <w:tc>
          <w:tcPr>
            <w:tcW w:w="1613" w:type="dxa"/>
            <w:vMerge w:val="restart"/>
            <w:tcBorders>
              <w:top w:val="single" w:color="auto" w:sz="4" w:space="0"/>
              <w:left w:val="single" w:color="auto" w:sz="4" w:space="0"/>
              <w:right w:val="single" w:color="auto" w:sz="4" w:space="0"/>
            </w:tcBorders>
            <w:shd w:val="clear" w:color="auto" w:fill="FFFFFF"/>
            <w:noWrap w:val="0"/>
            <w:tcMar>
              <w:top w:w="0" w:type="dxa"/>
              <w:left w:w="0" w:type="dxa"/>
              <w:bottom w:w="0" w:type="dxa"/>
              <w:right w:w="0" w:type="dxa"/>
            </w:tcMar>
            <w:vAlign w:val="center"/>
          </w:tcPr>
          <w:p w14:paraId="3432E40A">
            <w:pPr>
              <w:widowControl/>
              <w:spacing w:line="260" w:lineRule="exact"/>
              <w:jc w:val="both"/>
              <w:textAlignment w:val="center"/>
              <w:rPr>
                <w:rFonts w:hint="eastAsia" w:ascii="宋体" w:hAnsi="宋体" w:eastAsia="宋体" w:cs="宋体"/>
                <w:color w:val="000000"/>
                <w:kern w:val="0"/>
                <w:sz w:val="18"/>
                <w:szCs w:val="18"/>
                <w:lang w:val="en-US" w:eastAsia="zh-CN" w:bidi="ar"/>
              </w:rPr>
            </w:pPr>
            <w:r>
              <w:rPr>
                <w:rFonts w:hint="eastAsia" w:ascii="宋体" w:hAnsi="宋体" w:eastAsia="宋体" w:cs="宋体"/>
                <w:color w:val="000000"/>
                <w:kern w:val="0"/>
                <w:sz w:val="18"/>
                <w:szCs w:val="18"/>
                <w:lang w:bidi="ar"/>
              </w:rPr>
              <w:t>建设项目的节水设施没有建成或者没有达到国家规定的要求，擅自投入使用</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val="en-US" w:eastAsia="zh-CN" w:bidi="ar"/>
              </w:rPr>
              <w:t>且</w:t>
            </w:r>
            <w:r>
              <w:rPr>
                <w:rFonts w:hint="eastAsia" w:ascii="宋体" w:hAnsi="宋体" w:eastAsia="宋体" w:cs="宋体"/>
                <w:color w:val="000000"/>
                <w:kern w:val="0"/>
                <w:sz w:val="18"/>
                <w:szCs w:val="18"/>
                <w:highlight w:val="none"/>
                <w:lang w:bidi="ar"/>
              </w:rPr>
              <w:t>逾期未改正的</w:t>
            </w: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6145C3FB">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轻微</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7C705F1F">
            <w:pPr>
              <w:spacing w:line="240" w:lineRule="exact"/>
              <w:rPr>
                <w:rStyle w:val="21"/>
                <w:rFonts w:hint="eastAsia" w:ascii="宋体" w:hAnsi="宋体" w:eastAsia="宋体" w:cs="宋体"/>
                <w:sz w:val="18"/>
                <w:szCs w:val="18"/>
                <w:lang w:bidi="ar"/>
              </w:rPr>
            </w:pPr>
            <w:r>
              <w:rPr>
                <w:rStyle w:val="21"/>
                <w:rFonts w:hint="eastAsia" w:ascii="宋体" w:hAnsi="宋体" w:eastAsia="宋体" w:cs="宋体"/>
                <w:sz w:val="18"/>
                <w:szCs w:val="18"/>
                <w:lang w:bidi="ar"/>
              </w:rPr>
              <w:t>1.当事人配合检查、调查，并及时纠正其违法行为，属于首次被发现；</w:t>
            </w:r>
          </w:p>
          <w:p w14:paraId="6B46ED03">
            <w:pPr>
              <w:spacing w:line="240" w:lineRule="exact"/>
              <w:rPr>
                <w:rStyle w:val="21"/>
                <w:rFonts w:hint="eastAsia" w:ascii="宋体" w:hAnsi="宋体" w:eastAsia="宋体" w:cs="宋体"/>
                <w:sz w:val="18"/>
                <w:szCs w:val="18"/>
                <w:lang w:bidi="ar"/>
              </w:rPr>
            </w:pPr>
            <w:r>
              <w:rPr>
                <w:rStyle w:val="21"/>
                <w:rFonts w:hint="eastAsia" w:ascii="宋体" w:hAnsi="宋体" w:eastAsia="宋体" w:cs="宋体"/>
                <w:sz w:val="18"/>
                <w:szCs w:val="18"/>
                <w:lang w:bidi="ar"/>
              </w:rPr>
              <w:t>2.在规定时间内建成节水设施，或修改达到国家规定的要求，签订承诺书，保证节水设施正常运行的；</w:t>
            </w:r>
          </w:p>
          <w:p w14:paraId="37AC8CF7">
            <w:pPr>
              <w:spacing w:line="240" w:lineRule="exact"/>
              <w:rPr>
                <w:rStyle w:val="21"/>
                <w:rFonts w:hint="eastAsia" w:ascii="宋体" w:hAnsi="宋体" w:eastAsia="宋体" w:cs="宋体"/>
                <w:sz w:val="18"/>
                <w:szCs w:val="18"/>
                <w:lang w:bidi="ar"/>
              </w:rPr>
            </w:pPr>
            <w:r>
              <w:rPr>
                <w:rStyle w:val="21"/>
                <w:rFonts w:hint="eastAsia" w:ascii="宋体" w:hAnsi="宋体" w:eastAsia="宋体" w:cs="宋体"/>
                <w:sz w:val="18"/>
                <w:szCs w:val="18"/>
                <w:lang w:bidi="ar"/>
              </w:rPr>
              <w:t>3.没有造成危害后果的；</w:t>
            </w:r>
          </w:p>
          <w:p w14:paraId="535D8C5E">
            <w:pPr>
              <w:pStyle w:val="2"/>
              <w:spacing w:line="240" w:lineRule="exact"/>
              <w:rPr>
                <w:rFonts w:hint="eastAsia" w:ascii="宋体" w:hAnsi="宋体" w:eastAsia="宋体" w:cs="宋体"/>
                <w:sz w:val="18"/>
                <w:szCs w:val="18"/>
              </w:rPr>
            </w:pPr>
            <w:r>
              <w:rPr>
                <w:rStyle w:val="21"/>
                <w:rFonts w:hint="eastAsia" w:ascii="宋体" w:hAnsi="宋体" w:eastAsia="宋体" w:cs="宋体"/>
                <w:sz w:val="18"/>
                <w:szCs w:val="18"/>
                <w:lang w:val="en-US" w:eastAsia="zh-CN" w:bidi="ar"/>
              </w:rPr>
              <w:t>（注：符合上述所有情形的，不予处罚，应将本次违法情况进行登记备案，以后再发生类似问题的将不再适用本条件）</w:t>
            </w: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27E0E467">
            <w:pPr>
              <w:spacing w:line="260" w:lineRule="exact"/>
              <w:rPr>
                <w:rStyle w:val="21"/>
                <w:rFonts w:hint="eastAsia" w:ascii="宋体" w:hAnsi="宋体" w:eastAsia="宋体" w:cs="宋体"/>
                <w:sz w:val="18"/>
                <w:szCs w:val="18"/>
                <w:lang w:bidi="ar"/>
              </w:rPr>
            </w:pPr>
            <w:r>
              <w:rPr>
                <w:rStyle w:val="21"/>
                <w:rFonts w:hint="eastAsia" w:ascii="宋体" w:hAnsi="宋体" w:eastAsia="宋体" w:cs="宋体"/>
                <w:sz w:val="18"/>
                <w:szCs w:val="18"/>
                <w:lang w:bidi="ar"/>
              </w:rPr>
              <w:t>不予处罚</w:t>
            </w:r>
          </w:p>
        </w:tc>
        <w:tc>
          <w:tcPr>
            <w:tcW w:w="563" w:type="dxa"/>
            <w:vMerge w:val="restart"/>
            <w:tcBorders>
              <w:top w:val="single" w:color="auto" w:sz="4" w:space="0"/>
              <w:left w:val="single" w:color="auto" w:sz="4" w:space="0"/>
              <w:right w:val="single" w:color="auto" w:sz="4" w:space="0"/>
            </w:tcBorders>
            <w:shd w:val="clear" w:color="auto" w:fill="FFFFFF"/>
            <w:noWrap w:val="0"/>
            <w:tcMar>
              <w:top w:w="0" w:type="dxa"/>
              <w:left w:w="0" w:type="dxa"/>
              <w:bottom w:w="0" w:type="dxa"/>
              <w:right w:w="0" w:type="dxa"/>
            </w:tcMar>
            <w:vAlign w:val="center"/>
          </w:tcPr>
          <w:p w14:paraId="1B914D84">
            <w:pPr>
              <w:spacing w:line="260" w:lineRule="exact"/>
              <w:rPr>
                <w:rStyle w:val="21"/>
                <w:rFonts w:hint="eastAsia" w:ascii="宋体" w:hAnsi="宋体" w:eastAsia="宋体" w:cs="宋体"/>
                <w:sz w:val="18"/>
                <w:szCs w:val="18"/>
                <w:lang w:bidi="ar"/>
              </w:rPr>
            </w:pPr>
          </w:p>
        </w:tc>
      </w:tr>
      <w:tr w14:paraId="05AEAD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454" w:hRule="atLeast"/>
          <w:jc w:val="center"/>
        </w:trPr>
        <w:tc>
          <w:tcPr>
            <w:tcW w:w="495"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65B27DC4">
            <w:pPr>
              <w:spacing w:line="260" w:lineRule="exact"/>
              <w:jc w:val="center"/>
              <w:rPr>
                <w:rFonts w:hint="eastAsia" w:ascii="宋体" w:hAnsi="宋体" w:eastAsia="宋体" w:cs="宋体"/>
                <w:sz w:val="18"/>
                <w:szCs w:val="18"/>
              </w:rPr>
            </w:pPr>
          </w:p>
        </w:tc>
        <w:tc>
          <w:tcPr>
            <w:tcW w:w="1211"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040EE957">
            <w:pPr>
              <w:spacing w:line="260" w:lineRule="exact"/>
              <w:rPr>
                <w:rFonts w:hint="eastAsia" w:ascii="宋体" w:hAnsi="宋体" w:eastAsia="宋体" w:cs="宋体"/>
                <w:color w:val="000000"/>
                <w:kern w:val="0"/>
                <w:sz w:val="18"/>
                <w:szCs w:val="18"/>
                <w:lang w:bidi="ar"/>
              </w:rPr>
            </w:pPr>
          </w:p>
        </w:tc>
        <w:tc>
          <w:tcPr>
            <w:tcW w:w="4862"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5392CEE7">
            <w:pPr>
              <w:spacing w:line="260" w:lineRule="exact"/>
              <w:ind w:firstLine="360" w:firstLineChars="200"/>
              <w:rPr>
                <w:rFonts w:hint="eastAsia" w:ascii="宋体" w:hAnsi="宋体" w:eastAsia="宋体" w:cs="宋体"/>
                <w:color w:val="000000"/>
                <w:kern w:val="0"/>
                <w:sz w:val="18"/>
                <w:szCs w:val="18"/>
                <w:lang w:bidi="ar"/>
              </w:rPr>
            </w:pPr>
          </w:p>
        </w:tc>
        <w:tc>
          <w:tcPr>
            <w:tcW w:w="161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22887980">
            <w:pPr>
              <w:spacing w:line="260" w:lineRule="exact"/>
              <w:ind w:firstLine="360" w:firstLineChars="200"/>
              <w:rPr>
                <w:rFonts w:hint="eastAsia" w:ascii="宋体" w:hAnsi="宋体" w:eastAsia="宋体" w:cs="宋体"/>
                <w:color w:val="000000"/>
                <w:kern w:val="0"/>
                <w:sz w:val="18"/>
                <w:szCs w:val="18"/>
                <w:lang w:bidi="ar"/>
              </w:rPr>
            </w:pP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7D074DF3">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较轻</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307DD7A8">
            <w:pPr>
              <w:snapToGrid/>
              <w:spacing w:line="24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5994EB60">
            <w:pPr>
              <w:spacing w:line="240" w:lineRule="exact"/>
              <w:rPr>
                <w:rFonts w:hint="eastAsia" w:ascii="宋体" w:hAnsi="宋体" w:eastAsia="宋体" w:cs="宋体"/>
                <w:color w:val="000000"/>
                <w:sz w:val="18"/>
                <w:szCs w:val="18"/>
                <w:lang w:bidi="ar"/>
              </w:rPr>
            </w:pP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1ED9A5BD">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4F4E32D2">
            <w:pPr>
              <w:spacing w:line="260" w:lineRule="exact"/>
              <w:rPr>
                <w:rFonts w:hint="eastAsia" w:ascii="宋体" w:hAnsi="宋体" w:eastAsia="宋体" w:cs="宋体"/>
                <w:color w:val="000000"/>
                <w:sz w:val="18"/>
                <w:szCs w:val="18"/>
                <w:lang w:bidi="ar"/>
              </w:rPr>
            </w:pPr>
          </w:p>
        </w:tc>
        <w:tc>
          <w:tcPr>
            <w:tcW w:w="56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589DF341">
            <w:pPr>
              <w:spacing w:line="260" w:lineRule="exact"/>
              <w:rPr>
                <w:rStyle w:val="21"/>
                <w:rFonts w:hint="eastAsia" w:ascii="宋体" w:hAnsi="宋体" w:eastAsia="宋体" w:cs="宋体"/>
                <w:sz w:val="18"/>
                <w:szCs w:val="18"/>
                <w:lang w:bidi="ar"/>
              </w:rPr>
            </w:pPr>
          </w:p>
        </w:tc>
      </w:tr>
      <w:tr w14:paraId="38C5D7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567" w:hRule="atLeast"/>
          <w:jc w:val="center"/>
        </w:trPr>
        <w:tc>
          <w:tcPr>
            <w:tcW w:w="495"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577D2B26">
            <w:pPr>
              <w:spacing w:line="260" w:lineRule="exact"/>
              <w:jc w:val="center"/>
              <w:rPr>
                <w:rFonts w:hint="eastAsia" w:ascii="宋体" w:hAnsi="宋体" w:eastAsia="宋体" w:cs="宋体"/>
                <w:sz w:val="18"/>
                <w:szCs w:val="18"/>
              </w:rPr>
            </w:pPr>
          </w:p>
        </w:tc>
        <w:tc>
          <w:tcPr>
            <w:tcW w:w="1211"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1716EAD8">
            <w:pPr>
              <w:spacing w:line="260" w:lineRule="exact"/>
              <w:rPr>
                <w:rFonts w:hint="eastAsia" w:ascii="宋体" w:hAnsi="宋体" w:eastAsia="宋体" w:cs="宋体"/>
                <w:color w:val="000000"/>
                <w:kern w:val="0"/>
                <w:sz w:val="18"/>
                <w:szCs w:val="18"/>
                <w:lang w:bidi="ar"/>
              </w:rPr>
            </w:pPr>
          </w:p>
        </w:tc>
        <w:tc>
          <w:tcPr>
            <w:tcW w:w="4862"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5EB8CCFC">
            <w:pPr>
              <w:spacing w:line="260" w:lineRule="exact"/>
              <w:ind w:firstLine="360" w:firstLineChars="200"/>
              <w:rPr>
                <w:rFonts w:hint="eastAsia" w:ascii="宋体" w:hAnsi="宋体" w:eastAsia="宋体" w:cs="宋体"/>
                <w:color w:val="000000"/>
                <w:kern w:val="0"/>
                <w:sz w:val="18"/>
                <w:szCs w:val="18"/>
                <w:lang w:bidi="ar"/>
              </w:rPr>
            </w:pPr>
          </w:p>
        </w:tc>
        <w:tc>
          <w:tcPr>
            <w:tcW w:w="161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0585E1C0">
            <w:pPr>
              <w:spacing w:line="260" w:lineRule="exact"/>
              <w:ind w:firstLine="360" w:firstLineChars="200"/>
              <w:rPr>
                <w:rFonts w:hint="eastAsia" w:ascii="宋体" w:hAnsi="宋体" w:eastAsia="宋体" w:cs="宋体"/>
                <w:color w:val="000000"/>
                <w:kern w:val="0"/>
                <w:sz w:val="18"/>
                <w:szCs w:val="18"/>
                <w:lang w:bidi="ar"/>
              </w:rPr>
            </w:pP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6D84AD1F">
            <w:pPr>
              <w:widowControl/>
              <w:spacing w:line="260" w:lineRule="exact"/>
              <w:jc w:val="center"/>
              <w:textAlignment w:val="center"/>
              <w:rPr>
                <w:rFonts w:hint="eastAsia" w:ascii="宋体" w:hAnsi="宋体" w:eastAsia="宋体" w:cs="宋体"/>
                <w:color w:val="000000"/>
                <w:kern w:val="0"/>
                <w:sz w:val="18"/>
                <w:szCs w:val="18"/>
                <w:highlight w:val="none"/>
                <w:lang w:bidi="ar"/>
              </w:rPr>
            </w:pPr>
            <w:r>
              <w:rPr>
                <w:rFonts w:hint="eastAsia" w:ascii="宋体" w:hAnsi="宋体" w:eastAsia="宋体" w:cs="宋体"/>
                <w:color w:val="000000"/>
                <w:kern w:val="0"/>
                <w:sz w:val="18"/>
                <w:szCs w:val="18"/>
                <w:highlight w:val="none"/>
                <w:lang w:bidi="ar"/>
              </w:rPr>
              <w:t>一般</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36058616">
            <w:pPr>
              <w:widowControl/>
              <w:spacing w:line="260" w:lineRule="exact"/>
              <w:jc w:val="both"/>
              <w:textAlignment w:val="center"/>
              <w:rPr>
                <w:rFonts w:hint="eastAsia" w:ascii="宋体" w:hAnsi="宋体" w:eastAsia="宋体" w:cs="宋体"/>
                <w:color w:val="000000"/>
                <w:kern w:val="0"/>
                <w:sz w:val="18"/>
                <w:szCs w:val="18"/>
                <w:highlight w:val="none"/>
                <w:lang w:val="en-US" w:eastAsia="zh-CN" w:bidi="ar"/>
              </w:rPr>
            </w:pPr>
            <w:r>
              <w:rPr>
                <w:rFonts w:hint="eastAsia" w:ascii="宋体" w:hAnsi="宋体" w:eastAsia="宋体" w:cs="宋体"/>
                <w:color w:val="000000"/>
                <w:kern w:val="0"/>
                <w:sz w:val="18"/>
                <w:szCs w:val="18"/>
                <w:highlight w:val="none"/>
                <w:lang w:bidi="ar"/>
              </w:rPr>
              <w:t>对建设单位未落实建设节水设施要求，或者建设项目擅自停止使用节水设施行为</w:t>
            </w:r>
            <w:r>
              <w:rPr>
                <w:rFonts w:hint="eastAsia" w:ascii="宋体" w:hAnsi="宋体" w:eastAsia="宋体" w:cs="宋体"/>
                <w:color w:val="000000"/>
                <w:kern w:val="0"/>
                <w:sz w:val="18"/>
                <w:szCs w:val="18"/>
                <w:highlight w:val="none"/>
                <w:lang w:val="en" w:bidi="ar"/>
              </w:rPr>
              <w:t>，</w:t>
            </w:r>
            <w:r>
              <w:rPr>
                <w:rFonts w:hint="eastAsia" w:ascii="宋体" w:hAnsi="宋体" w:eastAsia="宋体" w:cs="宋体"/>
                <w:color w:val="000000"/>
                <w:kern w:val="0"/>
                <w:sz w:val="18"/>
                <w:szCs w:val="18"/>
                <w:highlight w:val="none"/>
                <w:lang w:bidi="ar"/>
              </w:rPr>
              <w:t>不按要求整改的，超过规定期限不足</w:t>
            </w:r>
            <w:r>
              <w:rPr>
                <w:rFonts w:hint="eastAsia" w:ascii="宋体" w:hAnsi="宋体" w:eastAsia="宋体" w:cs="宋体"/>
                <w:color w:val="000000"/>
                <w:kern w:val="0"/>
                <w:sz w:val="18"/>
                <w:szCs w:val="18"/>
                <w:highlight w:val="none"/>
                <w:lang w:val="en-US" w:eastAsia="zh-CN" w:bidi="ar"/>
              </w:rPr>
              <w:t>30</w:t>
            </w:r>
            <w:r>
              <w:rPr>
                <w:rFonts w:hint="eastAsia" w:ascii="宋体" w:hAnsi="宋体" w:eastAsia="宋体" w:cs="宋体"/>
                <w:color w:val="000000"/>
                <w:kern w:val="0"/>
                <w:sz w:val="18"/>
                <w:szCs w:val="18"/>
                <w:highlight w:val="none"/>
                <w:lang w:eastAsia="zh-CN" w:bidi="ar"/>
              </w:rPr>
              <w:t>日</w:t>
            </w: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5B2E8D77">
            <w:pPr>
              <w:widowControl/>
              <w:spacing w:line="260" w:lineRule="exact"/>
              <w:jc w:val="both"/>
              <w:textAlignment w:val="center"/>
              <w:rPr>
                <w:rFonts w:hint="eastAsia" w:ascii="宋体" w:hAnsi="宋体" w:eastAsia="宋体" w:cs="宋体"/>
                <w:color w:val="000000"/>
                <w:kern w:val="0"/>
                <w:sz w:val="18"/>
                <w:szCs w:val="18"/>
                <w:highlight w:val="none"/>
                <w:lang w:val="en-US" w:eastAsia="zh-CN" w:bidi="ar"/>
              </w:rPr>
            </w:pPr>
            <w:r>
              <w:rPr>
                <w:rFonts w:hint="eastAsia" w:ascii="宋体" w:hAnsi="宋体" w:eastAsia="宋体" w:cs="宋体"/>
                <w:color w:val="000000"/>
                <w:kern w:val="0"/>
                <w:sz w:val="18"/>
                <w:szCs w:val="18"/>
                <w:highlight w:val="none"/>
                <w:lang w:bidi="ar"/>
              </w:rPr>
              <w:t>处</w:t>
            </w:r>
            <w:r>
              <w:rPr>
                <w:rFonts w:hint="eastAsia" w:ascii="宋体" w:hAnsi="宋体" w:eastAsia="宋体" w:cs="宋体"/>
                <w:color w:val="000000"/>
                <w:kern w:val="0"/>
                <w:sz w:val="18"/>
                <w:szCs w:val="18"/>
                <w:highlight w:val="none"/>
                <w:lang w:val="en-US" w:eastAsia="zh-CN" w:bidi="ar"/>
              </w:rPr>
              <w:t>5</w:t>
            </w:r>
            <w:r>
              <w:rPr>
                <w:rFonts w:hint="eastAsia" w:ascii="宋体" w:hAnsi="宋体" w:eastAsia="宋体" w:cs="宋体"/>
                <w:color w:val="000000"/>
                <w:kern w:val="0"/>
                <w:sz w:val="18"/>
                <w:szCs w:val="18"/>
                <w:highlight w:val="none"/>
                <w:lang w:bidi="ar"/>
              </w:rPr>
              <w:t>万元以上</w:t>
            </w:r>
            <w:r>
              <w:rPr>
                <w:rFonts w:hint="eastAsia" w:ascii="宋体" w:hAnsi="宋体" w:eastAsia="宋体" w:cs="宋体"/>
                <w:color w:val="000000"/>
                <w:kern w:val="0"/>
                <w:sz w:val="18"/>
                <w:szCs w:val="18"/>
                <w:highlight w:val="none"/>
                <w:lang w:val="en-US" w:eastAsia="zh-CN" w:bidi="ar"/>
              </w:rPr>
              <w:t>7</w:t>
            </w:r>
            <w:r>
              <w:rPr>
                <w:rFonts w:hint="eastAsia" w:ascii="宋体" w:hAnsi="宋体" w:eastAsia="宋体" w:cs="宋体"/>
                <w:color w:val="000000"/>
                <w:kern w:val="0"/>
                <w:sz w:val="18"/>
                <w:szCs w:val="18"/>
                <w:highlight w:val="none"/>
                <w:lang w:bidi="ar"/>
              </w:rPr>
              <w:t>万元以下罚款</w:t>
            </w:r>
          </w:p>
        </w:tc>
        <w:tc>
          <w:tcPr>
            <w:tcW w:w="56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0048B529">
            <w:pPr>
              <w:spacing w:line="260" w:lineRule="exact"/>
              <w:rPr>
                <w:rStyle w:val="21"/>
                <w:rFonts w:hint="eastAsia" w:ascii="宋体" w:hAnsi="宋体" w:eastAsia="宋体" w:cs="宋体"/>
                <w:sz w:val="18"/>
                <w:szCs w:val="18"/>
                <w:lang w:bidi="ar"/>
              </w:rPr>
            </w:pPr>
          </w:p>
        </w:tc>
      </w:tr>
      <w:tr w14:paraId="3C4038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567" w:hRule="atLeast"/>
          <w:jc w:val="center"/>
        </w:trPr>
        <w:tc>
          <w:tcPr>
            <w:tcW w:w="495"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42F5D9AD">
            <w:pPr>
              <w:spacing w:line="260" w:lineRule="exact"/>
              <w:jc w:val="center"/>
              <w:rPr>
                <w:rFonts w:hint="eastAsia" w:ascii="宋体" w:hAnsi="宋体" w:eastAsia="宋体" w:cs="宋体"/>
                <w:sz w:val="18"/>
                <w:szCs w:val="18"/>
              </w:rPr>
            </w:pPr>
          </w:p>
        </w:tc>
        <w:tc>
          <w:tcPr>
            <w:tcW w:w="1211"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3A957EA0">
            <w:pPr>
              <w:spacing w:line="260" w:lineRule="exact"/>
              <w:rPr>
                <w:rFonts w:hint="eastAsia" w:ascii="宋体" w:hAnsi="宋体" w:eastAsia="宋体" w:cs="宋体"/>
                <w:color w:val="000000"/>
                <w:kern w:val="0"/>
                <w:sz w:val="18"/>
                <w:szCs w:val="18"/>
                <w:lang w:bidi="ar"/>
              </w:rPr>
            </w:pPr>
          </w:p>
        </w:tc>
        <w:tc>
          <w:tcPr>
            <w:tcW w:w="4862"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3E2B1214">
            <w:pPr>
              <w:spacing w:line="260" w:lineRule="exact"/>
              <w:ind w:firstLine="360" w:firstLineChars="200"/>
              <w:rPr>
                <w:rFonts w:hint="eastAsia" w:ascii="宋体" w:hAnsi="宋体" w:eastAsia="宋体" w:cs="宋体"/>
                <w:color w:val="000000"/>
                <w:kern w:val="0"/>
                <w:sz w:val="18"/>
                <w:szCs w:val="18"/>
                <w:lang w:bidi="ar"/>
              </w:rPr>
            </w:pPr>
          </w:p>
        </w:tc>
        <w:tc>
          <w:tcPr>
            <w:tcW w:w="161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1E8297DD">
            <w:pPr>
              <w:spacing w:line="260" w:lineRule="exact"/>
              <w:ind w:firstLine="360" w:firstLineChars="200"/>
              <w:rPr>
                <w:rFonts w:hint="eastAsia" w:ascii="宋体" w:hAnsi="宋体" w:eastAsia="宋体" w:cs="宋体"/>
                <w:color w:val="000000"/>
                <w:kern w:val="0"/>
                <w:sz w:val="18"/>
                <w:szCs w:val="18"/>
                <w:lang w:bidi="ar"/>
              </w:rPr>
            </w:pP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4660E333">
            <w:pPr>
              <w:widowControl/>
              <w:spacing w:line="260" w:lineRule="exact"/>
              <w:jc w:val="center"/>
              <w:textAlignment w:val="center"/>
              <w:rPr>
                <w:rFonts w:hint="eastAsia" w:ascii="宋体" w:hAnsi="宋体" w:eastAsia="宋体" w:cs="宋体"/>
                <w:color w:val="000000"/>
                <w:kern w:val="0"/>
                <w:sz w:val="18"/>
                <w:szCs w:val="18"/>
                <w:highlight w:val="none"/>
                <w:lang w:eastAsia="zh-CN" w:bidi="ar"/>
              </w:rPr>
            </w:pPr>
            <w:r>
              <w:rPr>
                <w:rFonts w:hint="eastAsia" w:ascii="宋体" w:hAnsi="宋体" w:eastAsia="宋体" w:cs="宋体"/>
                <w:color w:val="000000"/>
                <w:kern w:val="0"/>
                <w:sz w:val="18"/>
                <w:szCs w:val="18"/>
                <w:highlight w:val="none"/>
                <w:lang w:eastAsia="zh-CN" w:bidi="ar"/>
              </w:rPr>
              <w:t>较重</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5E9B7FCD">
            <w:pPr>
              <w:widowControl/>
              <w:spacing w:line="260" w:lineRule="exact"/>
              <w:jc w:val="both"/>
              <w:textAlignment w:val="center"/>
              <w:rPr>
                <w:rFonts w:hint="eastAsia" w:ascii="宋体" w:hAnsi="宋体" w:eastAsia="宋体" w:cs="宋体"/>
                <w:color w:val="000000"/>
                <w:kern w:val="0"/>
                <w:sz w:val="18"/>
                <w:szCs w:val="18"/>
                <w:highlight w:val="none"/>
                <w:lang w:val="en-US" w:eastAsia="zh-CN" w:bidi="ar"/>
              </w:rPr>
            </w:pPr>
            <w:r>
              <w:rPr>
                <w:rFonts w:hint="eastAsia" w:ascii="宋体" w:hAnsi="宋体" w:eastAsia="宋体" w:cs="宋体"/>
                <w:color w:val="000000"/>
                <w:kern w:val="0"/>
                <w:sz w:val="18"/>
                <w:szCs w:val="18"/>
                <w:highlight w:val="none"/>
                <w:lang w:bidi="ar"/>
              </w:rPr>
              <w:t>对建设单位未落实建设节水设施要求，或者建设项目擅自停止使用节水设施行为</w:t>
            </w:r>
            <w:r>
              <w:rPr>
                <w:rFonts w:hint="eastAsia" w:ascii="宋体" w:hAnsi="宋体" w:eastAsia="宋体" w:cs="宋体"/>
                <w:color w:val="000000"/>
                <w:kern w:val="0"/>
                <w:sz w:val="18"/>
                <w:szCs w:val="18"/>
                <w:highlight w:val="none"/>
                <w:lang w:val="en" w:bidi="ar"/>
              </w:rPr>
              <w:t>，</w:t>
            </w:r>
            <w:r>
              <w:rPr>
                <w:rFonts w:hint="eastAsia" w:ascii="宋体" w:hAnsi="宋体" w:eastAsia="宋体" w:cs="宋体"/>
                <w:color w:val="000000"/>
                <w:kern w:val="0"/>
                <w:sz w:val="18"/>
                <w:szCs w:val="18"/>
                <w:highlight w:val="none"/>
                <w:lang w:bidi="ar"/>
              </w:rPr>
              <w:t>不按要求整改的，超过规定期限</w:t>
            </w:r>
            <w:r>
              <w:rPr>
                <w:rFonts w:hint="eastAsia" w:ascii="宋体" w:hAnsi="宋体" w:eastAsia="宋体" w:cs="宋体"/>
                <w:color w:val="000000"/>
                <w:kern w:val="0"/>
                <w:sz w:val="18"/>
                <w:szCs w:val="18"/>
                <w:highlight w:val="none"/>
                <w:lang w:val="en-US" w:eastAsia="zh-CN" w:bidi="ar"/>
              </w:rPr>
              <w:t>30</w:t>
            </w:r>
            <w:r>
              <w:rPr>
                <w:rFonts w:hint="eastAsia" w:ascii="宋体" w:hAnsi="宋体" w:eastAsia="宋体" w:cs="宋体"/>
                <w:color w:val="000000"/>
                <w:kern w:val="0"/>
                <w:sz w:val="18"/>
                <w:szCs w:val="18"/>
                <w:highlight w:val="none"/>
                <w:lang w:eastAsia="zh-CN" w:bidi="ar"/>
              </w:rPr>
              <w:t>日</w:t>
            </w:r>
            <w:r>
              <w:rPr>
                <w:rFonts w:hint="eastAsia" w:ascii="宋体" w:hAnsi="宋体" w:eastAsia="宋体" w:cs="宋体"/>
                <w:color w:val="000000"/>
                <w:kern w:val="0"/>
                <w:sz w:val="18"/>
                <w:szCs w:val="18"/>
                <w:highlight w:val="none"/>
                <w:lang w:bidi="ar"/>
              </w:rPr>
              <w:t>不足</w:t>
            </w:r>
            <w:r>
              <w:rPr>
                <w:rFonts w:hint="eastAsia" w:ascii="宋体" w:hAnsi="宋体" w:eastAsia="宋体" w:cs="宋体"/>
                <w:color w:val="000000"/>
                <w:kern w:val="0"/>
                <w:sz w:val="18"/>
                <w:szCs w:val="18"/>
                <w:highlight w:val="none"/>
                <w:lang w:val="en-US" w:eastAsia="zh-CN" w:bidi="ar"/>
              </w:rPr>
              <w:t>60</w:t>
            </w:r>
            <w:r>
              <w:rPr>
                <w:rFonts w:hint="eastAsia" w:ascii="宋体" w:hAnsi="宋体" w:eastAsia="宋体" w:cs="宋体"/>
                <w:color w:val="000000"/>
                <w:kern w:val="0"/>
                <w:sz w:val="18"/>
                <w:szCs w:val="18"/>
                <w:highlight w:val="none"/>
                <w:lang w:eastAsia="zh-CN" w:bidi="ar"/>
              </w:rPr>
              <w:t>日</w:t>
            </w: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18337996">
            <w:pPr>
              <w:widowControl/>
              <w:spacing w:line="260" w:lineRule="exact"/>
              <w:jc w:val="both"/>
              <w:textAlignment w:val="center"/>
              <w:rPr>
                <w:rFonts w:hint="eastAsia" w:ascii="宋体" w:hAnsi="宋体" w:eastAsia="宋体" w:cs="宋体"/>
                <w:color w:val="000000"/>
                <w:kern w:val="0"/>
                <w:sz w:val="18"/>
                <w:szCs w:val="18"/>
                <w:highlight w:val="none"/>
                <w:lang w:val="en-US" w:eastAsia="zh-CN" w:bidi="ar"/>
              </w:rPr>
            </w:pPr>
            <w:r>
              <w:rPr>
                <w:rFonts w:hint="eastAsia" w:ascii="宋体" w:hAnsi="宋体" w:eastAsia="宋体" w:cs="宋体"/>
                <w:color w:val="000000"/>
                <w:kern w:val="0"/>
                <w:sz w:val="18"/>
                <w:szCs w:val="18"/>
                <w:highlight w:val="none"/>
                <w:lang w:bidi="ar"/>
              </w:rPr>
              <w:t>处</w:t>
            </w:r>
            <w:r>
              <w:rPr>
                <w:rFonts w:hint="eastAsia" w:ascii="宋体" w:hAnsi="宋体" w:eastAsia="宋体" w:cs="宋体"/>
                <w:color w:val="000000"/>
                <w:kern w:val="0"/>
                <w:sz w:val="18"/>
                <w:szCs w:val="18"/>
                <w:highlight w:val="none"/>
                <w:lang w:val="en-US" w:eastAsia="zh-CN" w:bidi="ar"/>
              </w:rPr>
              <w:t>7</w:t>
            </w:r>
            <w:r>
              <w:rPr>
                <w:rFonts w:hint="eastAsia" w:ascii="宋体" w:hAnsi="宋体" w:eastAsia="宋体" w:cs="宋体"/>
                <w:color w:val="000000"/>
                <w:kern w:val="0"/>
                <w:sz w:val="18"/>
                <w:szCs w:val="18"/>
                <w:highlight w:val="none"/>
                <w:lang w:bidi="ar"/>
              </w:rPr>
              <w:t>万元以上</w:t>
            </w:r>
            <w:r>
              <w:rPr>
                <w:rFonts w:hint="eastAsia" w:ascii="宋体" w:hAnsi="宋体" w:eastAsia="宋体" w:cs="宋体"/>
                <w:color w:val="000000"/>
                <w:kern w:val="0"/>
                <w:sz w:val="18"/>
                <w:szCs w:val="18"/>
                <w:highlight w:val="none"/>
                <w:lang w:val="en-US" w:eastAsia="zh-CN" w:bidi="ar"/>
              </w:rPr>
              <w:t>9</w:t>
            </w:r>
            <w:r>
              <w:rPr>
                <w:rFonts w:hint="eastAsia" w:ascii="宋体" w:hAnsi="宋体" w:eastAsia="宋体" w:cs="宋体"/>
                <w:color w:val="000000"/>
                <w:kern w:val="0"/>
                <w:sz w:val="18"/>
                <w:szCs w:val="18"/>
                <w:highlight w:val="none"/>
                <w:lang w:bidi="ar"/>
              </w:rPr>
              <w:t>万元以下罚款</w:t>
            </w:r>
          </w:p>
        </w:tc>
        <w:tc>
          <w:tcPr>
            <w:tcW w:w="56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52D9B835">
            <w:pPr>
              <w:spacing w:line="260" w:lineRule="exact"/>
              <w:rPr>
                <w:rStyle w:val="21"/>
                <w:rFonts w:hint="eastAsia" w:ascii="宋体" w:hAnsi="宋体" w:eastAsia="宋体" w:cs="宋体"/>
                <w:sz w:val="18"/>
                <w:szCs w:val="18"/>
                <w:lang w:bidi="ar"/>
              </w:rPr>
            </w:pPr>
          </w:p>
        </w:tc>
      </w:tr>
      <w:tr w14:paraId="4A1362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890" w:hRule="atLeast"/>
          <w:jc w:val="center"/>
        </w:trPr>
        <w:tc>
          <w:tcPr>
            <w:tcW w:w="495" w:type="dxa"/>
            <w:vMerge w:val="continue"/>
            <w:tcBorders>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350E3854">
            <w:pPr>
              <w:spacing w:line="260" w:lineRule="exact"/>
              <w:jc w:val="center"/>
              <w:rPr>
                <w:rFonts w:hint="eastAsia" w:ascii="宋体" w:hAnsi="宋体" w:eastAsia="宋体" w:cs="宋体"/>
                <w:sz w:val="18"/>
                <w:szCs w:val="18"/>
              </w:rPr>
            </w:pPr>
          </w:p>
        </w:tc>
        <w:tc>
          <w:tcPr>
            <w:tcW w:w="1211" w:type="dxa"/>
            <w:vMerge w:val="continue"/>
            <w:tcBorders>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6F8D6AE3">
            <w:pPr>
              <w:spacing w:line="260" w:lineRule="exact"/>
              <w:rPr>
                <w:rFonts w:hint="eastAsia" w:ascii="宋体" w:hAnsi="宋体" w:eastAsia="宋体" w:cs="宋体"/>
                <w:color w:val="000000"/>
                <w:kern w:val="0"/>
                <w:sz w:val="18"/>
                <w:szCs w:val="18"/>
                <w:lang w:bidi="ar"/>
              </w:rPr>
            </w:pPr>
          </w:p>
        </w:tc>
        <w:tc>
          <w:tcPr>
            <w:tcW w:w="4862" w:type="dxa"/>
            <w:vMerge w:val="continue"/>
            <w:tcBorders>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53E4EC45">
            <w:pPr>
              <w:spacing w:line="260" w:lineRule="exact"/>
              <w:ind w:firstLine="360" w:firstLineChars="200"/>
              <w:rPr>
                <w:rFonts w:hint="eastAsia" w:ascii="宋体" w:hAnsi="宋体" w:eastAsia="宋体" w:cs="宋体"/>
                <w:color w:val="000000"/>
                <w:kern w:val="0"/>
                <w:sz w:val="18"/>
                <w:szCs w:val="18"/>
                <w:lang w:bidi="ar"/>
              </w:rPr>
            </w:pPr>
          </w:p>
        </w:tc>
        <w:tc>
          <w:tcPr>
            <w:tcW w:w="1613" w:type="dxa"/>
            <w:vMerge w:val="continue"/>
            <w:tcBorders>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135FFE40">
            <w:pPr>
              <w:spacing w:line="260" w:lineRule="exact"/>
              <w:ind w:firstLine="360" w:firstLineChars="200"/>
              <w:rPr>
                <w:rFonts w:hint="eastAsia" w:ascii="宋体" w:hAnsi="宋体" w:eastAsia="宋体" w:cs="宋体"/>
                <w:color w:val="000000"/>
                <w:kern w:val="0"/>
                <w:sz w:val="18"/>
                <w:szCs w:val="18"/>
                <w:lang w:bidi="ar"/>
              </w:rPr>
            </w:pP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042549E3">
            <w:pPr>
              <w:widowControl/>
              <w:spacing w:line="260" w:lineRule="exact"/>
              <w:jc w:val="center"/>
              <w:textAlignment w:val="center"/>
              <w:rPr>
                <w:rFonts w:hint="eastAsia" w:ascii="宋体" w:hAnsi="宋体" w:eastAsia="宋体" w:cs="宋体"/>
                <w:color w:val="000000"/>
                <w:kern w:val="0"/>
                <w:sz w:val="18"/>
                <w:szCs w:val="18"/>
                <w:highlight w:val="none"/>
                <w:lang w:bidi="ar"/>
              </w:rPr>
            </w:pPr>
            <w:r>
              <w:rPr>
                <w:rFonts w:hint="eastAsia" w:ascii="宋体" w:hAnsi="宋体" w:eastAsia="宋体" w:cs="宋体"/>
                <w:color w:val="000000"/>
                <w:kern w:val="0"/>
                <w:sz w:val="18"/>
                <w:szCs w:val="18"/>
                <w:highlight w:val="none"/>
                <w:lang w:bidi="ar"/>
              </w:rPr>
              <w:t>严重</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37DAC587">
            <w:pPr>
              <w:widowControl/>
              <w:spacing w:line="260" w:lineRule="exact"/>
              <w:jc w:val="both"/>
              <w:textAlignment w:val="center"/>
              <w:rPr>
                <w:rFonts w:hint="eastAsia" w:ascii="宋体" w:hAnsi="宋体" w:eastAsia="宋体" w:cs="宋体"/>
                <w:color w:val="000000"/>
                <w:kern w:val="0"/>
                <w:sz w:val="18"/>
                <w:szCs w:val="18"/>
                <w:highlight w:val="none"/>
                <w:lang w:val="en-US" w:eastAsia="zh-CN" w:bidi="ar"/>
              </w:rPr>
            </w:pPr>
            <w:r>
              <w:rPr>
                <w:rFonts w:hint="eastAsia" w:ascii="宋体" w:hAnsi="宋体" w:eastAsia="宋体" w:cs="宋体"/>
                <w:color w:val="000000"/>
                <w:kern w:val="0"/>
                <w:sz w:val="18"/>
                <w:szCs w:val="18"/>
                <w:highlight w:val="none"/>
                <w:lang w:bidi="ar"/>
              </w:rPr>
              <w:t>对建设单位未落实建设节水设施要求，或者建设项目擅自停止使用节水设施行为</w:t>
            </w:r>
            <w:r>
              <w:rPr>
                <w:rFonts w:hint="eastAsia" w:ascii="宋体" w:hAnsi="宋体" w:eastAsia="宋体" w:cs="宋体"/>
                <w:color w:val="000000"/>
                <w:kern w:val="0"/>
                <w:sz w:val="18"/>
                <w:szCs w:val="18"/>
                <w:highlight w:val="none"/>
                <w:lang w:val="en" w:bidi="ar"/>
              </w:rPr>
              <w:t>，</w:t>
            </w:r>
            <w:r>
              <w:rPr>
                <w:rFonts w:hint="eastAsia" w:ascii="宋体" w:hAnsi="宋体" w:eastAsia="宋体" w:cs="宋体"/>
                <w:color w:val="000000"/>
                <w:kern w:val="0"/>
                <w:sz w:val="18"/>
                <w:szCs w:val="18"/>
                <w:highlight w:val="none"/>
                <w:lang w:bidi="ar"/>
              </w:rPr>
              <w:t>不按要求整改的，超过规定期限</w:t>
            </w:r>
            <w:r>
              <w:rPr>
                <w:rFonts w:hint="eastAsia" w:ascii="宋体" w:hAnsi="宋体" w:eastAsia="宋体" w:cs="宋体"/>
                <w:color w:val="000000"/>
                <w:kern w:val="0"/>
                <w:sz w:val="18"/>
                <w:szCs w:val="18"/>
                <w:highlight w:val="none"/>
                <w:lang w:val="en-US" w:eastAsia="zh-CN" w:bidi="ar"/>
              </w:rPr>
              <w:t>60</w:t>
            </w:r>
            <w:r>
              <w:rPr>
                <w:rFonts w:hint="eastAsia" w:ascii="宋体" w:hAnsi="宋体" w:eastAsia="宋体" w:cs="宋体"/>
                <w:color w:val="000000"/>
                <w:kern w:val="0"/>
                <w:sz w:val="18"/>
                <w:szCs w:val="18"/>
                <w:highlight w:val="none"/>
                <w:lang w:eastAsia="zh-CN" w:bidi="ar"/>
              </w:rPr>
              <w:t>日</w:t>
            </w: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7B86348B">
            <w:pPr>
              <w:widowControl/>
              <w:spacing w:line="260" w:lineRule="exact"/>
              <w:jc w:val="both"/>
              <w:textAlignment w:val="center"/>
              <w:rPr>
                <w:rFonts w:hint="eastAsia" w:ascii="宋体" w:hAnsi="宋体" w:eastAsia="宋体" w:cs="宋体"/>
                <w:color w:val="000000"/>
                <w:kern w:val="0"/>
                <w:sz w:val="18"/>
                <w:szCs w:val="18"/>
                <w:highlight w:val="none"/>
                <w:lang w:val="en-US" w:eastAsia="zh-CN" w:bidi="ar"/>
              </w:rPr>
            </w:pPr>
            <w:r>
              <w:rPr>
                <w:rFonts w:hint="eastAsia" w:ascii="宋体" w:hAnsi="宋体" w:eastAsia="宋体" w:cs="宋体"/>
                <w:color w:val="000000"/>
                <w:kern w:val="0"/>
                <w:sz w:val="18"/>
                <w:szCs w:val="18"/>
                <w:highlight w:val="none"/>
                <w:lang w:bidi="ar"/>
              </w:rPr>
              <w:t>处</w:t>
            </w:r>
            <w:r>
              <w:rPr>
                <w:rFonts w:hint="eastAsia" w:ascii="宋体" w:hAnsi="宋体" w:eastAsia="宋体" w:cs="宋体"/>
                <w:color w:val="000000"/>
                <w:kern w:val="0"/>
                <w:sz w:val="18"/>
                <w:szCs w:val="18"/>
                <w:highlight w:val="none"/>
                <w:lang w:val="en-US" w:eastAsia="zh-CN" w:bidi="ar"/>
              </w:rPr>
              <w:t>9</w:t>
            </w:r>
            <w:r>
              <w:rPr>
                <w:rFonts w:hint="eastAsia" w:ascii="宋体" w:hAnsi="宋体" w:eastAsia="宋体" w:cs="宋体"/>
                <w:color w:val="000000"/>
                <w:kern w:val="0"/>
                <w:sz w:val="18"/>
                <w:szCs w:val="18"/>
                <w:highlight w:val="none"/>
                <w:lang w:bidi="ar"/>
              </w:rPr>
              <w:t>万元以上</w:t>
            </w:r>
            <w:r>
              <w:rPr>
                <w:rFonts w:hint="eastAsia" w:ascii="宋体" w:hAnsi="宋体" w:eastAsia="宋体" w:cs="宋体"/>
                <w:color w:val="000000"/>
                <w:kern w:val="0"/>
                <w:sz w:val="18"/>
                <w:szCs w:val="18"/>
                <w:highlight w:val="none"/>
                <w:lang w:val="en-US" w:eastAsia="zh-CN" w:bidi="ar"/>
              </w:rPr>
              <w:t>10</w:t>
            </w:r>
            <w:r>
              <w:rPr>
                <w:rFonts w:hint="eastAsia" w:ascii="宋体" w:hAnsi="宋体" w:eastAsia="宋体" w:cs="宋体"/>
                <w:color w:val="000000"/>
                <w:kern w:val="0"/>
                <w:sz w:val="18"/>
                <w:szCs w:val="18"/>
                <w:highlight w:val="none"/>
                <w:lang w:bidi="ar"/>
              </w:rPr>
              <w:t>万以下罚款</w:t>
            </w:r>
          </w:p>
        </w:tc>
        <w:tc>
          <w:tcPr>
            <w:tcW w:w="563" w:type="dxa"/>
            <w:vMerge w:val="continue"/>
            <w:tcBorders>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048492F4">
            <w:pPr>
              <w:spacing w:line="260" w:lineRule="exact"/>
              <w:rPr>
                <w:rStyle w:val="21"/>
                <w:rFonts w:hint="eastAsia" w:ascii="宋体" w:hAnsi="宋体" w:eastAsia="宋体" w:cs="宋体"/>
                <w:sz w:val="18"/>
                <w:szCs w:val="18"/>
                <w:lang w:bidi="ar"/>
              </w:rPr>
            </w:pPr>
          </w:p>
        </w:tc>
      </w:tr>
      <w:tr w14:paraId="0EA7EC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95" w:type="dxa"/>
            <w:vMerge w:val="restart"/>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57F2F536">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22</w:t>
            </w:r>
          </w:p>
        </w:tc>
        <w:tc>
          <w:tcPr>
            <w:tcW w:w="1211" w:type="dxa"/>
            <w:vMerge w:val="restart"/>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3501C7DD">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对高耗水工业企业用水水平超过用水定额，未在规定的期限内进行节水改造行为的行政处罚</w:t>
            </w:r>
          </w:p>
        </w:tc>
        <w:tc>
          <w:tcPr>
            <w:tcW w:w="4862" w:type="dxa"/>
            <w:vMerge w:val="restart"/>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3A5EFED0">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《节约用水条例》第四十八条 高耗水工业企业用水水平超过用水定额，未在规定的期限内进行节水改造的，由县级以上地方人民政府水行政主管部门或者流域管理机构责令改正，可以处10万元以下的罚款；拒不改正的，处10万元以上50万元以下的罚款，情节严重的，采取限制用水措施或者吊销其取水许可证。</w:t>
            </w:r>
          </w:p>
        </w:tc>
        <w:tc>
          <w:tcPr>
            <w:tcW w:w="1613" w:type="dxa"/>
            <w:vMerge w:val="restart"/>
            <w:tcBorders>
              <w:top w:val="single" w:color="auto" w:sz="4" w:space="0"/>
              <w:left w:val="single" w:color="auto" w:sz="4" w:space="0"/>
              <w:right w:val="single" w:color="auto" w:sz="4" w:space="0"/>
            </w:tcBorders>
            <w:shd w:val="clear" w:color="auto" w:fill="FFFFFF"/>
            <w:noWrap w:val="0"/>
            <w:tcMar>
              <w:top w:w="0" w:type="dxa"/>
              <w:left w:w="0" w:type="dxa"/>
              <w:bottom w:w="0" w:type="dxa"/>
              <w:right w:w="0" w:type="dxa"/>
            </w:tcMar>
            <w:vAlign w:val="center"/>
          </w:tcPr>
          <w:p w14:paraId="67813379">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高耗水工业企业用水水平超过用水定额，未在规定的期限内进行节水改造的</w:t>
            </w: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7939411F">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轻微</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331B2A7C">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47593AD1">
            <w:pPr>
              <w:spacing w:line="260" w:lineRule="exact"/>
              <w:rPr>
                <w:rStyle w:val="21"/>
                <w:rFonts w:hint="eastAsia" w:ascii="宋体" w:hAnsi="宋体" w:eastAsia="宋体" w:cs="宋体"/>
                <w:sz w:val="18"/>
                <w:szCs w:val="18"/>
                <w:lang w:bidi="ar"/>
              </w:rPr>
            </w:pP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0CB9CB73">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7329C662">
            <w:pPr>
              <w:spacing w:line="260" w:lineRule="exact"/>
              <w:rPr>
                <w:rStyle w:val="21"/>
                <w:rFonts w:hint="eastAsia" w:ascii="宋体" w:hAnsi="宋体" w:eastAsia="宋体" w:cs="宋体"/>
                <w:sz w:val="18"/>
                <w:szCs w:val="18"/>
                <w:lang w:bidi="ar"/>
              </w:rPr>
            </w:pPr>
          </w:p>
        </w:tc>
        <w:tc>
          <w:tcPr>
            <w:tcW w:w="563" w:type="dxa"/>
            <w:vMerge w:val="restart"/>
            <w:tcBorders>
              <w:top w:val="single" w:color="auto" w:sz="4" w:space="0"/>
              <w:left w:val="single" w:color="auto" w:sz="4" w:space="0"/>
              <w:right w:val="single" w:color="auto" w:sz="4" w:space="0"/>
            </w:tcBorders>
            <w:shd w:val="clear" w:color="auto" w:fill="FFFFFF"/>
            <w:noWrap w:val="0"/>
            <w:tcMar>
              <w:top w:w="0" w:type="dxa"/>
              <w:left w:w="0" w:type="dxa"/>
              <w:bottom w:w="0" w:type="dxa"/>
              <w:right w:w="0" w:type="dxa"/>
            </w:tcMar>
            <w:vAlign w:val="center"/>
          </w:tcPr>
          <w:p w14:paraId="45F38040">
            <w:pPr>
              <w:spacing w:line="260" w:lineRule="exact"/>
              <w:rPr>
                <w:rStyle w:val="21"/>
                <w:rFonts w:hint="eastAsia" w:ascii="宋体" w:hAnsi="宋体" w:eastAsia="宋体" w:cs="宋体"/>
                <w:sz w:val="18"/>
                <w:szCs w:val="18"/>
                <w:lang w:bidi="ar"/>
              </w:rPr>
            </w:pPr>
          </w:p>
        </w:tc>
      </w:tr>
      <w:tr w14:paraId="4493F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95"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4D66417F">
            <w:pPr>
              <w:spacing w:line="260" w:lineRule="exact"/>
              <w:jc w:val="center"/>
              <w:rPr>
                <w:rFonts w:hint="eastAsia" w:ascii="宋体" w:hAnsi="宋体" w:eastAsia="宋体" w:cs="宋体"/>
                <w:sz w:val="18"/>
                <w:szCs w:val="18"/>
              </w:rPr>
            </w:pPr>
          </w:p>
        </w:tc>
        <w:tc>
          <w:tcPr>
            <w:tcW w:w="1211"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5977E8D7">
            <w:pPr>
              <w:spacing w:line="260" w:lineRule="exact"/>
              <w:rPr>
                <w:rFonts w:hint="eastAsia" w:ascii="宋体" w:hAnsi="宋体" w:eastAsia="宋体" w:cs="宋体"/>
                <w:color w:val="000000"/>
                <w:kern w:val="0"/>
                <w:sz w:val="18"/>
                <w:szCs w:val="18"/>
                <w:lang w:bidi="ar"/>
              </w:rPr>
            </w:pPr>
          </w:p>
        </w:tc>
        <w:tc>
          <w:tcPr>
            <w:tcW w:w="4862"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5ECF584C">
            <w:pPr>
              <w:spacing w:line="260" w:lineRule="exact"/>
              <w:ind w:firstLine="360" w:firstLineChars="200"/>
              <w:rPr>
                <w:rFonts w:hint="eastAsia" w:ascii="宋体" w:hAnsi="宋体" w:eastAsia="宋体" w:cs="宋体"/>
                <w:color w:val="000000"/>
                <w:kern w:val="0"/>
                <w:sz w:val="18"/>
                <w:szCs w:val="18"/>
                <w:lang w:bidi="ar"/>
              </w:rPr>
            </w:pPr>
          </w:p>
        </w:tc>
        <w:tc>
          <w:tcPr>
            <w:tcW w:w="161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00A46053">
            <w:pPr>
              <w:spacing w:line="260" w:lineRule="exact"/>
              <w:ind w:firstLine="360" w:firstLineChars="200"/>
              <w:rPr>
                <w:rFonts w:hint="eastAsia" w:ascii="宋体" w:hAnsi="宋体" w:eastAsia="宋体" w:cs="宋体"/>
                <w:color w:val="000000"/>
                <w:kern w:val="0"/>
                <w:sz w:val="18"/>
                <w:szCs w:val="18"/>
                <w:lang w:bidi="ar"/>
              </w:rPr>
            </w:pP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77D7B92D">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较轻</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39C09615">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1B824F78">
            <w:pPr>
              <w:spacing w:line="260" w:lineRule="exact"/>
              <w:rPr>
                <w:rStyle w:val="21"/>
                <w:rFonts w:hint="eastAsia" w:ascii="宋体" w:hAnsi="宋体" w:eastAsia="宋体" w:cs="宋体"/>
                <w:sz w:val="18"/>
                <w:szCs w:val="18"/>
                <w:lang w:bidi="ar"/>
              </w:rPr>
            </w:pP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05B906C5">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34900008">
            <w:pPr>
              <w:spacing w:line="260" w:lineRule="exact"/>
              <w:rPr>
                <w:rStyle w:val="21"/>
                <w:rFonts w:hint="eastAsia" w:ascii="宋体" w:hAnsi="宋体" w:eastAsia="宋体" w:cs="宋体"/>
                <w:sz w:val="18"/>
                <w:szCs w:val="18"/>
                <w:lang w:bidi="ar"/>
              </w:rPr>
            </w:pPr>
          </w:p>
        </w:tc>
        <w:tc>
          <w:tcPr>
            <w:tcW w:w="56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4BE68049">
            <w:pPr>
              <w:spacing w:line="260" w:lineRule="exact"/>
              <w:rPr>
                <w:rStyle w:val="21"/>
                <w:rFonts w:hint="eastAsia" w:ascii="宋体" w:hAnsi="宋体" w:eastAsia="宋体" w:cs="宋体"/>
                <w:sz w:val="18"/>
                <w:szCs w:val="18"/>
                <w:lang w:bidi="ar"/>
              </w:rPr>
            </w:pPr>
          </w:p>
        </w:tc>
      </w:tr>
      <w:tr w14:paraId="1294F5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662" w:hRule="atLeast"/>
          <w:jc w:val="center"/>
        </w:trPr>
        <w:tc>
          <w:tcPr>
            <w:tcW w:w="495"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329D903B">
            <w:pPr>
              <w:spacing w:line="260" w:lineRule="exact"/>
              <w:jc w:val="center"/>
              <w:rPr>
                <w:rFonts w:hint="eastAsia" w:ascii="宋体" w:hAnsi="宋体" w:eastAsia="宋体" w:cs="宋体"/>
                <w:sz w:val="18"/>
                <w:szCs w:val="18"/>
              </w:rPr>
            </w:pPr>
          </w:p>
        </w:tc>
        <w:tc>
          <w:tcPr>
            <w:tcW w:w="1211"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67B99B50">
            <w:pPr>
              <w:spacing w:line="260" w:lineRule="exact"/>
              <w:rPr>
                <w:rFonts w:hint="eastAsia" w:ascii="宋体" w:hAnsi="宋体" w:eastAsia="宋体" w:cs="宋体"/>
                <w:color w:val="000000"/>
                <w:kern w:val="0"/>
                <w:sz w:val="18"/>
                <w:szCs w:val="18"/>
                <w:lang w:bidi="ar"/>
              </w:rPr>
            </w:pPr>
          </w:p>
        </w:tc>
        <w:tc>
          <w:tcPr>
            <w:tcW w:w="4862"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077374ED">
            <w:pPr>
              <w:spacing w:line="260" w:lineRule="exact"/>
              <w:ind w:firstLine="360" w:firstLineChars="200"/>
              <w:rPr>
                <w:rFonts w:hint="eastAsia" w:ascii="宋体" w:hAnsi="宋体" w:eastAsia="宋体" w:cs="宋体"/>
                <w:color w:val="000000"/>
                <w:kern w:val="0"/>
                <w:sz w:val="18"/>
                <w:szCs w:val="18"/>
                <w:lang w:bidi="ar"/>
              </w:rPr>
            </w:pPr>
          </w:p>
        </w:tc>
        <w:tc>
          <w:tcPr>
            <w:tcW w:w="161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2F8C53F4">
            <w:pPr>
              <w:spacing w:line="260" w:lineRule="exact"/>
              <w:ind w:firstLine="360" w:firstLineChars="200"/>
              <w:rPr>
                <w:rFonts w:hint="eastAsia" w:ascii="宋体" w:hAnsi="宋体" w:eastAsia="宋体" w:cs="宋体"/>
                <w:color w:val="000000"/>
                <w:kern w:val="0"/>
                <w:sz w:val="18"/>
                <w:szCs w:val="18"/>
                <w:lang w:bidi="ar"/>
              </w:rPr>
            </w:pP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421D2B3A">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一般</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4DEDA6F7">
            <w:pPr>
              <w:spacing w:line="260" w:lineRule="exact"/>
              <w:rPr>
                <w:rStyle w:val="21"/>
                <w:rFonts w:hint="eastAsia" w:ascii="宋体" w:hAnsi="宋体" w:eastAsia="宋体" w:cs="宋体"/>
                <w:sz w:val="18"/>
                <w:szCs w:val="18"/>
                <w:lang w:bidi="ar"/>
              </w:rPr>
            </w:pPr>
            <w:r>
              <w:rPr>
                <w:rFonts w:hint="eastAsia" w:ascii="宋体" w:hAnsi="宋体" w:eastAsia="宋体" w:cs="宋体"/>
                <w:color w:val="000000"/>
                <w:kern w:val="0"/>
                <w:sz w:val="18"/>
                <w:szCs w:val="18"/>
                <w:lang w:bidi="ar"/>
              </w:rPr>
              <w:t>未在规定的期限内进行节水改造的</w:t>
            </w: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1A2974BA">
            <w:pPr>
              <w:spacing w:line="260" w:lineRule="exact"/>
              <w:rPr>
                <w:rStyle w:val="21"/>
                <w:rFonts w:hint="eastAsia" w:ascii="宋体" w:hAnsi="宋体" w:eastAsia="宋体" w:cs="宋体"/>
                <w:sz w:val="18"/>
                <w:szCs w:val="18"/>
                <w:lang w:bidi="ar"/>
              </w:rPr>
            </w:pPr>
            <w:r>
              <w:rPr>
                <w:rFonts w:hint="eastAsia" w:ascii="宋体" w:hAnsi="宋体" w:eastAsia="宋体" w:cs="宋体"/>
                <w:color w:val="000000"/>
                <w:kern w:val="0"/>
                <w:sz w:val="18"/>
                <w:szCs w:val="18"/>
                <w:lang w:bidi="ar"/>
              </w:rPr>
              <w:t>可以处10万元以下的罚款</w:t>
            </w:r>
          </w:p>
        </w:tc>
        <w:tc>
          <w:tcPr>
            <w:tcW w:w="56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10EFDEA7">
            <w:pPr>
              <w:spacing w:line="260" w:lineRule="exact"/>
              <w:rPr>
                <w:rStyle w:val="21"/>
                <w:rFonts w:hint="eastAsia" w:ascii="宋体" w:hAnsi="宋体" w:eastAsia="宋体" w:cs="宋体"/>
                <w:sz w:val="18"/>
                <w:szCs w:val="18"/>
                <w:lang w:bidi="ar"/>
              </w:rPr>
            </w:pPr>
          </w:p>
        </w:tc>
      </w:tr>
      <w:tr w14:paraId="509B0D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782" w:hRule="atLeast"/>
          <w:jc w:val="center"/>
        </w:trPr>
        <w:tc>
          <w:tcPr>
            <w:tcW w:w="495"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5BAC8411">
            <w:pPr>
              <w:spacing w:line="260" w:lineRule="exact"/>
              <w:jc w:val="center"/>
              <w:rPr>
                <w:rFonts w:hint="eastAsia" w:ascii="宋体" w:hAnsi="宋体" w:eastAsia="宋体" w:cs="宋体"/>
                <w:sz w:val="18"/>
                <w:szCs w:val="18"/>
              </w:rPr>
            </w:pPr>
          </w:p>
        </w:tc>
        <w:tc>
          <w:tcPr>
            <w:tcW w:w="1211"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561DBB8A">
            <w:pPr>
              <w:spacing w:line="260" w:lineRule="exact"/>
              <w:rPr>
                <w:rFonts w:hint="eastAsia" w:ascii="宋体" w:hAnsi="宋体" w:eastAsia="宋体" w:cs="宋体"/>
                <w:color w:val="000000"/>
                <w:kern w:val="0"/>
                <w:sz w:val="18"/>
                <w:szCs w:val="18"/>
                <w:lang w:bidi="ar"/>
              </w:rPr>
            </w:pPr>
          </w:p>
        </w:tc>
        <w:tc>
          <w:tcPr>
            <w:tcW w:w="4862"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5440827B">
            <w:pPr>
              <w:spacing w:line="260" w:lineRule="exact"/>
              <w:ind w:firstLine="360" w:firstLineChars="200"/>
              <w:rPr>
                <w:rFonts w:hint="eastAsia" w:ascii="宋体" w:hAnsi="宋体" w:eastAsia="宋体" w:cs="宋体"/>
                <w:color w:val="000000"/>
                <w:kern w:val="0"/>
                <w:sz w:val="18"/>
                <w:szCs w:val="18"/>
                <w:lang w:bidi="ar"/>
              </w:rPr>
            </w:pPr>
          </w:p>
        </w:tc>
        <w:tc>
          <w:tcPr>
            <w:tcW w:w="161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6E813B7D">
            <w:pPr>
              <w:spacing w:line="260" w:lineRule="exact"/>
              <w:ind w:firstLine="360" w:firstLineChars="200"/>
              <w:rPr>
                <w:rFonts w:hint="eastAsia" w:ascii="宋体" w:hAnsi="宋体" w:eastAsia="宋体" w:cs="宋体"/>
                <w:color w:val="000000"/>
                <w:kern w:val="0"/>
                <w:sz w:val="18"/>
                <w:szCs w:val="18"/>
                <w:lang w:bidi="ar"/>
              </w:rPr>
            </w:pP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24FAA4F4">
            <w:pPr>
              <w:spacing w:line="260" w:lineRule="exact"/>
              <w:jc w:val="center"/>
              <w:rPr>
                <w:rFonts w:hint="eastAsia" w:ascii="宋体" w:hAnsi="宋体" w:eastAsia="宋体" w:cs="宋体"/>
                <w:sz w:val="18"/>
                <w:szCs w:val="18"/>
                <w:lang w:eastAsia="zh-CN"/>
              </w:rPr>
            </w:pPr>
            <w:r>
              <w:rPr>
                <w:rFonts w:hint="eastAsia" w:ascii="宋体" w:hAnsi="宋体" w:eastAsia="宋体" w:cs="宋体"/>
                <w:sz w:val="18"/>
                <w:szCs w:val="18"/>
                <w:lang w:eastAsia="zh-CN"/>
              </w:rPr>
              <w:t>较重</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1D3A9101">
            <w:pPr>
              <w:spacing w:line="260" w:lineRule="exact"/>
              <w:rPr>
                <w:rStyle w:val="21"/>
                <w:rFonts w:hint="eastAsia" w:ascii="宋体" w:hAnsi="宋体" w:eastAsia="宋体" w:cs="宋体"/>
                <w:sz w:val="18"/>
                <w:szCs w:val="18"/>
                <w:lang w:bidi="ar"/>
              </w:rPr>
            </w:pPr>
            <w:r>
              <w:rPr>
                <w:rFonts w:hint="eastAsia" w:ascii="宋体" w:hAnsi="宋体" w:eastAsia="宋体" w:cs="宋体"/>
                <w:color w:val="000000"/>
                <w:kern w:val="0"/>
                <w:sz w:val="18"/>
                <w:szCs w:val="18"/>
                <w:lang w:bidi="ar"/>
              </w:rPr>
              <w:t>拒不改正的</w:t>
            </w: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4FFEBB1D">
            <w:pPr>
              <w:spacing w:line="260" w:lineRule="exact"/>
              <w:rPr>
                <w:rStyle w:val="21"/>
                <w:rFonts w:hint="eastAsia" w:ascii="宋体" w:hAnsi="宋体" w:eastAsia="宋体" w:cs="宋体"/>
                <w:sz w:val="18"/>
                <w:szCs w:val="18"/>
                <w:lang w:bidi="ar"/>
              </w:rPr>
            </w:pPr>
            <w:r>
              <w:rPr>
                <w:rFonts w:hint="eastAsia" w:ascii="宋体" w:hAnsi="宋体" w:eastAsia="宋体" w:cs="宋体"/>
                <w:color w:val="000000"/>
                <w:kern w:val="0"/>
                <w:sz w:val="18"/>
                <w:szCs w:val="18"/>
                <w:lang w:bidi="ar"/>
              </w:rPr>
              <w:t>处10万元以上50万元以下的罚款</w:t>
            </w:r>
          </w:p>
        </w:tc>
        <w:tc>
          <w:tcPr>
            <w:tcW w:w="56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02B30979">
            <w:pPr>
              <w:spacing w:line="260" w:lineRule="exact"/>
              <w:rPr>
                <w:rStyle w:val="21"/>
                <w:rFonts w:hint="eastAsia" w:ascii="宋体" w:hAnsi="宋体" w:eastAsia="宋体" w:cs="宋体"/>
                <w:sz w:val="18"/>
                <w:szCs w:val="18"/>
                <w:lang w:bidi="ar"/>
              </w:rPr>
            </w:pPr>
          </w:p>
        </w:tc>
      </w:tr>
      <w:tr w14:paraId="4D83B5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1590" w:hRule="atLeast"/>
          <w:jc w:val="center"/>
        </w:trPr>
        <w:tc>
          <w:tcPr>
            <w:tcW w:w="495" w:type="dxa"/>
            <w:vMerge w:val="continue"/>
            <w:tcBorders>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0AC9C6DE">
            <w:pPr>
              <w:spacing w:line="260" w:lineRule="exact"/>
              <w:jc w:val="center"/>
              <w:rPr>
                <w:rFonts w:hint="eastAsia" w:ascii="宋体" w:hAnsi="宋体" w:eastAsia="宋体" w:cs="宋体"/>
                <w:sz w:val="18"/>
                <w:szCs w:val="18"/>
              </w:rPr>
            </w:pPr>
          </w:p>
        </w:tc>
        <w:tc>
          <w:tcPr>
            <w:tcW w:w="1211" w:type="dxa"/>
            <w:vMerge w:val="continue"/>
            <w:tcBorders>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52216FD8">
            <w:pPr>
              <w:spacing w:line="260" w:lineRule="exact"/>
              <w:rPr>
                <w:rFonts w:hint="eastAsia" w:ascii="宋体" w:hAnsi="宋体" w:eastAsia="宋体" w:cs="宋体"/>
                <w:color w:val="000000"/>
                <w:kern w:val="0"/>
                <w:sz w:val="18"/>
                <w:szCs w:val="18"/>
                <w:lang w:bidi="ar"/>
              </w:rPr>
            </w:pPr>
          </w:p>
        </w:tc>
        <w:tc>
          <w:tcPr>
            <w:tcW w:w="4862" w:type="dxa"/>
            <w:vMerge w:val="continue"/>
            <w:tcBorders>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37C0FE7E">
            <w:pPr>
              <w:spacing w:line="260" w:lineRule="exact"/>
              <w:ind w:firstLine="360" w:firstLineChars="200"/>
              <w:rPr>
                <w:rFonts w:hint="eastAsia" w:ascii="宋体" w:hAnsi="宋体" w:eastAsia="宋体" w:cs="宋体"/>
                <w:color w:val="000000"/>
                <w:kern w:val="0"/>
                <w:sz w:val="18"/>
                <w:szCs w:val="18"/>
                <w:lang w:bidi="ar"/>
              </w:rPr>
            </w:pPr>
          </w:p>
        </w:tc>
        <w:tc>
          <w:tcPr>
            <w:tcW w:w="1613" w:type="dxa"/>
            <w:vMerge w:val="continue"/>
            <w:tcBorders>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47D954CB">
            <w:pPr>
              <w:spacing w:line="260" w:lineRule="exact"/>
              <w:ind w:firstLine="360" w:firstLineChars="200"/>
              <w:rPr>
                <w:rFonts w:hint="eastAsia" w:ascii="宋体" w:hAnsi="宋体" w:eastAsia="宋体" w:cs="宋体"/>
                <w:color w:val="000000"/>
                <w:kern w:val="0"/>
                <w:sz w:val="18"/>
                <w:szCs w:val="18"/>
                <w:lang w:bidi="ar"/>
              </w:rPr>
            </w:pP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5BB0AAAF">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严重</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25572991">
            <w:pPr>
              <w:spacing w:line="260" w:lineRule="exact"/>
              <w:rPr>
                <w:rStyle w:val="21"/>
                <w:rFonts w:hint="eastAsia" w:ascii="宋体" w:hAnsi="宋体" w:eastAsia="宋体" w:cs="宋体"/>
                <w:sz w:val="18"/>
                <w:szCs w:val="18"/>
                <w:lang w:bidi="ar"/>
              </w:rPr>
            </w:pPr>
            <w:r>
              <w:rPr>
                <w:rStyle w:val="21"/>
                <w:rFonts w:hint="eastAsia" w:ascii="宋体" w:hAnsi="宋体" w:eastAsia="宋体" w:cs="宋体"/>
                <w:sz w:val="18"/>
                <w:szCs w:val="18"/>
                <w:lang w:bidi="ar"/>
              </w:rPr>
              <w:t>一年内有两次以上违法行为的</w:t>
            </w: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34A303E0">
            <w:pPr>
              <w:spacing w:line="260" w:lineRule="exact"/>
              <w:rPr>
                <w:rStyle w:val="21"/>
                <w:rFonts w:hint="eastAsia" w:ascii="宋体" w:hAnsi="宋体" w:eastAsia="宋体" w:cs="宋体"/>
                <w:sz w:val="18"/>
                <w:szCs w:val="18"/>
                <w:lang w:bidi="ar"/>
              </w:rPr>
            </w:pPr>
            <w:r>
              <w:rPr>
                <w:rStyle w:val="21"/>
                <w:rFonts w:hint="eastAsia" w:ascii="宋体" w:hAnsi="宋体" w:eastAsia="宋体" w:cs="宋体"/>
                <w:sz w:val="18"/>
                <w:szCs w:val="18"/>
                <w:lang w:bidi="ar"/>
              </w:rPr>
              <w:t>按照</w:t>
            </w:r>
            <w:r>
              <w:rPr>
                <w:rStyle w:val="21"/>
                <w:rFonts w:hint="eastAsia" w:ascii="宋体" w:hAnsi="宋体" w:eastAsia="宋体" w:cs="宋体"/>
                <w:sz w:val="18"/>
                <w:szCs w:val="18"/>
                <w:lang w:eastAsia="zh-CN" w:bidi="ar"/>
              </w:rPr>
              <w:t>较重</w:t>
            </w:r>
            <w:r>
              <w:rPr>
                <w:rStyle w:val="21"/>
                <w:rFonts w:hint="eastAsia" w:ascii="宋体" w:hAnsi="宋体" w:eastAsia="宋体" w:cs="宋体"/>
                <w:sz w:val="18"/>
                <w:szCs w:val="18"/>
                <w:lang w:bidi="ar"/>
              </w:rPr>
              <w:t>档次处以罚款，并采取限制用水措施或者吊销其取水许可证</w:t>
            </w:r>
          </w:p>
        </w:tc>
        <w:tc>
          <w:tcPr>
            <w:tcW w:w="563" w:type="dxa"/>
            <w:vMerge w:val="continue"/>
            <w:tcBorders>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5D09B910">
            <w:pPr>
              <w:spacing w:line="260" w:lineRule="exact"/>
              <w:rPr>
                <w:rStyle w:val="21"/>
                <w:rFonts w:hint="eastAsia" w:ascii="宋体" w:hAnsi="宋体" w:eastAsia="宋体" w:cs="宋体"/>
                <w:sz w:val="18"/>
                <w:szCs w:val="18"/>
                <w:lang w:bidi="ar"/>
              </w:rPr>
            </w:pPr>
          </w:p>
        </w:tc>
      </w:tr>
      <w:tr w14:paraId="182DC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80" w:hRule="atLeast"/>
          <w:jc w:val="center"/>
        </w:trPr>
        <w:tc>
          <w:tcPr>
            <w:tcW w:w="495" w:type="dxa"/>
            <w:vMerge w:val="restart"/>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7DA535EC">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23</w:t>
            </w:r>
          </w:p>
        </w:tc>
        <w:tc>
          <w:tcPr>
            <w:tcW w:w="1211" w:type="dxa"/>
            <w:vMerge w:val="restart"/>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51C01C93">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对工业企业的生产设备冷却水、空调冷却水、锅炉冷凝水未回收利用行为的行政处罚</w:t>
            </w:r>
          </w:p>
        </w:tc>
        <w:tc>
          <w:tcPr>
            <w:tcW w:w="4862" w:type="dxa"/>
            <w:vMerge w:val="restart"/>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2D0DF410">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《节约用水条例》第四十九条 工业企业的生产设备冷却水、空调冷却水、锅炉冷凝水未回收利用的，由县级以上地方人民政府水行政主管部门责令改正，可以处5万元以下的罚款；拒不改正的，处5万元以上10万元以下的罚款。</w:t>
            </w:r>
          </w:p>
        </w:tc>
        <w:tc>
          <w:tcPr>
            <w:tcW w:w="1613" w:type="dxa"/>
            <w:vMerge w:val="restart"/>
            <w:tcBorders>
              <w:top w:val="single" w:color="auto" w:sz="4" w:space="0"/>
              <w:left w:val="single" w:color="auto" w:sz="4" w:space="0"/>
              <w:right w:val="single" w:color="auto" w:sz="4" w:space="0"/>
            </w:tcBorders>
            <w:shd w:val="clear" w:color="auto" w:fill="FFFFFF"/>
            <w:noWrap w:val="0"/>
            <w:tcMar>
              <w:top w:w="0" w:type="dxa"/>
              <w:left w:w="0" w:type="dxa"/>
              <w:bottom w:w="0" w:type="dxa"/>
              <w:right w:w="0" w:type="dxa"/>
            </w:tcMar>
            <w:vAlign w:val="center"/>
          </w:tcPr>
          <w:p w14:paraId="62918E17">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工业企业的生产设备冷却水、空调冷却水、锅炉冷凝水未回收利用的</w:t>
            </w: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0CF56FAF">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轻微</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7826CDF9">
            <w:pPr>
              <w:spacing w:line="260" w:lineRule="exact"/>
              <w:rPr>
                <w:rStyle w:val="21"/>
                <w:rFonts w:hint="eastAsia" w:ascii="宋体" w:hAnsi="宋体" w:eastAsia="宋体" w:cs="宋体"/>
                <w:sz w:val="18"/>
                <w:szCs w:val="18"/>
                <w:lang w:bidi="ar"/>
              </w:rPr>
            </w:pPr>
            <w:r>
              <w:rPr>
                <w:rStyle w:val="21"/>
                <w:rFonts w:hint="eastAsia" w:ascii="宋体" w:hAnsi="宋体" w:eastAsia="宋体" w:cs="宋体"/>
                <w:sz w:val="18"/>
                <w:szCs w:val="18"/>
                <w:lang w:bidi="ar"/>
              </w:rPr>
              <w:t>1.当事人</w:t>
            </w:r>
            <w:r>
              <w:rPr>
                <w:rStyle w:val="21"/>
                <w:rFonts w:hint="eastAsia" w:ascii="宋体" w:hAnsi="宋体" w:eastAsia="宋体" w:cs="宋体"/>
                <w:sz w:val="18"/>
                <w:szCs w:val="18"/>
                <w:lang w:val="en-US" w:eastAsia="zh-CN" w:bidi="ar"/>
              </w:rPr>
              <w:t>积极</w:t>
            </w:r>
            <w:r>
              <w:rPr>
                <w:rStyle w:val="21"/>
                <w:rFonts w:hint="eastAsia" w:ascii="宋体" w:hAnsi="宋体" w:eastAsia="宋体" w:cs="宋体"/>
                <w:sz w:val="18"/>
                <w:szCs w:val="18"/>
                <w:lang w:bidi="ar"/>
              </w:rPr>
              <w:t>配合检查、调查，属于首次</w:t>
            </w:r>
            <w:r>
              <w:rPr>
                <w:rStyle w:val="21"/>
                <w:rFonts w:hint="eastAsia" w:ascii="宋体" w:hAnsi="宋体" w:eastAsia="宋体" w:cs="宋体"/>
                <w:sz w:val="18"/>
                <w:szCs w:val="18"/>
                <w:lang w:val="en-US" w:eastAsia="zh-CN" w:bidi="ar"/>
              </w:rPr>
              <w:t>违法</w:t>
            </w:r>
            <w:r>
              <w:rPr>
                <w:rStyle w:val="21"/>
                <w:rFonts w:hint="eastAsia" w:ascii="宋体" w:hAnsi="宋体" w:eastAsia="宋体" w:cs="宋体"/>
                <w:sz w:val="18"/>
                <w:szCs w:val="18"/>
                <w:lang w:bidi="ar"/>
              </w:rPr>
              <w:t>；</w:t>
            </w:r>
          </w:p>
          <w:p w14:paraId="45CADD71">
            <w:pPr>
              <w:spacing w:line="260" w:lineRule="exact"/>
              <w:rPr>
                <w:rStyle w:val="21"/>
                <w:rFonts w:hint="eastAsia" w:ascii="宋体" w:hAnsi="宋体" w:eastAsia="宋体" w:cs="宋体"/>
                <w:sz w:val="18"/>
                <w:szCs w:val="18"/>
                <w:lang w:bidi="ar"/>
              </w:rPr>
            </w:pPr>
            <w:r>
              <w:rPr>
                <w:rStyle w:val="21"/>
                <w:rFonts w:hint="eastAsia" w:ascii="宋体" w:hAnsi="宋体" w:eastAsia="宋体" w:cs="宋体"/>
                <w:sz w:val="18"/>
                <w:szCs w:val="18"/>
                <w:lang w:bidi="ar"/>
              </w:rPr>
              <w:t>2.在</w:t>
            </w:r>
            <w:r>
              <w:rPr>
                <w:rStyle w:val="21"/>
                <w:rFonts w:hint="eastAsia" w:ascii="宋体" w:hAnsi="宋体" w:eastAsia="宋体" w:cs="宋体"/>
                <w:sz w:val="18"/>
                <w:szCs w:val="18"/>
                <w:lang w:val="en-US" w:eastAsia="zh-CN" w:bidi="ar"/>
              </w:rPr>
              <w:t>限定期限</w:t>
            </w:r>
            <w:r>
              <w:rPr>
                <w:rStyle w:val="21"/>
                <w:rFonts w:hint="eastAsia" w:ascii="宋体" w:hAnsi="宋体" w:eastAsia="宋体" w:cs="宋体"/>
                <w:sz w:val="18"/>
                <w:szCs w:val="18"/>
                <w:lang w:bidi="ar"/>
              </w:rPr>
              <w:t>内</w:t>
            </w:r>
            <w:r>
              <w:rPr>
                <w:rStyle w:val="21"/>
                <w:rFonts w:hint="eastAsia" w:ascii="宋体" w:hAnsi="宋体" w:eastAsia="宋体" w:cs="宋体"/>
                <w:sz w:val="18"/>
                <w:szCs w:val="18"/>
                <w:lang w:val="en-US" w:eastAsia="zh-CN" w:bidi="ar"/>
              </w:rPr>
              <w:t>实现</w:t>
            </w:r>
            <w:r>
              <w:rPr>
                <w:rStyle w:val="21"/>
                <w:rFonts w:hint="eastAsia" w:ascii="宋体" w:hAnsi="宋体" w:eastAsia="宋体" w:cs="宋体"/>
                <w:sz w:val="18"/>
                <w:szCs w:val="18"/>
                <w:lang w:bidi="ar"/>
              </w:rPr>
              <w:t>生产设备冷却水、空调冷却水、锅炉冷凝水回收利用</w:t>
            </w:r>
            <w:r>
              <w:rPr>
                <w:rStyle w:val="21"/>
                <w:rFonts w:hint="eastAsia" w:ascii="宋体" w:hAnsi="宋体" w:eastAsia="宋体" w:cs="宋体"/>
                <w:sz w:val="18"/>
                <w:szCs w:val="18"/>
                <w:lang w:val="en-US" w:eastAsia="zh-CN" w:bidi="ar"/>
              </w:rPr>
              <w:t>，</w:t>
            </w:r>
            <w:r>
              <w:rPr>
                <w:rStyle w:val="21"/>
                <w:rFonts w:hint="eastAsia" w:ascii="宋体" w:hAnsi="宋体" w:eastAsia="宋体" w:cs="宋体"/>
                <w:sz w:val="18"/>
                <w:szCs w:val="18"/>
                <w:lang w:bidi="ar"/>
              </w:rPr>
              <w:t>签订承诺书；</w:t>
            </w:r>
          </w:p>
          <w:p w14:paraId="3F1EC03C">
            <w:pPr>
              <w:spacing w:line="260" w:lineRule="exact"/>
              <w:rPr>
                <w:rStyle w:val="21"/>
                <w:rFonts w:hint="eastAsia" w:ascii="宋体" w:hAnsi="宋体" w:eastAsia="宋体" w:cs="宋体"/>
                <w:sz w:val="18"/>
                <w:szCs w:val="18"/>
                <w:lang w:bidi="ar"/>
              </w:rPr>
            </w:pPr>
            <w:r>
              <w:rPr>
                <w:rStyle w:val="21"/>
                <w:rFonts w:hint="eastAsia" w:ascii="宋体" w:hAnsi="宋体" w:eastAsia="宋体" w:cs="宋体"/>
                <w:sz w:val="18"/>
                <w:szCs w:val="18"/>
                <w:lang w:bidi="ar"/>
              </w:rPr>
              <w:t>3.没有造成危害后果的；</w:t>
            </w:r>
          </w:p>
          <w:p w14:paraId="18ADF56F">
            <w:pPr>
              <w:spacing w:line="260" w:lineRule="exact"/>
              <w:rPr>
                <w:rStyle w:val="21"/>
                <w:rFonts w:hint="eastAsia" w:ascii="宋体" w:hAnsi="宋体" w:eastAsia="宋体" w:cs="宋体"/>
                <w:sz w:val="18"/>
                <w:szCs w:val="18"/>
                <w:lang w:val="en-US" w:eastAsia="zh-CN" w:bidi="ar"/>
              </w:rPr>
            </w:pPr>
            <w:r>
              <w:rPr>
                <w:rStyle w:val="21"/>
                <w:rFonts w:hint="eastAsia" w:ascii="宋体" w:hAnsi="宋体" w:eastAsia="宋体" w:cs="宋体"/>
                <w:sz w:val="18"/>
                <w:szCs w:val="18"/>
                <w:lang w:val="en-US" w:eastAsia="zh-CN" w:bidi="ar"/>
              </w:rPr>
              <w:t>（注：符合上述所有情形的，不予处罚，应将本次违法情况进行登记备案，以后再发生类似问题的将不再适用本条件）</w:t>
            </w: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688D5852">
            <w:pPr>
              <w:spacing w:line="260" w:lineRule="exact"/>
              <w:rPr>
                <w:rStyle w:val="21"/>
                <w:rFonts w:hint="eastAsia" w:ascii="宋体" w:hAnsi="宋体" w:eastAsia="宋体" w:cs="宋体"/>
                <w:sz w:val="18"/>
                <w:szCs w:val="18"/>
                <w:lang w:val="en-US" w:eastAsia="zh-CN" w:bidi="ar"/>
              </w:rPr>
            </w:pPr>
            <w:r>
              <w:rPr>
                <w:rStyle w:val="21"/>
                <w:rFonts w:hint="eastAsia" w:ascii="宋体" w:hAnsi="宋体" w:eastAsia="宋体" w:cs="宋体"/>
                <w:sz w:val="18"/>
                <w:szCs w:val="18"/>
                <w:lang w:bidi="ar"/>
              </w:rPr>
              <w:t>不予处罚</w:t>
            </w:r>
          </w:p>
        </w:tc>
        <w:tc>
          <w:tcPr>
            <w:tcW w:w="563" w:type="dxa"/>
            <w:vMerge w:val="restart"/>
            <w:tcBorders>
              <w:top w:val="single" w:color="auto" w:sz="4" w:space="0"/>
              <w:left w:val="single" w:color="auto" w:sz="4" w:space="0"/>
              <w:right w:val="single" w:color="auto" w:sz="4" w:space="0"/>
            </w:tcBorders>
            <w:shd w:val="clear" w:color="auto" w:fill="FFFFFF"/>
            <w:noWrap w:val="0"/>
            <w:tcMar>
              <w:top w:w="0" w:type="dxa"/>
              <w:left w:w="0" w:type="dxa"/>
              <w:bottom w:w="0" w:type="dxa"/>
              <w:right w:w="0" w:type="dxa"/>
            </w:tcMar>
            <w:vAlign w:val="center"/>
          </w:tcPr>
          <w:p w14:paraId="693A43CF">
            <w:pPr>
              <w:spacing w:line="260" w:lineRule="exact"/>
              <w:rPr>
                <w:rStyle w:val="21"/>
                <w:rFonts w:hint="eastAsia" w:ascii="宋体" w:hAnsi="宋体" w:eastAsia="宋体" w:cs="宋体"/>
                <w:sz w:val="18"/>
                <w:szCs w:val="18"/>
                <w:lang w:bidi="ar"/>
              </w:rPr>
            </w:pPr>
          </w:p>
        </w:tc>
      </w:tr>
      <w:tr w14:paraId="7241FD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567" w:hRule="atLeast"/>
          <w:jc w:val="center"/>
        </w:trPr>
        <w:tc>
          <w:tcPr>
            <w:tcW w:w="495"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4D756142">
            <w:pPr>
              <w:spacing w:line="260" w:lineRule="exact"/>
              <w:jc w:val="center"/>
              <w:rPr>
                <w:rFonts w:hint="eastAsia" w:ascii="宋体" w:hAnsi="宋体" w:eastAsia="宋体" w:cs="宋体"/>
                <w:sz w:val="18"/>
                <w:szCs w:val="18"/>
              </w:rPr>
            </w:pPr>
          </w:p>
        </w:tc>
        <w:tc>
          <w:tcPr>
            <w:tcW w:w="1211"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64C978C5">
            <w:pPr>
              <w:spacing w:line="260" w:lineRule="exact"/>
              <w:rPr>
                <w:rFonts w:hint="eastAsia" w:ascii="宋体" w:hAnsi="宋体" w:eastAsia="宋体" w:cs="宋体"/>
                <w:color w:val="000000"/>
                <w:kern w:val="0"/>
                <w:sz w:val="18"/>
                <w:szCs w:val="18"/>
                <w:lang w:bidi="ar"/>
              </w:rPr>
            </w:pPr>
          </w:p>
        </w:tc>
        <w:tc>
          <w:tcPr>
            <w:tcW w:w="4862"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76E2B50C">
            <w:pPr>
              <w:spacing w:line="260" w:lineRule="exact"/>
              <w:ind w:firstLine="360" w:firstLineChars="200"/>
              <w:rPr>
                <w:rFonts w:hint="eastAsia" w:ascii="宋体" w:hAnsi="宋体" w:eastAsia="宋体" w:cs="宋体"/>
                <w:color w:val="000000"/>
                <w:kern w:val="0"/>
                <w:sz w:val="18"/>
                <w:szCs w:val="18"/>
                <w:lang w:bidi="ar"/>
              </w:rPr>
            </w:pPr>
          </w:p>
        </w:tc>
        <w:tc>
          <w:tcPr>
            <w:tcW w:w="161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37AC869C">
            <w:pPr>
              <w:spacing w:line="260" w:lineRule="exact"/>
              <w:ind w:firstLine="360" w:firstLineChars="200"/>
              <w:rPr>
                <w:rFonts w:hint="eastAsia" w:ascii="宋体" w:hAnsi="宋体" w:eastAsia="宋体" w:cs="宋体"/>
                <w:color w:val="000000"/>
                <w:kern w:val="0"/>
                <w:sz w:val="18"/>
                <w:szCs w:val="18"/>
                <w:lang w:bidi="ar"/>
              </w:rPr>
            </w:pP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3AA7A427">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较轻</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622B1619">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7B22B1A3">
            <w:pPr>
              <w:spacing w:line="260" w:lineRule="exact"/>
              <w:rPr>
                <w:rStyle w:val="21"/>
                <w:rFonts w:hint="eastAsia" w:ascii="宋体" w:hAnsi="宋体" w:eastAsia="宋体" w:cs="宋体"/>
                <w:sz w:val="18"/>
                <w:szCs w:val="18"/>
                <w:lang w:bidi="ar"/>
              </w:rPr>
            </w:pP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7CCF12EE">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3695D5C7">
            <w:pPr>
              <w:spacing w:line="260" w:lineRule="exact"/>
              <w:rPr>
                <w:rStyle w:val="21"/>
                <w:rFonts w:hint="eastAsia" w:ascii="宋体" w:hAnsi="宋体" w:eastAsia="宋体" w:cs="宋体"/>
                <w:sz w:val="18"/>
                <w:szCs w:val="18"/>
                <w:lang w:bidi="ar"/>
              </w:rPr>
            </w:pPr>
          </w:p>
        </w:tc>
        <w:tc>
          <w:tcPr>
            <w:tcW w:w="56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575893C7">
            <w:pPr>
              <w:spacing w:line="260" w:lineRule="exact"/>
              <w:rPr>
                <w:rStyle w:val="21"/>
                <w:rFonts w:hint="eastAsia" w:ascii="宋体" w:hAnsi="宋体" w:eastAsia="宋体" w:cs="宋体"/>
                <w:sz w:val="18"/>
                <w:szCs w:val="18"/>
                <w:lang w:bidi="ar"/>
              </w:rPr>
            </w:pPr>
          </w:p>
        </w:tc>
      </w:tr>
      <w:tr w14:paraId="2AA33C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567" w:hRule="atLeast"/>
          <w:jc w:val="center"/>
        </w:trPr>
        <w:tc>
          <w:tcPr>
            <w:tcW w:w="495"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3AC3AB8E">
            <w:pPr>
              <w:spacing w:line="260" w:lineRule="exact"/>
              <w:jc w:val="center"/>
              <w:rPr>
                <w:rFonts w:hint="eastAsia" w:ascii="宋体" w:hAnsi="宋体" w:eastAsia="宋体" w:cs="宋体"/>
                <w:sz w:val="18"/>
                <w:szCs w:val="18"/>
              </w:rPr>
            </w:pPr>
          </w:p>
        </w:tc>
        <w:tc>
          <w:tcPr>
            <w:tcW w:w="1211"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720B7003">
            <w:pPr>
              <w:spacing w:line="260" w:lineRule="exact"/>
              <w:rPr>
                <w:rFonts w:hint="eastAsia" w:ascii="宋体" w:hAnsi="宋体" w:eastAsia="宋体" w:cs="宋体"/>
                <w:color w:val="000000"/>
                <w:kern w:val="0"/>
                <w:sz w:val="18"/>
                <w:szCs w:val="18"/>
                <w:lang w:bidi="ar"/>
              </w:rPr>
            </w:pPr>
          </w:p>
        </w:tc>
        <w:tc>
          <w:tcPr>
            <w:tcW w:w="4862"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45674241">
            <w:pPr>
              <w:spacing w:line="260" w:lineRule="exact"/>
              <w:ind w:firstLine="360" w:firstLineChars="200"/>
              <w:rPr>
                <w:rFonts w:hint="eastAsia" w:ascii="宋体" w:hAnsi="宋体" w:eastAsia="宋体" w:cs="宋体"/>
                <w:color w:val="000000"/>
                <w:kern w:val="0"/>
                <w:sz w:val="18"/>
                <w:szCs w:val="18"/>
                <w:lang w:bidi="ar"/>
              </w:rPr>
            </w:pPr>
          </w:p>
        </w:tc>
        <w:tc>
          <w:tcPr>
            <w:tcW w:w="161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4F1E73BD">
            <w:pPr>
              <w:spacing w:line="260" w:lineRule="exact"/>
              <w:ind w:firstLine="360" w:firstLineChars="200"/>
              <w:rPr>
                <w:rFonts w:hint="eastAsia" w:ascii="宋体" w:hAnsi="宋体" w:eastAsia="宋体" w:cs="宋体"/>
                <w:color w:val="000000"/>
                <w:kern w:val="0"/>
                <w:sz w:val="18"/>
                <w:szCs w:val="18"/>
                <w:lang w:bidi="ar"/>
              </w:rPr>
            </w:pP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38452141">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一般</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737242F9">
            <w:pPr>
              <w:spacing w:line="260" w:lineRule="exact"/>
              <w:rPr>
                <w:rStyle w:val="21"/>
                <w:rFonts w:hint="eastAsia" w:ascii="宋体" w:hAnsi="宋体" w:eastAsia="宋体" w:cs="宋体"/>
                <w:sz w:val="18"/>
                <w:szCs w:val="18"/>
                <w:lang w:bidi="ar"/>
              </w:rPr>
            </w:pPr>
            <w:r>
              <w:rPr>
                <w:rStyle w:val="21"/>
                <w:rFonts w:hint="eastAsia" w:ascii="宋体" w:hAnsi="宋体" w:eastAsia="宋体" w:cs="宋体"/>
                <w:sz w:val="18"/>
                <w:szCs w:val="18"/>
                <w:lang w:bidi="ar"/>
              </w:rPr>
              <w:t>立即停止违法行为，在限期内改正的</w:t>
            </w: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54FDBE40">
            <w:pPr>
              <w:spacing w:line="260" w:lineRule="exact"/>
              <w:rPr>
                <w:rStyle w:val="21"/>
                <w:rFonts w:hint="eastAsia" w:ascii="宋体" w:hAnsi="宋体" w:eastAsia="宋体" w:cs="宋体"/>
                <w:sz w:val="18"/>
                <w:szCs w:val="18"/>
                <w:lang w:bidi="ar"/>
              </w:rPr>
            </w:pPr>
            <w:r>
              <w:rPr>
                <w:rStyle w:val="21"/>
                <w:rFonts w:hint="eastAsia" w:ascii="宋体" w:hAnsi="宋体" w:eastAsia="宋体" w:cs="宋体"/>
                <w:sz w:val="18"/>
                <w:szCs w:val="18"/>
                <w:lang w:bidi="ar"/>
              </w:rPr>
              <w:t>可以处1万元以下的罚款</w:t>
            </w:r>
          </w:p>
        </w:tc>
        <w:tc>
          <w:tcPr>
            <w:tcW w:w="56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1E3BFF62">
            <w:pPr>
              <w:spacing w:line="260" w:lineRule="exact"/>
              <w:rPr>
                <w:rStyle w:val="21"/>
                <w:rFonts w:hint="eastAsia" w:ascii="宋体" w:hAnsi="宋体" w:eastAsia="宋体" w:cs="宋体"/>
                <w:sz w:val="18"/>
                <w:szCs w:val="18"/>
                <w:lang w:bidi="ar"/>
              </w:rPr>
            </w:pPr>
          </w:p>
        </w:tc>
      </w:tr>
      <w:tr w14:paraId="358271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495"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4911DFA2">
            <w:pPr>
              <w:spacing w:line="260" w:lineRule="exact"/>
              <w:jc w:val="center"/>
              <w:rPr>
                <w:rFonts w:hint="eastAsia" w:ascii="宋体" w:hAnsi="宋体" w:eastAsia="宋体" w:cs="宋体"/>
                <w:sz w:val="18"/>
                <w:szCs w:val="18"/>
              </w:rPr>
            </w:pPr>
          </w:p>
        </w:tc>
        <w:tc>
          <w:tcPr>
            <w:tcW w:w="1211"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42B697BB">
            <w:pPr>
              <w:spacing w:line="260" w:lineRule="exact"/>
              <w:rPr>
                <w:rFonts w:hint="eastAsia" w:ascii="宋体" w:hAnsi="宋体" w:eastAsia="宋体" w:cs="宋体"/>
                <w:color w:val="000000"/>
                <w:kern w:val="0"/>
                <w:sz w:val="18"/>
                <w:szCs w:val="18"/>
                <w:lang w:bidi="ar"/>
              </w:rPr>
            </w:pPr>
          </w:p>
        </w:tc>
        <w:tc>
          <w:tcPr>
            <w:tcW w:w="4862"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0AE35BDA">
            <w:pPr>
              <w:spacing w:line="260" w:lineRule="exact"/>
              <w:ind w:firstLine="360" w:firstLineChars="200"/>
              <w:rPr>
                <w:rFonts w:hint="eastAsia" w:ascii="宋体" w:hAnsi="宋体" w:eastAsia="宋体" w:cs="宋体"/>
                <w:color w:val="000000"/>
                <w:kern w:val="0"/>
                <w:sz w:val="18"/>
                <w:szCs w:val="18"/>
                <w:lang w:bidi="ar"/>
              </w:rPr>
            </w:pPr>
          </w:p>
        </w:tc>
        <w:tc>
          <w:tcPr>
            <w:tcW w:w="161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475DDA42">
            <w:pPr>
              <w:spacing w:line="260" w:lineRule="exact"/>
              <w:ind w:firstLine="360" w:firstLineChars="200"/>
              <w:rPr>
                <w:rFonts w:hint="eastAsia" w:ascii="宋体" w:hAnsi="宋体" w:eastAsia="宋体" w:cs="宋体"/>
                <w:color w:val="000000"/>
                <w:kern w:val="0"/>
                <w:sz w:val="18"/>
                <w:szCs w:val="18"/>
                <w:lang w:bidi="ar"/>
              </w:rPr>
            </w:pP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307EC264">
            <w:pPr>
              <w:spacing w:line="260" w:lineRule="exact"/>
              <w:jc w:val="center"/>
              <w:rPr>
                <w:rFonts w:hint="eastAsia" w:ascii="宋体" w:hAnsi="宋体" w:eastAsia="宋体" w:cs="宋体"/>
                <w:sz w:val="18"/>
                <w:szCs w:val="18"/>
                <w:lang w:eastAsia="zh-CN"/>
              </w:rPr>
            </w:pPr>
            <w:r>
              <w:rPr>
                <w:rFonts w:hint="eastAsia" w:ascii="宋体" w:hAnsi="宋体" w:eastAsia="宋体" w:cs="宋体"/>
                <w:sz w:val="18"/>
                <w:szCs w:val="18"/>
                <w:lang w:eastAsia="zh-CN"/>
              </w:rPr>
              <w:t>较重</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1ACE9214">
            <w:pPr>
              <w:spacing w:line="260" w:lineRule="exact"/>
              <w:rPr>
                <w:rStyle w:val="21"/>
                <w:rFonts w:hint="eastAsia" w:ascii="宋体" w:hAnsi="宋体" w:eastAsia="宋体" w:cs="宋体"/>
                <w:sz w:val="18"/>
                <w:szCs w:val="18"/>
                <w:lang w:bidi="ar"/>
              </w:rPr>
            </w:pPr>
            <w:r>
              <w:rPr>
                <w:rStyle w:val="21"/>
                <w:rFonts w:hint="eastAsia" w:ascii="宋体" w:hAnsi="宋体" w:eastAsia="宋体" w:cs="宋体"/>
                <w:sz w:val="18"/>
                <w:szCs w:val="18"/>
                <w:lang w:bidi="ar"/>
              </w:rPr>
              <w:t>未立即停止违法行为，在限期内改正的</w:t>
            </w: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7FEB95F5">
            <w:pPr>
              <w:spacing w:line="260" w:lineRule="exact"/>
              <w:rPr>
                <w:rStyle w:val="21"/>
                <w:rFonts w:hint="eastAsia" w:ascii="宋体" w:hAnsi="宋体" w:eastAsia="宋体" w:cs="宋体"/>
                <w:sz w:val="18"/>
                <w:szCs w:val="18"/>
                <w:lang w:bidi="ar"/>
              </w:rPr>
            </w:pPr>
            <w:r>
              <w:rPr>
                <w:rFonts w:hint="eastAsia" w:ascii="宋体" w:hAnsi="宋体" w:eastAsia="宋体" w:cs="宋体"/>
                <w:color w:val="000000"/>
                <w:kern w:val="0"/>
                <w:sz w:val="18"/>
                <w:szCs w:val="18"/>
                <w:lang w:bidi="ar"/>
              </w:rPr>
              <w:t>可以处5万元以下的罚款</w:t>
            </w:r>
          </w:p>
        </w:tc>
        <w:tc>
          <w:tcPr>
            <w:tcW w:w="56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1305580C">
            <w:pPr>
              <w:spacing w:line="260" w:lineRule="exact"/>
              <w:rPr>
                <w:rStyle w:val="21"/>
                <w:rFonts w:hint="eastAsia" w:ascii="宋体" w:hAnsi="宋体" w:eastAsia="宋体" w:cs="宋体"/>
                <w:sz w:val="18"/>
                <w:szCs w:val="18"/>
                <w:lang w:bidi="ar"/>
              </w:rPr>
            </w:pPr>
          </w:p>
        </w:tc>
      </w:tr>
      <w:tr w14:paraId="72D136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495" w:type="dxa"/>
            <w:vMerge w:val="continue"/>
            <w:tcBorders>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56383546">
            <w:pPr>
              <w:spacing w:line="260" w:lineRule="exact"/>
              <w:jc w:val="center"/>
              <w:rPr>
                <w:rFonts w:hint="eastAsia" w:ascii="宋体" w:hAnsi="宋体" w:eastAsia="宋体" w:cs="宋体"/>
                <w:sz w:val="18"/>
                <w:szCs w:val="18"/>
              </w:rPr>
            </w:pPr>
          </w:p>
        </w:tc>
        <w:tc>
          <w:tcPr>
            <w:tcW w:w="1211" w:type="dxa"/>
            <w:vMerge w:val="continue"/>
            <w:tcBorders>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3DA5E5DE">
            <w:pPr>
              <w:spacing w:line="260" w:lineRule="exact"/>
              <w:rPr>
                <w:rFonts w:hint="eastAsia" w:ascii="宋体" w:hAnsi="宋体" w:eastAsia="宋体" w:cs="宋体"/>
                <w:color w:val="000000"/>
                <w:kern w:val="0"/>
                <w:sz w:val="18"/>
                <w:szCs w:val="18"/>
                <w:lang w:bidi="ar"/>
              </w:rPr>
            </w:pPr>
          </w:p>
        </w:tc>
        <w:tc>
          <w:tcPr>
            <w:tcW w:w="4862" w:type="dxa"/>
            <w:vMerge w:val="continue"/>
            <w:tcBorders>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16B0BE16">
            <w:pPr>
              <w:spacing w:line="260" w:lineRule="exact"/>
              <w:ind w:firstLine="360" w:firstLineChars="200"/>
              <w:rPr>
                <w:rFonts w:hint="eastAsia" w:ascii="宋体" w:hAnsi="宋体" w:eastAsia="宋体" w:cs="宋体"/>
                <w:color w:val="000000"/>
                <w:kern w:val="0"/>
                <w:sz w:val="18"/>
                <w:szCs w:val="18"/>
                <w:lang w:bidi="ar"/>
              </w:rPr>
            </w:pPr>
          </w:p>
        </w:tc>
        <w:tc>
          <w:tcPr>
            <w:tcW w:w="1613" w:type="dxa"/>
            <w:vMerge w:val="continue"/>
            <w:tcBorders>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37E8C34E">
            <w:pPr>
              <w:spacing w:line="260" w:lineRule="exact"/>
              <w:ind w:firstLine="360" w:firstLineChars="200"/>
              <w:rPr>
                <w:rFonts w:hint="eastAsia" w:ascii="宋体" w:hAnsi="宋体" w:eastAsia="宋体" w:cs="宋体"/>
                <w:color w:val="000000"/>
                <w:kern w:val="0"/>
                <w:sz w:val="18"/>
                <w:szCs w:val="18"/>
                <w:lang w:bidi="ar"/>
              </w:rPr>
            </w:pP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254D7DC1">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严重</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4501233D">
            <w:pPr>
              <w:spacing w:line="260" w:lineRule="exact"/>
              <w:rPr>
                <w:rStyle w:val="21"/>
                <w:rFonts w:hint="eastAsia" w:ascii="宋体" w:hAnsi="宋体" w:eastAsia="宋体" w:cs="宋体"/>
                <w:sz w:val="18"/>
                <w:szCs w:val="18"/>
                <w:lang w:bidi="ar"/>
              </w:rPr>
            </w:pPr>
            <w:r>
              <w:rPr>
                <w:rFonts w:hint="eastAsia" w:ascii="宋体" w:hAnsi="宋体" w:eastAsia="宋体" w:cs="宋体"/>
                <w:color w:val="000000"/>
                <w:kern w:val="0"/>
                <w:sz w:val="18"/>
                <w:szCs w:val="18"/>
                <w:lang w:bidi="ar"/>
              </w:rPr>
              <w:t>拒不改正的</w:t>
            </w: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73E7672A">
            <w:pPr>
              <w:spacing w:line="260" w:lineRule="exact"/>
              <w:rPr>
                <w:rStyle w:val="21"/>
                <w:rFonts w:hint="eastAsia" w:ascii="宋体" w:hAnsi="宋体" w:eastAsia="宋体" w:cs="宋体"/>
                <w:sz w:val="18"/>
                <w:szCs w:val="18"/>
                <w:lang w:bidi="ar"/>
              </w:rPr>
            </w:pPr>
            <w:r>
              <w:rPr>
                <w:rFonts w:hint="eastAsia" w:ascii="宋体" w:hAnsi="宋体" w:eastAsia="宋体" w:cs="宋体"/>
                <w:color w:val="000000"/>
                <w:kern w:val="0"/>
                <w:sz w:val="18"/>
                <w:szCs w:val="18"/>
                <w:lang w:bidi="ar"/>
              </w:rPr>
              <w:t>处5万元以上10万元以下的罚款</w:t>
            </w:r>
          </w:p>
        </w:tc>
        <w:tc>
          <w:tcPr>
            <w:tcW w:w="563" w:type="dxa"/>
            <w:vMerge w:val="continue"/>
            <w:tcBorders>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306ACCB4">
            <w:pPr>
              <w:spacing w:line="260" w:lineRule="exact"/>
              <w:rPr>
                <w:rStyle w:val="21"/>
                <w:rFonts w:hint="eastAsia" w:ascii="宋体" w:hAnsi="宋体" w:eastAsia="宋体" w:cs="宋体"/>
                <w:sz w:val="18"/>
                <w:szCs w:val="18"/>
                <w:lang w:bidi="ar"/>
              </w:rPr>
            </w:pPr>
          </w:p>
        </w:tc>
      </w:tr>
      <w:tr w14:paraId="367FCE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95" w:type="dxa"/>
            <w:vMerge w:val="restart"/>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7D684F72">
            <w:pPr>
              <w:spacing w:line="260" w:lineRule="exact"/>
              <w:jc w:val="center"/>
              <w:rPr>
                <w:rFonts w:hint="eastAsia" w:ascii="宋体" w:hAnsi="宋体" w:eastAsia="宋体" w:cs="宋体"/>
                <w:sz w:val="18"/>
                <w:szCs w:val="18"/>
                <w:lang w:eastAsia="zh-CN"/>
              </w:rPr>
            </w:pPr>
            <w:r>
              <w:rPr>
                <w:rFonts w:hint="eastAsia" w:ascii="宋体" w:hAnsi="宋体" w:eastAsia="宋体" w:cs="宋体"/>
                <w:sz w:val="18"/>
                <w:szCs w:val="18"/>
              </w:rPr>
              <w:t>2</w:t>
            </w:r>
            <w:r>
              <w:rPr>
                <w:rFonts w:hint="eastAsia" w:ascii="宋体" w:hAnsi="宋体" w:eastAsia="宋体" w:cs="宋体"/>
                <w:sz w:val="18"/>
                <w:szCs w:val="18"/>
                <w:lang w:val="en-US" w:eastAsia="zh-CN"/>
              </w:rPr>
              <w:t>4</w:t>
            </w:r>
          </w:p>
        </w:tc>
        <w:tc>
          <w:tcPr>
            <w:tcW w:w="1211" w:type="dxa"/>
            <w:vMerge w:val="restart"/>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16DEB3E4">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对未建设再生水利用设施或者应当利用再生水而未利用的，计划用水单位未开展水平衡测试的行为的行政处罚</w:t>
            </w:r>
          </w:p>
        </w:tc>
        <w:tc>
          <w:tcPr>
            <w:tcW w:w="4862" w:type="dxa"/>
            <w:vMerge w:val="restart"/>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3F5CF16D">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《河北省节约用水条例》第七十四条 违反本条例规定，未建设再生水利用设施或者应当利用再生水而未利用的，计划用水单位未开展水平衡测试的，由县级以上人民政府有关部门责令限期改正；逾期未改正的，处一万元以上十万元以下罚款。</w:t>
            </w:r>
          </w:p>
        </w:tc>
        <w:tc>
          <w:tcPr>
            <w:tcW w:w="1613" w:type="dxa"/>
            <w:vMerge w:val="restart"/>
            <w:tcBorders>
              <w:top w:val="single" w:color="auto" w:sz="4" w:space="0"/>
              <w:left w:val="single" w:color="auto" w:sz="4" w:space="0"/>
              <w:right w:val="single" w:color="auto" w:sz="4" w:space="0"/>
            </w:tcBorders>
            <w:shd w:val="clear" w:color="auto" w:fill="FFFFFF"/>
            <w:noWrap w:val="0"/>
            <w:tcMar>
              <w:top w:w="0" w:type="dxa"/>
              <w:left w:w="0" w:type="dxa"/>
              <w:bottom w:w="0" w:type="dxa"/>
              <w:right w:w="0" w:type="dxa"/>
            </w:tcMar>
            <w:vAlign w:val="center"/>
          </w:tcPr>
          <w:p w14:paraId="1A7E6034">
            <w:pPr>
              <w:widowControl/>
              <w:spacing w:line="260" w:lineRule="exact"/>
              <w:jc w:val="both"/>
              <w:textAlignment w:val="center"/>
              <w:rPr>
                <w:rFonts w:hint="eastAsia" w:ascii="宋体" w:hAnsi="宋体" w:eastAsia="宋体" w:cs="宋体"/>
                <w:color w:val="000000"/>
                <w:kern w:val="0"/>
                <w:sz w:val="18"/>
                <w:szCs w:val="18"/>
                <w:lang w:val="en-US" w:eastAsia="zh-CN" w:bidi="ar"/>
              </w:rPr>
            </w:pPr>
            <w:r>
              <w:rPr>
                <w:rFonts w:hint="eastAsia" w:ascii="宋体" w:hAnsi="宋体" w:eastAsia="宋体" w:cs="宋体"/>
                <w:color w:val="000000"/>
                <w:kern w:val="0"/>
                <w:sz w:val="18"/>
                <w:szCs w:val="18"/>
                <w:lang w:bidi="ar"/>
              </w:rPr>
              <w:t>未建设再生水利用设施或者应当利用再生水而未利用的，计划用水单位未开展水平衡测试</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val="en-US" w:eastAsia="zh-CN" w:bidi="ar"/>
              </w:rPr>
              <w:t>且</w:t>
            </w:r>
            <w:r>
              <w:rPr>
                <w:rFonts w:hint="eastAsia" w:ascii="宋体" w:hAnsi="宋体" w:eastAsia="宋体" w:cs="宋体"/>
                <w:color w:val="000000"/>
                <w:kern w:val="0"/>
                <w:sz w:val="18"/>
                <w:szCs w:val="18"/>
                <w:lang w:bidi="ar"/>
              </w:rPr>
              <w:t>逾期未改正的</w:t>
            </w: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307A9FB8">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轻微</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4AA2A89E">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52EAE05B">
            <w:pPr>
              <w:spacing w:line="260" w:lineRule="exact"/>
              <w:rPr>
                <w:rStyle w:val="21"/>
                <w:rFonts w:hint="eastAsia" w:ascii="宋体" w:hAnsi="宋体" w:eastAsia="宋体" w:cs="宋体"/>
                <w:sz w:val="18"/>
                <w:szCs w:val="18"/>
                <w:lang w:bidi="ar"/>
              </w:rPr>
            </w:pP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3DC9FC85">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23C22B35">
            <w:pPr>
              <w:spacing w:line="260" w:lineRule="exact"/>
              <w:rPr>
                <w:rStyle w:val="21"/>
                <w:rFonts w:hint="eastAsia" w:ascii="宋体" w:hAnsi="宋体" w:eastAsia="宋体" w:cs="宋体"/>
                <w:sz w:val="18"/>
                <w:szCs w:val="18"/>
                <w:lang w:bidi="ar"/>
              </w:rPr>
            </w:pPr>
          </w:p>
        </w:tc>
        <w:tc>
          <w:tcPr>
            <w:tcW w:w="563" w:type="dxa"/>
            <w:vMerge w:val="restart"/>
            <w:tcBorders>
              <w:top w:val="single" w:color="auto" w:sz="4" w:space="0"/>
              <w:left w:val="single" w:color="auto" w:sz="4" w:space="0"/>
              <w:right w:val="single" w:color="auto" w:sz="4" w:space="0"/>
            </w:tcBorders>
            <w:shd w:val="clear" w:color="auto" w:fill="FFFFFF"/>
            <w:noWrap w:val="0"/>
            <w:tcMar>
              <w:top w:w="0" w:type="dxa"/>
              <w:left w:w="0" w:type="dxa"/>
              <w:bottom w:w="0" w:type="dxa"/>
              <w:right w:w="0" w:type="dxa"/>
            </w:tcMar>
            <w:vAlign w:val="center"/>
          </w:tcPr>
          <w:p w14:paraId="07C5E065">
            <w:pPr>
              <w:spacing w:line="260" w:lineRule="exact"/>
              <w:rPr>
                <w:rStyle w:val="21"/>
                <w:rFonts w:hint="eastAsia" w:ascii="宋体" w:hAnsi="宋体" w:eastAsia="宋体" w:cs="宋体"/>
                <w:sz w:val="18"/>
                <w:szCs w:val="18"/>
                <w:lang w:bidi="ar"/>
              </w:rPr>
            </w:pPr>
          </w:p>
        </w:tc>
      </w:tr>
      <w:tr w14:paraId="2F7DEE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567" w:hRule="atLeast"/>
          <w:jc w:val="center"/>
        </w:trPr>
        <w:tc>
          <w:tcPr>
            <w:tcW w:w="495"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257D989C">
            <w:pPr>
              <w:spacing w:line="260" w:lineRule="exact"/>
              <w:jc w:val="center"/>
              <w:rPr>
                <w:rFonts w:hint="eastAsia" w:ascii="宋体" w:hAnsi="宋体" w:eastAsia="宋体" w:cs="宋体"/>
                <w:sz w:val="18"/>
                <w:szCs w:val="18"/>
              </w:rPr>
            </w:pPr>
          </w:p>
        </w:tc>
        <w:tc>
          <w:tcPr>
            <w:tcW w:w="1211"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12E9D720">
            <w:pPr>
              <w:spacing w:line="260" w:lineRule="exact"/>
              <w:rPr>
                <w:rFonts w:hint="eastAsia" w:ascii="宋体" w:hAnsi="宋体" w:eastAsia="宋体" w:cs="宋体"/>
                <w:color w:val="000000"/>
                <w:kern w:val="0"/>
                <w:sz w:val="18"/>
                <w:szCs w:val="18"/>
                <w:lang w:bidi="ar"/>
              </w:rPr>
            </w:pPr>
          </w:p>
        </w:tc>
        <w:tc>
          <w:tcPr>
            <w:tcW w:w="4862"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3138DAC4">
            <w:pPr>
              <w:spacing w:line="260" w:lineRule="exact"/>
              <w:ind w:firstLine="360" w:firstLineChars="200"/>
              <w:rPr>
                <w:rFonts w:hint="eastAsia" w:ascii="宋体" w:hAnsi="宋体" w:eastAsia="宋体" w:cs="宋体"/>
                <w:color w:val="000000"/>
                <w:kern w:val="0"/>
                <w:sz w:val="18"/>
                <w:szCs w:val="18"/>
                <w:lang w:bidi="ar"/>
              </w:rPr>
            </w:pPr>
          </w:p>
        </w:tc>
        <w:tc>
          <w:tcPr>
            <w:tcW w:w="161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551E2C7C">
            <w:pPr>
              <w:spacing w:line="260" w:lineRule="exact"/>
              <w:ind w:firstLine="360" w:firstLineChars="200"/>
              <w:rPr>
                <w:rFonts w:hint="eastAsia" w:ascii="宋体" w:hAnsi="宋体" w:eastAsia="宋体" w:cs="宋体"/>
                <w:color w:val="000000"/>
                <w:kern w:val="0"/>
                <w:sz w:val="18"/>
                <w:szCs w:val="18"/>
                <w:lang w:bidi="ar"/>
              </w:rPr>
            </w:pP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0FDCF08A">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较轻</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240269E8">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54417787">
            <w:pPr>
              <w:spacing w:line="260" w:lineRule="exact"/>
              <w:rPr>
                <w:rStyle w:val="21"/>
                <w:rFonts w:hint="eastAsia" w:ascii="宋体" w:hAnsi="宋体" w:eastAsia="宋体" w:cs="宋体"/>
                <w:sz w:val="18"/>
                <w:szCs w:val="18"/>
                <w:lang w:bidi="ar"/>
              </w:rPr>
            </w:pP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5E1332B1">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279AE2E8">
            <w:pPr>
              <w:spacing w:line="260" w:lineRule="exact"/>
              <w:rPr>
                <w:rStyle w:val="21"/>
                <w:rFonts w:hint="eastAsia" w:ascii="宋体" w:hAnsi="宋体" w:eastAsia="宋体" w:cs="宋体"/>
                <w:sz w:val="18"/>
                <w:szCs w:val="18"/>
                <w:lang w:bidi="ar"/>
              </w:rPr>
            </w:pPr>
          </w:p>
        </w:tc>
        <w:tc>
          <w:tcPr>
            <w:tcW w:w="56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47726ABD">
            <w:pPr>
              <w:spacing w:line="260" w:lineRule="exact"/>
              <w:rPr>
                <w:rStyle w:val="21"/>
                <w:rFonts w:hint="eastAsia" w:ascii="宋体" w:hAnsi="宋体" w:eastAsia="宋体" w:cs="宋体"/>
                <w:sz w:val="18"/>
                <w:szCs w:val="18"/>
                <w:lang w:bidi="ar"/>
              </w:rPr>
            </w:pPr>
          </w:p>
        </w:tc>
      </w:tr>
      <w:tr w14:paraId="379CF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680" w:hRule="atLeast"/>
          <w:jc w:val="center"/>
        </w:trPr>
        <w:tc>
          <w:tcPr>
            <w:tcW w:w="495"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3E4FAAEB">
            <w:pPr>
              <w:spacing w:line="260" w:lineRule="exact"/>
              <w:jc w:val="center"/>
              <w:rPr>
                <w:rFonts w:hint="eastAsia" w:ascii="宋体" w:hAnsi="宋体" w:eastAsia="宋体" w:cs="宋体"/>
                <w:sz w:val="18"/>
                <w:szCs w:val="18"/>
              </w:rPr>
            </w:pPr>
          </w:p>
        </w:tc>
        <w:tc>
          <w:tcPr>
            <w:tcW w:w="1211"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77B10AEF">
            <w:pPr>
              <w:spacing w:line="260" w:lineRule="exact"/>
              <w:rPr>
                <w:rFonts w:hint="eastAsia" w:ascii="宋体" w:hAnsi="宋体" w:eastAsia="宋体" w:cs="宋体"/>
                <w:color w:val="000000"/>
                <w:kern w:val="0"/>
                <w:sz w:val="18"/>
                <w:szCs w:val="18"/>
                <w:lang w:bidi="ar"/>
              </w:rPr>
            </w:pPr>
          </w:p>
        </w:tc>
        <w:tc>
          <w:tcPr>
            <w:tcW w:w="4862"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4B1A23E5">
            <w:pPr>
              <w:spacing w:line="260" w:lineRule="exact"/>
              <w:ind w:firstLine="360" w:firstLineChars="200"/>
              <w:rPr>
                <w:rFonts w:hint="eastAsia" w:ascii="宋体" w:hAnsi="宋体" w:eastAsia="宋体" w:cs="宋体"/>
                <w:color w:val="000000"/>
                <w:kern w:val="0"/>
                <w:sz w:val="18"/>
                <w:szCs w:val="18"/>
                <w:lang w:bidi="ar"/>
              </w:rPr>
            </w:pPr>
          </w:p>
        </w:tc>
        <w:tc>
          <w:tcPr>
            <w:tcW w:w="161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78E0391E">
            <w:pPr>
              <w:spacing w:line="260" w:lineRule="exact"/>
              <w:ind w:firstLine="360" w:firstLineChars="200"/>
              <w:rPr>
                <w:rFonts w:hint="eastAsia" w:ascii="宋体" w:hAnsi="宋体" w:eastAsia="宋体" w:cs="宋体"/>
                <w:color w:val="000000"/>
                <w:kern w:val="0"/>
                <w:sz w:val="18"/>
                <w:szCs w:val="18"/>
                <w:lang w:bidi="ar"/>
              </w:rPr>
            </w:pP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1FC54E04">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一般</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15DA1AFE">
            <w:pPr>
              <w:spacing w:line="260" w:lineRule="exact"/>
              <w:rPr>
                <w:rFonts w:hint="eastAsia" w:ascii="宋体" w:hAnsi="宋体" w:eastAsia="宋体" w:cs="宋体"/>
                <w:color w:val="000000"/>
                <w:sz w:val="18"/>
                <w:szCs w:val="18"/>
                <w:lang w:val="en" w:eastAsia="zh-CN" w:bidi="ar"/>
              </w:rPr>
            </w:pPr>
            <w:r>
              <w:rPr>
                <w:rStyle w:val="21"/>
                <w:rFonts w:hint="eastAsia" w:ascii="宋体" w:hAnsi="宋体" w:eastAsia="宋体" w:cs="宋体"/>
                <w:sz w:val="18"/>
                <w:szCs w:val="18"/>
                <w:lang w:val="en" w:bidi="ar"/>
              </w:rPr>
              <w:t>不按要求整改的，超过规定期限不足</w:t>
            </w:r>
            <w:r>
              <w:rPr>
                <w:rStyle w:val="21"/>
                <w:rFonts w:hint="eastAsia" w:ascii="宋体" w:hAnsi="宋体" w:eastAsia="宋体" w:cs="宋体"/>
                <w:sz w:val="18"/>
                <w:szCs w:val="18"/>
                <w:lang w:val="en-US" w:eastAsia="zh-CN" w:bidi="ar"/>
              </w:rPr>
              <w:t>30</w:t>
            </w:r>
            <w:r>
              <w:rPr>
                <w:rStyle w:val="21"/>
                <w:rFonts w:hint="eastAsia" w:ascii="宋体" w:hAnsi="宋体" w:eastAsia="宋体" w:cs="宋体"/>
                <w:sz w:val="18"/>
                <w:szCs w:val="18"/>
                <w:lang w:val="en" w:eastAsia="zh-CN" w:bidi="ar"/>
              </w:rPr>
              <w:t>日</w:t>
            </w: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621E6EFE">
            <w:pPr>
              <w:spacing w:line="260" w:lineRule="exact"/>
              <w:rPr>
                <w:rFonts w:hint="eastAsia" w:ascii="宋体" w:hAnsi="宋体" w:eastAsia="宋体" w:cs="宋体"/>
                <w:color w:val="000000"/>
                <w:sz w:val="18"/>
                <w:szCs w:val="18"/>
                <w:lang w:val="en" w:bidi="ar"/>
              </w:rPr>
            </w:pPr>
            <w:r>
              <w:rPr>
                <w:rStyle w:val="21"/>
                <w:rFonts w:hint="eastAsia" w:ascii="宋体" w:hAnsi="宋体" w:eastAsia="宋体" w:cs="宋体"/>
                <w:sz w:val="18"/>
                <w:szCs w:val="18"/>
                <w:lang w:val="en" w:bidi="ar"/>
              </w:rPr>
              <w:t>处</w:t>
            </w:r>
            <w:r>
              <w:rPr>
                <w:rStyle w:val="21"/>
                <w:rFonts w:hint="eastAsia" w:ascii="宋体" w:hAnsi="宋体" w:eastAsia="宋体" w:cs="宋体"/>
                <w:sz w:val="18"/>
                <w:szCs w:val="18"/>
                <w:lang w:val="en-US" w:eastAsia="zh-CN" w:bidi="ar"/>
              </w:rPr>
              <w:t>1</w:t>
            </w:r>
            <w:r>
              <w:rPr>
                <w:rStyle w:val="21"/>
                <w:rFonts w:hint="eastAsia" w:ascii="宋体" w:hAnsi="宋体" w:eastAsia="宋体" w:cs="宋体"/>
                <w:sz w:val="18"/>
                <w:szCs w:val="18"/>
                <w:lang w:val="en" w:bidi="ar"/>
              </w:rPr>
              <w:t>万元以上</w:t>
            </w:r>
            <w:r>
              <w:rPr>
                <w:rStyle w:val="21"/>
                <w:rFonts w:hint="eastAsia" w:ascii="宋体" w:hAnsi="宋体" w:eastAsia="宋体" w:cs="宋体"/>
                <w:sz w:val="18"/>
                <w:szCs w:val="18"/>
                <w:lang w:val="en-US" w:eastAsia="zh-CN" w:bidi="ar"/>
              </w:rPr>
              <w:t>3</w:t>
            </w:r>
            <w:r>
              <w:rPr>
                <w:rStyle w:val="21"/>
                <w:rFonts w:hint="eastAsia" w:ascii="宋体" w:hAnsi="宋体" w:eastAsia="宋体" w:cs="宋体"/>
                <w:sz w:val="18"/>
                <w:szCs w:val="18"/>
                <w:lang w:val="en" w:bidi="ar"/>
              </w:rPr>
              <w:t>万元以下罚款</w:t>
            </w:r>
          </w:p>
        </w:tc>
        <w:tc>
          <w:tcPr>
            <w:tcW w:w="56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07166500">
            <w:pPr>
              <w:spacing w:line="260" w:lineRule="exact"/>
              <w:rPr>
                <w:rStyle w:val="21"/>
                <w:rFonts w:hint="eastAsia" w:ascii="宋体" w:hAnsi="宋体" w:eastAsia="宋体" w:cs="宋体"/>
                <w:sz w:val="18"/>
                <w:szCs w:val="18"/>
                <w:lang w:bidi="ar"/>
              </w:rPr>
            </w:pPr>
          </w:p>
        </w:tc>
      </w:tr>
      <w:tr w14:paraId="0FBD62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680" w:hRule="atLeast"/>
          <w:jc w:val="center"/>
        </w:trPr>
        <w:tc>
          <w:tcPr>
            <w:tcW w:w="495"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74093223">
            <w:pPr>
              <w:spacing w:line="260" w:lineRule="exact"/>
              <w:jc w:val="center"/>
              <w:rPr>
                <w:rFonts w:hint="eastAsia" w:ascii="宋体" w:hAnsi="宋体" w:eastAsia="宋体" w:cs="宋体"/>
                <w:sz w:val="18"/>
                <w:szCs w:val="18"/>
              </w:rPr>
            </w:pPr>
          </w:p>
        </w:tc>
        <w:tc>
          <w:tcPr>
            <w:tcW w:w="1211"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20EA406D">
            <w:pPr>
              <w:spacing w:line="260" w:lineRule="exact"/>
              <w:rPr>
                <w:rFonts w:hint="eastAsia" w:ascii="宋体" w:hAnsi="宋体" w:eastAsia="宋体" w:cs="宋体"/>
                <w:color w:val="000000"/>
                <w:kern w:val="0"/>
                <w:sz w:val="18"/>
                <w:szCs w:val="18"/>
                <w:lang w:bidi="ar"/>
              </w:rPr>
            </w:pPr>
          </w:p>
        </w:tc>
        <w:tc>
          <w:tcPr>
            <w:tcW w:w="4862"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0B8D4DEC">
            <w:pPr>
              <w:spacing w:line="260" w:lineRule="exact"/>
              <w:ind w:firstLine="360" w:firstLineChars="200"/>
              <w:rPr>
                <w:rFonts w:hint="eastAsia" w:ascii="宋体" w:hAnsi="宋体" w:eastAsia="宋体" w:cs="宋体"/>
                <w:color w:val="000000"/>
                <w:kern w:val="0"/>
                <w:sz w:val="18"/>
                <w:szCs w:val="18"/>
                <w:lang w:bidi="ar"/>
              </w:rPr>
            </w:pPr>
          </w:p>
        </w:tc>
        <w:tc>
          <w:tcPr>
            <w:tcW w:w="161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2FAAD05B">
            <w:pPr>
              <w:spacing w:line="260" w:lineRule="exact"/>
              <w:ind w:firstLine="360" w:firstLineChars="200"/>
              <w:rPr>
                <w:rFonts w:hint="eastAsia" w:ascii="宋体" w:hAnsi="宋体" w:eastAsia="宋体" w:cs="宋体"/>
                <w:color w:val="000000"/>
                <w:kern w:val="0"/>
                <w:sz w:val="18"/>
                <w:szCs w:val="18"/>
                <w:lang w:bidi="ar"/>
              </w:rPr>
            </w:pP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5C146090">
            <w:pPr>
              <w:spacing w:line="260" w:lineRule="exact"/>
              <w:jc w:val="center"/>
              <w:rPr>
                <w:rFonts w:hint="eastAsia" w:ascii="宋体" w:hAnsi="宋体" w:eastAsia="宋体" w:cs="宋体"/>
                <w:sz w:val="18"/>
                <w:szCs w:val="18"/>
                <w:lang w:eastAsia="zh-CN"/>
              </w:rPr>
            </w:pPr>
            <w:r>
              <w:rPr>
                <w:rFonts w:hint="eastAsia" w:ascii="宋体" w:hAnsi="宋体" w:eastAsia="宋体" w:cs="宋体"/>
                <w:sz w:val="18"/>
                <w:szCs w:val="18"/>
                <w:lang w:eastAsia="zh-CN"/>
              </w:rPr>
              <w:t>较重</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0169A1CC">
            <w:pPr>
              <w:spacing w:line="260" w:lineRule="exact"/>
              <w:rPr>
                <w:rFonts w:hint="eastAsia" w:ascii="宋体" w:hAnsi="宋体" w:eastAsia="宋体" w:cs="宋体"/>
                <w:color w:val="000000"/>
                <w:sz w:val="18"/>
                <w:szCs w:val="18"/>
                <w:lang w:val="en" w:eastAsia="zh-CN" w:bidi="ar"/>
              </w:rPr>
            </w:pPr>
            <w:r>
              <w:rPr>
                <w:rStyle w:val="21"/>
                <w:rFonts w:hint="eastAsia" w:ascii="宋体" w:hAnsi="宋体" w:eastAsia="宋体" w:cs="宋体"/>
                <w:sz w:val="18"/>
                <w:szCs w:val="18"/>
                <w:lang w:val="en" w:bidi="ar"/>
              </w:rPr>
              <w:t>不按要求整改的，超过规定期限</w:t>
            </w:r>
            <w:r>
              <w:rPr>
                <w:rStyle w:val="21"/>
                <w:rFonts w:hint="eastAsia" w:ascii="宋体" w:hAnsi="宋体" w:eastAsia="宋体" w:cs="宋体"/>
                <w:sz w:val="18"/>
                <w:szCs w:val="18"/>
                <w:lang w:val="en-US" w:eastAsia="zh-CN" w:bidi="ar"/>
              </w:rPr>
              <w:t>30</w:t>
            </w:r>
            <w:r>
              <w:rPr>
                <w:rStyle w:val="21"/>
                <w:rFonts w:hint="eastAsia" w:ascii="宋体" w:hAnsi="宋体" w:eastAsia="宋体" w:cs="宋体"/>
                <w:sz w:val="18"/>
                <w:szCs w:val="18"/>
                <w:lang w:val="en" w:eastAsia="zh-CN" w:bidi="ar"/>
              </w:rPr>
              <w:t>日</w:t>
            </w:r>
            <w:r>
              <w:rPr>
                <w:rStyle w:val="21"/>
                <w:rFonts w:hint="eastAsia" w:ascii="宋体" w:hAnsi="宋体" w:eastAsia="宋体" w:cs="宋体"/>
                <w:sz w:val="18"/>
                <w:szCs w:val="18"/>
                <w:lang w:val="en" w:bidi="ar"/>
              </w:rPr>
              <w:t>不足</w:t>
            </w:r>
            <w:r>
              <w:rPr>
                <w:rStyle w:val="21"/>
                <w:rFonts w:hint="eastAsia" w:ascii="宋体" w:hAnsi="宋体" w:eastAsia="宋体" w:cs="宋体"/>
                <w:sz w:val="18"/>
                <w:szCs w:val="18"/>
                <w:lang w:val="en-US" w:eastAsia="zh-CN" w:bidi="ar"/>
              </w:rPr>
              <w:t>60</w:t>
            </w:r>
            <w:r>
              <w:rPr>
                <w:rStyle w:val="21"/>
                <w:rFonts w:hint="eastAsia" w:ascii="宋体" w:hAnsi="宋体" w:eastAsia="宋体" w:cs="宋体"/>
                <w:sz w:val="18"/>
                <w:szCs w:val="18"/>
                <w:lang w:val="en" w:eastAsia="zh-CN" w:bidi="ar"/>
              </w:rPr>
              <w:t>日</w:t>
            </w: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61892023">
            <w:pPr>
              <w:spacing w:line="260" w:lineRule="exact"/>
              <w:rPr>
                <w:rFonts w:hint="eastAsia" w:ascii="宋体" w:hAnsi="宋体" w:eastAsia="宋体" w:cs="宋体"/>
                <w:color w:val="000000"/>
                <w:sz w:val="18"/>
                <w:szCs w:val="18"/>
                <w:lang w:val="en" w:bidi="ar"/>
              </w:rPr>
            </w:pPr>
            <w:r>
              <w:rPr>
                <w:rStyle w:val="21"/>
                <w:rFonts w:hint="eastAsia" w:ascii="宋体" w:hAnsi="宋体" w:eastAsia="宋体" w:cs="宋体"/>
                <w:sz w:val="18"/>
                <w:szCs w:val="18"/>
                <w:lang w:val="en" w:bidi="ar"/>
              </w:rPr>
              <w:t>处</w:t>
            </w:r>
            <w:r>
              <w:rPr>
                <w:rStyle w:val="21"/>
                <w:rFonts w:hint="eastAsia" w:ascii="宋体" w:hAnsi="宋体" w:eastAsia="宋体" w:cs="宋体"/>
                <w:sz w:val="18"/>
                <w:szCs w:val="18"/>
                <w:lang w:val="en-US" w:eastAsia="zh-CN" w:bidi="ar"/>
              </w:rPr>
              <w:t>3</w:t>
            </w:r>
            <w:r>
              <w:rPr>
                <w:rStyle w:val="21"/>
                <w:rFonts w:hint="eastAsia" w:ascii="宋体" w:hAnsi="宋体" w:eastAsia="宋体" w:cs="宋体"/>
                <w:sz w:val="18"/>
                <w:szCs w:val="18"/>
                <w:lang w:val="en" w:bidi="ar"/>
              </w:rPr>
              <w:t>万元以上</w:t>
            </w:r>
            <w:r>
              <w:rPr>
                <w:rStyle w:val="21"/>
                <w:rFonts w:hint="eastAsia" w:ascii="宋体" w:hAnsi="宋体" w:eastAsia="宋体" w:cs="宋体"/>
                <w:sz w:val="18"/>
                <w:szCs w:val="18"/>
                <w:lang w:val="en-US" w:eastAsia="zh-CN" w:bidi="ar"/>
              </w:rPr>
              <w:t>6</w:t>
            </w:r>
            <w:r>
              <w:rPr>
                <w:rStyle w:val="21"/>
                <w:rFonts w:hint="eastAsia" w:ascii="宋体" w:hAnsi="宋体" w:eastAsia="宋体" w:cs="宋体"/>
                <w:sz w:val="18"/>
                <w:szCs w:val="18"/>
                <w:lang w:val="en" w:bidi="ar"/>
              </w:rPr>
              <w:t>万元以下罚款</w:t>
            </w:r>
          </w:p>
        </w:tc>
        <w:tc>
          <w:tcPr>
            <w:tcW w:w="563" w:type="dxa"/>
            <w:vMerge w:val="continue"/>
            <w:tcBorders>
              <w:left w:val="single" w:color="auto" w:sz="4" w:space="0"/>
              <w:right w:val="single" w:color="auto" w:sz="4" w:space="0"/>
            </w:tcBorders>
            <w:shd w:val="clear" w:color="auto" w:fill="FFFFFF"/>
            <w:noWrap w:val="0"/>
            <w:tcMar>
              <w:top w:w="0" w:type="dxa"/>
              <w:left w:w="0" w:type="dxa"/>
              <w:bottom w:w="0" w:type="dxa"/>
              <w:right w:w="0" w:type="dxa"/>
            </w:tcMar>
            <w:vAlign w:val="center"/>
          </w:tcPr>
          <w:p w14:paraId="11FFBAE4">
            <w:pPr>
              <w:spacing w:line="260" w:lineRule="exact"/>
              <w:rPr>
                <w:rStyle w:val="21"/>
                <w:rFonts w:hint="eastAsia" w:ascii="宋体" w:hAnsi="宋体" w:eastAsia="宋体" w:cs="宋体"/>
                <w:sz w:val="18"/>
                <w:szCs w:val="18"/>
                <w:lang w:bidi="ar"/>
              </w:rPr>
            </w:pPr>
          </w:p>
        </w:tc>
      </w:tr>
      <w:tr w14:paraId="623BCB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495" w:type="dxa"/>
            <w:vMerge w:val="continue"/>
            <w:tcBorders>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633EB600">
            <w:pPr>
              <w:spacing w:line="260" w:lineRule="exact"/>
              <w:jc w:val="center"/>
              <w:rPr>
                <w:rFonts w:hint="eastAsia" w:ascii="宋体" w:hAnsi="宋体" w:eastAsia="宋体" w:cs="宋体"/>
                <w:sz w:val="18"/>
                <w:szCs w:val="18"/>
              </w:rPr>
            </w:pPr>
          </w:p>
        </w:tc>
        <w:tc>
          <w:tcPr>
            <w:tcW w:w="1211" w:type="dxa"/>
            <w:vMerge w:val="continue"/>
            <w:tcBorders>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4130A4F5">
            <w:pPr>
              <w:spacing w:line="260" w:lineRule="exact"/>
              <w:rPr>
                <w:rFonts w:hint="eastAsia" w:ascii="宋体" w:hAnsi="宋体" w:eastAsia="宋体" w:cs="宋体"/>
                <w:color w:val="000000"/>
                <w:kern w:val="0"/>
                <w:sz w:val="18"/>
                <w:szCs w:val="18"/>
                <w:lang w:bidi="ar"/>
              </w:rPr>
            </w:pPr>
          </w:p>
        </w:tc>
        <w:tc>
          <w:tcPr>
            <w:tcW w:w="4862" w:type="dxa"/>
            <w:vMerge w:val="continue"/>
            <w:tcBorders>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6726FA05">
            <w:pPr>
              <w:spacing w:line="260" w:lineRule="exact"/>
              <w:ind w:firstLine="360" w:firstLineChars="200"/>
              <w:rPr>
                <w:rFonts w:hint="eastAsia" w:ascii="宋体" w:hAnsi="宋体" w:eastAsia="宋体" w:cs="宋体"/>
                <w:color w:val="000000"/>
                <w:kern w:val="0"/>
                <w:sz w:val="18"/>
                <w:szCs w:val="18"/>
                <w:lang w:bidi="ar"/>
              </w:rPr>
            </w:pPr>
          </w:p>
        </w:tc>
        <w:tc>
          <w:tcPr>
            <w:tcW w:w="1613" w:type="dxa"/>
            <w:vMerge w:val="continue"/>
            <w:tcBorders>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13A23542">
            <w:pPr>
              <w:spacing w:line="260" w:lineRule="exact"/>
              <w:ind w:firstLine="360" w:firstLineChars="200"/>
              <w:rPr>
                <w:rFonts w:hint="eastAsia" w:ascii="宋体" w:hAnsi="宋体" w:eastAsia="宋体" w:cs="宋体"/>
                <w:color w:val="000000"/>
                <w:kern w:val="0"/>
                <w:sz w:val="18"/>
                <w:szCs w:val="18"/>
                <w:lang w:bidi="ar"/>
              </w:rPr>
            </w:pPr>
          </w:p>
        </w:tc>
        <w:tc>
          <w:tcPr>
            <w:tcW w:w="82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4C5738B2">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严重</w:t>
            </w:r>
          </w:p>
        </w:tc>
        <w:tc>
          <w:tcPr>
            <w:tcW w:w="390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6A7C13C3">
            <w:pPr>
              <w:spacing w:line="260" w:lineRule="exact"/>
              <w:rPr>
                <w:rFonts w:hint="eastAsia" w:ascii="宋体" w:hAnsi="宋体" w:eastAsia="宋体" w:cs="宋体"/>
                <w:color w:val="000000"/>
                <w:sz w:val="18"/>
                <w:szCs w:val="18"/>
                <w:lang w:val="en" w:eastAsia="zh-CN" w:bidi="ar"/>
              </w:rPr>
            </w:pPr>
            <w:r>
              <w:rPr>
                <w:rStyle w:val="21"/>
                <w:rFonts w:hint="eastAsia" w:ascii="宋体" w:hAnsi="宋体" w:eastAsia="宋体" w:cs="宋体"/>
                <w:sz w:val="18"/>
                <w:szCs w:val="18"/>
                <w:lang w:val="en" w:bidi="ar"/>
              </w:rPr>
              <w:t>不按要求整改的，超过规定期限</w:t>
            </w:r>
            <w:r>
              <w:rPr>
                <w:rStyle w:val="21"/>
                <w:rFonts w:hint="eastAsia" w:ascii="宋体" w:hAnsi="宋体" w:eastAsia="宋体" w:cs="宋体"/>
                <w:sz w:val="18"/>
                <w:szCs w:val="18"/>
                <w:lang w:val="en-US" w:eastAsia="zh-CN" w:bidi="ar"/>
              </w:rPr>
              <w:t>60</w:t>
            </w:r>
            <w:r>
              <w:rPr>
                <w:rStyle w:val="21"/>
                <w:rFonts w:hint="eastAsia" w:ascii="宋体" w:hAnsi="宋体" w:eastAsia="宋体" w:cs="宋体"/>
                <w:sz w:val="18"/>
                <w:szCs w:val="18"/>
                <w:lang w:val="en" w:eastAsia="zh-CN" w:bidi="ar"/>
              </w:rPr>
              <w:t>日</w:t>
            </w:r>
          </w:p>
        </w:tc>
        <w:tc>
          <w:tcPr>
            <w:tcW w:w="142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7D9C193B">
            <w:pPr>
              <w:spacing w:line="260" w:lineRule="exact"/>
              <w:rPr>
                <w:rFonts w:hint="eastAsia" w:ascii="宋体" w:hAnsi="宋体" w:eastAsia="宋体" w:cs="宋体"/>
                <w:color w:val="000000"/>
                <w:sz w:val="18"/>
                <w:szCs w:val="18"/>
                <w:lang w:val="en" w:bidi="ar"/>
              </w:rPr>
            </w:pPr>
            <w:r>
              <w:rPr>
                <w:rStyle w:val="21"/>
                <w:rFonts w:hint="eastAsia" w:ascii="宋体" w:hAnsi="宋体" w:eastAsia="宋体" w:cs="宋体"/>
                <w:sz w:val="18"/>
                <w:szCs w:val="18"/>
                <w:lang w:val="en" w:bidi="ar"/>
              </w:rPr>
              <w:t>处</w:t>
            </w:r>
            <w:r>
              <w:rPr>
                <w:rStyle w:val="21"/>
                <w:rFonts w:hint="eastAsia" w:ascii="宋体" w:hAnsi="宋体" w:eastAsia="宋体" w:cs="宋体"/>
                <w:sz w:val="18"/>
                <w:szCs w:val="18"/>
                <w:lang w:val="en-US" w:eastAsia="zh-CN" w:bidi="ar"/>
              </w:rPr>
              <w:t>6</w:t>
            </w:r>
            <w:r>
              <w:rPr>
                <w:rStyle w:val="21"/>
                <w:rFonts w:hint="eastAsia" w:ascii="宋体" w:hAnsi="宋体" w:eastAsia="宋体" w:cs="宋体"/>
                <w:sz w:val="18"/>
                <w:szCs w:val="18"/>
                <w:lang w:val="en" w:bidi="ar"/>
              </w:rPr>
              <w:t>万元以上</w:t>
            </w:r>
            <w:r>
              <w:rPr>
                <w:rStyle w:val="21"/>
                <w:rFonts w:hint="eastAsia" w:ascii="宋体" w:hAnsi="宋体" w:eastAsia="宋体" w:cs="宋体"/>
                <w:sz w:val="18"/>
                <w:szCs w:val="18"/>
                <w:lang w:val="en-US" w:eastAsia="zh-CN" w:bidi="ar"/>
              </w:rPr>
              <w:t>10</w:t>
            </w:r>
            <w:r>
              <w:rPr>
                <w:rStyle w:val="21"/>
                <w:rFonts w:hint="eastAsia" w:ascii="宋体" w:hAnsi="宋体" w:eastAsia="宋体" w:cs="宋体"/>
                <w:sz w:val="18"/>
                <w:szCs w:val="18"/>
                <w:lang w:val="en" w:bidi="ar"/>
              </w:rPr>
              <w:t>万以下罚款</w:t>
            </w:r>
          </w:p>
        </w:tc>
        <w:tc>
          <w:tcPr>
            <w:tcW w:w="563" w:type="dxa"/>
            <w:vMerge w:val="continue"/>
            <w:tcBorders>
              <w:left w:val="single" w:color="auto" w:sz="4" w:space="0"/>
              <w:bottom w:val="single" w:color="auto" w:sz="4" w:space="0"/>
              <w:right w:val="single" w:color="auto" w:sz="4" w:space="0"/>
            </w:tcBorders>
            <w:shd w:val="clear" w:color="auto" w:fill="FFFFFF"/>
            <w:noWrap w:val="0"/>
            <w:tcMar>
              <w:top w:w="0" w:type="dxa"/>
              <w:left w:w="0" w:type="dxa"/>
              <w:bottom w:w="0" w:type="dxa"/>
              <w:right w:w="0" w:type="dxa"/>
            </w:tcMar>
            <w:vAlign w:val="center"/>
          </w:tcPr>
          <w:p w14:paraId="1621FB35">
            <w:pPr>
              <w:spacing w:line="260" w:lineRule="exact"/>
              <w:rPr>
                <w:rStyle w:val="21"/>
                <w:rFonts w:hint="eastAsia" w:ascii="宋体" w:hAnsi="宋体" w:eastAsia="宋体" w:cs="宋体"/>
                <w:sz w:val="18"/>
                <w:szCs w:val="18"/>
                <w:lang w:bidi="ar"/>
              </w:rPr>
            </w:pPr>
          </w:p>
        </w:tc>
      </w:tr>
    </w:tbl>
    <w:p w14:paraId="4285653A">
      <w:pPr>
        <w:pStyle w:val="2"/>
        <w:spacing w:line="600" w:lineRule="exact"/>
        <w:rPr>
          <w:rFonts w:ascii="仿宋_GB2312" w:hAnsi="仿宋_GB2312" w:eastAsia="仿宋_GB2312" w:cs="仿宋_GB2312"/>
        </w:rPr>
        <w:sectPr>
          <w:footerReference r:id="rId5" w:type="default"/>
          <w:footerReference r:id="rId6" w:type="even"/>
          <w:pgSz w:w="16838" w:h="11906" w:orient="landscape"/>
          <w:pgMar w:top="1134" w:right="1134" w:bottom="1134" w:left="1134" w:header="851" w:footer="964" w:gutter="0"/>
          <w:pgNumType w:fmt="decimal"/>
          <w:cols w:space="0" w:num="1"/>
          <w:rtlGutter w:val="0"/>
          <w:docGrid w:type="lines" w:linePitch="312" w:charSpace="0"/>
        </w:sectPr>
      </w:pPr>
    </w:p>
    <w:p w14:paraId="0BDC5773">
      <w:pPr>
        <w:spacing w:line="600" w:lineRule="exact"/>
        <w:jc w:val="center"/>
        <w:rPr>
          <w:rFonts w:hint="eastAsia" w:eastAsia="黑体"/>
        </w:rPr>
      </w:pPr>
      <w:r>
        <w:rPr>
          <w:rFonts w:hint="eastAsia" w:ascii="黑体" w:hAnsi="黑体" w:eastAsia="黑体" w:cs="黑体"/>
          <w:sz w:val="32"/>
          <w:szCs w:val="32"/>
        </w:rPr>
        <w:t xml:space="preserve">第二部分  </w:t>
      </w:r>
      <w:r>
        <w:rPr>
          <w:rFonts w:hint="eastAsia" w:ascii="黑体" w:hAnsi="黑体" w:eastAsia="黑体" w:cs="黑体"/>
          <w:color w:val="000000"/>
          <w:sz w:val="32"/>
          <w:szCs w:val="32"/>
        </w:rPr>
        <w:t>河道、蓄滞洪区、水工程管理类</w:t>
      </w:r>
    </w:p>
    <w:tbl>
      <w:tblPr>
        <w:tblStyle w:val="13"/>
        <w:tblW w:w="148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4"/>
        <w:gridCol w:w="1236"/>
        <w:gridCol w:w="6027"/>
        <w:gridCol w:w="1849"/>
        <w:gridCol w:w="517"/>
        <w:gridCol w:w="2420"/>
        <w:gridCol w:w="1628"/>
        <w:gridCol w:w="739"/>
      </w:tblGrid>
      <w:tr w14:paraId="0E7DFA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jc w:val="center"/>
        </w:trPr>
        <w:tc>
          <w:tcPr>
            <w:tcW w:w="47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57FC692">
            <w:pPr>
              <w:spacing w:line="240" w:lineRule="exact"/>
              <w:jc w:val="center"/>
              <w:rPr>
                <w:rFonts w:hint="eastAsia" w:ascii="黑体" w:hAnsi="黑体" w:eastAsia="黑体" w:cs="黑体"/>
                <w:b w:val="0"/>
                <w:bCs w:val="0"/>
                <w:sz w:val="18"/>
                <w:szCs w:val="18"/>
              </w:rPr>
            </w:pPr>
            <w:r>
              <w:rPr>
                <w:rFonts w:hint="eastAsia" w:ascii="黑体" w:hAnsi="黑体" w:eastAsia="黑体" w:cs="黑体"/>
                <w:b w:val="0"/>
                <w:bCs w:val="0"/>
                <w:sz w:val="18"/>
                <w:szCs w:val="18"/>
              </w:rPr>
              <w:t>序号</w:t>
            </w:r>
          </w:p>
        </w:tc>
        <w:tc>
          <w:tcPr>
            <w:tcW w:w="1236"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88CD4E4">
            <w:pPr>
              <w:spacing w:line="240" w:lineRule="exact"/>
              <w:jc w:val="center"/>
              <w:rPr>
                <w:rFonts w:hint="eastAsia" w:ascii="黑体" w:hAnsi="黑体" w:eastAsia="黑体" w:cs="黑体"/>
                <w:b w:val="0"/>
                <w:bCs w:val="0"/>
                <w:sz w:val="18"/>
                <w:szCs w:val="18"/>
              </w:rPr>
            </w:pPr>
            <w:r>
              <w:rPr>
                <w:rFonts w:hint="eastAsia" w:ascii="黑体" w:hAnsi="黑体" w:eastAsia="黑体" w:cs="黑体"/>
                <w:b w:val="0"/>
                <w:bCs w:val="0"/>
                <w:sz w:val="18"/>
                <w:szCs w:val="18"/>
              </w:rPr>
              <w:t>违法行为</w:t>
            </w:r>
          </w:p>
        </w:tc>
        <w:tc>
          <w:tcPr>
            <w:tcW w:w="602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F65745B">
            <w:pPr>
              <w:spacing w:line="240" w:lineRule="exact"/>
              <w:jc w:val="center"/>
              <w:rPr>
                <w:rFonts w:hint="eastAsia" w:ascii="黑体" w:hAnsi="黑体" w:eastAsia="黑体" w:cs="黑体"/>
                <w:b w:val="0"/>
                <w:bCs w:val="0"/>
                <w:sz w:val="18"/>
                <w:szCs w:val="18"/>
              </w:rPr>
            </w:pPr>
            <w:r>
              <w:rPr>
                <w:rFonts w:hint="eastAsia" w:ascii="黑体" w:hAnsi="黑体" w:eastAsia="黑体" w:cs="黑体"/>
                <w:b w:val="0"/>
                <w:bCs w:val="0"/>
                <w:sz w:val="18"/>
                <w:szCs w:val="18"/>
              </w:rPr>
              <w:t>法定依据</w:t>
            </w:r>
          </w:p>
        </w:tc>
        <w:tc>
          <w:tcPr>
            <w:tcW w:w="1849"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C216C20">
            <w:pPr>
              <w:spacing w:line="240" w:lineRule="exact"/>
              <w:jc w:val="center"/>
              <w:rPr>
                <w:rFonts w:hint="eastAsia" w:ascii="黑体" w:hAnsi="黑体" w:eastAsia="黑体" w:cs="黑体"/>
                <w:b w:val="0"/>
                <w:bCs w:val="0"/>
                <w:sz w:val="18"/>
                <w:szCs w:val="18"/>
              </w:rPr>
            </w:pPr>
            <w:r>
              <w:rPr>
                <w:rFonts w:hint="eastAsia" w:ascii="黑体" w:hAnsi="黑体" w:eastAsia="黑体" w:cs="黑体"/>
                <w:b w:val="0"/>
                <w:bCs w:val="0"/>
                <w:sz w:val="18"/>
                <w:szCs w:val="18"/>
              </w:rPr>
              <w:t>违法情形</w:t>
            </w:r>
          </w:p>
        </w:tc>
        <w:tc>
          <w:tcPr>
            <w:tcW w:w="51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AB4E33A">
            <w:pPr>
              <w:spacing w:line="240" w:lineRule="exact"/>
              <w:jc w:val="center"/>
              <w:rPr>
                <w:rFonts w:hint="eastAsia" w:ascii="黑体" w:hAnsi="黑体" w:eastAsia="黑体" w:cs="黑体"/>
                <w:b w:val="0"/>
                <w:bCs w:val="0"/>
                <w:sz w:val="18"/>
                <w:szCs w:val="18"/>
              </w:rPr>
            </w:pPr>
            <w:r>
              <w:rPr>
                <w:rFonts w:hint="eastAsia" w:ascii="黑体" w:hAnsi="黑体" w:eastAsia="黑体" w:cs="黑体"/>
                <w:b w:val="0"/>
                <w:bCs w:val="0"/>
                <w:sz w:val="18"/>
                <w:szCs w:val="18"/>
              </w:rPr>
              <w:t>裁量</w:t>
            </w:r>
          </w:p>
          <w:p w14:paraId="2C195CDA">
            <w:pPr>
              <w:spacing w:line="240" w:lineRule="exact"/>
              <w:jc w:val="center"/>
              <w:rPr>
                <w:rFonts w:hint="eastAsia" w:ascii="黑体" w:hAnsi="黑体" w:eastAsia="黑体" w:cs="黑体"/>
                <w:b w:val="0"/>
                <w:bCs w:val="0"/>
                <w:sz w:val="18"/>
                <w:szCs w:val="18"/>
              </w:rPr>
            </w:pPr>
            <w:r>
              <w:rPr>
                <w:rFonts w:hint="eastAsia" w:ascii="黑体" w:hAnsi="黑体" w:eastAsia="黑体" w:cs="黑体"/>
                <w:b w:val="0"/>
                <w:bCs w:val="0"/>
                <w:sz w:val="18"/>
                <w:szCs w:val="18"/>
              </w:rPr>
              <w:t>幅度</w:t>
            </w:r>
          </w:p>
        </w:tc>
        <w:tc>
          <w:tcPr>
            <w:tcW w:w="242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ECD570C">
            <w:pPr>
              <w:spacing w:line="240" w:lineRule="exact"/>
              <w:jc w:val="center"/>
              <w:rPr>
                <w:rFonts w:hint="eastAsia" w:ascii="黑体" w:hAnsi="黑体" w:eastAsia="黑体" w:cs="黑体"/>
                <w:b w:val="0"/>
                <w:bCs w:val="0"/>
                <w:sz w:val="18"/>
                <w:szCs w:val="18"/>
              </w:rPr>
            </w:pPr>
            <w:r>
              <w:rPr>
                <w:rFonts w:hint="eastAsia" w:ascii="黑体" w:hAnsi="黑体" w:eastAsia="黑体" w:cs="黑体"/>
                <w:b w:val="0"/>
                <w:bCs w:val="0"/>
                <w:sz w:val="18"/>
                <w:szCs w:val="18"/>
              </w:rPr>
              <w:t>适用条件</w:t>
            </w:r>
          </w:p>
        </w:tc>
        <w:tc>
          <w:tcPr>
            <w:tcW w:w="1628"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BB27C1A">
            <w:pPr>
              <w:spacing w:line="240" w:lineRule="exact"/>
              <w:jc w:val="center"/>
              <w:rPr>
                <w:rFonts w:hint="eastAsia" w:ascii="黑体" w:hAnsi="黑体" w:eastAsia="黑体" w:cs="黑体"/>
                <w:b w:val="0"/>
                <w:bCs w:val="0"/>
                <w:sz w:val="18"/>
                <w:szCs w:val="18"/>
              </w:rPr>
            </w:pPr>
            <w:r>
              <w:rPr>
                <w:rFonts w:hint="eastAsia" w:ascii="黑体" w:hAnsi="黑体" w:eastAsia="黑体" w:cs="黑体"/>
                <w:b w:val="0"/>
                <w:bCs w:val="0"/>
                <w:sz w:val="18"/>
                <w:szCs w:val="18"/>
              </w:rPr>
              <w:t>裁量基准</w:t>
            </w:r>
          </w:p>
        </w:tc>
        <w:tc>
          <w:tcPr>
            <w:tcW w:w="739"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C0D3EDA">
            <w:pPr>
              <w:spacing w:line="240" w:lineRule="exact"/>
              <w:jc w:val="center"/>
              <w:rPr>
                <w:rFonts w:hint="eastAsia" w:ascii="黑体" w:hAnsi="黑体" w:eastAsia="黑体" w:cs="黑体"/>
                <w:b w:val="0"/>
                <w:bCs w:val="0"/>
                <w:sz w:val="18"/>
                <w:szCs w:val="18"/>
                <w:lang w:val="en-US" w:eastAsia="zh-CN"/>
              </w:rPr>
            </w:pPr>
            <w:r>
              <w:rPr>
                <w:rFonts w:hint="eastAsia" w:ascii="黑体" w:hAnsi="黑体" w:eastAsia="黑体" w:cs="黑体"/>
                <w:b w:val="0"/>
                <w:bCs w:val="0"/>
                <w:sz w:val="18"/>
                <w:szCs w:val="18"/>
                <w:lang w:val="en-US" w:eastAsia="zh-CN"/>
              </w:rPr>
              <w:t>备注</w:t>
            </w:r>
          </w:p>
        </w:tc>
      </w:tr>
      <w:tr w14:paraId="03D909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74" w:type="dxa"/>
            <w:vMerge w:val="restart"/>
            <w:tcBorders>
              <w:top w:val="single" w:color="auto" w:sz="4" w:space="0"/>
              <w:left w:val="single" w:color="auto" w:sz="4" w:space="0"/>
              <w:right w:val="single" w:color="auto" w:sz="4" w:space="0"/>
            </w:tcBorders>
            <w:noWrap w:val="0"/>
            <w:tcMar>
              <w:top w:w="0" w:type="dxa"/>
              <w:left w:w="0" w:type="dxa"/>
              <w:bottom w:w="0" w:type="dxa"/>
              <w:right w:w="0" w:type="dxa"/>
            </w:tcMar>
            <w:vAlign w:val="center"/>
          </w:tcPr>
          <w:p w14:paraId="6A3228A3">
            <w:pPr>
              <w:widowControl/>
              <w:spacing w:line="240" w:lineRule="exact"/>
              <w:jc w:val="center"/>
              <w:textAlignment w:val="center"/>
              <w:rPr>
                <w:rFonts w:hint="eastAsia" w:ascii="宋体" w:hAnsi="宋体" w:eastAsia="宋体" w:cs="宋体"/>
                <w:b w:val="0"/>
                <w:bCs w:val="0"/>
                <w:sz w:val="18"/>
                <w:szCs w:val="18"/>
                <w:lang w:eastAsia="zh-CN"/>
              </w:rPr>
            </w:pPr>
            <w:r>
              <w:rPr>
                <w:rFonts w:hint="eastAsia" w:ascii="宋体" w:hAnsi="宋体" w:eastAsia="宋体" w:cs="宋体"/>
                <w:b w:val="0"/>
                <w:bCs w:val="0"/>
                <w:kern w:val="0"/>
                <w:sz w:val="18"/>
                <w:szCs w:val="18"/>
                <w:lang w:bidi="ar"/>
              </w:rPr>
              <w:t>2</w:t>
            </w:r>
            <w:r>
              <w:rPr>
                <w:rFonts w:hint="eastAsia" w:ascii="宋体" w:hAnsi="宋体" w:eastAsia="宋体" w:cs="宋体"/>
                <w:b w:val="0"/>
                <w:bCs w:val="0"/>
                <w:kern w:val="0"/>
                <w:sz w:val="18"/>
                <w:szCs w:val="18"/>
                <w:lang w:val="en-US" w:eastAsia="zh-CN" w:bidi="ar"/>
              </w:rPr>
              <w:t>5</w:t>
            </w:r>
          </w:p>
        </w:tc>
        <w:tc>
          <w:tcPr>
            <w:tcW w:w="1236" w:type="dxa"/>
            <w:vMerge w:val="restart"/>
            <w:tcBorders>
              <w:top w:val="single" w:color="auto" w:sz="4" w:space="0"/>
              <w:left w:val="single" w:color="auto" w:sz="4" w:space="0"/>
              <w:right w:val="single" w:color="auto" w:sz="4" w:space="0"/>
            </w:tcBorders>
            <w:noWrap w:val="0"/>
            <w:tcMar>
              <w:top w:w="0" w:type="dxa"/>
              <w:left w:w="0" w:type="dxa"/>
              <w:bottom w:w="0" w:type="dxa"/>
              <w:right w:w="0" w:type="dxa"/>
            </w:tcMar>
            <w:vAlign w:val="center"/>
          </w:tcPr>
          <w:p w14:paraId="2AB48065">
            <w:pPr>
              <w:widowControl/>
              <w:spacing w:line="220" w:lineRule="exact"/>
              <w:jc w:val="both"/>
              <w:textAlignment w:val="center"/>
              <w:rPr>
                <w:rFonts w:hint="eastAsia" w:ascii="宋体" w:hAnsi="宋体" w:eastAsia="宋体" w:cs="宋体"/>
                <w:b w:val="0"/>
                <w:bCs w:val="0"/>
                <w:kern w:val="0"/>
                <w:sz w:val="18"/>
                <w:szCs w:val="18"/>
                <w:lang w:bidi="ar"/>
              </w:rPr>
            </w:pPr>
            <w:r>
              <w:rPr>
                <w:rFonts w:hint="eastAsia" w:ascii="宋体" w:hAnsi="宋体" w:eastAsia="宋体" w:cs="宋体"/>
                <w:b w:val="0"/>
                <w:bCs w:val="0"/>
                <w:kern w:val="0"/>
                <w:sz w:val="18"/>
                <w:szCs w:val="18"/>
                <w:lang w:bidi="ar"/>
              </w:rPr>
              <w:t>对在河道管理范围内建设妨碍行洪的建筑物、构筑物，或者从事影响河势稳定、危害河岸堤防安全和其他妨碍河道行洪的活动，擅自修建水工程，或者建设桥梁、码头和其他拦河、跨河、临河建筑物、构筑物，铺设跨河管道、电缆等行为的行政处罚</w:t>
            </w:r>
          </w:p>
        </w:tc>
        <w:tc>
          <w:tcPr>
            <w:tcW w:w="6027" w:type="dxa"/>
            <w:vMerge w:val="restart"/>
            <w:tcBorders>
              <w:top w:val="single" w:color="auto" w:sz="4" w:space="0"/>
              <w:left w:val="single" w:color="auto" w:sz="4" w:space="0"/>
              <w:right w:val="single" w:color="auto" w:sz="4" w:space="0"/>
            </w:tcBorders>
            <w:noWrap w:val="0"/>
            <w:tcMar>
              <w:top w:w="0" w:type="dxa"/>
              <w:left w:w="0" w:type="dxa"/>
              <w:bottom w:w="0" w:type="dxa"/>
              <w:right w:w="0" w:type="dxa"/>
            </w:tcMar>
            <w:vAlign w:val="center"/>
          </w:tcPr>
          <w:p w14:paraId="47967B71">
            <w:pPr>
              <w:widowControl/>
              <w:spacing w:line="220" w:lineRule="exact"/>
              <w:textAlignment w:val="center"/>
              <w:rPr>
                <w:rFonts w:hint="eastAsia" w:ascii="宋体" w:hAnsi="宋体" w:eastAsia="宋体" w:cs="宋体"/>
                <w:b w:val="0"/>
                <w:bCs w:val="0"/>
                <w:kern w:val="0"/>
                <w:sz w:val="18"/>
                <w:szCs w:val="18"/>
                <w:lang w:bidi="ar"/>
              </w:rPr>
            </w:pPr>
            <w:r>
              <w:rPr>
                <w:rFonts w:hint="eastAsia" w:ascii="宋体" w:hAnsi="宋体" w:eastAsia="宋体" w:cs="宋体"/>
                <w:b w:val="0"/>
                <w:bCs w:val="0"/>
                <w:kern w:val="0"/>
                <w:sz w:val="18"/>
                <w:szCs w:val="18"/>
                <w:lang w:bidi="ar"/>
              </w:rPr>
              <w:t>《中华人民共和国水法》第六十五条 在河道管理范围内建设妨碍行洪的建筑物、构筑物，或者从事影响河势稳定、危害河岸堤防安全和其他妨碍河道行洪的活动的，由县级以上人民政府水行政主管部门或者流域管理机构依据职权，责令停止违法行为，限期拆除违法建筑物、构筑物，恢复原状；逾期不拆除、不恢复原状的，强行拆除，所需费用由违法单位或者个人负担，并处一万元以上十万元以下的罚款。</w:t>
            </w:r>
          </w:p>
          <w:p w14:paraId="2AACE9FA">
            <w:pPr>
              <w:widowControl/>
              <w:spacing w:line="220" w:lineRule="exact"/>
              <w:textAlignment w:val="center"/>
              <w:rPr>
                <w:rFonts w:hint="eastAsia" w:ascii="宋体" w:hAnsi="宋体" w:eastAsia="宋体" w:cs="宋体"/>
                <w:b w:val="0"/>
                <w:bCs w:val="0"/>
                <w:kern w:val="0"/>
                <w:sz w:val="18"/>
                <w:szCs w:val="18"/>
                <w:lang w:bidi="ar"/>
              </w:rPr>
            </w:pPr>
            <w:r>
              <w:rPr>
                <w:rFonts w:hint="eastAsia" w:ascii="宋体" w:hAnsi="宋体" w:eastAsia="宋体" w:cs="宋体"/>
                <w:b w:val="0"/>
                <w:bCs w:val="0"/>
                <w:kern w:val="0"/>
                <w:sz w:val="18"/>
                <w:szCs w:val="18"/>
                <w:lang w:bidi="ar"/>
              </w:rPr>
              <w:t>未经水行政主管部门或者流域管理机构同意，擅自修建水工程，或者建设桥梁、码头和其他拦河、跨河、临河建筑物、构筑物，铺设跨河管道、电缆，且防洪法未作规定的，由县级以上人民政府水行政主管部门或者流域管理机构依据职权，责令停止违法行为，限期补办有关手续；逾期不补办或者补办未被批准的，责令限期拆除违法建筑物、构筑物；逾期不拆除的，强行拆除，所需费用由违法单位或者个人负担，并处一万元以上十万元以下的罚款。</w:t>
            </w:r>
          </w:p>
          <w:p w14:paraId="1ACDED02">
            <w:pPr>
              <w:widowControl/>
              <w:spacing w:line="220" w:lineRule="exact"/>
              <w:textAlignment w:val="center"/>
              <w:rPr>
                <w:rFonts w:hint="eastAsia" w:ascii="宋体" w:hAnsi="宋体" w:eastAsia="宋体" w:cs="宋体"/>
                <w:b w:val="0"/>
                <w:bCs w:val="0"/>
                <w:kern w:val="0"/>
                <w:sz w:val="18"/>
                <w:szCs w:val="18"/>
                <w:lang w:bidi="ar"/>
              </w:rPr>
            </w:pPr>
            <w:r>
              <w:rPr>
                <w:rFonts w:hint="eastAsia" w:ascii="宋体" w:hAnsi="宋体" w:eastAsia="宋体" w:cs="宋体"/>
                <w:b w:val="0"/>
                <w:bCs w:val="0"/>
                <w:kern w:val="0"/>
                <w:sz w:val="18"/>
                <w:szCs w:val="18"/>
                <w:lang w:bidi="ar"/>
              </w:rPr>
              <w:t>虽经水行政主管部门或者流域管理机构同意，但未按照要求修建前款所列工程设施的，由县级以上人民政府水行政主管部门或者流域管理机构依据职权，责令限期改正，按照情节轻重，处一万元以上十万元以下的罚款。</w:t>
            </w:r>
          </w:p>
          <w:p w14:paraId="5983D486">
            <w:pPr>
              <w:widowControl/>
              <w:spacing w:line="220" w:lineRule="exact"/>
              <w:textAlignment w:val="center"/>
              <w:rPr>
                <w:rFonts w:hint="eastAsia" w:ascii="宋体" w:hAnsi="宋体" w:eastAsia="宋体" w:cs="宋体"/>
                <w:b w:val="0"/>
                <w:bCs w:val="0"/>
                <w:kern w:val="0"/>
                <w:sz w:val="18"/>
                <w:szCs w:val="18"/>
                <w:lang w:bidi="ar"/>
              </w:rPr>
            </w:pPr>
            <w:r>
              <w:rPr>
                <w:rFonts w:hint="eastAsia" w:ascii="宋体" w:hAnsi="宋体" w:eastAsia="宋体" w:cs="宋体"/>
                <w:b w:val="0"/>
                <w:bCs w:val="0"/>
                <w:kern w:val="0"/>
                <w:sz w:val="18"/>
                <w:szCs w:val="18"/>
                <w:lang w:bidi="ar"/>
              </w:rPr>
              <w:t>《中华人民共和国防洪法》 第五十三条 违反本法第十七条规定，未经水行政主管部门签署规划同意书，擅自在江河、湖泊上建设防洪工程和其他水工程、水电站的，责令停止违法行为，补办规划同意书手续；违反规划同意书的要求，严重影响防洪的，责令限期拆除；违反规划同意书的要求，影响防洪但尚可采取补救措施的，责令限期采取补救措施，可以处一万元以上十万元以下的罚款。</w:t>
            </w:r>
          </w:p>
          <w:p w14:paraId="4CFCB46C">
            <w:pPr>
              <w:widowControl/>
              <w:spacing w:line="220" w:lineRule="exact"/>
              <w:textAlignment w:val="center"/>
              <w:rPr>
                <w:rFonts w:hint="eastAsia" w:ascii="宋体" w:hAnsi="宋体" w:eastAsia="宋体" w:cs="宋体"/>
                <w:b w:val="0"/>
                <w:bCs w:val="0"/>
                <w:kern w:val="0"/>
                <w:sz w:val="18"/>
                <w:szCs w:val="18"/>
                <w:lang w:bidi="ar"/>
              </w:rPr>
            </w:pPr>
            <w:r>
              <w:rPr>
                <w:rFonts w:hint="eastAsia" w:ascii="宋体" w:hAnsi="宋体" w:eastAsia="宋体" w:cs="宋体"/>
                <w:b w:val="0"/>
                <w:bCs w:val="0"/>
                <w:kern w:val="0"/>
                <w:sz w:val="18"/>
                <w:szCs w:val="18"/>
                <w:lang w:bidi="ar"/>
              </w:rPr>
              <w:t>第五十五条 违反本法第二十二条第二款、第三款规定，有下列行为之一的，责令停止违法行为，排除阻碍或者采取其他补救措施，可以处五万元以下的罚款：</w:t>
            </w:r>
          </w:p>
          <w:p w14:paraId="60B2C4B0">
            <w:pPr>
              <w:widowControl/>
              <w:spacing w:line="220" w:lineRule="exact"/>
              <w:textAlignment w:val="center"/>
              <w:rPr>
                <w:rFonts w:hint="eastAsia" w:ascii="宋体" w:hAnsi="宋体" w:eastAsia="宋体" w:cs="宋体"/>
                <w:b w:val="0"/>
                <w:bCs w:val="0"/>
                <w:kern w:val="0"/>
                <w:sz w:val="18"/>
                <w:szCs w:val="18"/>
                <w:lang w:bidi="ar"/>
              </w:rPr>
            </w:pPr>
            <w:r>
              <w:rPr>
                <w:rFonts w:hint="eastAsia" w:ascii="宋体" w:hAnsi="宋体" w:eastAsia="宋体" w:cs="宋体"/>
                <w:b w:val="0"/>
                <w:bCs w:val="0"/>
                <w:kern w:val="0"/>
                <w:sz w:val="18"/>
                <w:szCs w:val="18"/>
                <w:lang w:bidi="ar"/>
              </w:rPr>
              <w:t>（一）在河道、湖泊管理范围内建设妨碍行洪的建筑物、构筑物的；</w:t>
            </w:r>
          </w:p>
          <w:p w14:paraId="1C06392B">
            <w:pPr>
              <w:widowControl/>
              <w:spacing w:line="220" w:lineRule="exact"/>
              <w:textAlignment w:val="center"/>
              <w:rPr>
                <w:rFonts w:hint="eastAsia" w:ascii="宋体" w:hAnsi="宋体" w:eastAsia="宋体" w:cs="宋体"/>
                <w:b w:val="0"/>
                <w:bCs w:val="0"/>
                <w:kern w:val="0"/>
                <w:sz w:val="18"/>
                <w:szCs w:val="18"/>
                <w:highlight w:val="none"/>
                <w:lang w:bidi="ar"/>
              </w:rPr>
            </w:pPr>
            <w:r>
              <w:rPr>
                <w:rFonts w:hint="eastAsia" w:ascii="宋体" w:hAnsi="宋体" w:eastAsia="宋体" w:cs="宋体"/>
                <w:b w:val="0"/>
                <w:bCs w:val="0"/>
                <w:kern w:val="0"/>
                <w:sz w:val="18"/>
                <w:szCs w:val="18"/>
                <w:highlight w:val="none"/>
                <w:lang w:bidi="ar"/>
              </w:rPr>
              <w:t>第五十七条 违反本法第二十七条规定，未经水行政主管部门对其工程建设方案审查同意或者未按照有关水行政主管部门审查批准的位置、界限，在河道、湖泊管理范围内从事工程设施建设活动的，责令停止违法行为，补办审查同意或者审查批准手续；工程设施建设严重影响防洪的，责令限期拆除，逾期不拆除的，强行拆除，所需费用由建设单位承担；影响行洪但尚可采取补救措施的，责令限期采取补救措施，可以处一万元以上十万元以下的罚款。</w:t>
            </w:r>
          </w:p>
          <w:p w14:paraId="1E3DE1CF">
            <w:pPr>
              <w:widowControl/>
              <w:spacing w:line="220" w:lineRule="exact"/>
              <w:textAlignment w:val="center"/>
              <w:rPr>
                <w:rFonts w:hint="eastAsia" w:ascii="宋体" w:hAnsi="宋体" w:eastAsia="宋体" w:cs="宋体"/>
                <w:b w:val="0"/>
                <w:bCs w:val="0"/>
                <w:kern w:val="0"/>
                <w:sz w:val="18"/>
                <w:szCs w:val="18"/>
                <w:lang w:bidi="ar"/>
              </w:rPr>
            </w:pPr>
            <w:r>
              <w:rPr>
                <w:rFonts w:hint="eastAsia" w:ascii="宋体" w:hAnsi="宋体" w:eastAsia="宋体" w:cs="宋体"/>
                <w:b w:val="0"/>
                <w:bCs w:val="0"/>
                <w:kern w:val="0"/>
                <w:sz w:val="18"/>
                <w:szCs w:val="18"/>
                <w:lang w:bidi="ar"/>
              </w:rPr>
              <w:t>《中华人民共和国河道管理条例》第四十四条 违反本条例规定，有下列行为之一的，县级以上地方人民政府河道主管机关除责令其纠正违法行为、采取补救措施外，可以并处警告、罚款、没收非法所得；对有关责任人员，由其所在单位或者上级主管机关给予行政处分；构成犯罪的，依法追究刑事责任：</w:t>
            </w:r>
          </w:p>
          <w:p w14:paraId="1F4D1360">
            <w:pPr>
              <w:widowControl/>
              <w:spacing w:line="220" w:lineRule="exact"/>
              <w:textAlignment w:val="center"/>
              <w:rPr>
                <w:rFonts w:hint="eastAsia" w:ascii="宋体" w:hAnsi="宋体" w:eastAsia="宋体" w:cs="宋体"/>
                <w:b w:val="0"/>
                <w:bCs w:val="0"/>
                <w:kern w:val="0"/>
                <w:sz w:val="18"/>
                <w:szCs w:val="18"/>
                <w:lang w:bidi="ar"/>
              </w:rPr>
            </w:pPr>
            <w:r>
              <w:rPr>
                <w:rFonts w:hint="eastAsia" w:ascii="宋体" w:hAnsi="宋体" w:eastAsia="宋体" w:cs="宋体"/>
                <w:b w:val="0"/>
                <w:bCs w:val="0"/>
                <w:kern w:val="0"/>
                <w:sz w:val="18"/>
                <w:szCs w:val="18"/>
                <w:lang w:bidi="ar"/>
              </w:rPr>
              <w:t>（三）未经批准或者不按照国家规定的防洪标准、工程安全标准整治河道或者修建水工程建筑物和其他设施的；</w:t>
            </w:r>
          </w:p>
        </w:tc>
        <w:tc>
          <w:tcPr>
            <w:tcW w:w="1849" w:type="dxa"/>
            <w:vMerge w:val="restart"/>
            <w:tcBorders>
              <w:top w:val="single" w:color="auto" w:sz="4" w:space="0"/>
              <w:left w:val="single" w:color="auto" w:sz="4" w:space="0"/>
              <w:right w:val="single" w:color="auto" w:sz="4" w:space="0"/>
            </w:tcBorders>
            <w:noWrap w:val="0"/>
            <w:tcMar>
              <w:top w:w="0" w:type="dxa"/>
              <w:left w:w="0" w:type="dxa"/>
              <w:bottom w:w="0" w:type="dxa"/>
              <w:right w:w="0" w:type="dxa"/>
            </w:tcMar>
            <w:vAlign w:val="center"/>
          </w:tcPr>
          <w:p w14:paraId="0D556BAF">
            <w:pPr>
              <w:spacing w:line="220" w:lineRule="exact"/>
              <w:jc w:val="both"/>
              <w:rPr>
                <w:rFonts w:hint="eastAsia" w:ascii="宋体" w:hAnsi="宋体" w:eastAsia="宋体" w:cs="宋体"/>
                <w:b w:val="0"/>
                <w:bCs w:val="0"/>
                <w:sz w:val="18"/>
                <w:szCs w:val="18"/>
              </w:rPr>
            </w:pPr>
            <w:r>
              <w:rPr>
                <w:rFonts w:hint="eastAsia" w:ascii="宋体" w:hAnsi="宋体" w:eastAsia="宋体" w:cs="宋体"/>
                <w:b w:val="0"/>
                <w:bCs w:val="0"/>
                <w:kern w:val="0"/>
                <w:sz w:val="18"/>
                <w:szCs w:val="18"/>
                <w:lang w:bidi="ar"/>
              </w:rPr>
              <w:t>建设妨碍行洪的建筑物、构筑物，或者从事影响河势稳定、危害河岸堤防安全和其他妨碍河道行洪的活动，逾期不拆除、不恢复原状的</w:t>
            </w:r>
          </w:p>
        </w:tc>
        <w:tc>
          <w:tcPr>
            <w:tcW w:w="51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7C2216C">
            <w:pPr>
              <w:spacing w:line="240" w:lineRule="exact"/>
              <w:jc w:val="center"/>
              <w:rPr>
                <w:rFonts w:hint="eastAsia" w:ascii="宋体" w:hAnsi="宋体" w:eastAsia="宋体" w:cs="宋体"/>
                <w:b w:val="0"/>
                <w:bCs w:val="0"/>
                <w:sz w:val="18"/>
                <w:szCs w:val="18"/>
              </w:rPr>
            </w:pPr>
            <w:r>
              <w:rPr>
                <w:rFonts w:hint="eastAsia" w:ascii="宋体" w:hAnsi="宋体" w:eastAsia="宋体" w:cs="宋体"/>
                <w:b w:val="0"/>
                <w:bCs w:val="0"/>
                <w:sz w:val="18"/>
                <w:szCs w:val="18"/>
              </w:rPr>
              <w:t>轻微</w:t>
            </w:r>
          </w:p>
        </w:tc>
        <w:tc>
          <w:tcPr>
            <w:tcW w:w="242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55A931A0">
            <w:pPr>
              <w:snapToGrid w:val="0"/>
              <w:spacing w:line="240" w:lineRule="exact"/>
              <mc:AlternateContent>
                <mc:Choice Requires="wpsCustomData">
                  <wpsCustomData:diagonalParaType/>
                </mc:Choice>
              </mc:AlternateContent>
              <w:rPr>
                <w:rStyle w:val="21"/>
                <w:rFonts w:hint="eastAsia" w:ascii="宋体" w:hAnsi="宋体" w:eastAsia="宋体" w:cs="宋体"/>
                <w:b w:val="0"/>
                <w:bCs w:val="0"/>
                <w:color w:val="auto"/>
                <w:sz w:val="18"/>
                <w:szCs w:val="18"/>
                <w:lang w:bidi="ar"/>
              </w:rPr>
            </w:pPr>
          </w:p>
          <w:p w14:paraId="33BF8593">
            <w:pPr>
              <w:spacing w:line="240" w:lineRule="exact"/>
              <w:rPr>
                <w:rFonts w:hint="eastAsia" w:ascii="宋体" w:hAnsi="宋体" w:eastAsia="宋体" w:cs="宋体"/>
                <w:b w:val="0"/>
                <w:bCs w:val="0"/>
                <w:sz w:val="18"/>
                <w:szCs w:val="18"/>
                <w:lang w:bidi="ar"/>
              </w:rPr>
            </w:pPr>
          </w:p>
        </w:tc>
        <w:tc>
          <w:tcPr>
            <w:tcW w:w="1628"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10492B08">
            <w:pPr>
              <w:snapToGrid w:val="0"/>
              <w:spacing w:line="240" w:lineRule="exact"/>
              <mc:AlternateContent>
                <mc:Choice Requires="wpsCustomData">
                  <wpsCustomData:diagonalParaType/>
                </mc:Choice>
              </mc:AlternateContent>
              <w:rPr>
                <w:rStyle w:val="21"/>
                <w:rFonts w:hint="eastAsia" w:ascii="宋体" w:hAnsi="宋体" w:eastAsia="宋体" w:cs="宋体"/>
                <w:b w:val="0"/>
                <w:bCs w:val="0"/>
                <w:color w:val="auto"/>
                <w:sz w:val="18"/>
                <w:szCs w:val="18"/>
                <w:lang w:bidi="ar"/>
              </w:rPr>
            </w:pPr>
          </w:p>
          <w:p w14:paraId="5C7CD476">
            <w:pPr>
              <w:spacing w:line="240" w:lineRule="exact"/>
              <w:rPr>
                <w:rFonts w:hint="eastAsia" w:ascii="宋体" w:hAnsi="宋体" w:eastAsia="宋体" w:cs="宋体"/>
                <w:b w:val="0"/>
                <w:bCs w:val="0"/>
                <w:sz w:val="18"/>
                <w:szCs w:val="18"/>
                <w:lang w:bidi="ar"/>
              </w:rPr>
            </w:pPr>
          </w:p>
        </w:tc>
        <w:tc>
          <w:tcPr>
            <w:tcW w:w="739" w:type="dxa"/>
            <w:vMerge w:val="restart"/>
            <w:tcBorders>
              <w:top w:val="single" w:color="auto" w:sz="4" w:space="0"/>
              <w:left w:val="single" w:color="auto" w:sz="4" w:space="0"/>
              <w:right w:val="single" w:color="auto" w:sz="4" w:space="0"/>
            </w:tcBorders>
            <w:noWrap w:val="0"/>
            <w:tcMar>
              <w:top w:w="0" w:type="dxa"/>
              <w:left w:w="0" w:type="dxa"/>
              <w:bottom w:w="0" w:type="dxa"/>
              <w:right w:w="0" w:type="dxa"/>
            </w:tcMar>
            <w:vAlign w:val="center"/>
          </w:tcPr>
          <w:p w14:paraId="1E917D09">
            <w:pPr>
              <w:spacing w:line="240" w:lineRule="exact"/>
              <w:jc w:val="center"/>
              <w:rPr>
                <w:rFonts w:hint="eastAsia" w:ascii="宋体" w:hAnsi="宋体" w:eastAsia="宋体" w:cs="宋体"/>
                <w:b w:val="0"/>
                <w:bCs w:val="0"/>
                <w:sz w:val="18"/>
                <w:szCs w:val="18"/>
                <w:lang w:bidi="ar"/>
              </w:rPr>
            </w:pPr>
          </w:p>
        </w:tc>
      </w:tr>
      <w:tr w14:paraId="783C81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74" w:type="dxa"/>
            <w:vMerge w:val="continue"/>
            <w:tcBorders>
              <w:left w:val="single" w:color="auto" w:sz="4" w:space="0"/>
              <w:right w:val="single" w:color="auto" w:sz="4" w:space="0"/>
            </w:tcBorders>
            <w:noWrap w:val="0"/>
            <w:tcMar>
              <w:top w:w="0" w:type="dxa"/>
              <w:left w:w="0" w:type="dxa"/>
              <w:bottom w:w="0" w:type="dxa"/>
              <w:right w:w="0" w:type="dxa"/>
            </w:tcMar>
            <w:vAlign w:val="center"/>
          </w:tcPr>
          <w:p w14:paraId="7961CF8C">
            <w:pPr>
              <w:widowControl/>
              <w:spacing w:line="240" w:lineRule="exact"/>
              <w:jc w:val="center"/>
              <w:textAlignment w:val="center"/>
              <w:rPr>
                <w:rFonts w:hint="eastAsia" w:ascii="宋体" w:hAnsi="宋体" w:eastAsia="宋体" w:cs="宋体"/>
                <w:b w:val="0"/>
                <w:bCs w:val="0"/>
                <w:kern w:val="0"/>
                <w:sz w:val="18"/>
                <w:szCs w:val="18"/>
                <w:lang w:bidi="ar"/>
              </w:rPr>
            </w:pPr>
          </w:p>
        </w:tc>
        <w:tc>
          <w:tcPr>
            <w:tcW w:w="1236" w:type="dxa"/>
            <w:vMerge w:val="continue"/>
            <w:tcBorders>
              <w:left w:val="single" w:color="auto" w:sz="4" w:space="0"/>
              <w:right w:val="single" w:color="auto" w:sz="4" w:space="0"/>
            </w:tcBorders>
            <w:noWrap w:val="0"/>
            <w:tcMar>
              <w:top w:w="0" w:type="dxa"/>
              <w:left w:w="0" w:type="dxa"/>
              <w:bottom w:w="0" w:type="dxa"/>
              <w:right w:w="0" w:type="dxa"/>
            </w:tcMar>
            <w:vAlign w:val="center"/>
          </w:tcPr>
          <w:p w14:paraId="13789298">
            <w:pPr>
              <w:widowControl/>
              <w:spacing w:line="220" w:lineRule="exact"/>
              <w:jc w:val="both"/>
              <w:textAlignment w:val="center"/>
              <w:rPr>
                <w:rFonts w:hint="eastAsia" w:ascii="宋体" w:hAnsi="宋体" w:eastAsia="宋体" w:cs="宋体"/>
                <w:b w:val="0"/>
                <w:bCs w:val="0"/>
                <w:kern w:val="0"/>
                <w:sz w:val="18"/>
                <w:szCs w:val="18"/>
                <w:lang w:bidi="ar"/>
              </w:rPr>
            </w:pPr>
          </w:p>
        </w:tc>
        <w:tc>
          <w:tcPr>
            <w:tcW w:w="6027" w:type="dxa"/>
            <w:vMerge w:val="continue"/>
            <w:tcBorders>
              <w:left w:val="single" w:color="auto" w:sz="4" w:space="0"/>
              <w:right w:val="single" w:color="auto" w:sz="4" w:space="0"/>
            </w:tcBorders>
            <w:noWrap w:val="0"/>
            <w:tcMar>
              <w:top w:w="0" w:type="dxa"/>
              <w:left w:w="0" w:type="dxa"/>
              <w:bottom w:w="0" w:type="dxa"/>
              <w:right w:w="0" w:type="dxa"/>
            </w:tcMar>
            <w:vAlign w:val="center"/>
          </w:tcPr>
          <w:p w14:paraId="07315DAF">
            <w:pPr>
              <w:widowControl/>
              <w:spacing w:line="220" w:lineRule="exact"/>
              <w:textAlignment w:val="center"/>
              <w:rPr>
                <w:rFonts w:hint="eastAsia" w:ascii="宋体" w:hAnsi="宋体" w:eastAsia="宋体" w:cs="宋体"/>
                <w:b w:val="0"/>
                <w:bCs w:val="0"/>
                <w:kern w:val="0"/>
                <w:sz w:val="18"/>
                <w:szCs w:val="18"/>
                <w:lang w:bidi="ar"/>
              </w:rPr>
            </w:pPr>
          </w:p>
        </w:tc>
        <w:tc>
          <w:tcPr>
            <w:tcW w:w="1849" w:type="dxa"/>
            <w:vMerge w:val="continue"/>
            <w:tcBorders>
              <w:left w:val="single" w:color="auto" w:sz="4" w:space="0"/>
              <w:right w:val="single" w:color="auto" w:sz="4" w:space="0"/>
            </w:tcBorders>
            <w:noWrap w:val="0"/>
            <w:tcMar>
              <w:top w:w="0" w:type="dxa"/>
              <w:left w:w="0" w:type="dxa"/>
              <w:bottom w:w="0" w:type="dxa"/>
              <w:right w:w="0" w:type="dxa"/>
            </w:tcMar>
            <w:vAlign w:val="center"/>
          </w:tcPr>
          <w:p w14:paraId="584707BB">
            <w:pPr>
              <w:spacing w:line="220" w:lineRule="exact"/>
              <w:jc w:val="both"/>
              <w:rPr>
                <w:rFonts w:hint="eastAsia" w:ascii="宋体" w:hAnsi="宋体" w:eastAsia="宋体" w:cs="宋体"/>
                <w:b w:val="0"/>
                <w:bCs w:val="0"/>
                <w:sz w:val="18"/>
                <w:szCs w:val="18"/>
              </w:rPr>
            </w:pPr>
          </w:p>
        </w:tc>
        <w:tc>
          <w:tcPr>
            <w:tcW w:w="51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50603EA">
            <w:pPr>
              <w:spacing w:line="240" w:lineRule="exact"/>
              <w:jc w:val="center"/>
              <w:rPr>
                <w:rFonts w:hint="eastAsia" w:ascii="宋体" w:hAnsi="宋体" w:eastAsia="宋体" w:cs="宋体"/>
                <w:b w:val="0"/>
                <w:bCs w:val="0"/>
                <w:sz w:val="18"/>
                <w:szCs w:val="18"/>
              </w:rPr>
            </w:pPr>
            <w:r>
              <w:rPr>
                <w:rFonts w:hint="eastAsia" w:ascii="宋体" w:hAnsi="宋体" w:eastAsia="宋体" w:cs="宋体"/>
                <w:b w:val="0"/>
                <w:bCs w:val="0"/>
                <w:sz w:val="18"/>
                <w:szCs w:val="18"/>
              </w:rPr>
              <w:t>较轻</w:t>
            </w:r>
          </w:p>
        </w:tc>
        <w:tc>
          <w:tcPr>
            <w:tcW w:w="242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EF18B34">
            <w:pPr>
              <w:spacing w:line="240" w:lineRule="exact"/>
              <w:rPr>
                <w:rFonts w:hint="eastAsia" w:ascii="宋体" w:hAnsi="宋体" w:eastAsia="宋体" w:cs="宋体"/>
                <w:b w:val="0"/>
                <w:bCs w:val="0"/>
                <w:sz w:val="18"/>
                <w:szCs w:val="18"/>
                <w:lang w:bidi="ar"/>
              </w:rPr>
            </w:pPr>
            <w:r>
              <w:rPr>
                <w:rStyle w:val="21"/>
                <w:rFonts w:hint="eastAsia" w:ascii="宋体" w:hAnsi="宋体" w:eastAsia="宋体" w:cs="宋体"/>
                <w:b w:val="0"/>
                <w:bCs w:val="0"/>
                <w:color w:val="auto"/>
                <w:sz w:val="18"/>
                <w:szCs w:val="18"/>
                <w:lang w:bidi="ar"/>
              </w:rPr>
              <w:t>建筑物、构筑物占河道设计洪水位断面5%以下的，或者建筑面积在</w:t>
            </w:r>
            <w:r>
              <w:rPr>
                <w:rStyle w:val="21"/>
                <w:rFonts w:hint="eastAsia" w:ascii="宋体" w:hAnsi="宋体" w:eastAsia="宋体" w:cs="宋体"/>
                <w:b w:val="0"/>
                <w:bCs w:val="0"/>
                <w:color w:val="auto"/>
                <w:sz w:val="18"/>
                <w:szCs w:val="18"/>
                <w:lang w:val="en-US" w:eastAsia="zh-CN" w:bidi="ar"/>
              </w:rPr>
              <w:t>100</w:t>
            </w:r>
            <w:r>
              <w:rPr>
                <w:rStyle w:val="21"/>
                <w:rFonts w:hint="eastAsia" w:ascii="宋体" w:hAnsi="宋体" w:eastAsia="宋体" w:cs="宋体"/>
                <w:b w:val="0"/>
                <w:bCs w:val="0"/>
                <w:color w:val="auto"/>
                <w:sz w:val="18"/>
                <w:szCs w:val="18"/>
                <w:lang w:bidi="ar"/>
              </w:rPr>
              <w:t>平方米以下的</w:t>
            </w:r>
          </w:p>
        </w:tc>
        <w:tc>
          <w:tcPr>
            <w:tcW w:w="1628"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17B786D">
            <w:pPr>
              <w:spacing w:line="240" w:lineRule="exact"/>
              <w:rPr>
                <w:rFonts w:hint="eastAsia" w:ascii="宋体" w:hAnsi="宋体" w:eastAsia="宋体" w:cs="宋体"/>
                <w:b w:val="0"/>
                <w:bCs w:val="0"/>
                <w:sz w:val="18"/>
                <w:szCs w:val="18"/>
                <w:lang w:bidi="ar"/>
              </w:rPr>
            </w:pPr>
            <w:r>
              <w:rPr>
                <w:rStyle w:val="21"/>
                <w:rFonts w:hint="eastAsia" w:ascii="宋体" w:hAnsi="宋体" w:eastAsia="宋体" w:cs="宋体"/>
                <w:b w:val="0"/>
                <w:bCs w:val="0"/>
                <w:color w:val="auto"/>
                <w:sz w:val="18"/>
                <w:szCs w:val="18"/>
                <w:lang w:bidi="ar"/>
              </w:rPr>
              <w:t>强行拆除，</w:t>
            </w:r>
            <w:r>
              <w:rPr>
                <w:rFonts w:hint="eastAsia" w:ascii="宋体" w:hAnsi="宋体" w:eastAsia="宋体" w:cs="宋体"/>
                <w:b w:val="0"/>
                <w:bCs w:val="0"/>
                <w:kern w:val="0"/>
                <w:sz w:val="18"/>
                <w:szCs w:val="18"/>
                <w:lang w:bidi="ar"/>
              </w:rPr>
              <w:t>所需费用由违法单位或者个人负担，</w:t>
            </w:r>
            <w:r>
              <w:rPr>
                <w:rStyle w:val="21"/>
                <w:rFonts w:hint="eastAsia" w:ascii="宋体" w:hAnsi="宋体" w:eastAsia="宋体" w:cs="宋体"/>
                <w:b w:val="0"/>
                <w:bCs w:val="0"/>
                <w:color w:val="auto"/>
                <w:sz w:val="18"/>
                <w:szCs w:val="18"/>
                <w:lang w:bidi="ar"/>
              </w:rPr>
              <w:t>并处</w:t>
            </w:r>
            <w:r>
              <w:rPr>
                <w:rStyle w:val="21"/>
                <w:rFonts w:hint="eastAsia" w:ascii="宋体" w:hAnsi="宋体" w:eastAsia="宋体" w:cs="宋体"/>
                <w:b w:val="0"/>
                <w:bCs w:val="0"/>
                <w:color w:val="auto"/>
                <w:sz w:val="18"/>
                <w:szCs w:val="18"/>
                <w:lang w:val="en-US" w:eastAsia="zh-CN" w:bidi="ar"/>
              </w:rPr>
              <w:t>1</w:t>
            </w:r>
            <w:r>
              <w:rPr>
                <w:rStyle w:val="21"/>
                <w:rFonts w:hint="eastAsia" w:ascii="宋体" w:hAnsi="宋体" w:eastAsia="宋体" w:cs="宋体"/>
                <w:b w:val="0"/>
                <w:bCs w:val="0"/>
                <w:color w:val="auto"/>
                <w:sz w:val="18"/>
                <w:szCs w:val="18"/>
                <w:lang w:bidi="ar"/>
              </w:rPr>
              <w:t>万元以上</w:t>
            </w:r>
            <w:r>
              <w:rPr>
                <w:rStyle w:val="21"/>
                <w:rFonts w:hint="eastAsia" w:ascii="宋体" w:hAnsi="宋体" w:eastAsia="宋体" w:cs="宋体"/>
                <w:b w:val="0"/>
                <w:bCs w:val="0"/>
                <w:color w:val="auto"/>
                <w:sz w:val="18"/>
                <w:szCs w:val="18"/>
                <w:lang w:val="en-US" w:eastAsia="zh-CN" w:bidi="ar"/>
              </w:rPr>
              <w:t>2</w:t>
            </w:r>
            <w:r>
              <w:rPr>
                <w:rStyle w:val="21"/>
                <w:rFonts w:hint="eastAsia" w:ascii="宋体" w:hAnsi="宋体" w:eastAsia="宋体" w:cs="宋体"/>
                <w:b w:val="0"/>
                <w:bCs w:val="0"/>
                <w:color w:val="auto"/>
                <w:sz w:val="18"/>
                <w:szCs w:val="18"/>
                <w:lang w:bidi="ar"/>
              </w:rPr>
              <w:t>万元以下的罚款</w:t>
            </w:r>
          </w:p>
        </w:tc>
        <w:tc>
          <w:tcPr>
            <w:tcW w:w="739" w:type="dxa"/>
            <w:vMerge w:val="continue"/>
            <w:tcBorders>
              <w:left w:val="single" w:color="auto" w:sz="4" w:space="0"/>
              <w:right w:val="single" w:color="auto" w:sz="4" w:space="0"/>
            </w:tcBorders>
            <w:noWrap w:val="0"/>
            <w:tcMar>
              <w:top w:w="0" w:type="dxa"/>
              <w:left w:w="0" w:type="dxa"/>
              <w:bottom w:w="0" w:type="dxa"/>
              <w:right w:w="0" w:type="dxa"/>
            </w:tcMar>
            <w:vAlign w:val="center"/>
          </w:tcPr>
          <w:p w14:paraId="1F706619">
            <w:pPr>
              <w:spacing w:line="240" w:lineRule="exact"/>
              <w:jc w:val="center"/>
              <w:rPr>
                <w:rStyle w:val="21"/>
                <w:rFonts w:hint="eastAsia" w:ascii="宋体" w:hAnsi="宋体" w:eastAsia="宋体" w:cs="宋体"/>
                <w:b w:val="0"/>
                <w:bCs w:val="0"/>
                <w:color w:val="auto"/>
                <w:sz w:val="18"/>
                <w:szCs w:val="18"/>
                <w:lang w:bidi="ar"/>
              </w:rPr>
            </w:pPr>
          </w:p>
        </w:tc>
      </w:tr>
      <w:tr w14:paraId="5C2C52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74" w:type="dxa"/>
            <w:vMerge w:val="continue"/>
            <w:tcBorders>
              <w:left w:val="single" w:color="auto" w:sz="4" w:space="0"/>
              <w:right w:val="single" w:color="auto" w:sz="4" w:space="0"/>
            </w:tcBorders>
            <w:noWrap w:val="0"/>
            <w:tcMar>
              <w:top w:w="0" w:type="dxa"/>
              <w:left w:w="0" w:type="dxa"/>
              <w:bottom w:w="0" w:type="dxa"/>
              <w:right w:w="0" w:type="dxa"/>
            </w:tcMar>
            <w:vAlign w:val="center"/>
          </w:tcPr>
          <w:p w14:paraId="43102DB2">
            <w:pPr>
              <w:widowControl/>
              <w:spacing w:line="240" w:lineRule="exact"/>
              <w:jc w:val="center"/>
              <w:textAlignment w:val="center"/>
              <w:rPr>
                <w:rFonts w:hint="eastAsia" w:ascii="宋体" w:hAnsi="宋体" w:eastAsia="宋体" w:cs="宋体"/>
                <w:b w:val="0"/>
                <w:bCs w:val="0"/>
                <w:kern w:val="0"/>
                <w:sz w:val="18"/>
                <w:szCs w:val="18"/>
                <w:lang w:bidi="ar"/>
              </w:rPr>
            </w:pPr>
          </w:p>
        </w:tc>
        <w:tc>
          <w:tcPr>
            <w:tcW w:w="1236" w:type="dxa"/>
            <w:vMerge w:val="continue"/>
            <w:tcBorders>
              <w:left w:val="single" w:color="auto" w:sz="4" w:space="0"/>
              <w:right w:val="single" w:color="auto" w:sz="4" w:space="0"/>
            </w:tcBorders>
            <w:noWrap w:val="0"/>
            <w:tcMar>
              <w:top w:w="0" w:type="dxa"/>
              <w:left w:w="0" w:type="dxa"/>
              <w:bottom w:w="0" w:type="dxa"/>
              <w:right w:w="0" w:type="dxa"/>
            </w:tcMar>
            <w:vAlign w:val="center"/>
          </w:tcPr>
          <w:p w14:paraId="31999E90">
            <w:pPr>
              <w:widowControl/>
              <w:spacing w:line="220" w:lineRule="exact"/>
              <w:jc w:val="both"/>
              <w:textAlignment w:val="center"/>
              <w:rPr>
                <w:rFonts w:hint="eastAsia" w:ascii="宋体" w:hAnsi="宋体" w:eastAsia="宋体" w:cs="宋体"/>
                <w:b w:val="0"/>
                <w:bCs w:val="0"/>
                <w:kern w:val="0"/>
                <w:sz w:val="18"/>
                <w:szCs w:val="18"/>
                <w:lang w:bidi="ar"/>
              </w:rPr>
            </w:pPr>
          </w:p>
        </w:tc>
        <w:tc>
          <w:tcPr>
            <w:tcW w:w="6027" w:type="dxa"/>
            <w:vMerge w:val="continue"/>
            <w:tcBorders>
              <w:left w:val="single" w:color="auto" w:sz="4" w:space="0"/>
              <w:right w:val="single" w:color="auto" w:sz="4" w:space="0"/>
            </w:tcBorders>
            <w:noWrap w:val="0"/>
            <w:tcMar>
              <w:top w:w="0" w:type="dxa"/>
              <w:left w:w="0" w:type="dxa"/>
              <w:bottom w:w="0" w:type="dxa"/>
              <w:right w:w="0" w:type="dxa"/>
            </w:tcMar>
            <w:vAlign w:val="center"/>
          </w:tcPr>
          <w:p w14:paraId="039C1855">
            <w:pPr>
              <w:widowControl/>
              <w:spacing w:line="220" w:lineRule="exact"/>
              <w:textAlignment w:val="center"/>
              <w:rPr>
                <w:rFonts w:hint="eastAsia" w:ascii="宋体" w:hAnsi="宋体" w:eastAsia="宋体" w:cs="宋体"/>
                <w:b w:val="0"/>
                <w:bCs w:val="0"/>
                <w:kern w:val="0"/>
                <w:sz w:val="18"/>
                <w:szCs w:val="18"/>
                <w:lang w:bidi="ar"/>
              </w:rPr>
            </w:pPr>
          </w:p>
        </w:tc>
        <w:tc>
          <w:tcPr>
            <w:tcW w:w="1849" w:type="dxa"/>
            <w:vMerge w:val="continue"/>
            <w:tcBorders>
              <w:left w:val="single" w:color="auto" w:sz="4" w:space="0"/>
              <w:right w:val="single" w:color="auto" w:sz="4" w:space="0"/>
            </w:tcBorders>
            <w:noWrap w:val="0"/>
            <w:tcMar>
              <w:top w:w="0" w:type="dxa"/>
              <w:left w:w="0" w:type="dxa"/>
              <w:bottom w:w="0" w:type="dxa"/>
              <w:right w:w="0" w:type="dxa"/>
            </w:tcMar>
            <w:vAlign w:val="center"/>
          </w:tcPr>
          <w:p w14:paraId="3C0CBBB0">
            <w:pPr>
              <w:spacing w:line="220" w:lineRule="exact"/>
              <w:jc w:val="both"/>
              <w:rPr>
                <w:rFonts w:hint="eastAsia" w:ascii="宋体" w:hAnsi="宋体" w:eastAsia="宋体" w:cs="宋体"/>
                <w:b w:val="0"/>
                <w:bCs w:val="0"/>
                <w:sz w:val="18"/>
                <w:szCs w:val="18"/>
              </w:rPr>
            </w:pPr>
          </w:p>
        </w:tc>
        <w:tc>
          <w:tcPr>
            <w:tcW w:w="51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412635A">
            <w:pPr>
              <w:spacing w:line="240" w:lineRule="exact"/>
              <w:jc w:val="center"/>
              <w:rPr>
                <w:rFonts w:hint="eastAsia" w:ascii="宋体" w:hAnsi="宋体" w:eastAsia="宋体" w:cs="宋体"/>
                <w:b w:val="0"/>
                <w:bCs w:val="0"/>
                <w:sz w:val="18"/>
                <w:szCs w:val="18"/>
              </w:rPr>
            </w:pPr>
            <w:r>
              <w:rPr>
                <w:rFonts w:hint="eastAsia" w:ascii="宋体" w:hAnsi="宋体" w:eastAsia="宋体" w:cs="宋体"/>
                <w:b w:val="0"/>
                <w:bCs w:val="0"/>
                <w:sz w:val="18"/>
                <w:szCs w:val="18"/>
              </w:rPr>
              <w:t>一般</w:t>
            </w:r>
          </w:p>
        </w:tc>
        <w:tc>
          <w:tcPr>
            <w:tcW w:w="242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B15A758">
            <w:pPr>
              <w:spacing w:line="240" w:lineRule="exact"/>
              <w:rPr>
                <w:rFonts w:hint="eastAsia" w:ascii="宋体" w:hAnsi="宋体" w:eastAsia="宋体" w:cs="宋体"/>
                <w:b w:val="0"/>
                <w:bCs w:val="0"/>
                <w:sz w:val="18"/>
                <w:szCs w:val="18"/>
                <w:lang w:bidi="ar"/>
              </w:rPr>
            </w:pPr>
            <w:r>
              <w:rPr>
                <w:rStyle w:val="21"/>
                <w:rFonts w:hint="eastAsia" w:ascii="宋体" w:hAnsi="宋体" w:eastAsia="宋体" w:cs="宋体"/>
                <w:b w:val="0"/>
                <w:bCs w:val="0"/>
                <w:color w:val="auto"/>
                <w:sz w:val="18"/>
                <w:szCs w:val="18"/>
                <w:lang w:bidi="ar"/>
              </w:rPr>
              <w:t>建筑物、构筑物占河道设计洪水位断面5%以上10%以下，或者建筑面积在</w:t>
            </w:r>
            <w:r>
              <w:rPr>
                <w:rStyle w:val="21"/>
                <w:rFonts w:hint="eastAsia" w:ascii="宋体" w:hAnsi="宋体" w:eastAsia="宋体" w:cs="宋体"/>
                <w:b w:val="0"/>
                <w:bCs w:val="0"/>
                <w:color w:val="auto"/>
                <w:sz w:val="18"/>
                <w:szCs w:val="18"/>
                <w:lang w:val="en-US" w:eastAsia="zh-CN" w:bidi="ar"/>
              </w:rPr>
              <w:t>100</w:t>
            </w:r>
            <w:r>
              <w:rPr>
                <w:rStyle w:val="21"/>
                <w:rFonts w:hint="eastAsia" w:ascii="宋体" w:hAnsi="宋体" w:eastAsia="宋体" w:cs="宋体"/>
                <w:b w:val="0"/>
                <w:bCs w:val="0"/>
                <w:color w:val="auto"/>
                <w:sz w:val="18"/>
                <w:szCs w:val="18"/>
                <w:lang w:bidi="ar"/>
              </w:rPr>
              <w:t>平方米以上</w:t>
            </w:r>
            <w:r>
              <w:rPr>
                <w:rStyle w:val="21"/>
                <w:rFonts w:hint="eastAsia" w:ascii="宋体" w:hAnsi="宋体" w:eastAsia="宋体" w:cs="宋体"/>
                <w:b w:val="0"/>
                <w:bCs w:val="0"/>
                <w:color w:val="auto"/>
                <w:sz w:val="18"/>
                <w:szCs w:val="18"/>
                <w:lang w:val="en-US" w:eastAsia="zh-CN" w:bidi="ar"/>
              </w:rPr>
              <w:t>200</w:t>
            </w:r>
            <w:r>
              <w:rPr>
                <w:rStyle w:val="21"/>
                <w:rFonts w:hint="eastAsia" w:ascii="宋体" w:hAnsi="宋体" w:eastAsia="宋体" w:cs="宋体"/>
                <w:b w:val="0"/>
                <w:bCs w:val="0"/>
                <w:color w:val="auto"/>
                <w:sz w:val="18"/>
                <w:szCs w:val="18"/>
                <w:lang w:bidi="ar"/>
              </w:rPr>
              <w:t>平方米以下的</w:t>
            </w:r>
          </w:p>
        </w:tc>
        <w:tc>
          <w:tcPr>
            <w:tcW w:w="1628"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D62B627">
            <w:pPr>
              <w:spacing w:line="240" w:lineRule="exact"/>
              <w:rPr>
                <w:rFonts w:hint="eastAsia" w:ascii="宋体" w:hAnsi="宋体" w:eastAsia="宋体" w:cs="宋体"/>
                <w:b w:val="0"/>
                <w:bCs w:val="0"/>
                <w:sz w:val="18"/>
                <w:szCs w:val="18"/>
                <w:lang w:bidi="ar"/>
              </w:rPr>
            </w:pPr>
            <w:r>
              <w:rPr>
                <w:rStyle w:val="21"/>
                <w:rFonts w:hint="eastAsia" w:ascii="宋体" w:hAnsi="宋体" w:eastAsia="宋体" w:cs="宋体"/>
                <w:b w:val="0"/>
                <w:bCs w:val="0"/>
                <w:color w:val="auto"/>
                <w:sz w:val="18"/>
                <w:szCs w:val="18"/>
                <w:lang w:bidi="ar"/>
              </w:rPr>
              <w:t>强行拆除，</w:t>
            </w:r>
            <w:r>
              <w:rPr>
                <w:rFonts w:hint="eastAsia" w:ascii="宋体" w:hAnsi="宋体" w:eastAsia="宋体" w:cs="宋体"/>
                <w:b w:val="0"/>
                <w:bCs w:val="0"/>
                <w:kern w:val="0"/>
                <w:sz w:val="18"/>
                <w:szCs w:val="18"/>
                <w:lang w:bidi="ar"/>
              </w:rPr>
              <w:t>所需费用由违法单位或者个人负担，</w:t>
            </w:r>
            <w:r>
              <w:rPr>
                <w:rStyle w:val="21"/>
                <w:rFonts w:hint="eastAsia" w:ascii="宋体" w:hAnsi="宋体" w:eastAsia="宋体" w:cs="宋体"/>
                <w:b w:val="0"/>
                <w:bCs w:val="0"/>
                <w:color w:val="auto"/>
                <w:sz w:val="18"/>
                <w:szCs w:val="18"/>
                <w:lang w:bidi="ar"/>
              </w:rPr>
              <w:t>并处</w:t>
            </w:r>
            <w:r>
              <w:rPr>
                <w:rStyle w:val="21"/>
                <w:rFonts w:hint="eastAsia" w:ascii="宋体" w:hAnsi="宋体" w:eastAsia="宋体" w:cs="宋体"/>
                <w:b w:val="0"/>
                <w:bCs w:val="0"/>
                <w:color w:val="auto"/>
                <w:sz w:val="18"/>
                <w:szCs w:val="18"/>
                <w:lang w:val="en-US" w:eastAsia="zh-CN" w:bidi="ar"/>
              </w:rPr>
              <w:t>2</w:t>
            </w:r>
            <w:r>
              <w:rPr>
                <w:rStyle w:val="21"/>
                <w:rFonts w:hint="eastAsia" w:ascii="宋体" w:hAnsi="宋体" w:eastAsia="宋体" w:cs="宋体"/>
                <w:b w:val="0"/>
                <w:bCs w:val="0"/>
                <w:color w:val="auto"/>
                <w:sz w:val="18"/>
                <w:szCs w:val="18"/>
                <w:lang w:bidi="ar"/>
              </w:rPr>
              <w:t>万元以上</w:t>
            </w:r>
            <w:r>
              <w:rPr>
                <w:rStyle w:val="21"/>
                <w:rFonts w:hint="eastAsia" w:ascii="宋体" w:hAnsi="宋体" w:eastAsia="宋体" w:cs="宋体"/>
                <w:b w:val="0"/>
                <w:bCs w:val="0"/>
                <w:color w:val="auto"/>
                <w:sz w:val="18"/>
                <w:szCs w:val="18"/>
                <w:lang w:val="en-US" w:eastAsia="zh-CN" w:bidi="ar"/>
              </w:rPr>
              <w:t>3</w:t>
            </w:r>
            <w:r>
              <w:rPr>
                <w:rStyle w:val="21"/>
                <w:rFonts w:hint="eastAsia" w:ascii="宋体" w:hAnsi="宋体" w:eastAsia="宋体" w:cs="宋体"/>
                <w:b w:val="0"/>
                <w:bCs w:val="0"/>
                <w:color w:val="auto"/>
                <w:sz w:val="18"/>
                <w:szCs w:val="18"/>
                <w:lang w:bidi="ar"/>
              </w:rPr>
              <w:t>万元以下的罚款</w:t>
            </w:r>
          </w:p>
        </w:tc>
        <w:tc>
          <w:tcPr>
            <w:tcW w:w="739" w:type="dxa"/>
            <w:vMerge w:val="continue"/>
            <w:tcBorders>
              <w:left w:val="single" w:color="auto" w:sz="4" w:space="0"/>
              <w:right w:val="single" w:color="auto" w:sz="4" w:space="0"/>
            </w:tcBorders>
            <w:noWrap w:val="0"/>
            <w:tcMar>
              <w:top w:w="0" w:type="dxa"/>
              <w:left w:w="0" w:type="dxa"/>
              <w:bottom w:w="0" w:type="dxa"/>
              <w:right w:w="0" w:type="dxa"/>
            </w:tcMar>
            <w:vAlign w:val="center"/>
          </w:tcPr>
          <w:p w14:paraId="387141C0">
            <w:pPr>
              <w:spacing w:line="240" w:lineRule="exact"/>
              <w:jc w:val="center"/>
              <w:rPr>
                <w:rStyle w:val="21"/>
                <w:rFonts w:hint="eastAsia" w:ascii="宋体" w:hAnsi="宋体" w:eastAsia="宋体" w:cs="宋体"/>
                <w:b w:val="0"/>
                <w:bCs w:val="0"/>
                <w:color w:val="auto"/>
                <w:sz w:val="18"/>
                <w:szCs w:val="18"/>
                <w:lang w:bidi="ar"/>
              </w:rPr>
            </w:pPr>
          </w:p>
        </w:tc>
      </w:tr>
      <w:tr w14:paraId="17B23F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74" w:type="dxa"/>
            <w:vMerge w:val="continue"/>
            <w:tcBorders>
              <w:left w:val="single" w:color="auto" w:sz="4" w:space="0"/>
              <w:right w:val="single" w:color="auto" w:sz="4" w:space="0"/>
            </w:tcBorders>
            <w:noWrap w:val="0"/>
            <w:tcMar>
              <w:top w:w="0" w:type="dxa"/>
              <w:left w:w="0" w:type="dxa"/>
              <w:bottom w:w="0" w:type="dxa"/>
              <w:right w:w="0" w:type="dxa"/>
            </w:tcMar>
            <w:vAlign w:val="center"/>
          </w:tcPr>
          <w:p w14:paraId="553E3B1C">
            <w:pPr>
              <w:widowControl/>
              <w:spacing w:line="240" w:lineRule="exact"/>
              <w:jc w:val="center"/>
              <w:textAlignment w:val="center"/>
              <w:rPr>
                <w:rFonts w:hint="eastAsia" w:ascii="宋体" w:hAnsi="宋体" w:eastAsia="宋体" w:cs="宋体"/>
                <w:b w:val="0"/>
                <w:bCs w:val="0"/>
                <w:kern w:val="0"/>
                <w:sz w:val="18"/>
                <w:szCs w:val="18"/>
                <w:lang w:bidi="ar"/>
              </w:rPr>
            </w:pPr>
          </w:p>
        </w:tc>
        <w:tc>
          <w:tcPr>
            <w:tcW w:w="1236" w:type="dxa"/>
            <w:vMerge w:val="continue"/>
            <w:tcBorders>
              <w:left w:val="single" w:color="auto" w:sz="4" w:space="0"/>
              <w:right w:val="single" w:color="auto" w:sz="4" w:space="0"/>
            </w:tcBorders>
            <w:noWrap w:val="0"/>
            <w:tcMar>
              <w:top w:w="0" w:type="dxa"/>
              <w:left w:w="0" w:type="dxa"/>
              <w:bottom w:w="0" w:type="dxa"/>
              <w:right w:w="0" w:type="dxa"/>
            </w:tcMar>
            <w:vAlign w:val="center"/>
          </w:tcPr>
          <w:p w14:paraId="758EC3DE">
            <w:pPr>
              <w:widowControl/>
              <w:spacing w:line="220" w:lineRule="exact"/>
              <w:jc w:val="both"/>
              <w:textAlignment w:val="center"/>
              <w:rPr>
                <w:rFonts w:hint="eastAsia" w:ascii="宋体" w:hAnsi="宋体" w:eastAsia="宋体" w:cs="宋体"/>
                <w:b w:val="0"/>
                <w:bCs w:val="0"/>
                <w:kern w:val="0"/>
                <w:sz w:val="18"/>
                <w:szCs w:val="18"/>
                <w:lang w:bidi="ar"/>
              </w:rPr>
            </w:pPr>
          </w:p>
        </w:tc>
        <w:tc>
          <w:tcPr>
            <w:tcW w:w="6027" w:type="dxa"/>
            <w:vMerge w:val="continue"/>
            <w:tcBorders>
              <w:left w:val="single" w:color="auto" w:sz="4" w:space="0"/>
              <w:right w:val="single" w:color="auto" w:sz="4" w:space="0"/>
            </w:tcBorders>
            <w:noWrap w:val="0"/>
            <w:tcMar>
              <w:top w:w="0" w:type="dxa"/>
              <w:left w:w="0" w:type="dxa"/>
              <w:bottom w:w="0" w:type="dxa"/>
              <w:right w:w="0" w:type="dxa"/>
            </w:tcMar>
            <w:vAlign w:val="center"/>
          </w:tcPr>
          <w:p w14:paraId="39A21E60">
            <w:pPr>
              <w:widowControl/>
              <w:spacing w:line="220" w:lineRule="exact"/>
              <w:textAlignment w:val="center"/>
              <w:rPr>
                <w:rFonts w:hint="eastAsia" w:ascii="宋体" w:hAnsi="宋体" w:eastAsia="宋体" w:cs="宋体"/>
                <w:b w:val="0"/>
                <w:bCs w:val="0"/>
                <w:kern w:val="0"/>
                <w:sz w:val="18"/>
                <w:szCs w:val="18"/>
                <w:lang w:bidi="ar"/>
              </w:rPr>
            </w:pPr>
          </w:p>
        </w:tc>
        <w:tc>
          <w:tcPr>
            <w:tcW w:w="1849" w:type="dxa"/>
            <w:vMerge w:val="continue"/>
            <w:tcBorders>
              <w:left w:val="single" w:color="auto" w:sz="4" w:space="0"/>
              <w:right w:val="single" w:color="auto" w:sz="4" w:space="0"/>
            </w:tcBorders>
            <w:noWrap w:val="0"/>
            <w:tcMar>
              <w:top w:w="0" w:type="dxa"/>
              <w:left w:w="0" w:type="dxa"/>
              <w:bottom w:w="0" w:type="dxa"/>
              <w:right w:w="0" w:type="dxa"/>
            </w:tcMar>
            <w:vAlign w:val="center"/>
          </w:tcPr>
          <w:p w14:paraId="2F282526">
            <w:pPr>
              <w:spacing w:line="220" w:lineRule="exact"/>
              <w:jc w:val="both"/>
              <w:rPr>
                <w:rFonts w:hint="eastAsia" w:ascii="宋体" w:hAnsi="宋体" w:eastAsia="宋体" w:cs="宋体"/>
                <w:b w:val="0"/>
                <w:bCs w:val="0"/>
                <w:sz w:val="18"/>
                <w:szCs w:val="18"/>
              </w:rPr>
            </w:pPr>
          </w:p>
        </w:tc>
        <w:tc>
          <w:tcPr>
            <w:tcW w:w="51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037F4D5">
            <w:pPr>
              <w:spacing w:line="240" w:lineRule="exact"/>
              <w:jc w:val="center"/>
              <w:rPr>
                <w:rFonts w:hint="eastAsia" w:ascii="宋体" w:hAnsi="宋体" w:eastAsia="宋体" w:cs="宋体"/>
                <w:b w:val="0"/>
                <w:bCs w:val="0"/>
                <w:sz w:val="18"/>
                <w:szCs w:val="18"/>
                <w:lang w:eastAsia="zh-CN"/>
              </w:rPr>
            </w:pPr>
            <w:r>
              <w:rPr>
                <w:rFonts w:hint="eastAsia" w:ascii="宋体" w:hAnsi="宋体" w:eastAsia="宋体" w:cs="宋体"/>
                <w:b w:val="0"/>
                <w:bCs w:val="0"/>
                <w:sz w:val="18"/>
                <w:szCs w:val="18"/>
                <w:lang w:eastAsia="zh-CN"/>
              </w:rPr>
              <w:t>较重</w:t>
            </w:r>
          </w:p>
        </w:tc>
        <w:tc>
          <w:tcPr>
            <w:tcW w:w="242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658AB66">
            <w:pPr>
              <w:spacing w:line="240" w:lineRule="exact"/>
              <w:rPr>
                <w:rFonts w:hint="eastAsia" w:ascii="宋体" w:hAnsi="宋体" w:eastAsia="宋体" w:cs="宋体"/>
                <w:b w:val="0"/>
                <w:bCs w:val="0"/>
                <w:sz w:val="18"/>
                <w:szCs w:val="18"/>
                <w:lang w:bidi="ar"/>
              </w:rPr>
            </w:pPr>
            <w:r>
              <w:rPr>
                <w:rStyle w:val="21"/>
                <w:rFonts w:hint="eastAsia" w:ascii="宋体" w:hAnsi="宋体" w:eastAsia="宋体" w:cs="宋体"/>
                <w:b w:val="0"/>
                <w:bCs w:val="0"/>
                <w:color w:val="auto"/>
                <w:sz w:val="18"/>
                <w:szCs w:val="18"/>
                <w:lang w:bidi="ar"/>
              </w:rPr>
              <w:t>建筑物、构筑物占河道设计洪水位断面10%以上15%以下，或者建筑面积在</w:t>
            </w:r>
            <w:r>
              <w:rPr>
                <w:rStyle w:val="21"/>
                <w:rFonts w:hint="eastAsia" w:ascii="宋体" w:hAnsi="宋体" w:eastAsia="宋体" w:cs="宋体"/>
                <w:b w:val="0"/>
                <w:bCs w:val="0"/>
                <w:color w:val="auto"/>
                <w:sz w:val="18"/>
                <w:szCs w:val="18"/>
                <w:lang w:val="en-US" w:eastAsia="zh-CN" w:bidi="ar"/>
              </w:rPr>
              <w:t>200</w:t>
            </w:r>
            <w:r>
              <w:rPr>
                <w:rStyle w:val="21"/>
                <w:rFonts w:hint="eastAsia" w:ascii="宋体" w:hAnsi="宋体" w:eastAsia="宋体" w:cs="宋体"/>
                <w:b w:val="0"/>
                <w:bCs w:val="0"/>
                <w:color w:val="auto"/>
                <w:sz w:val="18"/>
                <w:szCs w:val="18"/>
                <w:lang w:bidi="ar"/>
              </w:rPr>
              <w:t>平方米以上</w:t>
            </w:r>
            <w:r>
              <w:rPr>
                <w:rStyle w:val="21"/>
                <w:rFonts w:hint="eastAsia" w:ascii="宋体" w:hAnsi="宋体" w:eastAsia="宋体" w:cs="宋体"/>
                <w:b w:val="0"/>
                <w:bCs w:val="0"/>
                <w:color w:val="auto"/>
                <w:sz w:val="18"/>
                <w:szCs w:val="18"/>
                <w:lang w:val="en-US" w:eastAsia="zh-CN" w:bidi="ar"/>
              </w:rPr>
              <w:t>400</w:t>
            </w:r>
            <w:r>
              <w:rPr>
                <w:rStyle w:val="21"/>
                <w:rFonts w:hint="eastAsia" w:ascii="宋体" w:hAnsi="宋体" w:eastAsia="宋体" w:cs="宋体"/>
                <w:b w:val="0"/>
                <w:bCs w:val="0"/>
                <w:color w:val="auto"/>
                <w:sz w:val="18"/>
                <w:szCs w:val="18"/>
                <w:lang w:bidi="ar"/>
              </w:rPr>
              <w:t>平方米以下的</w:t>
            </w:r>
          </w:p>
        </w:tc>
        <w:tc>
          <w:tcPr>
            <w:tcW w:w="1628"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27C25F9">
            <w:pPr>
              <w:spacing w:line="240" w:lineRule="exact"/>
              <w:rPr>
                <w:rFonts w:hint="eastAsia" w:ascii="宋体" w:hAnsi="宋体" w:eastAsia="宋体" w:cs="宋体"/>
                <w:b w:val="0"/>
                <w:bCs w:val="0"/>
                <w:sz w:val="18"/>
                <w:szCs w:val="18"/>
                <w:lang w:bidi="ar"/>
              </w:rPr>
            </w:pPr>
            <w:r>
              <w:rPr>
                <w:rStyle w:val="21"/>
                <w:rFonts w:hint="eastAsia" w:ascii="宋体" w:hAnsi="宋体" w:eastAsia="宋体" w:cs="宋体"/>
                <w:b w:val="0"/>
                <w:bCs w:val="0"/>
                <w:color w:val="auto"/>
                <w:sz w:val="18"/>
                <w:szCs w:val="18"/>
                <w:lang w:bidi="ar"/>
              </w:rPr>
              <w:t>强行拆除，</w:t>
            </w:r>
            <w:r>
              <w:rPr>
                <w:rFonts w:hint="eastAsia" w:ascii="宋体" w:hAnsi="宋体" w:eastAsia="宋体" w:cs="宋体"/>
                <w:b w:val="0"/>
                <w:bCs w:val="0"/>
                <w:kern w:val="0"/>
                <w:sz w:val="18"/>
                <w:szCs w:val="18"/>
                <w:lang w:bidi="ar"/>
              </w:rPr>
              <w:t>所需费用由违法单位或者个人负担，</w:t>
            </w:r>
            <w:r>
              <w:rPr>
                <w:rStyle w:val="21"/>
                <w:rFonts w:hint="eastAsia" w:ascii="宋体" w:hAnsi="宋体" w:eastAsia="宋体" w:cs="宋体"/>
                <w:b w:val="0"/>
                <w:bCs w:val="0"/>
                <w:color w:val="auto"/>
                <w:sz w:val="18"/>
                <w:szCs w:val="18"/>
                <w:lang w:bidi="ar"/>
              </w:rPr>
              <w:t>并处</w:t>
            </w:r>
            <w:r>
              <w:rPr>
                <w:rStyle w:val="21"/>
                <w:rFonts w:hint="eastAsia" w:ascii="宋体" w:hAnsi="宋体" w:eastAsia="宋体" w:cs="宋体"/>
                <w:b w:val="0"/>
                <w:bCs w:val="0"/>
                <w:color w:val="auto"/>
                <w:sz w:val="18"/>
                <w:szCs w:val="18"/>
                <w:lang w:val="en-US" w:eastAsia="zh-CN" w:bidi="ar"/>
              </w:rPr>
              <w:t>3</w:t>
            </w:r>
            <w:r>
              <w:rPr>
                <w:rStyle w:val="21"/>
                <w:rFonts w:hint="eastAsia" w:ascii="宋体" w:hAnsi="宋体" w:eastAsia="宋体" w:cs="宋体"/>
                <w:b w:val="0"/>
                <w:bCs w:val="0"/>
                <w:color w:val="auto"/>
                <w:sz w:val="18"/>
                <w:szCs w:val="18"/>
                <w:lang w:bidi="ar"/>
              </w:rPr>
              <w:t>万元以上</w:t>
            </w:r>
            <w:r>
              <w:rPr>
                <w:rStyle w:val="21"/>
                <w:rFonts w:hint="eastAsia" w:ascii="宋体" w:hAnsi="宋体" w:eastAsia="宋体" w:cs="宋体"/>
                <w:b w:val="0"/>
                <w:bCs w:val="0"/>
                <w:color w:val="auto"/>
                <w:sz w:val="18"/>
                <w:szCs w:val="18"/>
                <w:lang w:val="en-US" w:eastAsia="zh-CN" w:bidi="ar"/>
              </w:rPr>
              <w:t>4</w:t>
            </w:r>
            <w:r>
              <w:rPr>
                <w:rStyle w:val="21"/>
                <w:rFonts w:hint="eastAsia" w:ascii="宋体" w:hAnsi="宋体" w:eastAsia="宋体" w:cs="宋体"/>
                <w:b w:val="0"/>
                <w:bCs w:val="0"/>
                <w:color w:val="auto"/>
                <w:sz w:val="18"/>
                <w:szCs w:val="18"/>
                <w:lang w:bidi="ar"/>
              </w:rPr>
              <w:t>万元以下的罚款</w:t>
            </w:r>
          </w:p>
        </w:tc>
        <w:tc>
          <w:tcPr>
            <w:tcW w:w="739" w:type="dxa"/>
            <w:vMerge w:val="continue"/>
            <w:tcBorders>
              <w:left w:val="single" w:color="auto" w:sz="4" w:space="0"/>
              <w:right w:val="single" w:color="auto" w:sz="4" w:space="0"/>
            </w:tcBorders>
            <w:noWrap w:val="0"/>
            <w:tcMar>
              <w:top w:w="0" w:type="dxa"/>
              <w:left w:w="0" w:type="dxa"/>
              <w:bottom w:w="0" w:type="dxa"/>
              <w:right w:w="0" w:type="dxa"/>
            </w:tcMar>
            <w:vAlign w:val="center"/>
          </w:tcPr>
          <w:p w14:paraId="21F98606">
            <w:pPr>
              <w:spacing w:line="240" w:lineRule="exact"/>
              <w:jc w:val="center"/>
              <w:rPr>
                <w:rStyle w:val="21"/>
                <w:rFonts w:hint="eastAsia" w:ascii="宋体" w:hAnsi="宋体" w:eastAsia="宋体" w:cs="宋体"/>
                <w:b w:val="0"/>
                <w:bCs w:val="0"/>
                <w:color w:val="auto"/>
                <w:sz w:val="18"/>
                <w:szCs w:val="18"/>
                <w:lang w:bidi="ar"/>
              </w:rPr>
            </w:pPr>
          </w:p>
        </w:tc>
      </w:tr>
      <w:tr w14:paraId="210D52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74" w:type="dxa"/>
            <w:vMerge w:val="continue"/>
            <w:tcBorders>
              <w:left w:val="single" w:color="auto" w:sz="4" w:space="0"/>
              <w:right w:val="single" w:color="auto" w:sz="4" w:space="0"/>
            </w:tcBorders>
            <w:noWrap w:val="0"/>
            <w:tcMar>
              <w:top w:w="0" w:type="dxa"/>
              <w:left w:w="0" w:type="dxa"/>
              <w:bottom w:w="0" w:type="dxa"/>
              <w:right w:w="0" w:type="dxa"/>
            </w:tcMar>
            <w:vAlign w:val="center"/>
          </w:tcPr>
          <w:p w14:paraId="2114FA32">
            <w:pPr>
              <w:widowControl/>
              <w:spacing w:line="240" w:lineRule="exact"/>
              <w:jc w:val="center"/>
              <w:textAlignment w:val="center"/>
              <w:rPr>
                <w:rFonts w:hint="eastAsia" w:ascii="宋体" w:hAnsi="宋体" w:eastAsia="宋体" w:cs="宋体"/>
                <w:b w:val="0"/>
                <w:bCs w:val="0"/>
                <w:kern w:val="0"/>
                <w:sz w:val="18"/>
                <w:szCs w:val="18"/>
                <w:lang w:bidi="ar"/>
              </w:rPr>
            </w:pPr>
          </w:p>
        </w:tc>
        <w:tc>
          <w:tcPr>
            <w:tcW w:w="1236" w:type="dxa"/>
            <w:vMerge w:val="continue"/>
            <w:tcBorders>
              <w:left w:val="single" w:color="auto" w:sz="4" w:space="0"/>
              <w:right w:val="single" w:color="auto" w:sz="4" w:space="0"/>
            </w:tcBorders>
            <w:noWrap w:val="0"/>
            <w:tcMar>
              <w:top w:w="0" w:type="dxa"/>
              <w:left w:w="0" w:type="dxa"/>
              <w:bottom w:w="0" w:type="dxa"/>
              <w:right w:w="0" w:type="dxa"/>
            </w:tcMar>
            <w:vAlign w:val="center"/>
          </w:tcPr>
          <w:p w14:paraId="3B445439">
            <w:pPr>
              <w:widowControl/>
              <w:spacing w:line="220" w:lineRule="exact"/>
              <w:jc w:val="both"/>
              <w:textAlignment w:val="center"/>
              <w:rPr>
                <w:rFonts w:hint="eastAsia" w:ascii="宋体" w:hAnsi="宋体" w:eastAsia="宋体" w:cs="宋体"/>
                <w:b w:val="0"/>
                <w:bCs w:val="0"/>
                <w:kern w:val="0"/>
                <w:sz w:val="18"/>
                <w:szCs w:val="18"/>
                <w:lang w:bidi="ar"/>
              </w:rPr>
            </w:pPr>
          </w:p>
        </w:tc>
        <w:tc>
          <w:tcPr>
            <w:tcW w:w="6027" w:type="dxa"/>
            <w:vMerge w:val="continue"/>
            <w:tcBorders>
              <w:left w:val="single" w:color="auto" w:sz="4" w:space="0"/>
              <w:right w:val="single" w:color="auto" w:sz="4" w:space="0"/>
            </w:tcBorders>
            <w:noWrap w:val="0"/>
            <w:tcMar>
              <w:top w:w="0" w:type="dxa"/>
              <w:left w:w="0" w:type="dxa"/>
              <w:bottom w:w="0" w:type="dxa"/>
              <w:right w:w="0" w:type="dxa"/>
            </w:tcMar>
            <w:vAlign w:val="center"/>
          </w:tcPr>
          <w:p w14:paraId="7784B7AB">
            <w:pPr>
              <w:widowControl/>
              <w:spacing w:line="220" w:lineRule="exact"/>
              <w:textAlignment w:val="center"/>
              <w:rPr>
                <w:rFonts w:hint="eastAsia" w:ascii="宋体" w:hAnsi="宋体" w:eastAsia="宋体" w:cs="宋体"/>
                <w:b w:val="0"/>
                <w:bCs w:val="0"/>
                <w:kern w:val="0"/>
                <w:sz w:val="18"/>
                <w:szCs w:val="18"/>
                <w:lang w:bidi="ar"/>
              </w:rPr>
            </w:pPr>
          </w:p>
        </w:tc>
        <w:tc>
          <w:tcPr>
            <w:tcW w:w="1849" w:type="dxa"/>
            <w:vMerge w:val="continue"/>
            <w:tcBorders>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92E42F9">
            <w:pPr>
              <w:spacing w:line="220" w:lineRule="exact"/>
              <w:jc w:val="both"/>
              <w:rPr>
                <w:rFonts w:hint="eastAsia" w:ascii="宋体" w:hAnsi="宋体" w:eastAsia="宋体" w:cs="宋体"/>
                <w:b w:val="0"/>
                <w:bCs w:val="0"/>
                <w:sz w:val="18"/>
                <w:szCs w:val="18"/>
              </w:rPr>
            </w:pPr>
          </w:p>
        </w:tc>
        <w:tc>
          <w:tcPr>
            <w:tcW w:w="51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7B5B469">
            <w:pPr>
              <w:spacing w:line="240" w:lineRule="exact"/>
              <w:jc w:val="center"/>
              <w:rPr>
                <w:rFonts w:hint="eastAsia" w:ascii="宋体" w:hAnsi="宋体" w:eastAsia="宋体" w:cs="宋体"/>
                <w:b w:val="0"/>
                <w:bCs w:val="0"/>
                <w:sz w:val="18"/>
                <w:szCs w:val="18"/>
              </w:rPr>
            </w:pPr>
            <w:r>
              <w:rPr>
                <w:rFonts w:hint="eastAsia" w:ascii="宋体" w:hAnsi="宋体" w:eastAsia="宋体" w:cs="宋体"/>
                <w:b w:val="0"/>
                <w:bCs w:val="0"/>
                <w:sz w:val="18"/>
                <w:szCs w:val="18"/>
              </w:rPr>
              <w:t>严重</w:t>
            </w:r>
          </w:p>
        </w:tc>
        <w:tc>
          <w:tcPr>
            <w:tcW w:w="242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3AE41A5">
            <w:pPr>
              <w:spacing w:line="240" w:lineRule="exact"/>
              <w:rPr>
                <w:rFonts w:hint="eastAsia" w:ascii="宋体" w:hAnsi="宋体" w:eastAsia="宋体" w:cs="宋体"/>
                <w:b w:val="0"/>
                <w:bCs w:val="0"/>
                <w:sz w:val="18"/>
                <w:szCs w:val="18"/>
                <w:lang w:bidi="ar"/>
              </w:rPr>
            </w:pPr>
            <w:r>
              <w:rPr>
                <w:rStyle w:val="21"/>
                <w:rFonts w:hint="eastAsia" w:ascii="宋体" w:hAnsi="宋体" w:eastAsia="宋体" w:cs="宋体"/>
                <w:b w:val="0"/>
                <w:bCs w:val="0"/>
                <w:color w:val="auto"/>
                <w:sz w:val="18"/>
                <w:szCs w:val="18"/>
                <w:lang w:bidi="ar"/>
              </w:rPr>
              <w:t>建筑物、构筑物占河道设计洪水位断面15%以上，或者建筑面积在</w:t>
            </w:r>
            <w:r>
              <w:rPr>
                <w:rStyle w:val="21"/>
                <w:rFonts w:hint="eastAsia" w:ascii="宋体" w:hAnsi="宋体" w:eastAsia="宋体" w:cs="宋体"/>
                <w:b w:val="0"/>
                <w:bCs w:val="0"/>
                <w:color w:val="auto"/>
                <w:sz w:val="18"/>
                <w:szCs w:val="18"/>
                <w:lang w:val="en-US" w:eastAsia="zh-CN" w:bidi="ar"/>
              </w:rPr>
              <w:t>400</w:t>
            </w:r>
            <w:r>
              <w:rPr>
                <w:rStyle w:val="21"/>
                <w:rFonts w:hint="eastAsia" w:ascii="宋体" w:hAnsi="宋体" w:eastAsia="宋体" w:cs="宋体"/>
                <w:b w:val="0"/>
                <w:bCs w:val="0"/>
                <w:color w:val="auto"/>
                <w:sz w:val="18"/>
                <w:szCs w:val="18"/>
                <w:lang w:bidi="ar"/>
              </w:rPr>
              <w:t>平方米以上的</w:t>
            </w:r>
          </w:p>
        </w:tc>
        <w:tc>
          <w:tcPr>
            <w:tcW w:w="1628"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87DADEC">
            <w:pPr>
              <w:spacing w:line="240" w:lineRule="exact"/>
              <w:rPr>
                <w:rFonts w:hint="eastAsia" w:ascii="宋体" w:hAnsi="宋体" w:eastAsia="宋体" w:cs="宋体"/>
                <w:b w:val="0"/>
                <w:bCs w:val="0"/>
                <w:sz w:val="18"/>
                <w:szCs w:val="18"/>
                <w:lang w:bidi="ar"/>
              </w:rPr>
            </w:pPr>
            <w:r>
              <w:rPr>
                <w:rStyle w:val="21"/>
                <w:rFonts w:hint="eastAsia" w:ascii="宋体" w:hAnsi="宋体" w:eastAsia="宋体" w:cs="宋体"/>
                <w:b w:val="0"/>
                <w:bCs w:val="0"/>
                <w:color w:val="auto"/>
                <w:sz w:val="18"/>
                <w:szCs w:val="18"/>
                <w:lang w:bidi="ar"/>
              </w:rPr>
              <w:t>强行拆除，</w:t>
            </w:r>
            <w:r>
              <w:rPr>
                <w:rFonts w:hint="eastAsia" w:ascii="宋体" w:hAnsi="宋体" w:eastAsia="宋体" w:cs="宋体"/>
                <w:b w:val="0"/>
                <w:bCs w:val="0"/>
                <w:kern w:val="0"/>
                <w:sz w:val="18"/>
                <w:szCs w:val="18"/>
                <w:lang w:bidi="ar"/>
              </w:rPr>
              <w:t>所需费用由违法单位或者个人负担，</w:t>
            </w:r>
            <w:r>
              <w:rPr>
                <w:rStyle w:val="21"/>
                <w:rFonts w:hint="eastAsia" w:ascii="宋体" w:hAnsi="宋体" w:eastAsia="宋体" w:cs="宋体"/>
                <w:b w:val="0"/>
                <w:bCs w:val="0"/>
                <w:color w:val="auto"/>
                <w:sz w:val="18"/>
                <w:szCs w:val="18"/>
                <w:lang w:bidi="ar"/>
              </w:rPr>
              <w:t>并处</w:t>
            </w:r>
            <w:r>
              <w:rPr>
                <w:rStyle w:val="21"/>
                <w:rFonts w:hint="eastAsia" w:ascii="宋体" w:hAnsi="宋体" w:eastAsia="宋体" w:cs="宋体"/>
                <w:b w:val="0"/>
                <w:bCs w:val="0"/>
                <w:color w:val="auto"/>
                <w:sz w:val="18"/>
                <w:szCs w:val="18"/>
                <w:lang w:val="en-US" w:eastAsia="zh-CN" w:bidi="ar"/>
              </w:rPr>
              <w:t>4</w:t>
            </w:r>
            <w:r>
              <w:rPr>
                <w:rStyle w:val="21"/>
                <w:rFonts w:hint="eastAsia" w:ascii="宋体" w:hAnsi="宋体" w:eastAsia="宋体" w:cs="宋体"/>
                <w:b w:val="0"/>
                <w:bCs w:val="0"/>
                <w:color w:val="auto"/>
                <w:sz w:val="18"/>
                <w:szCs w:val="18"/>
                <w:lang w:bidi="ar"/>
              </w:rPr>
              <w:t>万元以上</w:t>
            </w:r>
            <w:r>
              <w:rPr>
                <w:rStyle w:val="21"/>
                <w:rFonts w:hint="eastAsia" w:ascii="宋体" w:hAnsi="宋体" w:eastAsia="宋体" w:cs="宋体"/>
                <w:b w:val="0"/>
                <w:bCs w:val="0"/>
                <w:color w:val="auto"/>
                <w:sz w:val="18"/>
                <w:szCs w:val="18"/>
                <w:lang w:val="en-US" w:eastAsia="zh-CN" w:bidi="ar"/>
              </w:rPr>
              <w:t>5</w:t>
            </w:r>
            <w:r>
              <w:rPr>
                <w:rStyle w:val="21"/>
                <w:rFonts w:hint="eastAsia" w:ascii="宋体" w:hAnsi="宋体" w:eastAsia="宋体" w:cs="宋体"/>
                <w:b w:val="0"/>
                <w:bCs w:val="0"/>
                <w:color w:val="auto"/>
                <w:sz w:val="18"/>
                <w:szCs w:val="18"/>
                <w:lang w:bidi="ar"/>
              </w:rPr>
              <w:t>万元以下的罚款</w:t>
            </w:r>
          </w:p>
        </w:tc>
        <w:tc>
          <w:tcPr>
            <w:tcW w:w="739" w:type="dxa"/>
            <w:vMerge w:val="continue"/>
            <w:tcBorders>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F3B6B52">
            <w:pPr>
              <w:spacing w:line="240" w:lineRule="exact"/>
              <w:jc w:val="center"/>
              <w:rPr>
                <w:rStyle w:val="21"/>
                <w:rFonts w:hint="eastAsia" w:ascii="宋体" w:hAnsi="宋体" w:eastAsia="宋体" w:cs="宋体"/>
                <w:b w:val="0"/>
                <w:bCs w:val="0"/>
                <w:color w:val="auto"/>
                <w:sz w:val="18"/>
                <w:szCs w:val="18"/>
                <w:lang w:bidi="ar"/>
              </w:rPr>
            </w:pPr>
          </w:p>
        </w:tc>
      </w:tr>
      <w:tr w14:paraId="2CF8AA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4" w:type="dxa"/>
            <w:vMerge w:val="continue"/>
            <w:tcBorders>
              <w:left w:val="single" w:color="auto" w:sz="4" w:space="0"/>
              <w:right w:val="single" w:color="auto" w:sz="4" w:space="0"/>
            </w:tcBorders>
            <w:noWrap w:val="0"/>
            <w:tcMar>
              <w:top w:w="0" w:type="dxa"/>
              <w:left w:w="0" w:type="dxa"/>
              <w:bottom w:w="0" w:type="dxa"/>
              <w:right w:w="0" w:type="dxa"/>
            </w:tcMar>
            <w:vAlign w:val="center"/>
          </w:tcPr>
          <w:p w14:paraId="219E9767">
            <w:pPr>
              <w:widowControl/>
              <w:spacing w:line="240" w:lineRule="exact"/>
              <w:jc w:val="center"/>
              <w:textAlignment w:val="center"/>
              <w:rPr>
                <w:rFonts w:hint="eastAsia" w:ascii="宋体" w:hAnsi="宋体" w:eastAsia="宋体" w:cs="宋体"/>
                <w:b w:val="0"/>
                <w:bCs w:val="0"/>
                <w:sz w:val="18"/>
                <w:szCs w:val="18"/>
              </w:rPr>
            </w:pPr>
          </w:p>
        </w:tc>
        <w:tc>
          <w:tcPr>
            <w:tcW w:w="1236" w:type="dxa"/>
            <w:vMerge w:val="continue"/>
            <w:tcBorders>
              <w:left w:val="single" w:color="auto" w:sz="4" w:space="0"/>
              <w:right w:val="single" w:color="auto" w:sz="4" w:space="0"/>
            </w:tcBorders>
            <w:noWrap w:val="0"/>
            <w:tcMar>
              <w:top w:w="0" w:type="dxa"/>
              <w:left w:w="0" w:type="dxa"/>
              <w:bottom w:w="0" w:type="dxa"/>
              <w:right w:w="0" w:type="dxa"/>
            </w:tcMar>
            <w:vAlign w:val="center"/>
          </w:tcPr>
          <w:p w14:paraId="4F10EEB2">
            <w:pPr>
              <w:widowControl/>
              <w:spacing w:line="220" w:lineRule="exact"/>
              <w:jc w:val="both"/>
              <w:textAlignment w:val="center"/>
              <w:rPr>
                <w:rFonts w:hint="eastAsia" w:ascii="宋体" w:hAnsi="宋体" w:eastAsia="宋体" w:cs="宋体"/>
                <w:b w:val="0"/>
                <w:bCs w:val="0"/>
                <w:kern w:val="0"/>
                <w:sz w:val="18"/>
                <w:szCs w:val="18"/>
                <w:lang w:bidi="ar"/>
              </w:rPr>
            </w:pPr>
          </w:p>
        </w:tc>
        <w:tc>
          <w:tcPr>
            <w:tcW w:w="6027" w:type="dxa"/>
            <w:vMerge w:val="continue"/>
            <w:tcBorders>
              <w:left w:val="single" w:color="auto" w:sz="4" w:space="0"/>
              <w:right w:val="single" w:color="auto" w:sz="4" w:space="0"/>
            </w:tcBorders>
            <w:noWrap w:val="0"/>
            <w:tcMar>
              <w:top w:w="0" w:type="dxa"/>
              <w:left w:w="0" w:type="dxa"/>
              <w:bottom w:w="0" w:type="dxa"/>
              <w:right w:w="0" w:type="dxa"/>
            </w:tcMar>
            <w:vAlign w:val="center"/>
          </w:tcPr>
          <w:p w14:paraId="397E7337">
            <w:pPr>
              <w:widowControl/>
              <w:spacing w:line="220" w:lineRule="exact"/>
              <w:textAlignment w:val="center"/>
              <w:rPr>
                <w:rFonts w:hint="eastAsia" w:ascii="宋体" w:hAnsi="宋体" w:eastAsia="宋体" w:cs="宋体"/>
                <w:b w:val="0"/>
                <w:bCs w:val="0"/>
                <w:kern w:val="0"/>
                <w:sz w:val="18"/>
                <w:szCs w:val="18"/>
                <w:lang w:bidi="ar"/>
              </w:rPr>
            </w:pPr>
          </w:p>
        </w:tc>
        <w:tc>
          <w:tcPr>
            <w:tcW w:w="1849" w:type="dxa"/>
            <w:vMerge w:val="restart"/>
            <w:tcBorders>
              <w:top w:val="single" w:color="auto" w:sz="4" w:space="0"/>
              <w:left w:val="single" w:color="auto" w:sz="4" w:space="0"/>
              <w:right w:val="single" w:color="auto" w:sz="4" w:space="0"/>
            </w:tcBorders>
            <w:noWrap w:val="0"/>
            <w:tcMar>
              <w:top w:w="0" w:type="dxa"/>
              <w:left w:w="0" w:type="dxa"/>
              <w:bottom w:w="0" w:type="dxa"/>
              <w:right w:w="0" w:type="dxa"/>
            </w:tcMar>
            <w:vAlign w:val="center"/>
          </w:tcPr>
          <w:p w14:paraId="13DDC8C6">
            <w:pPr>
              <w:spacing w:line="220" w:lineRule="exact"/>
              <w:jc w:val="both"/>
              <w:rPr>
                <w:rFonts w:hint="eastAsia" w:ascii="宋体" w:hAnsi="宋体" w:eastAsia="宋体" w:cs="宋体"/>
                <w:b w:val="0"/>
                <w:bCs w:val="0"/>
                <w:sz w:val="18"/>
                <w:szCs w:val="18"/>
              </w:rPr>
            </w:pPr>
            <w:r>
              <w:rPr>
                <w:rFonts w:hint="eastAsia" w:ascii="宋体" w:hAnsi="宋体" w:eastAsia="宋体" w:cs="宋体"/>
                <w:b w:val="0"/>
                <w:bCs w:val="0"/>
                <w:kern w:val="0"/>
                <w:sz w:val="18"/>
                <w:szCs w:val="18"/>
                <w:lang w:bidi="ar"/>
              </w:rPr>
              <w:t>未经水行政主管部门或者流域管理机构同意，擅自修建水工程，或者建设桥梁、码头和其他拦河、跨河、临河建筑物、构筑物，铺设跨河管道、电缆，逾期未拆除擅自修建的水工程和拦河、跨河、穿河、临河建筑物、构筑物，铺设跨河、穿河、穿堤管道、电缆的</w:t>
            </w:r>
          </w:p>
        </w:tc>
        <w:tc>
          <w:tcPr>
            <w:tcW w:w="51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CE9758E">
            <w:pPr>
              <w:spacing w:line="240" w:lineRule="exact"/>
              <w:jc w:val="center"/>
              <w:rPr>
                <w:rFonts w:hint="eastAsia" w:ascii="宋体" w:hAnsi="宋体" w:eastAsia="宋体" w:cs="宋体"/>
                <w:b w:val="0"/>
                <w:bCs w:val="0"/>
                <w:sz w:val="18"/>
                <w:szCs w:val="18"/>
              </w:rPr>
            </w:pPr>
            <w:r>
              <w:rPr>
                <w:rFonts w:hint="eastAsia" w:ascii="宋体" w:hAnsi="宋体" w:eastAsia="宋体" w:cs="宋体"/>
                <w:b w:val="0"/>
                <w:bCs w:val="0"/>
                <w:sz w:val="18"/>
                <w:szCs w:val="18"/>
              </w:rPr>
              <w:t>轻微</w:t>
            </w:r>
          </w:p>
        </w:tc>
        <w:tc>
          <w:tcPr>
            <w:tcW w:w="242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44BC9E7E">
            <w:pPr>
              <w:snapToGrid w:val="0"/>
              <w:spacing w:line="240" w:lineRule="exact"/>
              <mc:AlternateContent>
                <mc:Choice Requires="wpsCustomData">
                  <wpsCustomData:diagonalParaType/>
                </mc:Choice>
              </mc:AlternateContent>
              <w:rPr>
                <w:rStyle w:val="21"/>
                <w:rFonts w:hint="eastAsia" w:ascii="宋体" w:hAnsi="宋体" w:eastAsia="宋体" w:cs="宋体"/>
                <w:b w:val="0"/>
                <w:bCs w:val="0"/>
                <w:color w:val="auto"/>
                <w:sz w:val="18"/>
                <w:szCs w:val="18"/>
                <w:lang w:bidi="ar"/>
              </w:rPr>
            </w:pPr>
          </w:p>
          <w:p w14:paraId="06D6ED95">
            <w:pPr>
              <w:spacing w:line="240" w:lineRule="exact"/>
              <w:rPr>
                <w:rFonts w:hint="eastAsia" w:ascii="宋体" w:hAnsi="宋体" w:eastAsia="宋体" w:cs="宋体"/>
                <w:b w:val="0"/>
                <w:bCs w:val="0"/>
                <w:sz w:val="18"/>
                <w:szCs w:val="18"/>
                <w:lang w:bidi="ar"/>
              </w:rPr>
            </w:pPr>
          </w:p>
        </w:tc>
        <w:tc>
          <w:tcPr>
            <w:tcW w:w="1628"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136C6358">
            <w:pPr>
              <w:snapToGrid w:val="0"/>
              <w:spacing w:line="240" w:lineRule="exact"/>
              <mc:AlternateContent>
                <mc:Choice Requires="wpsCustomData">
                  <wpsCustomData:diagonalParaType/>
                </mc:Choice>
              </mc:AlternateContent>
              <w:rPr>
                <w:rStyle w:val="21"/>
                <w:rFonts w:hint="eastAsia" w:ascii="宋体" w:hAnsi="宋体" w:eastAsia="宋体" w:cs="宋体"/>
                <w:b w:val="0"/>
                <w:bCs w:val="0"/>
                <w:color w:val="auto"/>
                <w:sz w:val="18"/>
                <w:szCs w:val="18"/>
                <w:lang w:bidi="ar"/>
              </w:rPr>
            </w:pPr>
          </w:p>
          <w:p w14:paraId="2FCE2317">
            <w:pPr>
              <w:spacing w:line="240" w:lineRule="exact"/>
              <w:rPr>
                <w:rFonts w:hint="eastAsia" w:ascii="宋体" w:hAnsi="宋体" w:eastAsia="宋体" w:cs="宋体"/>
                <w:b w:val="0"/>
                <w:bCs w:val="0"/>
                <w:sz w:val="18"/>
                <w:szCs w:val="18"/>
                <w:lang w:bidi="ar"/>
              </w:rPr>
            </w:pPr>
          </w:p>
        </w:tc>
        <w:tc>
          <w:tcPr>
            <w:tcW w:w="739" w:type="dxa"/>
            <w:vMerge w:val="restart"/>
            <w:tcBorders>
              <w:top w:val="single" w:color="auto" w:sz="4" w:space="0"/>
              <w:left w:val="single" w:color="auto" w:sz="4" w:space="0"/>
              <w:right w:val="single" w:color="auto" w:sz="4" w:space="0"/>
            </w:tcBorders>
            <w:noWrap w:val="0"/>
            <w:tcMar>
              <w:top w:w="0" w:type="dxa"/>
              <w:left w:w="0" w:type="dxa"/>
              <w:bottom w:w="0" w:type="dxa"/>
              <w:right w:w="0" w:type="dxa"/>
            </w:tcMar>
            <w:vAlign w:val="center"/>
          </w:tcPr>
          <w:p w14:paraId="2C284FDD">
            <w:pPr>
              <w:spacing w:line="240" w:lineRule="exact"/>
              <w:jc w:val="center"/>
              <w:rPr>
                <w:rFonts w:hint="eastAsia" w:ascii="宋体" w:hAnsi="宋体" w:eastAsia="宋体" w:cs="宋体"/>
                <w:b w:val="0"/>
                <w:bCs w:val="0"/>
                <w:sz w:val="18"/>
                <w:szCs w:val="18"/>
                <w:lang w:bidi="ar"/>
              </w:rPr>
            </w:pPr>
          </w:p>
        </w:tc>
      </w:tr>
      <w:tr w14:paraId="1D3ED6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74" w:type="dxa"/>
            <w:vMerge w:val="continue"/>
            <w:tcBorders>
              <w:left w:val="single" w:color="auto" w:sz="4" w:space="0"/>
              <w:right w:val="single" w:color="auto" w:sz="4" w:space="0"/>
            </w:tcBorders>
            <w:noWrap w:val="0"/>
            <w:tcMar>
              <w:top w:w="0" w:type="dxa"/>
              <w:left w:w="0" w:type="dxa"/>
              <w:bottom w:w="0" w:type="dxa"/>
              <w:right w:w="0" w:type="dxa"/>
            </w:tcMar>
            <w:vAlign w:val="center"/>
          </w:tcPr>
          <w:p w14:paraId="0D44A0E6">
            <w:pPr>
              <w:widowControl/>
              <w:spacing w:line="240" w:lineRule="exact"/>
              <w:jc w:val="center"/>
              <w:textAlignment w:val="center"/>
              <w:rPr>
                <w:rFonts w:hint="eastAsia" w:ascii="宋体" w:hAnsi="宋体" w:eastAsia="宋体" w:cs="宋体"/>
                <w:b w:val="0"/>
                <w:bCs w:val="0"/>
                <w:kern w:val="0"/>
                <w:sz w:val="18"/>
                <w:szCs w:val="18"/>
                <w:lang w:bidi="ar"/>
              </w:rPr>
            </w:pPr>
          </w:p>
        </w:tc>
        <w:tc>
          <w:tcPr>
            <w:tcW w:w="1236" w:type="dxa"/>
            <w:vMerge w:val="continue"/>
            <w:tcBorders>
              <w:left w:val="single" w:color="auto" w:sz="4" w:space="0"/>
              <w:right w:val="single" w:color="auto" w:sz="4" w:space="0"/>
            </w:tcBorders>
            <w:noWrap w:val="0"/>
            <w:tcMar>
              <w:top w:w="0" w:type="dxa"/>
              <w:left w:w="0" w:type="dxa"/>
              <w:bottom w:w="0" w:type="dxa"/>
              <w:right w:w="0" w:type="dxa"/>
            </w:tcMar>
            <w:vAlign w:val="center"/>
          </w:tcPr>
          <w:p w14:paraId="2A11150C">
            <w:pPr>
              <w:widowControl/>
              <w:spacing w:line="240" w:lineRule="exact"/>
              <w:jc w:val="both"/>
              <w:textAlignment w:val="center"/>
              <w:rPr>
                <w:rFonts w:hint="eastAsia" w:ascii="宋体" w:hAnsi="宋体" w:eastAsia="宋体" w:cs="宋体"/>
                <w:b w:val="0"/>
                <w:bCs w:val="0"/>
                <w:kern w:val="0"/>
                <w:sz w:val="18"/>
                <w:szCs w:val="18"/>
                <w:lang w:bidi="ar"/>
              </w:rPr>
            </w:pPr>
          </w:p>
        </w:tc>
        <w:tc>
          <w:tcPr>
            <w:tcW w:w="6027" w:type="dxa"/>
            <w:vMerge w:val="continue"/>
            <w:tcBorders>
              <w:left w:val="single" w:color="auto" w:sz="4" w:space="0"/>
              <w:right w:val="single" w:color="auto" w:sz="4" w:space="0"/>
            </w:tcBorders>
            <w:noWrap w:val="0"/>
            <w:tcMar>
              <w:top w:w="0" w:type="dxa"/>
              <w:left w:w="0" w:type="dxa"/>
              <w:bottom w:w="0" w:type="dxa"/>
              <w:right w:w="0" w:type="dxa"/>
            </w:tcMar>
            <w:vAlign w:val="center"/>
          </w:tcPr>
          <w:p w14:paraId="69C3D032">
            <w:pPr>
              <w:widowControl/>
              <w:spacing w:line="240" w:lineRule="exact"/>
              <w:textAlignment w:val="center"/>
              <w:rPr>
                <w:rFonts w:hint="eastAsia" w:ascii="宋体" w:hAnsi="宋体" w:eastAsia="宋体" w:cs="宋体"/>
                <w:b w:val="0"/>
                <w:bCs w:val="0"/>
                <w:kern w:val="0"/>
                <w:sz w:val="18"/>
                <w:szCs w:val="18"/>
                <w:lang w:bidi="ar"/>
              </w:rPr>
            </w:pPr>
          </w:p>
        </w:tc>
        <w:tc>
          <w:tcPr>
            <w:tcW w:w="1849" w:type="dxa"/>
            <w:vMerge w:val="continue"/>
            <w:tcBorders>
              <w:left w:val="single" w:color="auto" w:sz="4" w:space="0"/>
              <w:right w:val="single" w:color="auto" w:sz="4" w:space="0"/>
            </w:tcBorders>
            <w:noWrap w:val="0"/>
            <w:tcMar>
              <w:top w:w="0" w:type="dxa"/>
              <w:left w:w="0" w:type="dxa"/>
              <w:bottom w:w="0" w:type="dxa"/>
              <w:right w:w="0" w:type="dxa"/>
            </w:tcMar>
            <w:vAlign w:val="center"/>
          </w:tcPr>
          <w:p w14:paraId="116F3A4F">
            <w:pPr>
              <w:spacing w:line="240" w:lineRule="exact"/>
              <w:jc w:val="both"/>
              <w:rPr>
                <w:rFonts w:hint="eastAsia" w:ascii="宋体" w:hAnsi="宋体" w:eastAsia="宋体" w:cs="宋体"/>
                <w:b w:val="0"/>
                <w:bCs w:val="0"/>
                <w:sz w:val="18"/>
                <w:szCs w:val="18"/>
              </w:rPr>
            </w:pPr>
          </w:p>
        </w:tc>
        <w:tc>
          <w:tcPr>
            <w:tcW w:w="51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7606B29">
            <w:pPr>
              <w:spacing w:line="240" w:lineRule="exact"/>
              <w:jc w:val="center"/>
              <w:rPr>
                <w:rFonts w:hint="eastAsia" w:ascii="宋体" w:hAnsi="宋体" w:eastAsia="宋体" w:cs="宋体"/>
                <w:b w:val="0"/>
                <w:bCs w:val="0"/>
                <w:sz w:val="18"/>
                <w:szCs w:val="18"/>
              </w:rPr>
            </w:pPr>
            <w:r>
              <w:rPr>
                <w:rFonts w:hint="eastAsia" w:ascii="宋体" w:hAnsi="宋体" w:eastAsia="宋体" w:cs="宋体"/>
                <w:b w:val="0"/>
                <w:bCs w:val="0"/>
                <w:sz w:val="18"/>
                <w:szCs w:val="18"/>
              </w:rPr>
              <w:t>较轻</w:t>
            </w:r>
          </w:p>
        </w:tc>
        <w:tc>
          <w:tcPr>
            <w:tcW w:w="242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EE24089">
            <w:pPr>
              <w:spacing w:line="240" w:lineRule="exact"/>
              <w:rPr>
                <w:rFonts w:hint="eastAsia" w:ascii="宋体" w:hAnsi="宋体" w:eastAsia="宋体" w:cs="宋体"/>
                <w:b w:val="0"/>
                <w:bCs w:val="0"/>
                <w:sz w:val="18"/>
                <w:szCs w:val="18"/>
                <w:lang w:bidi="ar"/>
              </w:rPr>
            </w:pPr>
            <w:r>
              <w:rPr>
                <w:rStyle w:val="21"/>
                <w:rFonts w:hint="eastAsia" w:ascii="宋体" w:hAnsi="宋体" w:eastAsia="宋体" w:cs="宋体"/>
                <w:b w:val="0"/>
                <w:bCs w:val="0"/>
                <w:color w:val="auto"/>
                <w:sz w:val="18"/>
                <w:szCs w:val="18"/>
                <w:lang w:bidi="ar"/>
              </w:rPr>
              <w:t>投资额在</w:t>
            </w:r>
            <w:r>
              <w:rPr>
                <w:rStyle w:val="21"/>
                <w:rFonts w:hint="eastAsia" w:ascii="宋体" w:hAnsi="宋体" w:eastAsia="宋体" w:cs="宋体"/>
                <w:b w:val="0"/>
                <w:bCs w:val="0"/>
                <w:color w:val="auto"/>
                <w:sz w:val="18"/>
                <w:szCs w:val="18"/>
                <w:lang w:val="en-US" w:eastAsia="zh-CN" w:bidi="ar"/>
              </w:rPr>
              <w:t>10</w:t>
            </w:r>
            <w:r>
              <w:rPr>
                <w:rStyle w:val="21"/>
                <w:rFonts w:hint="eastAsia" w:ascii="宋体" w:hAnsi="宋体" w:eastAsia="宋体" w:cs="宋体"/>
                <w:b w:val="0"/>
                <w:bCs w:val="0"/>
                <w:color w:val="auto"/>
                <w:sz w:val="18"/>
                <w:szCs w:val="18"/>
                <w:lang w:bidi="ar"/>
              </w:rPr>
              <w:t>万元以下的</w:t>
            </w:r>
          </w:p>
        </w:tc>
        <w:tc>
          <w:tcPr>
            <w:tcW w:w="1628"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26F6229">
            <w:pPr>
              <w:spacing w:line="240" w:lineRule="exact"/>
              <w:rPr>
                <w:rFonts w:hint="eastAsia" w:ascii="宋体" w:hAnsi="宋体" w:eastAsia="宋体" w:cs="宋体"/>
                <w:b w:val="0"/>
                <w:bCs w:val="0"/>
                <w:sz w:val="18"/>
                <w:szCs w:val="18"/>
                <w:lang w:bidi="ar"/>
              </w:rPr>
            </w:pPr>
            <w:r>
              <w:rPr>
                <w:rStyle w:val="21"/>
                <w:rFonts w:hint="eastAsia" w:ascii="宋体" w:hAnsi="宋体" w:eastAsia="宋体" w:cs="宋体"/>
                <w:b w:val="0"/>
                <w:bCs w:val="0"/>
                <w:color w:val="auto"/>
                <w:sz w:val="18"/>
                <w:szCs w:val="18"/>
                <w:lang w:bidi="ar"/>
              </w:rPr>
              <w:t>处</w:t>
            </w:r>
            <w:r>
              <w:rPr>
                <w:rStyle w:val="21"/>
                <w:rFonts w:hint="eastAsia" w:ascii="宋体" w:hAnsi="宋体" w:eastAsia="宋体" w:cs="宋体"/>
                <w:b w:val="0"/>
                <w:bCs w:val="0"/>
                <w:color w:val="auto"/>
                <w:sz w:val="18"/>
                <w:szCs w:val="18"/>
                <w:lang w:val="en-US" w:eastAsia="zh-CN" w:bidi="ar"/>
              </w:rPr>
              <w:t>1</w:t>
            </w:r>
            <w:r>
              <w:rPr>
                <w:rStyle w:val="21"/>
                <w:rFonts w:hint="eastAsia" w:ascii="宋体" w:hAnsi="宋体" w:eastAsia="宋体" w:cs="宋体"/>
                <w:b w:val="0"/>
                <w:bCs w:val="0"/>
                <w:color w:val="auto"/>
                <w:sz w:val="18"/>
                <w:szCs w:val="18"/>
                <w:lang w:bidi="ar"/>
              </w:rPr>
              <w:t>万元以上</w:t>
            </w:r>
            <w:r>
              <w:rPr>
                <w:rStyle w:val="21"/>
                <w:rFonts w:hint="eastAsia" w:ascii="宋体" w:hAnsi="宋体" w:eastAsia="宋体" w:cs="宋体"/>
                <w:b w:val="0"/>
                <w:bCs w:val="0"/>
                <w:color w:val="auto"/>
                <w:sz w:val="18"/>
                <w:szCs w:val="18"/>
                <w:lang w:val="en-US" w:eastAsia="zh-CN" w:bidi="ar"/>
              </w:rPr>
              <w:t>3</w:t>
            </w:r>
            <w:r>
              <w:rPr>
                <w:rStyle w:val="21"/>
                <w:rFonts w:hint="eastAsia" w:ascii="宋体" w:hAnsi="宋体" w:eastAsia="宋体" w:cs="宋体"/>
                <w:b w:val="0"/>
                <w:bCs w:val="0"/>
                <w:color w:val="auto"/>
                <w:sz w:val="18"/>
                <w:szCs w:val="18"/>
                <w:lang w:bidi="ar"/>
              </w:rPr>
              <w:t>万元以下罚款</w:t>
            </w:r>
          </w:p>
        </w:tc>
        <w:tc>
          <w:tcPr>
            <w:tcW w:w="739" w:type="dxa"/>
            <w:vMerge w:val="continue"/>
            <w:tcBorders>
              <w:left w:val="single" w:color="auto" w:sz="4" w:space="0"/>
              <w:right w:val="single" w:color="auto" w:sz="4" w:space="0"/>
            </w:tcBorders>
            <w:noWrap w:val="0"/>
            <w:tcMar>
              <w:top w:w="0" w:type="dxa"/>
              <w:left w:w="0" w:type="dxa"/>
              <w:bottom w:w="0" w:type="dxa"/>
              <w:right w:w="0" w:type="dxa"/>
            </w:tcMar>
            <w:vAlign w:val="center"/>
          </w:tcPr>
          <w:p w14:paraId="588BCD58">
            <w:pPr>
              <w:spacing w:line="240" w:lineRule="exact"/>
              <w:jc w:val="center"/>
              <w:rPr>
                <w:rStyle w:val="21"/>
                <w:rFonts w:hint="eastAsia" w:ascii="宋体" w:hAnsi="宋体" w:eastAsia="宋体" w:cs="宋体"/>
                <w:b w:val="0"/>
                <w:bCs w:val="0"/>
                <w:color w:val="auto"/>
                <w:sz w:val="18"/>
                <w:szCs w:val="18"/>
                <w:lang w:bidi="ar"/>
              </w:rPr>
            </w:pPr>
          </w:p>
        </w:tc>
      </w:tr>
      <w:tr w14:paraId="4BB532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74" w:type="dxa"/>
            <w:vMerge w:val="continue"/>
            <w:tcBorders>
              <w:left w:val="single" w:color="auto" w:sz="4" w:space="0"/>
              <w:right w:val="single" w:color="auto" w:sz="4" w:space="0"/>
            </w:tcBorders>
            <w:noWrap w:val="0"/>
            <w:tcMar>
              <w:top w:w="0" w:type="dxa"/>
              <w:left w:w="0" w:type="dxa"/>
              <w:bottom w:w="0" w:type="dxa"/>
              <w:right w:w="0" w:type="dxa"/>
            </w:tcMar>
            <w:vAlign w:val="center"/>
          </w:tcPr>
          <w:p w14:paraId="197F690E">
            <w:pPr>
              <w:widowControl/>
              <w:spacing w:line="240" w:lineRule="exact"/>
              <w:jc w:val="center"/>
              <w:textAlignment w:val="center"/>
              <w:rPr>
                <w:rFonts w:hint="eastAsia" w:ascii="宋体" w:hAnsi="宋体" w:eastAsia="宋体" w:cs="宋体"/>
                <w:b w:val="0"/>
                <w:bCs w:val="0"/>
                <w:kern w:val="0"/>
                <w:sz w:val="18"/>
                <w:szCs w:val="18"/>
                <w:lang w:bidi="ar"/>
              </w:rPr>
            </w:pPr>
          </w:p>
        </w:tc>
        <w:tc>
          <w:tcPr>
            <w:tcW w:w="1236" w:type="dxa"/>
            <w:vMerge w:val="continue"/>
            <w:tcBorders>
              <w:left w:val="single" w:color="auto" w:sz="4" w:space="0"/>
              <w:right w:val="single" w:color="auto" w:sz="4" w:space="0"/>
            </w:tcBorders>
            <w:noWrap w:val="0"/>
            <w:tcMar>
              <w:top w:w="0" w:type="dxa"/>
              <w:left w:w="0" w:type="dxa"/>
              <w:bottom w:w="0" w:type="dxa"/>
              <w:right w:w="0" w:type="dxa"/>
            </w:tcMar>
            <w:vAlign w:val="center"/>
          </w:tcPr>
          <w:p w14:paraId="3562E597">
            <w:pPr>
              <w:widowControl/>
              <w:spacing w:line="240" w:lineRule="exact"/>
              <w:jc w:val="both"/>
              <w:textAlignment w:val="center"/>
              <w:rPr>
                <w:rFonts w:hint="eastAsia" w:ascii="宋体" w:hAnsi="宋体" w:eastAsia="宋体" w:cs="宋体"/>
                <w:b w:val="0"/>
                <w:bCs w:val="0"/>
                <w:kern w:val="0"/>
                <w:sz w:val="18"/>
                <w:szCs w:val="18"/>
                <w:lang w:bidi="ar"/>
              </w:rPr>
            </w:pPr>
          </w:p>
        </w:tc>
        <w:tc>
          <w:tcPr>
            <w:tcW w:w="6027" w:type="dxa"/>
            <w:vMerge w:val="continue"/>
            <w:tcBorders>
              <w:left w:val="single" w:color="auto" w:sz="4" w:space="0"/>
              <w:right w:val="single" w:color="auto" w:sz="4" w:space="0"/>
            </w:tcBorders>
            <w:noWrap w:val="0"/>
            <w:tcMar>
              <w:top w:w="0" w:type="dxa"/>
              <w:left w:w="0" w:type="dxa"/>
              <w:bottom w:w="0" w:type="dxa"/>
              <w:right w:w="0" w:type="dxa"/>
            </w:tcMar>
            <w:vAlign w:val="center"/>
          </w:tcPr>
          <w:p w14:paraId="2255F1F8">
            <w:pPr>
              <w:widowControl/>
              <w:spacing w:line="240" w:lineRule="exact"/>
              <w:textAlignment w:val="center"/>
              <w:rPr>
                <w:rFonts w:hint="eastAsia" w:ascii="宋体" w:hAnsi="宋体" w:eastAsia="宋体" w:cs="宋体"/>
                <w:b w:val="0"/>
                <w:bCs w:val="0"/>
                <w:kern w:val="0"/>
                <w:sz w:val="18"/>
                <w:szCs w:val="18"/>
                <w:lang w:bidi="ar"/>
              </w:rPr>
            </w:pPr>
          </w:p>
        </w:tc>
        <w:tc>
          <w:tcPr>
            <w:tcW w:w="1849" w:type="dxa"/>
            <w:vMerge w:val="continue"/>
            <w:tcBorders>
              <w:left w:val="single" w:color="auto" w:sz="4" w:space="0"/>
              <w:right w:val="single" w:color="auto" w:sz="4" w:space="0"/>
            </w:tcBorders>
            <w:noWrap w:val="0"/>
            <w:tcMar>
              <w:top w:w="0" w:type="dxa"/>
              <w:left w:w="0" w:type="dxa"/>
              <w:bottom w:w="0" w:type="dxa"/>
              <w:right w:w="0" w:type="dxa"/>
            </w:tcMar>
            <w:vAlign w:val="center"/>
          </w:tcPr>
          <w:p w14:paraId="33747E7D">
            <w:pPr>
              <w:spacing w:line="240" w:lineRule="exact"/>
              <w:jc w:val="both"/>
              <w:rPr>
                <w:rFonts w:hint="eastAsia" w:ascii="宋体" w:hAnsi="宋体" w:eastAsia="宋体" w:cs="宋体"/>
                <w:b w:val="0"/>
                <w:bCs w:val="0"/>
                <w:sz w:val="18"/>
                <w:szCs w:val="18"/>
              </w:rPr>
            </w:pPr>
          </w:p>
        </w:tc>
        <w:tc>
          <w:tcPr>
            <w:tcW w:w="51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5ED96C5">
            <w:pPr>
              <w:spacing w:line="240" w:lineRule="exact"/>
              <w:jc w:val="center"/>
              <w:rPr>
                <w:rFonts w:hint="eastAsia" w:ascii="宋体" w:hAnsi="宋体" w:eastAsia="宋体" w:cs="宋体"/>
                <w:b w:val="0"/>
                <w:bCs w:val="0"/>
                <w:sz w:val="18"/>
                <w:szCs w:val="18"/>
              </w:rPr>
            </w:pPr>
            <w:r>
              <w:rPr>
                <w:rFonts w:hint="eastAsia" w:ascii="宋体" w:hAnsi="宋体" w:eastAsia="宋体" w:cs="宋体"/>
                <w:b w:val="0"/>
                <w:bCs w:val="0"/>
                <w:sz w:val="18"/>
                <w:szCs w:val="18"/>
              </w:rPr>
              <w:t>一般</w:t>
            </w:r>
          </w:p>
        </w:tc>
        <w:tc>
          <w:tcPr>
            <w:tcW w:w="242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8BC2839">
            <w:pPr>
              <w:spacing w:line="240" w:lineRule="exact"/>
              <w:rPr>
                <w:rFonts w:hint="eastAsia" w:ascii="宋体" w:hAnsi="宋体" w:eastAsia="宋体" w:cs="宋体"/>
                <w:b w:val="0"/>
                <w:bCs w:val="0"/>
                <w:sz w:val="18"/>
                <w:szCs w:val="18"/>
                <w:lang w:bidi="ar"/>
              </w:rPr>
            </w:pPr>
            <w:r>
              <w:rPr>
                <w:rStyle w:val="21"/>
                <w:rFonts w:hint="eastAsia" w:ascii="宋体" w:hAnsi="宋体" w:eastAsia="宋体" w:cs="宋体"/>
                <w:b w:val="0"/>
                <w:bCs w:val="0"/>
                <w:color w:val="auto"/>
                <w:sz w:val="18"/>
                <w:szCs w:val="18"/>
                <w:lang w:bidi="ar"/>
              </w:rPr>
              <w:t>投资额在</w:t>
            </w:r>
            <w:r>
              <w:rPr>
                <w:rStyle w:val="21"/>
                <w:rFonts w:hint="eastAsia" w:ascii="宋体" w:hAnsi="宋体" w:eastAsia="宋体" w:cs="宋体"/>
                <w:b w:val="0"/>
                <w:bCs w:val="0"/>
                <w:color w:val="auto"/>
                <w:sz w:val="18"/>
                <w:szCs w:val="18"/>
                <w:lang w:val="en-US" w:eastAsia="zh-CN" w:bidi="ar"/>
              </w:rPr>
              <w:t>10</w:t>
            </w:r>
            <w:r>
              <w:rPr>
                <w:rStyle w:val="21"/>
                <w:rFonts w:hint="eastAsia" w:ascii="宋体" w:hAnsi="宋体" w:eastAsia="宋体" w:cs="宋体"/>
                <w:b w:val="0"/>
                <w:bCs w:val="0"/>
                <w:color w:val="auto"/>
                <w:sz w:val="18"/>
                <w:szCs w:val="18"/>
                <w:lang w:bidi="ar"/>
              </w:rPr>
              <w:t>万元以上</w:t>
            </w:r>
            <w:r>
              <w:rPr>
                <w:rStyle w:val="21"/>
                <w:rFonts w:hint="eastAsia" w:ascii="宋体" w:hAnsi="宋体" w:eastAsia="宋体" w:cs="宋体"/>
                <w:b w:val="0"/>
                <w:bCs w:val="0"/>
                <w:color w:val="auto"/>
                <w:sz w:val="18"/>
                <w:szCs w:val="18"/>
                <w:lang w:val="en-US" w:eastAsia="zh-CN" w:bidi="ar"/>
              </w:rPr>
              <w:t>20</w:t>
            </w:r>
            <w:r>
              <w:rPr>
                <w:rStyle w:val="21"/>
                <w:rFonts w:hint="eastAsia" w:ascii="宋体" w:hAnsi="宋体" w:eastAsia="宋体" w:cs="宋体"/>
                <w:b w:val="0"/>
                <w:bCs w:val="0"/>
                <w:color w:val="auto"/>
                <w:sz w:val="18"/>
                <w:szCs w:val="18"/>
                <w:lang w:bidi="ar"/>
              </w:rPr>
              <w:t>万元以下的</w:t>
            </w:r>
          </w:p>
        </w:tc>
        <w:tc>
          <w:tcPr>
            <w:tcW w:w="1628"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8A6C8FA">
            <w:pPr>
              <w:spacing w:line="240" w:lineRule="exact"/>
              <w:rPr>
                <w:rFonts w:hint="eastAsia" w:ascii="宋体" w:hAnsi="宋体" w:eastAsia="宋体" w:cs="宋体"/>
                <w:b w:val="0"/>
                <w:bCs w:val="0"/>
                <w:sz w:val="18"/>
                <w:szCs w:val="18"/>
                <w:lang w:bidi="ar"/>
              </w:rPr>
            </w:pPr>
            <w:r>
              <w:rPr>
                <w:rStyle w:val="21"/>
                <w:rFonts w:hint="eastAsia" w:ascii="宋体" w:hAnsi="宋体" w:eastAsia="宋体" w:cs="宋体"/>
                <w:b w:val="0"/>
                <w:bCs w:val="0"/>
                <w:color w:val="auto"/>
                <w:sz w:val="18"/>
                <w:szCs w:val="18"/>
                <w:lang w:bidi="ar"/>
              </w:rPr>
              <w:t>处</w:t>
            </w:r>
            <w:r>
              <w:rPr>
                <w:rStyle w:val="21"/>
                <w:rFonts w:hint="eastAsia" w:ascii="宋体" w:hAnsi="宋体" w:eastAsia="宋体" w:cs="宋体"/>
                <w:b w:val="0"/>
                <w:bCs w:val="0"/>
                <w:color w:val="auto"/>
                <w:sz w:val="18"/>
                <w:szCs w:val="18"/>
                <w:lang w:val="en-US" w:eastAsia="zh-CN" w:bidi="ar"/>
              </w:rPr>
              <w:t>3</w:t>
            </w:r>
            <w:r>
              <w:rPr>
                <w:rStyle w:val="21"/>
                <w:rFonts w:hint="eastAsia" w:ascii="宋体" w:hAnsi="宋体" w:eastAsia="宋体" w:cs="宋体"/>
                <w:b w:val="0"/>
                <w:bCs w:val="0"/>
                <w:color w:val="auto"/>
                <w:sz w:val="18"/>
                <w:szCs w:val="18"/>
                <w:lang w:bidi="ar"/>
              </w:rPr>
              <w:t>万元以上</w:t>
            </w:r>
            <w:r>
              <w:rPr>
                <w:rStyle w:val="21"/>
                <w:rFonts w:hint="eastAsia" w:ascii="宋体" w:hAnsi="宋体" w:eastAsia="宋体" w:cs="宋体"/>
                <w:b w:val="0"/>
                <w:bCs w:val="0"/>
                <w:color w:val="auto"/>
                <w:sz w:val="18"/>
                <w:szCs w:val="18"/>
                <w:lang w:val="en-US" w:eastAsia="zh-CN" w:bidi="ar"/>
              </w:rPr>
              <w:t>5</w:t>
            </w:r>
            <w:r>
              <w:rPr>
                <w:rStyle w:val="21"/>
                <w:rFonts w:hint="eastAsia" w:ascii="宋体" w:hAnsi="宋体" w:eastAsia="宋体" w:cs="宋体"/>
                <w:b w:val="0"/>
                <w:bCs w:val="0"/>
                <w:color w:val="auto"/>
                <w:sz w:val="18"/>
                <w:szCs w:val="18"/>
                <w:lang w:bidi="ar"/>
              </w:rPr>
              <w:t>万元以下罚款</w:t>
            </w:r>
          </w:p>
        </w:tc>
        <w:tc>
          <w:tcPr>
            <w:tcW w:w="739" w:type="dxa"/>
            <w:vMerge w:val="continue"/>
            <w:tcBorders>
              <w:left w:val="single" w:color="auto" w:sz="4" w:space="0"/>
              <w:right w:val="single" w:color="auto" w:sz="4" w:space="0"/>
            </w:tcBorders>
            <w:noWrap w:val="0"/>
            <w:tcMar>
              <w:top w:w="0" w:type="dxa"/>
              <w:left w:w="0" w:type="dxa"/>
              <w:bottom w:w="0" w:type="dxa"/>
              <w:right w:w="0" w:type="dxa"/>
            </w:tcMar>
            <w:vAlign w:val="center"/>
          </w:tcPr>
          <w:p w14:paraId="4847781A">
            <w:pPr>
              <w:spacing w:line="240" w:lineRule="exact"/>
              <w:jc w:val="center"/>
              <w:rPr>
                <w:rStyle w:val="21"/>
                <w:rFonts w:hint="eastAsia" w:ascii="宋体" w:hAnsi="宋体" w:eastAsia="宋体" w:cs="宋体"/>
                <w:b w:val="0"/>
                <w:bCs w:val="0"/>
                <w:color w:val="auto"/>
                <w:sz w:val="18"/>
                <w:szCs w:val="18"/>
                <w:lang w:bidi="ar"/>
              </w:rPr>
            </w:pPr>
          </w:p>
        </w:tc>
      </w:tr>
      <w:tr w14:paraId="3B6E27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74" w:type="dxa"/>
            <w:vMerge w:val="continue"/>
            <w:tcBorders>
              <w:left w:val="single" w:color="auto" w:sz="4" w:space="0"/>
              <w:right w:val="single" w:color="auto" w:sz="4" w:space="0"/>
            </w:tcBorders>
            <w:noWrap w:val="0"/>
            <w:tcMar>
              <w:top w:w="0" w:type="dxa"/>
              <w:left w:w="0" w:type="dxa"/>
              <w:bottom w:w="0" w:type="dxa"/>
              <w:right w:w="0" w:type="dxa"/>
            </w:tcMar>
            <w:vAlign w:val="center"/>
          </w:tcPr>
          <w:p w14:paraId="3FADAF66">
            <w:pPr>
              <w:widowControl/>
              <w:spacing w:line="240" w:lineRule="exact"/>
              <w:jc w:val="center"/>
              <w:textAlignment w:val="center"/>
              <w:rPr>
                <w:rFonts w:hint="eastAsia" w:ascii="宋体" w:hAnsi="宋体" w:eastAsia="宋体" w:cs="宋体"/>
                <w:b w:val="0"/>
                <w:bCs w:val="0"/>
                <w:kern w:val="0"/>
                <w:sz w:val="18"/>
                <w:szCs w:val="18"/>
                <w:lang w:bidi="ar"/>
              </w:rPr>
            </w:pPr>
          </w:p>
        </w:tc>
        <w:tc>
          <w:tcPr>
            <w:tcW w:w="1236" w:type="dxa"/>
            <w:vMerge w:val="continue"/>
            <w:tcBorders>
              <w:left w:val="single" w:color="auto" w:sz="4" w:space="0"/>
              <w:right w:val="single" w:color="auto" w:sz="4" w:space="0"/>
            </w:tcBorders>
            <w:noWrap w:val="0"/>
            <w:tcMar>
              <w:top w:w="0" w:type="dxa"/>
              <w:left w:w="0" w:type="dxa"/>
              <w:bottom w:w="0" w:type="dxa"/>
              <w:right w:w="0" w:type="dxa"/>
            </w:tcMar>
            <w:vAlign w:val="center"/>
          </w:tcPr>
          <w:p w14:paraId="316B948E">
            <w:pPr>
              <w:widowControl/>
              <w:spacing w:line="240" w:lineRule="exact"/>
              <w:jc w:val="both"/>
              <w:textAlignment w:val="center"/>
              <w:rPr>
                <w:rFonts w:hint="eastAsia" w:ascii="宋体" w:hAnsi="宋体" w:eastAsia="宋体" w:cs="宋体"/>
                <w:b w:val="0"/>
                <w:bCs w:val="0"/>
                <w:kern w:val="0"/>
                <w:sz w:val="18"/>
                <w:szCs w:val="18"/>
                <w:lang w:bidi="ar"/>
              </w:rPr>
            </w:pPr>
          </w:p>
        </w:tc>
        <w:tc>
          <w:tcPr>
            <w:tcW w:w="6027" w:type="dxa"/>
            <w:vMerge w:val="continue"/>
            <w:tcBorders>
              <w:left w:val="single" w:color="auto" w:sz="4" w:space="0"/>
              <w:right w:val="single" w:color="auto" w:sz="4" w:space="0"/>
            </w:tcBorders>
            <w:noWrap w:val="0"/>
            <w:tcMar>
              <w:top w:w="0" w:type="dxa"/>
              <w:left w:w="0" w:type="dxa"/>
              <w:bottom w:w="0" w:type="dxa"/>
              <w:right w:w="0" w:type="dxa"/>
            </w:tcMar>
            <w:vAlign w:val="center"/>
          </w:tcPr>
          <w:p w14:paraId="4F269C12">
            <w:pPr>
              <w:widowControl/>
              <w:spacing w:line="240" w:lineRule="exact"/>
              <w:textAlignment w:val="center"/>
              <w:rPr>
                <w:rFonts w:hint="eastAsia" w:ascii="宋体" w:hAnsi="宋体" w:eastAsia="宋体" w:cs="宋体"/>
                <w:b w:val="0"/>
                <w:bCs w:val="0"/>
                <w:kern w:val="0"/>
                <w:sz w:val="18"/>
                <w:szCs w:val="18"/>
                <w:lang w:bidi="ar"/>
              </w:rPr>
            </w:pPr>
          </w:p>
        </w:tc>
        <w:tc>
          <w:tcPr>
            <w:tcW w:w="1849" w:type="dxa"/>
            <w:vMerge w:val="continue"/>
            <w:tcBorders>
              <w:left w:val="single" w:color="auto" w:sz="4" w:space="0"/>
              <w:right w:val="single" w:color="auto" w:sz="4" w:space="0"/>
            </w:tcBorders>
            <w:noWrap w:val="0"/>
            <w:tcMar>
              <w:top w:w="0" w:type="dxa"/>
              <w:left w:w="0" w:type="dxa"/>
              <w:bottom w:w="0" w:type="dxa"/>
              <w:right w:w="0" w:type="dxa"/>
            </w:tcMar>
            <w:vAlign w:val="center"/>
          </w:tcPr>
          <w:p w14:paraId="5ADDD997">
            <w:pPr>
              <w:spacing w:line="240" w:lineRule="exact"/>
              <w:jc w:val="both"/>
              <w:rPr>
                <w:rFonts w:hint="eastAsia" w:ascii="宋体" w:hAnsi="宋体" w:eastAsia="宋体" w:cs="宋体"/>
                <w:b w:val="0"/>
                <w:bCs w:val="0"/>
                <w:sz w:val="18"/>
                <w:szCs w:val="18"/>
              </w:rPr>
            </w:pPr>
          </w:p>
        </w:tc>
        <w:tc>
          <w:tcPr>
            <w:tcW w:w="51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004B64B">
            <w:pPr>
              <w:spacing w:line="240" w:lineRule="exact"/>
              <w:jc w:val="center"/>
              <w:rPr>
                <w:rFonts w:hint="eastAsia" w:ascii="宋体" w:hAnsi="宋体" w:eastAsia="宋体" w:cs="宋体"/>
                <w:b w:val="0"/>
                <w:bCs w:val="0"/>
                <w:sz w:val="18"/>
                <w:szCs w:val="18"/>
                <w:lang w:eastAsia="zh-CN"/>
              </w:rPr>
            </w:pPr>
            <w:r>
              <w:rPr>
                <w:rFonts w:hint="eastAsia" w:ascii="宋体" w:hAnsi="宋体" w:eastAsia="宋体" w:cs="宋体"/>
                <w:b w:val="0"/>
                <w:bCs w:val="0"/>
                <w:sz w:val="18"/>
                <w:szCs w:val="18"/>
                <w:lang w:eastAsia="zh-CN"/>
              </w:rPr>
              <w:t>较重</w:t>
            </w:r>
          </w:p>
        </w:tc>
        <w:tc>
          <w:tcPr>
            <w:tcW w:w="242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4E15C13">
            <w:pPr>
              <w:spacing w:line="240" w:lineRule="exact"/>
              <w:rPr>
                <w:rFonts w:hint="eastAsia" w:ascii="宋体" w:hAnsi="宋体" w:eastAsia="宋体" w:cs="宋体"/>
                <w:b w:val="0"/>
                <w:bCs w:val="0"/>
                <w:sz w:val="18"/>
                <w:szCs w:val="18"/>
                <w:lang w:bidi="ar"/>
              </w:rPr>
            </w:pPr>
            <w:r>
              <w:rPr>
                <w:rStyle w:val="21"/>
                <w:rFonts w:hint="eastAsia" w:ascii="宋体" w:hAnsi="宋体" w:eastAsia="宋体" w:cs="宋体"/>
                <w:b w:val="0"/>
                <w:bCs w:val="0"/>
                <w:color w:val="auto"/>
                <w:sz w:val="18"/>
                <w:szCs w:val="18"/>
                <w:lang w:bidi="ar"/>
              </w:rPr>
              <w:t>投资额在</w:t>
            </w:r>
            <w:r>
              <w:rPr>
                <w:rStyle w:val="21"/>
                <w:rFonts w:hint="eastAsia" w:ascii="宋体" w:hAnsi="宋体" w:eastAsia="宋体" w:cs="宋体"/>
                <w:b w:val="0"/>
                <w:bCs w:val="0"/>
                <w:color w:val="auto"/>
                <w:sz w:val="18"/>
                <w:szCs w:val="18"/>
                <w:lang w:val="en-US" w:eastAsia="zh-CN" w:bidi="ar"/>
              </w:rPr>
              <w:t>20</w:t>
            </w:r>
            <w:r>
              <w:rPr>
                <w:rStyle w:val="21"/>
                <w:rFonts w:hint="eastAsia" w:ascii="宋体" w:hAnsi="宋体" w:eastAsia="宋体" w:cs="宋体"/>
                <w:b w:val="0"/>
                <w:bCs w:val="0"/>
                <w:color w:val="auto"/>
                <w:sz w:val="18"/>
                <w:szCs w:val="18"/>
                <w:lang w:bidi="ar"/>
              </w:rPr>
              <w:t>万元以上</w:t>
            </w:r>
            <w:r>
              <w:rPr>
                <w:rStyle w:val="21"/>
                <w:rFonts w:hint="eastAsia" w:ascii="宋体" w:hAnsi="宋体" w:eastAsia="宋体" w:cs="宋体"/>
                <w:b w:val="0"/>
                <w:bCs w:val="0"/>
                <w:color w:val="auto"/>
                <w:sz w:val="18"/>
                <w:szCs w:val="18"/>
                <w:lang w:val="en-US" w:eastAsia="zh-CN" w:bidi="ar"/>
              </w:rPr>
              <w:t>40</w:t>
            </w:r>
            <w:r>
              <w:rPr>
                <w:rStyle w:val="21"/>
                <w:rFonts w:hint="eastAsia" w:ascii="宋体" w:hAnsi="宋体" w:eastAsia="宋体" w:cs="宋体"/>
                <w:b w:val="0"/>
                <w:bCs w:val="0"/>
                <w:color w:val="auto"/>
                <w:sz w:val="18"/>
                <w:szCs w:val="18"/>
                <w:lang w:bidi="ar"/>
              </w:rPr>
              <w:t>万元以下的</w:t>
            </w:r>
          </w:p>
        </w:tc>
        <w:tc>
          <w:tcPr>
            <w:tcW w:w="1628"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B0BE746">
            <w:pPr>
              <w:spacing w:line="240" w:lineRule="exact"/>
              <w:rPr>
                <w:rFonts w:hint="eastAsia" w:ascii="宋体" w:hAnsi="宋体" w:eastAsia="宋体" w:cs="宋体"/>
                <w:b w:val="0"/>
                <w:bCs w:val="0"/>
                <w:sz w:val="18"/>
                <w:szCs w:val="18"/>
                <w:lang w:bidi="ar"/>
              </w:rPr>
            </w:pPr>
            <w:r>
              <w:rPr>
                <w:rStyle w:val="21"/>
                <w:rFonts w:hint="eastAsia" w:ascii="宋体" w:hAnsi="宋体" w:eastAsia="宋体" w:cs="宋体"/>
                <w:b w:val="0"/>
                <w:bCs w:val="0"/>
                <w:color w:val="auto"/>
                <w:sz w:val="18"/>
                <w:szCs w:val="18"/>
                <w:lang w:bidi="ar"/>
              </w:rPr>
              <w:t>处</w:t>
            </w:r>
            <w:r>
              <w:rPr>
                <w:rStyle w:val="21"/>
                <w:rFonts w:hint="eastAsia" w:ascii="宋体" w:hAnsi="宋体" w:eastAsia="宋体" w:cs="宋体"/>
                <w:b w:val="0"/>
                <w:bCs w:val="0"/>
                <w:color w:val="auto"/>
                <w:sz w:val="18"/>
                <w:szCs w:val="18"/>
                <w:lang w:val="en-US" w:eastAsia="zh-CN" w:bidi="ar"/>
              </w:rPr>
              <w:t>5</w:t>
            </w:r>
            <w:r>
              <w:rPr>
                <w:rStyle w:val="21"/>
                <w:rFonts w:hint="eastAsia" w:ascii="宋体" w:hAnsi="宋体" w:eastAsia="宋体" w:cs="宋体"/>
                <w:b w:val="0"/>
                <w:bCs w:val="0"/>
                <w:color w:val="auto"/>
                <w:sz w:val="18"/>
                <w:szCs w:val="18"/>
                <w:lang w:bidi="ar"/>
              </w:rPr>
              <w:t>万元以上</w:t>
            </w:r>
            <w:r>
              <w:rPr>
                <w:rStyle w:val="21"/>
                <w:rFonts w:hint="eastAsia" w:ascii="宋体" w:hAnsi="宋体" w:eastAsia="宋体" w:cs="宋体"/>
                <w:b w:val="0"/>
                <w:bCs w:val="0"/>
                <w:color w:val="auto"/>
                <w:sz w:val="18"/>
                <w:szCs w:val="18"/>
                <w:lang w:val="en-US" w:eastAsia="zh-CN" w:bidi="ar"/>
              </w:rPr>
              <w:t>7</w:t>
            </w:r>
            <w:r>
              <w:rPr>
                <w:rStyle w:val="21"/>
                <w:rFonts w:hint="eastAsia" w:ascii="宋体" w:hAnsi="宋体" w:eastAsia="宋体" w:cs="宋体"/>
                <w:b w:val="0"/>
                <w:bCs w:val="0"/>
                <w:color w:val="auto"/>
                <w:sz w:val="18"/>
                <w:szCs w:val="18"/>
                <w:lang w:bidi="ar"/>
              </w:rPr>
              <w:t>万元以下罚款</w:t>
            </w:r>
          </w:p>
        </w:tc>
        <w:tc>
          <w:tcPr>
            <w:tcW w:w="739" w:type="dxa"/>
            <w:vMerge w:val="continue"/>
            <w:tcBorders>
              <w:left w:val="single" w:color="auto" w:sz="4" w:space="0"/>
              <w:right w:val="single" w:color="auto" w:sz="4" w:space="0"/>
            </w:tcBorders>
            <w:noWrap w:val="0"/>
            <w:tcMar>
              <w:top w:w="0" w:type="dxa"/>
              <w:left w:w="0" w:type="dxa"/>
              <w:bottom w:w="0" w:type="dxa"/>
              <w:right w:w="0" w:type="dxa"/>
            </w:tcMar>
            <w:vAlign w:val="center"/>
          </w:tcPr>
          <w:p w14:paraId="1890C17E">
            <w:pPr>
              <w:spacing w:line="240" w:lineRule="exact"/>
              <w:jc w:val="center"/>
              <w:rPr>
                <w:rStyle w:val="21"/>
                <w:rFonts w:hint="eastAsia" w:ascii="宋体" w:hAnsi="宋体" w:eastAsia="宋体" w:cs="宋体"/>
                <w:b w:val="0"/>
                <w:bCs w:val="0"/>
                <w:color w:val="auto"/>
                <w:sz w:val="18"/>
                <w:szCs w:val="18"/>
                <w:lang w:bidi="ar"/>
              </w:rPr>
            </w:pPr>
          </w:p>
        </w:tc>
      </w:tr>
      <w:tr w14:paraId="15D10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74" w:type="dxa"/>
            <w:vMerge w:val="continue"/>
            <w:tcBorders>
              <w:left w:val="single" w:color="auto" w:sz="4" w:space="0"/>
              <w:right w:val="single" w:color="auto" w:sz="4" w:space="0"/>
            </w:tcBorders>
            <w:noWrap w:val="0"/>
            <w:tcMar>
              <w:top w:w="0" w:type="dxa"/>
              <w:left w:w="0" w:type="dxa"/>
              <w:bottom w:w="0" w:type="dxa"/>
              <w:right w:w="0" w:type="dxa"/>
            </w:tcMar>
            <w:vAlign w:val="center"/>
          </w:tcPr>
          <w:p w14:paraId="553083B0">
            <w:pPr>
              <w:widowControl/>
              <w:spacing w:line="240" w:lineRule="exact"/>
              <w:jc w:val="center"/>
              <w:textAlignment w:val="center"/>
              <w:rPr>
                <w:rFonts w:hint="eastAsia" w:ascii="宋体" w:hAnsi="宋体" w:eastAsia="宋体" w:cs="宋体"/>
                <w:b w:val="0"/>
                <w:bCs w:val="0"/>
                <w:kern w:val="0"/>
                <w:sz w:val="18"/>
                <w:szCs w:val="18"/>
                <w:lang w:bidi="ar"/>
              </w:rPr>
            </w:pPr>
          </w:p>
        </w:tc>
        <w:tc>
          <w:tcPr>
            <w:tcW w:w="1236" w:type="dxa"/>
            <w:vMerge w:val="continue"/>
            <w:tcBorders>
              <w:left w:val="single" w:color="auto" w:sz="4" w:space="0"/>
              <w:right w:val="single" w:color="auto" w:sz="4" w:space="0"/>
            </w:tcBorders>
            <w:noWrap w:val="0"/>
            <w:tcMar>
              <w:top w:w="0" w:type="dxa"/>
              <w:left w:w="0" w:type="dxa"/>
              <w:bottom w:w="0" w:type="dxa"/>
              <w:right w:w="0" w:type="dxa"/>
            </w:tcMar>
            <w:vAlign w:val="center"/>
          </w:tcPr>
          <w:p w14:paraId="38BDFB7B">
            <w:pPr>
              <w:widowControl/>
              <w:spacing w:line="240" w:lineRule="exact"/>
              <w:jc w:val="both"/>
              <w:textAlignment w:val="center"/>
              <w:rPr>
                <w:rFonts w:hint="eastAsia" w:ascii="宋体" w:hAnsi="宋体" w:eastAsia="宋体" w:cs="宋体"/>
                <w:b w:val="0"/>
                <w:bCs w:val="0"/>
                <w:kern w:val="0"/>
                <w:sz w:val="18"/>
                <w:szCs w:val="18"/>
                <w:lang w:bidi="ar"/>
              </w:rPr>
            </w:pPr>
          </w:p>
        </w:tc>
        <w:tc>
          <w:tcPr>
            <w:tcW w:w="6027" w:type="dxa"/>
            <w:vMerge w:val="continue"/>
            <w:tcBorders>
              <w:left w:val="single" w:color="auto" w:sz="4" w:space="0"/>
              <w:right w:val="single" w:color="auto" w:sz="4" w:space="0"/>
            </w:tcBorders>
            <w:noWrap w:val="0"/>
            <w:tcMar>
              <w:top w:w="0" w:type="dxa"/>
              <w:left w:w="0" w:type="dxa"/>
              <w:bottom w:w="0" w:type="dxa"/>
              <w:right w:w="0" w:type="dxa"/>
            </w:tcMar>
            <w:vAlign w:val="center"/>
          </w:tcPr>
          <w:p w14:paraId="7EA41655">
            <w:pPr>
              <w:widowControl/>
              <w:spacing w:line="240" w:lineRule="exact"/>
              <w:textAlignment w:val="center"/>
              <w:rPr>
                <w:rFonts w:hint="eastAsia" w:ascii="宋体" w:hAnsi="宋体" w:eastAsia="宋体" w:cs="宋体"/>
                <w:b w:val="0"/>
                <w:bCs w:val="0"/>
                <w:kern w:val="0"/>
                <w:sz w:val="18"/>
                <w:szCs w:val="18"/>
                <w:lang w:bidi="ar"/>
              </w:rPr>
            </w:pPr>
          </w:p>
        </w:tc>
        <w:tc>
          <w:tcPr>
            <w:tcW w:w="1849" w:type="dxa"/>
            <w:vMerge w:val="continue"/>
            <w:tcBorders>
              <w:left w:val="single" w:color="auto" w:sz="4" w:space="0"/>
              <w:right w:val="single" w:color="auto" w:sz="4" w:space="0"/>
            </w:tcBorders>
            <w:noWrap w:val="0"/>
            <w:tcMar>
              <w:top w:w="0" w:type="dxa"/>
              <w:left w:w="0" w:type="dxa"/>
              <w:bottom w:w="0" w:type="dxa"/>
              <w:right w:w="0" w:type="dxa"/>
            </w:tcMar>
            <w:vAlign w:val="center"/>
          </w:tcPr>
          <w:p w14:paraId="706200A3">
            <w:pPr>
              <w:spacing w:line="240" w:lineRule="exact"/>
              <w:jc w:val="both"/>
              <w:rPr>
                <w:rFonts w:hint="eastAsia" w:ascii="宋体" w:hAnsi="宋体" w:eastAsia="宋体" w:cs="宋体"/>
                <w:b w:val="0"/>
                <w:bCs w:val="0"/>
                <w:sz w:val="18"/>
                <w:szCs w:val="18"/>
              </w:rPr>
            </w:pPr>
          </w:p>
        </w:tc>
        <w:tc>
          <w:tcPr>
            <w:tcW w:w="517" w:type="dxa"/>
            <w:tcBorders>
              <w:top w:val="single" w:color="auto" w:sz="4" w:space="0"/>
              <w:left w:val="single" w:color="auto" w:sz="4" w:space="0"/>
              <w:right w:val="single" w:color="auto" w:sz="4" w:space="0"/>
            </w:tcBorders>
            <w:noWrap w:val="0"/>
            <w:tcMar>
              <w:top w:w="0" w:type="dxa"/>
              <w:left w:w="0" w:type="dxa"/>
              <w:bottom w:w="0" w:type="dxa"/>
              <w:right w:w="0" w:type="dxa"/>
            </w:tcMar>
            <w:vAlign w:val="center"/>
          </w:tcPr>
          <w:p w14:paraId="42FDA6A5">
            <w:pPr>
              <w:spacing w:line="240" w:lineRule="exact"/>
              <w:jc w:val="center"/>
              <w:rPr>
                <w:rFonts w:hint="eastAsia" w:ascii="宋体" w:hAnsi="宋体" w:eastAsia="宋体" w:cs="宋体"/>
                <w:b w:val="0"/>
                <w:bCs w:val="0"/>
                <w:sz w:val="18"/>
                <w:szCs w:val="18"/>
              </w:rPr>
            </w:pPr>
            <w:r>
              <w:rPr>
                <w:rFonts w:hint="eastAsia" w:ascii="宋体" w:hAnsi="宋体" w:eastAsia="宋体" w:cs="宋体"/>
                <w:b w:val="0"/>
                <w:bCs w:val="0"/>
                <w:sz w:val="18"/>
                <w:szCs w:val="18"/>
              </w:rPr>
              <w:t>严重</w:t>
            </w:r>
          </w:p>
        </w:tc>
        <w:tc>
          <w:tcPr>
            <w:tcW w:w="2420" w:type="dxa"/>
            <w:tcBorders>
              <w:top w:val="single" w:color="auto" w:sz="4" w:space="0"/>
              <w:left w:val="single" w:color="auto" w:sz="4" w:space="0"/>
              <w:right w:val="single" w:color="auto" w:sz="4" w:space="0"/>
            </w:tcBorders>
            <w:noWrap w:val="0"/>
            <w:tcMar>
              <w:top w:w="0" w:type="dxa"/>
              <w:left w:w="0" w:type="dxa"/>
              <w:bottom w:w="0" w:type="dxa"/>
              <w:right w:w="0" w:type="dxa"/>
            </w:tcMar>
            <w:vAlign w:val="center"/>
          </w:tcPr>
          <w:p w14:paraId="7FFD6B4D">
            <w:pPr>
              <w:spacing w:line="240" w:lineRule="exact"/>
              <w:rPr>
                <w:rFonts w:hint="eastAsia" w:ascii="宋体" w:hAnsi="宋体" w:eastAsia="宋体" w:cs="宋体"/>
                <w:b w:val="0"/>
                <w:bCs w:val="0"/>
                <w:sz w:val="18"/>
                <w:szCs w:val="18"/>
                <w:lang w:bidi="ar"/>
              </w:rPr>
            </w:pPr>
            <w:r>
              <w:rPr>
                <w:rStyle w:val="21"/>
                <w:rFonts w:hint="eastAsia" w:ascii="宋体" w:hAnsi="宋体" w:eastAsia="宋体" w:cs="宋体"/>
                <w:b w:val="0"/>
                <w:bCs w:val="0"/>
                <w:color w:val="auto"/>
                <w:sz w:val="18"/>
                <w:szCs w:val="18"/>
                <w:lang w:bidi="ar"/>
              </w:rPr>
              <w:t>投资额在</w:t>
            </w:r>
            <w:r>
              <w:rPr>
                <w:rStyle w:val="21"/>
                <w:rFonts w:hint="eastAsia" w:ascii="宋体" w:hAnsi="宋体" w:eastAsia="宋体" w:cs="宋体"/>
                <w:b w:val="0"/>
                <w:bCs w:val="0"/>
                <w:color w:val="auto"/>
                <w:sz w:val="18"/>
                <w:szCs w:val="18"/>
                <w:lang w:val="en-US" w:eastAsia="zh-CN" w:bidi="ar"/>
              </w:rPr>
              <w:t>40</w:t>
            </w:r>
            <w:r>
              <w:rPr>
                <w:rStyle w:val="21"/>
                <w:rFonts w:hint="eastAsia" w:ascii="宋体" w:hAnsi="宋体" w:eastAsia="宋体" w:cs="宋体"/>
                <w:b w:val="0"/>
                <w:bCs w:val="0"/>
                <w:color w:val="auto"/>
                <w:sz w:val="18"/>
                <w:szCs w:val="18"/>
                <w:lang w:bidi="ar"/>
              </w:rPr>
              <w:t>万元以上的</w:t>
            </w:r>
          </w:p>
        </w:tc>
        <w:tc>
          <w:tcPr>
            <w:tcW w:w="1628" w:type="dxa"/>
            <w:tcBorders>
              <w:top w:val="single" w:color="auto" w:sz="4" w:space="0"/>
              <w:left w:val="single" w:color="auto" w:sz="4" w:space="0"/>
              <w:right w:val="single" w:color="auto" w:sz="4" w:space="0"/>
            </w:tcBorders>
            <w:noWrap w:val="0"/>
            <w:tcMar>
              <w:top w:w="0" w:type="dxa"/>
              <w:left w:w="0" w:type="dxa"/>
              <w:bottom w:w="0" w:type="dxa"/>
              <w:right w:w="0" w:type="dxa"/>
            </w:tcMar>
            <w:vAlign w:val="center"/>
          </w:tcPr>
          <w:p w14:paraId="1F49B416">
            <w:pPr>
              <w:spacing w:line="240" w:lineRule="exact"/>
              <w:rPr>
                <w:rFonts w:hint="eastAsia" w:ascii="宋体" w:hAnsi="宋体" w:eastAsia="宋体" w:cs="宋体"/>
                <w:b w:val="0"/>
                <w:bCs w:val="0"/>
                <w:sz w:val="18"/>
                <w:szCs w:val="18"/>
                <w:lang w:bidi="ar"/>
              </w:rPr>
            </w:pPr>
            <w:r>
              <w:rPr>
                <w:rStyle w:val="21"/>
                <w:rFonts w:hint="eastAsia" w:ascii="宋体" w:hAnsi="宋体" w:eastAsia="宋体" w:cs="宋体"/>
                <w:b w:val="0"/>
                <w:bCs w:val="0"/>
                <w:color w:val="auto"/>
                <w:sz w:val="18"/>
                <w:szCs w:val="18"/>
                <w:lang w:bidi="ar"/>
              </w:rPr>
              <w:t>处</w:t>
            </w:r>
            <w:r>
              <w:rPr>
                <w:rStyle w:val="21"/>
                <w:rFonts w:hint="eastAsia" w:ascii="宋体" w:hAnsi="宋体" w:eastAsia="宋体" w:cs="宋体"/>
                <w:b w:val="0"/>
                <w:bCs w:val="0"/>
                <w:color w:val="auto"/>
                <w:sz w:val="18"/>
                <w:szCs w:val="18"/>
                <w:lang w:val="en-US" w:eastAsia="zh-CN" w:bidi="ar"/>
              </w:rPr>
              <w:t>7</w:t>
            </w:r>
            <w:r>
              <w:rPr>
                <w:rStyle w:val="21"/>
                <w:rFonts w:hint="eastAsia" w:ascii="宋体" w:hAnsi="宋体" w:eastAsia="宋体" w:cs="宋体"/>
                <w:b w:val="0"/>
                <w:bCs w:val="0"/>
                <w:color w:val="auto"/>
                <w:sz w:val="18"/>
                <w:szCs w:val="18"/>
                <w:lang w:bidi="ar"/>
              </w:rPr>
              <w:t>万元以上</w:t>
            </w:r>
            <w:r>
              <w:rPr>
                <w:rStyle w:val="21"/>
                <w:rFonts w:hint="eastAsia" w:ascii="宋体" w:hAnsi="宋体" w:eastAsia="宋体" w:cs="宋体"/>
                <w:b w:val="0"/>
                <w:bCs w:val="0"/>
                <w:color w:val="auto"/>
                <w:sz w:val="18"/>
                <w:szCs w:val="18"/>
                <w:lang w:val="en-US" w:eastAsia="zh-CN" w:bidi="ar"/>
              </w:rPr>
              <w:t>10</w:t>
            </w:r>
            <w:r>
              <w:rPr>
                <w:rStyle w:val="21"/>
                <w:rFonts w:hint="eastAsia" w:ascii="宋体" w:hAnsi="宋体" w:eastAsia="宋体" w:cs="宋体"/>
                <w:b w:val="0"/>
                <w:bCs w:val="0"/>
                <w:color w:val="auto"/>
                <w:sz w:val="18"/>
                <w:szCs w:val="18"/>
                <w:lang w:bidi="ar"/>
              </w:rPr>
              <w:t>万元以下罚款</w:t>
            </w:r>
          </w:p>
        </w:tc>
        <w:tc>
          <w:tcPr>
            <w:tcW w:w="739" w:type="dxa"/>
            <w:vMerge w:val="continue"/>
            <w:tcBorders>
              <w:left w:val="single" w:color="auto" w:sz="4" w:space="0"/>
              <w:right w:val="single" w:color="auto" w:sz="4" w:space="0"/>
            </w:tcBorders>
            <w:noWrap w:val="0"/>
            <w:tcMar>
              <w:top w:w="0" w:type="dxa"/>
              <w:left w:w="0" w:type="dxa"/>
              <w:bottom w:w="0" w:type="dxa"/>
              <w:right w:w="0" w:type="dxa"/>
            </w:tcMar>
            <w:vAlign w:val="center"/>
          </w:tcPr>
          <w:p w14:paraId="27AC392B">
            <w:pPr>
              <w:spacing w:line="240" w:lineRule="exact"/>
              <w:jc w:val="center"/>
              <w:rPr>
                <w:rStyle w:val="21"/>
                <w:rFonts w:hint="eastAsia" w:ascii="宋体" w:hAnsi="宋体" w:eastAsia="宋体" w:cs="宋体"/>
                <w:b w:val="0"/>
                <w:bCs w:val="0"/>
                <w:color w:val="auto"/>
                <w:sz w:val="18"/>
                <w:szCs w:val="18"/>
                <w:lang w:bidi="ar"/>
              </w:rPr>
            </w:pPr>
          </w:p>
        </w:tc>
      </w:tr>
      <w:tr w14:paraId="66C63E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0" w:hRule="atLeast"/>
          <w:jc w:val="center"/>
        </w:trPr>
        <w:tc>
          <w:tcPr>
            <w:tcW w:w="474" w:type="dxa"/>
            <w:vMerge w:val="restart"/>
            <w:tcBorders>
              <w:left w:val="single" w:color="auto" w:sz="4" w:space="0"/>
              <w:right w:val="single" w:color="auto" w:sz="4" w:space="0"/>
            </w:tcBorders>
            <w:noWrap w:val="0"/>
            <w:tcMar>
              <w:top w:w="0" w:type="dxa"/>
              <w:left w:w="0" w:type="dxa"/>
              <w:bottom w:w="0" w:type="dxa"/>
              <w:right w:w="0" w:type="dxa"/>
            </w:tcMar>
            <w:vAlign w:val="center"/>
          </w:tcPr>
          <w:p w14:paraId="22D9AA01">
            <w:pPr>
              <w:widowControl/>
              <w:spacing w:line="240" w:lineRule="exact"/>
              <w:jc w:val="center"/>
              <w:textAlignment w:val="center"/>
              <w:rPr>
                <w:rFonts w:hint="eastAsia" w:ascii="宋体" w:hAnsi="宋体" w:eastAsia="宋体" w:cs="宋体"/>
                <w:b w:val="0"/>
                <w:bCs w:val="0"/>
                <w:kern w:val="0"/>
                <w:sz w:val="18"/>
                <w:szCs w:val="18"/>
                <w:lang w:bidi="ar"/>
              </w:rPr>
            </w:pPr>
            <w:r>
              <w:rPr>
                <w:rFonts w:hint="eastAsia" w:ascii="宋体" w:hAnsi="宋体" w:eastAsia="宋体" w:cs="宋体"/>
                <w:b w:val="0"/>
                <w:bCs w:val="0"/>
                <w:kern w:val="0"/>
                <w:sz w:val="18"/>
                <w:szCs w:val="18"/>
                <w:lang w:val="en-US" w:eastAsia="zh-CN" w:bidi="ar"/>
              </w:rPr>
              <w:t>25</w:t>
            </w:r>
          </w:p>
        </w:tc>
        <w:tc>
          <w:tcPr>
            <w:tcW w:w="1236" w:type="dxa"/>
            <w:vMerge w:val="restart"/>
            <w:tcBorders>
              <w:left w:val="single" w:color="auto" w:sz="4" w:space="0"/>
              <w:right w:val="single" w:color="auto" w:sz="4" w:space="0"/>
            </w:tcBorders>
            <w:noWrap w:val="0"/>
            <w:tcMar>
              <w:top w:w="0" w:type="dxa"/>
              <w:left w:w="0" w:type="dxa"/>
              <w:bottom w:w="0" w:type="dxa"/>
              <w:right w:w="0" w:type="dxa"/>
            </w:tcMar>
            <w:vAlign w:val="center"/>
          </w:tcPr>
          <w:p w14:paraId="34ACF63F">
            <w:pPr>
              <w:widowControl/>
              <w:spacing w:line="240" w:lineRule="exact"/>
              <w:jc w:val="both"/>
              <w:textAlignment w:val="center"/>
              <w:rPr>
                <w:rFonts w:hint="eastAsia" w:ascii="宋体" w:hAnsi="宋体" w:eastAsia="宋体" w:cs="宋体"/>
                <w:b w:val="0"/>
                <w:bCs w:val="0"/>
                <w:kern w:val="0"/>
                <w:sz w:val="18"/>
                <w:szCs w:val="18"/>
                <w:lang w:bidi="ar"/>
              </w:rPr>
            </w:pPr>
            <w:r>
              <w:rPr>
                <w:rFonts w:hint="eastAsia" w:ascii="宋体" w:hAnsi="宋体" w:eastAsia="宋体" w:cs="宋体"/>
                <w:b w:val="0"/>
                <w:bCs w:val="0"/>
                <w:kern w:val="0"/>
                <w:sz w:val="18"/>
                <w:szCs w:val="18"/>
                <w:lang w:bidi="ar"/>
              </w:rPr>
              <w:t>对在河道管理范围内建设妨碍行洪的建筑物、构筑物，或者从事影响河势稳定、危害河岸堤防安全和其他妨碍河道行洪的活动，擅自修建水工程，或者建设桥梁、码头和其他拦河、跨河、临河建筑物、构筑物，铺设跨河管道、电缆等行为的行政处罚</w:t>
            </w:r>
          </w:p>
        </w:tc>
        <w:tc>
          <w:tcPr>
            <w:tcW w:w="6027" w:type="dxa"/>
            <w:vMerge w:val="continue"/>
            <w:tcBorders>
              <w:left w:val="single" w:color="auto" w:sz="4" w:space="0"/>
              <w:right w:val="single" w:color="auto" w:sz="4" w:space="0"/>
            </w:tcBorders>
            <w:noWrap w:val="0"/>
            <w:tcMar>
              <w:top w:w="0" w:type="dxa"/>
              <w:left w:w="0" w:type="dxa"/>
              <w:bottom w:w="0" w:type="dxa"/>
              <w:right w:w="0" w:type="dxa"/>
            </w:tcMar>
            <w:vAlign w:val="center"/>
          </w:tcPr>
          <w:p w14:paraId="6B42CCA8">
            <w:pPr>
              <w:widowControl/>
              <w:spacing w:line="240" w:lineRule="exact"/>
              <w:textAlignment w:val="center"/>
              <w:rPr>
                <w:rFonts w:hint="eastAsia" w:ascii="宋体" w:hAnsi="宋体" w:eastAsia="宋体" w:cs="宋体"/>
                <w:b w:val="0"/>
                <w:bCs w:val="0"/>
                <w:kern w:val="0"/>
                <w:sz w:val="18"/>
                <w:szCs w:val="18"/>
                <w:lang w:bidi="ar"/>
              </w:rPr>
            </w:pPr>
          </w:p>
        </w:tc>
        <w:tc>
          <w:tcPr>
            <w:tcW w:w="1849" w:type="dxa"/>
            <w:vMerge w:val="restart"/>
            <w:tcBorders>
              <w:left w:val="single" w:color="auto" w:sz="4" w:space="0"/>
              <w:right w:val="single" w:color="auto" w:sz="4" w:space="0"/>
            </w:tcBorders>
            <w:noWrap w:val="0"/>
            <w:tcMar>
              <w:top w:w="0" w:type="dxa"/>
              <w:left w:w="0" w:type="dxa"/>
              <w:bottom w:w="0" w:type="dxa"/>
              <w:right w:w="0" w:type="dxa"/>
            </w:tcMar>
            <w:vAlign w:val="center"/>
          </w:tcPr>
          <w:p w14:paraId="7576835B">
            <w:pPr>
              <w:spacing w:line="240" w:lineRule="exact"/>
              <w:jc w:val="both"/>
              <w:rPr>
                <w:rFonts w:hint="eastAsia" w:ascii="宋体" w:hAnsi="宋体" w:eastAsia="宋体" w:cs="宋体"/>
                <w:b w:val="0"/>
                <w:bCs w:val="0"/>
                <w:sz w:val="18"/>
                <w:szCs w:val="18"/>
              </w:rPr>
            </w:pPr>
            <w:r>
              <w:rPr>
                <w:rFonts w:hint="eastAsia" w:ascii="宋体" w:hAnsi="宋体" w:eastAsia="宋体" w:cs="宋体"/>
                <w:b w:val="0"/>
                <w:bCs w:val="0"/>
                <w:kern w:val="0"/>
                <w:sz w:val="18"/>
                <w:szCs w:val="18"/>
                <w:lang w:bidi="ar"/>
              </w:rPr>
              <w:t>未经水行政主管部门签署规划同意书，擅自在江河、湖泊上建设防洪工程和其他水工程、水电站的</w:t>
            </w:r>
          </w:p>
        </w:tc>
        <w:tc>
          <w:tcPr>
            <w:tcW w:w="51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BBB2CA9">
            <w:pPr>
              <w:spacing w:line="240" w:lineRule="exact"/>
              <w:jc w:val="center"/>
              <w:rPr>
                <w:rFonts w:hint="eastAsia" w:ascii="宋体" w:hAnsi="宋体" w:eastAsia="宋体" w:cs="宋体"/>
                <w:b w:val="0"/>
                <w:bCs w:val="0"/>
                <w:sz w:val="18"/>
                <w:szCs w:val="18"/>
              </w:rPr>
            </w:pPr>
            <w:r>
              <w:rPr>
                <w:rFonts w:hint="eastAsia" w:ascii="宋体" w:hAnsi="宋体" w:eastAsia="宋体" w:cs="宋体"/>
                <w:b w:val="0"/>
                <w:bCs w:val="0"/>
                <w:sz w:val="18"/>
                <w:szCs w:val="18"/>
              </w:rPr>
              <w:t>轻微</w:t>
            </w:r>
          </w:p>
        </w:tc>
        <w:tc>
          <w:tcPr>
            <w:tcW w:w="242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445C117">
            <w:pPr>
              <w:spacing w:line="240" w:lineRule="exact"/>
              <w:rPr>
                <w:rStyle w:val="21"/>
                <w:rFonts w:hint="eastAsia" w:ascii="宋体" w:hAnsi="宋体" w:eastAsia="宋体" w:cs="宋体"/>
                <w:b w:val="0"/>
                <w:bCs w:val="0"/>
                <w:color w:val="auto"/>
                <w:sz w:val="18"/>
                <w:szCs w:val="18"/>
                <w:lang w:bidi="ar"/>
              </w:rPr>
            </w:pPr>
            <w:r>
              <w:rPr>
                <w:rStyle w:val="21"/>
                <w:rFonts w:hint="eastAsia" w:ascii="宋体" w:hAnsi="宋体" w:eastAsia="宋体" w:cs="宋体"/>
                <w:b w:val="0"/>
                <w:bCs w:val="0"/>
                <w:color w:val="auto"/>
                <w:sz w:val="18"/>
                <w:szCs w:val="18"/>
                <w:lang w:bidi="ar"/>
              </w:rPr>
              <w:t>1.初次违法；</w:t>
            </w:r>
          </w:p>
          <w:p w14:paraId="37C8CD8F">
            <w:pPr>
              <w:spacing w:line="240" w:lineRule="exact"/>
              <w:rPr>
                <w:rStyle w:val="21"/>
                <w:rFonts w:hint="eastAsia" w:ascii="宋体" w:hAnsi="宋体" w:eastAsia="宋体" w:cs="宋体"/>
                <w:b w:val="0"/>
                <w:bCs w:val="0"/>
                <w:color w:val="auto"/>
                <w:sz w:val="18"/>
                <w:szCs w:val="18"/>
                <w:lang w:bidi="ar"/>
              </w:rPr>
            </w:pPr>
            <w:r>
              <w:rPr>
                <w:rStyle w:val="21"/>
                <w:rFonts w:hint="eastAsia" w:ascii="宋体" w:hAnsi="宋体" w:eastAsia="宋体" w:cs="宋体"/>
                <w:b w:val="0"/>
                <w:bCs w:val="0"/>
                <w:color w:val="auto"/>
                <w:sz w:val="18"/>
                <w:szCs w:val="18"/>
                <w:lang w:bidi="ar"/>
              </w:rPr>
              <w:t>2.未造成危害后果的，</w:t>
            </w:r>
            <w:r>
              <w:rPr>
                <w:rStyle w:val="21"/>
                <w:rFonts w:hint="eastAsia" w:ascii="宋体" w:hAnsi="宋体" w:eastAsia="宋体" w:cs="宋体"/>
                <w:b w:val="0"/>
                <w:bCs w:val="0"/>
                <w:color w:val="auto"/>
                <w:sz w:val="18"/>
                <w:szCs w:val="18"/>
                <w:lang w:val="en-US" w:eastAsia="zh-CN" w:bidi="ar"/>
              </w:rPr>
              <w:t>立即</w:t>
            </w:r>
            <w:r>
              <w:rPr>
                <w:rStyle w:val="21"/>
                <w:rFonts w:hint="eastAsia" w:ascii="宋体" w:hAnsi="宋体" w:eastAsia="宋体" w:cs="宋体"/>
                <w:b w:val="0"/>
                <w:bCs w:val="0"/>
                <w:color w:val="auto"/>
                <w:sz w:val="18"/>
                <w:szCs w:val="18"/>
                <w:lang w:bidi="ar"/>
              </w:rPr>
              <w:t>停止违法行为，签署承诺书，按照整改期限补办规划同意书手续的；</w:t>
            </w:r>
          </w:p>
          <w:p w14:paraId="6D5867D6">
            <w:pPr>
              <w:spacing w:line="240" w:lineRule="exact"/>
              <w:rPr>
                <w:rStyle w:val="21"/>
                <w:rFonts w:hint="eastAsia" w:ascii="宋体" w:hAnsi="宋体" w:eastAsia="宋体" w:cs="宋体"/>
                <w:b w:val="0"/>
                <w:bCs w:val="0"/>
                <w:color w:val="auto"/>
                <w:sz w:val="18"/>
                <w:szCs w:val="18"/>
                <w:lang w:bidi="ar"/>
              </w:rPr>
            </w:pPr>
            <w:r>
              <w:rPr>
                <w:rStyle w:val="21"/>
                <w:rFonts w:hint="eastAsia" w:ascii="宋体" w:hAnsi="宋体" w:eastAsia="宋体" w:cs="宋体"/>
                <w:b w:val="0"/>
                <w:bCs w:val="0"/>
                <w:color w:val="auto"/>
                <w:sz w:val="18"/>
                <w:szCs w:val="18"/>
                <w:lang w:bidi="ar"/>
              </w:rPr>
              <w:t>3.违反规划同意书的要求，影响防洪但未造成后果且可采取补救措施的，停止违法行为，签署承诺书，并在规定的期限内采取补救措施的；</w:t>
            </w:r>
          </w:p>
          <w:p w14:paraId="660AC60C">
            <w:pPr>
              <w:spacing w:line="240" w:lineRule="exact"/>
              <w:rPr>
                <w:rFonts w:hint="eastAsia" w:ascii="宋体" w:hAnsi="宋体" w:eastAsia="宋体" w:cs="宋体"/>
                <w:b w:val="0"/>
                <w:bCs w:val="0"/>
                <w:sz w:val="18"/>
                <w:szCs w:val="18"/>
                <w:lang w:bidi="ar"/>
              </w:rPr>
            </w:pPr>
            <w:r>
              <w:rPr>
                <w:rStyle w:val="21"/>
                <w:rFonts w:hint="eastAsia" w:ascii="宋体" w:hAnsi="宋体" w:eastAsia="宋体" w:cs="宋体"/>
                <w:b w:val="0"/>
                <w:bCs w:val="0"/>
                <w:sz w:val="18"/>
                <w:szCs w:val="18"/>
                <w:lang w:val="en-US" w:eastAsia="zh-CN" w:bidi="ar"/>
              </w:rPr>
              <w:t>（注：符合上述所有情形的，不予处罚，应将本次违法情况进行登记备案，以后再发生类似问题的将不再适用本条件）</w:t>
            </w:r>
          </w:p>
        </w:tc>
        <w:tc>
          <w:tcPr>
            <w:tcW w:w="1628"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3DC9D71">
            <w:pPr>
              <w:spacing w:line="240" w:lineRule="exact"/>
              <w:rPr>
                <w:rFonts w:hint="eastAsia" w:ascii="宋体" w:hAnsi="宋体" w:eastAsia="宋体" w:cs="宋体"/>
                <w:b w:val="0"/>
                <w:bCs w:val="0"/>
                <w:sz w:val="18"/>
                <w:szCs w:val="18"/>
                <w:lang w:bidi="ar"/>
              </w:rPr>
            </w:pPr>
            <w:r>
              <w:rPr>
                <w:rStyle w:val="21"/>
                <w:rFonts w:hint="eastAsia" w:ascii="宋体" w:hAnsi="宋体" w:eastAsia="宋体" w:cs="宋体"/>
                <w:b w:val="0"/>
                <w:bCs w:val="0"/>
                <w:color w:val="auto"/>
                <w:sz w:val="18"/>
                <w:szCs w:val="18"/>
                <w:lang w:bidi="ar"/>
              </w:rPr>
              <w:t>不予处罚</w:t>
            </w:r>
          </w:p>
        </w:tc>
        <w:tc>
          <w:tcPr>
            <w:tcW w:w="739" w:type="dxa"/>
            <w:vMerge w:val="restart"/>
            <w:tcBorders>
              <w:top w:val="single" w:color="auto" w:sz="4" w:space="0"/>
              <w:left w:val="single" w:color="auto" w:sz="4" w:space="0"/>
              <w:right w:val="single" w:color="auto" w:sz="4" w:space="0"/>
            </w:tcBorders>
            <w:noWrap w:val="0"/>
            <w:tcMar>
              <w:top w:w="0" w:type="dxa"/>
              <w:left w:w="0" w:type="dxa"/>
              <w:bottom w:w="0" w:type="dxa"/>
              <w:right w:w="0" w:type="dxa"/>
            </w:tcMar>
            <w:vAlign w:val="center"/>
          </w:tcPr>
          <w:p w14:paraId="4421A5EE">
            <w:pPr>
              <w:spacing w:line="240" w:lineRule="exact"/>
              <w:jc w:val="center"/>
              <w:rPr>
                <w:rStyle w:val="21"/>
                <w:rFonts w:hint="eastAsia" w:ascii="宋体" w:hAnsi="宋体" w:eastAsia="宋体" w:cs="宋体"/>
                <w:b w:val="0"/>
                <w:bCs w:val="0"/>
                <w:color w:val="auto"/>
                <w:sz w:val="18"/>
                <w:szCs w:val="18"/>
                <w:lang w:bidi="ar"/>
              </w:rPr>
            </w:pPr>
          </w:p>
        </w:tc>
      </w:tr>
      <w:tr w14:paraId="59B3BE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474" w:type="dxa"/>
            <w:vMerge w:val="continue"/>
            <w:tcBorders>
              <w:left w:val="single" w:color="auto" w:sz="4" w:space="0"/>
              <w:right w:val="single" w:color="auto" w:sz="4" w:space="0"/>
            </w:tcBorders>
            <w:noWrap w:val="0"/>
            <w:tcMar>
              <w:top w:w="0" w:type="dxa"/>
              <w:left w:w="0" w:type="dxa"/>
              <w:bottom w:w="0" w:type="dxa"/>
              <w:right w:w="0" w:type="dxa"/>
            </w:tcMar>
            <w:vAlign w:val="center"/>
          </w:tcPr>
          <w:p w14:paraId="5DCDD005">
            <w:pPr>
              <w:widowControl/>
              <w:spacing w:line="240" w:lineRule="exact"/>
              <w:jc w:val="center"/>
              <w:textAlignment w:val="center"/>
              <w:rPr>
                <w:rFonts w:hint="eastAsia" w:ascii="宋体" w:hAnsi="宋体" w:eastAsia="宋体" w:cs="宋体"/>
                <w:b w:val="0"/>
                <w:bCs w:val="0"/>
                <w:kern w:val="0"/>
                <w:sz w:val="18"/>
                <w:szCs w:val="18"/>
                <w:lang w:bidi="ar"/>
              </w:rPr>
            </w:pPr>
          </w:p>
        </w:tc>
        <w:tc>
          <w:tcPr>
            <w:tcW w:w="1236" w:type="dxa"/>
            <w:vMerge w:val="continue"/>
            <w:tcBorders>
              <w:left w:val="single" w:color="auto" w:sz="4" w:space="0"/>
              <w:right w:val="single" w:color="auto" w:sz="4" w:space="0"/>
            </w:tcBorders>
            <w:noWrap w:val="0"/>
            <w:tcMar>
              <w:top w:w="0" w:type="dxa"/>
              <w:left w:w="0" w:type="dxa"/>
              <w:bottom w:w="0" w:type="dxa"/>
              <w:right w:w="0" w:type="dxa"/>
            </w:tcMar>
            <w:vAlign w:val="center"/>
          </w:tcPr>
          <w:p w14:paraId="2A23BC78">
            <w:pPr>
              <w:widowControl/>
              <w:spacing w:line="240" w:lineRule="exact"/>
              <w:jc w:val="both"/>
              <w:textAlignment w:val="center"/>
              <w:rPr>
                <w:rFonts w:hint="eastAsia" w:ascii="宋体" w:hAnsi="宋体" w:eastAsia="宋体" w:cs="宋体"/>
                <w:b w:val="0"/>
                <w:bCs w:val="0"/>
                <w:kern w:val="0"/>
                <w:sz w:val="18"/>
                <w:szCs w:val="18"/>
                <w:lang w:bidi="ar"/>
              </w:rPr>
            </w:pPr>
          </w:p>
        </w:tc>
        <w:tc>
          <w:tcPr>
            <w:tcW w:w="6027" w:type="dxa"/>
            <w:vMerge w:val="continue"/>
            <w:tcBorders>
              <w:left w:val="single" w:color="auto" w:sz="4" w:space="0"/>
              <w:right w:val="single" w:color="auto" w:sz="4" w:space="0"/>
            </w:tcBorders>
            <w:noWrap w:val="0"/>
            <w:tcMar>
              <w:top w:w="0" w:type="dxa"/>
              <w:left w:w="0" w:type="dxa"/>
              <w:bottom w:w="0" w:type="dxa"/>
              <w:right w:w="0" w:type="dxa"/>
            </w:tcMar>
            <w:vAlign w:val="center"/>
          </w:tcPr>
          <w:p w14:paraId="28F7CE03">
            <w:pPr>
              <w:widowControl/>
              <w:spacing w:line="240" w:lineRule="exact"/>
              <w:textAlignment w:val="center"/>
              <w:rPr>
                <w:rFonts w:hint="eastAsia" w:ascii="宋体" w:hAnsi="宋体" w:eastAsia="宋体" w:cs="宋体"/>
                <w:b w:val="0"/>
                <w:bCs w:val="0"/>
                <w:kern w:val="0"/>
                <w:sz w:val="18"/>
                <w:szCs w:val="18"/>
                <w:lang w:bidi="ar"/>
              </w:rPr>
            </w:pPr>
          </w:p>
        </w:tc>
        <w:tc>
          <w:tcPr>
            <w:tcW w:w="1849" w:type="dxa"/>
            <w:vMerge w:val="continue"/>
            <w:tcBorders>
              <w:left w:val="single" w:color="auto" w:sz="4" w:space="0"/>
              <w:right w:val="single" w:color="auto" w:sz="4" w:space="0"/>
            </w:tcBorders>
            <w:noWrap w:val="0"/>
            <w:tcMar>
              <w:top w:w="0" w:type="dxa"/>
              <w:left w:w="0" w:type="dxa"/>
              <w:bottom w:w="0" w:type="dxa"/>
              <w:right w:w="0" w:type="dxa"/>
            </w:tcMar>
            <w:vAlign w:val="center"/>
          </w:tcPr>
          <w:p w14:paraId="68ED5437">
            <w:pPr>
              <w:spacing w:line="240" w:lineRule="exact"/>
              <w:jc w:val="both"/>
              <w:rPr>
                <w:rFonts w:hint="eastAsia" w:ascii="宋体" w:hAnsi="宋体" w:eastAsia="宋体" w:cs="宋体"/>
                <w:b w:val="0"/>
                <w:bCs w:val="0"/>
                <w:sz w:val="18"/>
                <w:szCs w:val="18"/>
              </w:rPr>
            </w:pPr>
          </w:p>
        </w:tc>
        <w:tc>
          <w:tcPr>
            <w:tcW w:w="51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F469391">
            <w:pPr>
              <w:spacing w:line="240" w:lineRule="exact"/>
              <w:jc w:val="center"/>
              <w:rPr>
                <w:rFonts w:hint="eastAsia" w:ascii="宋体" w:hAnsi="宋体" w:eastAsia="宋体" w:cs="宋体"/>
                <w:b w:val="0"/>
                <w:bCs w:val="0"/>
                <w:sz w:val="18"/>
                <w:szCs w:val="18"/>
              </w:rPr>
            </w:pPr>
            <w:r>
              <w:rPr>
                <w:rFonts w:hint="eastAsia" w:ascii="宋体" w:hAnsi="宋体" w:eastAsia="宋体" w:cs="宋体"/>
                <w:b w:val="0"/>
                <w:bCs w:val="0"/>
                <w:sz w:val="18"/>
                <w:szCs w:val="18"/>
              </w:rPr>
              <w:t>较轻</w:t>
            </w:r>
          </w:p>
        </w:tc>
        <w:tc>
          <w:tcPr>
            <w:tcW w:w="242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009168C0">
            <w:pPr>
              <w:snapToGrid w:val="0"/>
              <w:spacing w:line="240" w:lineRule="exact"/>
              <mc:AlternateContent>
                <mc:Choice Requires="wpsCustomData">
                  <wpsCustomData:diagonalParaType/>
                </mc:Choice>
              </mc:AlternateContent>
              <w:rPr>
                <w:rStyle w:val="21"/>
                <w:rFonts w:hint="eastAsia" w:ascii="宋体" w:hAnsi="宋体" w:eastAsia="宋体" w:cs="宋体"/>
                <w:b w:val="0"/>
                <w:bCs w:val="0"/>
                <w:color w:val="auto"/>
                <w:sz w:val="18"/>
                <w:szCs w:val="18"/>
                <w:lang w:bidi="ar"/>
              </w:rPr>
            </w:pPr>
          </w:p>
          <w:p w14:paraId="3082B8C8">
            <w:pPr>
              <w:spacing w:line="240" w:lineRule="exact"/>
              <w:rPr>
                <w:rFonts w:hint="eastAsia" w:ascii="宋体" w:hAnsi="宋体" w:eastAsia="宋体" w:cs="宋体"/>
                <w:b w:val="0"/>
                <w:bCs w:val="0"/>
                <w:sz w:val="18"/>
                <w:szCs w:val="18"/>
                <w:lang w:bidi="ar"/>
              </w:rPr>
            </w:pPr>
          </w:p>
        </w:tc>
        <w:tc>
          <w:tcPr>
            <w:tcW w:w="1628"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5F91FE8F">
            <w:pPr>
              <w:snapToGrid w:val="0"/>
              <w:spacing w:line="240" w:lineRule="exact"/>
              <mc:AlternateContent>
                <mc:Choice Requires="wpsCustomData">
                  <wpsCustomData:diagonalParaType/>
                </mc:Choice>
              </mc:AlternateContent>
              <w:rPr>
                <w:rStyle w:val="21"/>
                <w:rFonts w:hint="eastAsia" w:ascii="宋体" w:hAnsi="宋体" w:eastAsia="宋体" w:cs="宋体"/>
                <w:b w:val="0"/>
                <w:bCs w:val="0"/>
                <w:color w:val="auto"/>
                <w:sz w:val="18"/>
                <w:szCs w:val="18"/>
                <w:lang w:bidi="ar"/>
              </w:rPr>
            </w:pPr>
          </w:p>
          <w:p w14:paraId="07528F2F">
            <w:pPr>
              <w:spacing w:line="240" w:lineRule="exact"/>
              <w:rPr>
                <w:rFonts w:hint="eastAsia" w:ascii="宋体" w:hAnsi="宋体" w:eastAsia="宋体" w:cs="宋体"/>
                <w:b w:val="0"/>
                <w:bCs w:val="0"/>
                <w:sz w:val="18"/>
                <w:szCs w:val="18"/>
                <w:lang w:bidi="ar"/>
              </w:rPr>
            </w:pPr>
          </w:p>
        </w:tc>
        <w:tc>
          <w:tcPr>
            <w:tcW w:w="739" w:type="dxa"/>
            <w:vMerge w:val="continue"/>
            <w:tcBorders>
              <w:left w:val="single" w:color="auto" w:sz="4" w:space="0"/>
              <w:right w:val="single" w:color="auto" w:sz="4" w:space="0"/>
            </w:tcBorders>
            <w:noWrap w:val="0"/>
            <w:tcMar>
              <w:top w:w="0" w:type="dxa"/>
              <w:left w:w="0" w:type="dxa"/>
              <w:bottom w:w="0" w:type="dxa"/>
              <w:right w:w="0" w:type="dxa"/>
            </w:tcMar>
            <w:vAlign w:val="center"/>
          </w:tcPr>
          <w:p w14:paraId="508FD0C8">
            <w:pPr>
              <w:spacing w:line="240" w:lineRule="exact"/>
              <w:jc w:val="center"/>
              <w:rPr>
                <w:rFonts w:hint="eastAsia" w:ascii="宋体" w:hAnsi="宋体" w:eastAsia="宋体" w:cs="宋体"/>
                <w:b w:val="0"/>
                <w:bCs w:val="0"/>
                <w:sz w:val="18"/>
                <w:szCs w:val="18"/>
                <w:lang w:bidi="ar"/>
              </w:rPr>
            </w:pPr>
          </w:p>
        </w:tc>
      </w:tr>
      <w:tr w14:paraId="7F082B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474" w:type="dxa"/>
            <w:vMerge w:val="continue"/>
            <w:tcBorders>
              <w:left w:val="single" w:color="auto" w:sz="4" w:space="0"/>
              <w:right w:val="single" w:color="auto" w:sz="4" w:space="0"/>
            </w:tcBorders>
            <w:noWrap w:val="0"/>
            <w:tcMar>
              <w:top w:w="0" w:type="dxa"/>
              <w:left w:w="0" w:type="dxa"/>
              <w:bottom w:w="0" w:type="dxa"/>
              <w:right w:w="0" w:type="dxa"/>
            </w:tcMar>
            <w:vAlign w:val="center"/>
          </w:tcPr>
          <w:p w14:paraId="633168B2">
            <w:pPr>
              <w:widowControl/>
              <w:spacing w:line="240" w:lineRule="exact"/>
              <w:jc w:val="center"/>
              <w:textAlignment w:val="center"/>
              <w:rPr>
                <w:rFonts w:hint="eastAsia" w:ascii="宋体" w:hAnsi="宋体" w:eastAsia="宋体" w:cs="宋体"/>
                <w:b w:val="0"/>
                <w:bCs w:val="0"/>
                <w:kern w:val="0"/>
                <w:sz w:val="18"/>
                <w:szCs w:val="18"/>
                <w:lang w:bidi="ar"/>
              </w:rPr>
            </w:pPr>
          </w:p>
        </w:tc>
        <w:tc>
          <w:tcPr>
            <w:tcW w:w="1236" w:type="dxa"/>
            <w:vMerge w:val="continue"/>
            <w:tcBorders>
              <w:left w:val="single" w:color="auto" w:sz="4" w:space="0"/>
              <w:right w:val="single" w:color="auto" w:sz="4" w:space="0"/>
            </w:tcBorders>
            <w:noWrap w:val="0"/>
            <w:tcMar>
              <w:top w:w="0" w:type="dxa"/>
              <w:left w:w="0" w:type="dxa"/>
              <w:bottom w:w="0" w:type="dxa"/>
              <w:right w:w="0" w:type="dxa"/>
            </w:tcMar>
            <w:vAlign w:val="center"/>
          </w:tcPr>
          <w:p w14:paraId="7D9C5AB8">
            <w:pPr>
              <w:widowControl/>
              <w:spacing w:line="240" w:lineRule="exact"/>
              <w:jc w:val="both"/>
              <w:textAlignment w:val="center"/>
              <w:rPr>
                <w:rFonts w:hint="eastAsia" w:ascii="宋体" w:hAnsi="宋体" w:eastAsia="宋体" w:cs="宋体"/>
                <w:b w:val="0"/>
                <w:bCs w:val="0"/>
                <w:kern w:val="0"/>
                <w:sz w:val="18"/>
                <w:szCs w:val="18"/>
                <w:lang w:bidi="ar"/>
              </w:rPr>
            </w:pPr>
          </w:p>
        </w:tc>
        <w:tc>
          <w:tcPr>
            <w:tcW w:w="6027" w:type="dxa"/>
            <w:vMerge w:val="continue"/>
            <w:tcBorders>
              <w:left w:val="single" w:color="auto" w:sz="4" w:space="0"/>
              <w:right w:val="single" w:color="auto" w:sz="4" w:space="0"/>
            </w:tcBorders>
            <w:noWrap w:val="0"/>
            <w:tcMar>
              <w:top w:w="0" w:type="dxa"/>
              <w:left w:w="0" w:type="dxa"/>
              <w:bottom w:w="0" w:type="dxa"/>
              <w:right w:w="0" w:type="dxa"/>
            </w:tcMar>
            <w:vAlign w:val="center"/>
          </w:tcPr>
          <w:p w14:paraId="40D82266">
            <w:pPr>
              <w:widowControl/>
              <w:spacing w:line="240" w:lineRule="exact"/>
              <w:textAlignment w:val="center"/>
              <w:rPr>
                <w:rFonts w:hint="eastAsia" w:ascii="宋体" w:hAnsi="宋体" w:eastAsia="宋体" w:cs="宋体"/>
                <w:b w:val="0"/>
                <w:bCs w:val="0"/>
                <w:kern w:val="0"/>
                <w:sz w:val="18"/>
                <w:szCs w:val="18"/>
                <w:lang w:bidi="ar"/>
              </w:rPr>
            </w:pPr>
          </w:p>
        </w:tc>
        <w:tc>
          <w:tcPr>
            <w:tcW w:w="1849" w:type="dxa"/>
            <w:vMerge w:val="continue"/>
            <w:tcBorders>
              <w:left w:val="single" w:color="auto" w:sz="4" w:space="0"/>
              <w:right w:val="single" w:color="auto" w:sz="4" w:space="0"/>
            </w:tcBorders>
            <w:noWrap w:val="0"/>
            <w:tcMar>
              <w:top w:w="0" w:type="dxa"/>
              <w:left w:w="0" w:type="dxa"/>
              <w:bottom w:w="0" w:type="dxa"/>
              <w:right w:w="0" w:type="dxa"/>
            </w:tcMar>
            <w:vAlign w:val="center"/>
          </w:tcPr>
          <w:p w14:paraId="45EBC704">
            <w:pPr>
              <w:spacing w:line="240" w:lineRule="exact"/>
              <w:jc w:val="both"/>
              <w:rPr>
                <w:rFonts w:hint="eastAsia" w:ascii="宋体" w:hAnsi="宋体" w:eastAsia="宋体" w:cs="宋体"/>
                <w:b w:val="0"/>
                <w:bCs w:val="0"/>
                <w:sz w:val="18"/>
                <w:szCs w:val="18"/>
              </w:rPr>
            </w:pPr>
          </w:p>
        </w:tc>
        <w:tc>
          <w:tcPr>
            <w:tcW w:w="51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B39FF72">
            <w:pPr>
              <w:spacing w:line="240" w:lineRule="exact"/>
              <w:jc w:val="center"/>
              <w:rPr>
                <w:rFonts w:hint="eastAsia" w:ascii="宋体" w:hAnsi="宋体" w:eastAsia="宋体" w:cs="宋体"/>
                <w:b w:val="0"/>
                <w:bCs w:val="0"/>
                <w:sz w:val="18"/>
                <w:szCs w:val="18"/>
              </w:rPr>
            </w:pPr>
            <w:r>
              <w:rPr>
                <w:rFonts w:hint="eastAsia" w:ascii="宋体" w:hAnsi="宋体" w:eastAsia="宋体" w:cs="宋体"/>
                <w:b w:val="0"/>
                <w:bCs w:val="0"/>
                <w:sz w:val="18"/>
                <w:szCs w:val="18"/>
              </w:rPr>
              <w:t>一般</w:t>
            </w:r>
          </w:p>
        </w:tc>
        <w:tc>
          <w:tcPr>
            <w:tcW w:w="242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1701D871">
            <w:pPr>
              <w:snapToGrid w:val="0"/>
              <w:spacing w:line="240" w:lineRule="auto"/>
              <mc:AlternateContent>
                <mc:Choice Requires="wpsCustomData">
                  <wpsCustomData:diagonalParaType/>
                </mc:Choice>
              </mc:AlternateContent>
              <w:rPr>
                <w:rFonts w:hint="eastAsia" w:ascii="宋体" w:hAnsi="宋体" w:eastAsia="宋体" w:cs="宋体"/>
                <w:b w:val="0"/>
                <w:bCs w:val="0"/>
                <w:sz w:val="18"/>
                <w:szCs w:val="18"/>
                <w:lang w:bidi="ar"/>
              </w:rPr>
            </w:pPr>
          </w:p>
          <w:p w14:paraId="7D7A7AAB">
            <w:pPr>
              <w:spacing w:line="240" w:lineRule="exact"/>
              <w:rPr>
                <w:rFonts w:hint="eastAsia" w:ascii="宋体" w:hAnsi="宋体" w:eastAsia="宋体" w:cs="宋体"/>
                <w:b w:val="0"/>
                <w:bCs w:val="0"/>
                <w:sz w:val="18"/>
                <w:szCs w:val="18"/>
                <w:lang w:bidi="ar"/>
              </w:rPr>
            </w:pPr>
          </w:p>
        </w:tc>
        <w:tc>
          <w:tcPr>
            <w:tcW w:w="1628"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6973EBF7">
            <w:pPr>
              <w:snapToGrid w:val="0"/>
              <w:spacing w:line="240" w:lineRule="auto"/>
              <mc:AlternateContent>
                <mc:Choice Requires="wpsCustomData">
                  <wpsCustomData:diagonalParaType/>
                </mc:Choice>
              </mc:AlternateContent>
              <w:rPr>
                <w:rFonts w:hint="eastAsia" w:ascii="宋体" w:hAnsi="宋体" w:eastAsia="宋体" w:cs="宋体"/>
                <w:b w:val="0"/>
                <w:bCs w:val="0"/>
                <w:sz w:val="18"/>
                <w:szCs w:val="18"/>
                <w:lang w:bidi="ar"/>
              </w:rPr>
            </w:pPr>
          </w:p>
          <w:p w14:paraId="5BD7FDCC">
            <w:pPr>
              <w:spacing w:line="240" w:lineRule="exact"/>
              <w:rPr>
                <w:rFonts w:hint="eastAsia" w:ascii="宋体" w:hAnsi="宋体" w:eastAsia="宋体" w:cs="宋体"/>
                <w:b w:val="0"/>
                <w:bCs w:val="0"/>
                <w:sz w:val="18"/>
                <w:szCs w:val="18"/>
                <w:lang w:bidi="ar"/>
              </w:rPr>
            </w:pPr>
          </w:p>
        </w:tc>
        <w:tc>
          <w:tcPr>
            <w:tcW w:w="739" w:type="dxa"/>
            <w:vMerge w:val="continue"/>
            <w:tcBorders>
              <w:left w:val="single" w:color="auto" w:sz="4" w:space="0"/>
              <w:right w:val="single" w:color="auto" w:sz="4" w:space="0"/>
            </w:tcBorders>
            <w:noWrap w:val="0"/>
            <w:tcMar>
              <w:top w:w="0" w:type="dxa"/>
              <w:left w:w="0" w:type="dxa"/>
              <w:bottom w:w="0" w:type="dxa"/>
              <w:right w:w="0" w:type="dxa"/>
            </w:tcMar>
            <w:vAlign w:val="center"/>
          </w:tcPr>
          <w:p w14:paraId="18D4B1BA">
            <w:pPr>
              <w:spacing w:line="240" w:lineRule="exact"/>
              <w:jc w:val="center"/>
              <w:rPr>
                <w:rStyle w:val="21"/>
                <w:rFonts w:hint="eastAsia" w:ascii="宋体" w:hAnsi="宋体" w:eastAsia="宋体" w:cs="宋体"/>
                <w:b w:val="0"/>
                <w:bCs w:val="0"/>
                <w:color w:val="auto"/>
                <w:sz w:val="18"/>
                <w:szCs w:val="18"/>
                <w:lang w:bidi="ar"/>
              </w:rPr>
            </w:pPr>
          </w:p>
        </w:tc>
      </w:tr>
      <w:tr w14:paraId="7F3EAB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3" w:hRule="atLeast"/>
          <w:jc w:val="center"/>
        </w:trPr>
        <w:tc>
          <w:tcPr>
            <w:tcW w:w="474" w:type="dxa"/>
            <w:vMerge w:val="continue"/>
            <w:tcBorders>
              <w:left w:val="single" w:color="auto" w:sz="4" w:space="0"/>
              <w:right w:val="single" w:color="auto" w:sz="4" w:space="0"/>
            </w:tcBorders>
            <w:noWrap w:val="0"/>
            <w:tcMar>
              <w:top w:w="0" w:type="dxa"/>
              <w:left w:w="0" w:type="dxa"/>
              <w:bottom w:w="0" w:type="dxa"/>
              <w:right w:w="0" w:type="dxa"/>
            </w:tcMar>
            <w:vAlign w:val="center"/>
          </w:tcPr>
          <w:p w14:paraId="3CD1FB87">
            <w:pPr>
              <w:widowControl/>
              <w:spacing w:line="240" w:lineRule="exact"/>
              <w:jc w:val="center"/>
              <w:textAlignment w:val="center"/>
              <w:rPr>
                <w:rFonts w:hint="eastAsia" w:ascii="宋体" w:hAnsi="宋体" w:eastAsia="宋体" w:cs="宋体"/>
                <w:b w:val="0"/>
                <w:bCs w:val="0"/>
                <w:kern w:val="0"/>
                <w:sz w:val="18"/>
                <w:szCs w:val="18"/>
                <w:lang w:bidi="ar"/>
              </w:rPr>
            </w:pPr>
          </w:p>
        </w:tc>
        <w:tc>
          <w:tcPr>
            <w:tcW w:w="1236" w:type="dxa"/>
            <w:vMerge w:val="continue"/>
            <w:tcBorders>
              <w:left w:val="single" w:color="auto" w:sz="4" w:space="0"/>
              <w:right w:val="single" w:color="auto" w:sz="4" w:space="0"/>
            </w:tcBorders>
            <w:noWrap w:val="0"/>
            <w:tcMar>
              <w:top w:w="0" w:type="dxa"/>
              <w:left w:w="0" w:type="dxa"/>
              <w:bottom w:w="0" w:type="dxa"/>
              <w:right w:w="0" w:type="dxa"/>
            </w:tcMar>
            <w:vAlign w:val="center"/>
          </w:tcPr>
          <w:p w14:paraId="4EC578D6">
            <w:pPr>
              <w:widowControl/>
              <w:spacing w:line="240" w:lineRule="exact"/>
              <w:jc w:val="both"/>
              <w:textAlignment w:val="center"/>
              <w:rPr>
                <w:rFonts w:hint="eastAsia" w:ascii="宋体" w:hAnsi="宋体" w:eastAsia="宋体" w:cs="宋体"/>
                <w:b w:val="0"/>
                <w:bCs w:val="0"/>
                <w:kern w:val="0"/>
                <w:sz w:val="18"/>
                <w:szCs w:val="18"/>
                <w:lang w:bidi="ar"/>
              </w:rPr>
            </w:pPr>
          </w:p>
        </w:tc>
        <w:tc>
          <w:tcPr>
            <w:tcW w:w="6027" w:type="dxa"/>
            <w:vMerge w:val="continue"/>
            <w:tcBorders>
              <w:left w:val="single" w:color="auto" w:sz="4" w:space="0"/>
              <w:right w:val="single" w:color="auto" w:sz="4" w:space="0"/>
            </w:tcBorders>
            <w:noWrap w:val="0"/>
            <w:tcMar>
              <w:top w:w="0" w:type="dxa"/>
              <w:left w:w="0" w:type="dxa"/>
              <w:bottom w:w="0" w:type="dxa"/>
              <w:right w:w="0" w:type="dxa"/>
            </w:tcMar>
            <w:vAlign w:val="center"/>
          </w:tcPr>
          <w:p w14:paraId="6CB05D98">
            <w:pPr>
              <w:widowControl/>
              <w:spacing w:line="240" w:lineRule="exact"/>
              <w:textAlignment w:val="center"/>
              <w:rPr>
                <w:rFonts w:hint="eastAsia" w:ascii="宋体" w:hAnsi="宋体" w:eastAsia="宋体" w:cs="宋体"/>
                <w:b w:val="0"/>
                <w:bCs w:val="0"/>
                <w:kern w:val="0"/>
                <w:sz w:val="18"/>
                <w:szCs w:val="18"/>
                <w:lang w:bidi="ar"/>
              </w:rPr>
            </w:pPr>
          </w:p>
        </w:tc>
        <w:tc>
          <w:tcPr>
            <w:tcW w:w="1849" w:type="dxa"/>
            <w:vMerge w:val="continue"/>
            <w:tcBorders>
              <w:left w:val="single" w:color="auto" w:sz="4" w:space="0"/>
              <w:right w:val="single" w:color="auto" w:sz="4" w:space="0"/>
            </w:tcBorders>
            <w:noWrap w:val="0"/>
            <w:tcMar>
              <w:top w:w="0" w:type="dxa"/>
              <w:left w:w="0" w:type="dxa"/>
              <w:bottom w:w="0" w:type="dxa"/>
              <w:right w:w="0" w:type="dxa"/>
            </w:tcMar>
            <w:vAlign w:val="center"/>
          </w:tcPr>
          <w:p w14:paraId="3378C8E6">
            <w:pPr>
              <w:spacing w:line="240" w:lineRule="exact"/>
              <w:jc w:val="both"/>
              <w:rPr>
                <w:rFonts w:hint="eastAsia" w:ascii="宋体" w:hAnsi="宋体" w:eastAsia="宋体" w:cs="宋体"/>
                <w:b w:val="0"/>
                <w:bCs w:val="0"/>
                <w:sz w:val="18"/>
                <w:szCs w:val="18"/>
              </w:rPr>
            </w:pPr>
          </w:p>
        </w:tc>
        <w:tc>
          <w:tcPr>
            <w:tcW w:w="51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3BDB93B">
            <w:pPr>
              <w:spacing w:line="240" w:lineRule="exact"/>
              <w:jc w:val="center"/>
              <w:rPr>
                <w:rFonts w:hint="eastAsia" w:ascii="宋体" w:hAnsi="宋体" w:eastAsia="宋体" w:cs="宋体"/>
                <w:b w:val="0"/>
                <w:bCs w:val="0"/>
                <w:sz w:val="18"/>
                <w:szCs w:val="18"/>
                <w:lang w:eastAsia="zh-CN"/>
              </w:rPr>
            </w:pPr>
            <w:r>
              <w:rPr>
                <w:rFonts w:hint="eastAsia" w:ascii="宋体" w:hAnsi="宋体" w:eastAsia="宋体" w:cs="宋体"/>
                <w:b w:val="0"/>
                <w:bCs w:val="0"/>
                <w:sz w:val="18"/>
                <w:szCs w:val="18"/>
                <w:lang w:eastAsia="zh-CN"/>
              </w:rPr>
              <w:t>较重</w:t>
            </w:r>
          </w:p>
        </w:tc>
        <w:tc>
          <w:tcPr>
            <w:tcW w:w="2420"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center"/>
          </w:tcPr>
          <w:p w14:paraId="44F25C98">
            <w:pPr>
              <w:spacing w:line="240" w:lineRule="exact"/>
              <w:rPr>
                <w:rFonts w:hint="eastAsia" w:ascii="宋体" w:hAnsi="宋体" w:eastAsia="宋体" w:cs="宋体"/>
                <w:b w:val="0"/>
                <w:bCs w:val="0"/>
                <w:kern w:val="2"/>
                <w:sz w:val="18"/>
                <w:szCs w:val="18"/>
                <w:lang w:val="en-US" w:eastAsia="zh-CN" w:bidi="ar"/>
              </w:rPr>
            </w:pPr>
            <w:r>
              <w:rPr>
                <w:rStyle w:val="21"/>
                <w:rFonts w:hint="eastAsia" w:ascii="宋体" w:hAnsi="宋体" w:eastAsia="宋体" w:cs="宋体"/>
                <w:b w:val="0"/>
                <w:bCs w:val="0"/>
                <w:color w:val="auto"/>
                <w:sz w:val="18"/>
                <w:szCs w:val="18"/>
                <w:lang w:bidi="ar"/>
              </w:rPr>
              <w:t>违反规划同意书的要求，影响防洪但在限期内采取补救措施的</w:t>
            </w:r>
          </w:p>
        </w:tc>
        <w:tc>
          <w:tcPr>
            <w:tcW w:w="1628"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center"/>
          </w:tcPr>
          <w:p w14:paraId="7A903927">
            <w:pPr>
              <w:spacing w:line="240" w:lineRule="exact"/>
              <w:rPr>
                <w:rFonts w:hint="eastAsia" w:ascii="宋体" w:hAnsi="宋体" w:eastAsia="宋体" w:cs="宋体"/>
                <w:b w:val="0"/>
                <w:bCs w:val="0"/>
                <w:kern w:val="2"/>
                <w:sz w:val="18"/>
                <w:szCs w:val="18"/>
                <w:lang w:val="en-US" w:eastAsia="zh-CN" w:bidi="ar"/>
              </w:rPr>
            </w:pPr>
            <w:r>
              <w:rPr>
                <w:rStyle w:val="21"/>
                <w:rFonts w:hint="eastAsia" w:ascii="宋体" w:hAnsi="宋体" w:eastAsia="宋体" w:cs="宋体"/>
                <w:b w:val="0"/>
                <w:bCs w:val="0"/>
                <w:color w:val="auto"/>
                <w:sz w:val="18"/>
                <w:szCs w:val="18"/>
                <w:lang w:bidi="ar"/>
              </w:rPr>
              <w:t>处</w:t>
            </w:r>
            <w:r>
              <w:rPr>
                <w:rStyle w:val="21"/>
                <w:rFonts w:hint="eastAsia" w:ascii="宋体" w:hAnsi="宋体" w:eastAsia="宋体" w:cs="宋体"/>
                <w:b w:val="0"/>
                <w:bCs w:val="0"/>
                <w:color w:val="auto"/>
                <w:sz w:val="18"/>
                <w:szCs w:val="18"/>
                <w:lang w:val="en-US" w:eastAsia="zh-CN" w:bidi="ar"/>
              </w:rPr>
              <w:t>1</w:t>
            </w:r>
            <w:r>
              <w:rPr>
                <w:rStyle w:val="21"/>
                <w:rFonts w:hint="eastAsia" w:ascii="宋体" w:hAnsi="宋体" w:eastAsia="宋体" w:cs="宋体"/>
                <w:b w:val="0"/>
                <w:bCs w:val="0"/>
                <w:color w:val="auto"/>
                <w:sz w:val="18"/>
                <w:szCs w:val="18"/>
                <w:lang w:bidi="ar"/>
              </w:rPr>
              <w:t>万元以上</w:t>
            </w:r>
            <w:r>
              <w:rPr>
                <w:rStyle w:val="21"/>
                <w:rFonts w:hint="eastAsia" w:ascii="宋体" w:hAnsi="宋体" w:eastAsia="宋体" w:cs="宋体"/>
                <w:b w:val="0"/>
                <w:bCs w:val="0"/>
                <w:color w:val="auto"/>
                <w:sz w:val="18"/>
                <w:szCs w:val="18"/>
                <w:lang w:val="en-US" w:eastAsia="zh-CN" w:bidi="ar"/>
              </w:rPr>
              <w:t>5</w:t>
            </w:r>
            <w:r>
              <w:rPr>
                <w:rStyle w:val="21"/>
                <w:rFonts w:hint="eastAsia" w:ascii="宋体" w:hAnsi="宋体" w:eastAsia="宋体" w:cs="宋体"/>
                <w:b w:val="0"/>
                <w:bCs w:val="0"/>
                <w:color w:val="auto"/>
                <w:sz w:val="18"/>
                <w:szCs w:val="18"/>
                <w:lang w:bidi="ar"/>
              </w:rPr>
              <w:t>万元以下罚款</w:t>
            </w:r>
          </w:p>
        </w:tc>
        <w:tc>
          <w:tcPr>
            <w:tcW w:w="739" w:type="dxa"/>
            <w:vMerge w:val="continue"/>
            <w:tcBorders>
              <w:left w:val="single" w:color="auto" w:sz="4" w:space="0"/>
              <w:right w:val="single" w:color="auto" w:sz="4" w:space="0"/>
            </w:tcBorders>
            <w:noWrap w:val="0"/>
            <w:tcMar>
              <w:top w:w="0" w:type="dxa"/>
              <w:left w:w="0" w:type="dxa"/>
              <w:bottom w:w="0" w:type="dxa"/>
              <w:right w:w="0" w:type="dxa"/>
            </w:tcMar>
            <w:vAlign w:val="center"/>
          </w:tcPr>
          <w:p w14:paraId="54BE7666">
            <w:pPr>
              <w:spacing w:line="240" w:lineRule="exact"/>
              <w:jc w:val="center"/>
              <w:rPr>
                <w:rStyle w:val="21"/>
                <w:rFonts w:hint="eastAsia" w:ascii="宋体" w:hAnsi="宋体" w:eastAsia="宋体" w:cs="宋体"/>
                <w:b w:val="0"/>
                <w:bCs w:val="0"/>
                <w:color w:val="auto"/>
                <w:sz w:val="18"/>
                <w:szCs w:val="18"/>
                <w:lang w:bidi="ar"/>
              </w:rPr>
            </w:pPr>
          </w:p>
        </w:tc>
      </w:tr>
      <w:tr w14:paraId="5FA72B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jc w:val="center"/>
        </w:trPr>
        <w:tc>
          <w:tcPr>
            <w:tcW w:w="474" w:type="dxa"/>
            <w:vMerge w:val="continue"/>
            <w:tcBorders>
              <w:left w:val="single" w:color="auto" w:sz="4" w:space="0"/>
              <w:right w:val="single" w:color="auto" w:sz="4" w:space="0"/>
            </w:tcBorders>
            <w:noWrap w:val="0"/>
            <w:tcMar>
              <w:top w:w="0" w:type="dxa"/>
              <w:left w:w="0" w:type="dxa"/>
              <w:bottom w:w="0" w:type="dxa"/>
              <w:right w:w="0" w:type="dxa"/>
            </w:tcMar>
            <w:vAlign w:val="center"/>
          </w:tcPr>
          <w:p w14:paraId="01DFAACB">
            <w:pPr>
              <w:widowControl/>
              <w:spacing w:line="240" w:lineRule="exact"/>
              <w:jc w:val="center"/>
              <w:textAlignment w:val="center"/>
              <w:rPr>
                <w:rFonts w:hint="eastAsia" w:ascii="宋体" w:hAnsi="宋体" w:eastAsia="宋体" w:cs="宋体"/>
                <w:b w:val="0"/>
                <w:bCs w:val="0"/>
                <w:kern w:val="0"/>
                <w:sz w:val="18"/>
                <w:szCs w:val="18"/>
                <w:lang w:bidi="ar"/>
              </w:rPr>
            </w:pPr>
          </w:p>
        </w:tc>
        <w:tc>
          <w:tcPr>
            <w:tcW w:w="1236" w:type="dxa"/>
            <w:vMerge w:val="continue"/>
            <w:tcBorders>
              <w:left w:val="single" w:color="auto" w:sz="4" w:space="0"/>
              <w:right w:val="single" w:color="auto" w:sz="4" w:space="0"/>
            </w:tcBorders>
            <w:noWrap w:val="0"/>
            <w:tcMar>
              <w:top w:w="0" w:type="dxa"/>
              <w:left w:w="0" w:type="dxa"/>
              <w:bottom w:w="0" w:type="dxa"/>
              <w:right w:w="0" w:type="dxa"/>
            </w:tcMar>
            <w:vAlign w:val="center"/>
          </w:tcPr>
          <w:p w14:paraId="6B25DC60">
            <w:pPr>
              <w:widowControl/>
              <w:spacing w:line="240" w:lineRule="exact"/>
              <w:jc w:val="both"/>
              <w:textAlignment w:val="center"/>
              <w:rPr>
                <w:rFonts w:hint="eastAsia" w:ascii="宋体" w:hAnsi="宋体" w:eastAsia="宋体" w:cs="宋体"/>
                <w:b w:val="0"/>
                <w:bCs w:val="0"/>
                <w:kern w:val="0"/>
                <w:sz w:val="18"/>
                <w:szCs w:val="18"/>
                <w:lang w:bidi="ar"/>
              </w:rPr>
            </w:pPr>
          </w:p>
        </w:tc>
        <w:tc>
          <w:tcPr>
            <w:tcW w:w="6027" w:type="dxa"/>
            <w:vMerge w:val="continue"/>
            <w:tcBorders>
              <w:left w:val="single" w:color="auto" w:sz="4" w:space="0"/>
              <w:right w:val="single" w:color="auto" w:sz="4" w:space="0"/>
            </w:tcBorders>
            <w:noWrap w:val="0"/>
            <w:tcMar>
              <w:top w:w="0" w:type="dxa"/>
              <w:left w:w="0" w:type="dxa"/>
              <w:bottom w:w="0" w:type="dxa"/>
              <w:right w:w="0" w:type="dxa"/>
            </w:tcMar>
            <w:vAlign w:val="center"/>
          </w:tcPr>
          <w:p w14:paraId="3BDF64DA">
            <w:pPr>
              <w:widowControl/>
              <w:spacing w:line="240" w:lineRule="exact"/>
              <w:textAlignment w:val="center"/>
              <w:rPr>
                <w:rFonts w:hint="eastAsia" w:ascii="宋体" w:hAnsi="宋体" w:eastAsia="宋体" w:cs="宋体"/>
                <w:b w:val="0"/>
                <w:bCs w:val="0"/>
                <w:kern w:val="0"/>
                <w:sz w:val="18"/>
                <w:szCs w:val="18"/>
                <w:lang w:bidi="ar"/>
              </w:rPr>
            </w:pPr>
          </w:p>
        </w:tc>
        <w:tc>
          <w:tcPr>
            <w:tcW w:w="1849" w:type="dxa"/>
            <w:vMerge w:val="continue"/>
            <w:tcBorders>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542975B">
            <w:pPr>
              <w:spacing w:line="240" w:lineRule="exact"/>
              <w:jc w:val="both"/>
              <w:rPr>
                <w:rFonts w:hint="eastAsia" w:ascii="宋体" w:hAnsi="宋体" w:eastAsia="宋体" w:cs="宋体"/>
                <w:b w:val="0"/>
                <w:bCs w:val="0"/>
                <w:sz w:val="18"/>
                <w:szCs w:val="18"/>
              </w:rPr>
            </w:pPr>
          </w:p>
        </w:tc>
        <w:tc>
          <w:tcPr>
            <w:tcW w:w="51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15802F0">
            <w:pPr>
              <w:spacing w:line="240" w:lineRule="exact"/>
              <w:jc w:val="center"/>
              <w:rPr>
                <w:rFonts w:hint="eastAsia" w:ascii="宋体" w:hAnsi="宋体" w:eastAsia="宋体" w:cs="宋体"/>
                <w:b w:val="0"/>
                <w:bCs w:val="0"/>
                <w:sz w:val="18"/>
                <w:szCs w:val="18"/>
              </w:rPr>
            </w:pPr>
            <w:r>
              <w:rPr>
                <w:rFonts w:hint="eastAsia" w:ascii="宋体" w:hAnsi="宋体" w:eastAsia="宋体" w:cs="宋体"/>
                <w:b w:val="0"/>
                <w:bCs w:val="0"/>
                <w:sz w:val="18"/>
                <w:szCs w:val="18"/>
              </w:rPr>
              <w:t>严重</w:t>
            </w:r>
          </w:p>
        </w:tc>
        <w:tc>
          <w:tcPr>
            <w:tcW w:w="2420"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center"/>
          </w:tcPr>
          <w:p w14:paraId="7E9470F1">
            <w:pPr>
              <w:spacing w:line="240" w:lineRule="exact"/>
              <w:rPr>
                <w:rFonts w:hint="eastAsia" w:ascii="宋体" w:hAnsi="宋体" w:eastAsia="宋体" w:cs="宋体"/>
                <w:b w:val="0"/>
                <w:bCs w:val="0"/>
                <w:kern w:val="2"/>
                <w:sz w:val="18"/>
                <w:szCs w:val="18"/>
                <w:lang w:val="en-US" w:eastAsia="zh-CN" w:bidi="ar"/>
              </w:rPr>
            </w:pPr>
            <w:r>
              <w:rPr>
                <w:rStyle w:val="21"/>
                <w:rFonts w:hint="eastAsia" w:ascii="宋体" w:hAnsi="宋体" w:eastAsia="宋体" w:cs="宋体"/>
                <w:b w:val="0"/>
                <w:bCs w:val="0"/>
                <w:color w:val="auto"/>
                <w:sz w:val="18"/>
                <w:szCs w:val="18"/>
                <w:lang w:bidi="ar"/>
              </w:rPr>
              <w:t>违反规划同意书的要求，影响防洪但未在限期内采取补救措施的</w:t>
            </w:r>
          </w:p>
        </w:tc>
        <w:tc>
          <w:tcPr>
            <w:tcW w:w="1628"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center"/>
          </w:tcPr>
          <w:p w14:paraId="187E3913">
            <w:pPr>
              <w:spacing w:line="240" w:lineRule="exact"/>
              <w:rPr>
                <w:rFonts w:hint="eastAsia" w:ascii="宋体" w:hAnsi="宋体" w:eastAsia="宋体" w:cs="宋体"/>
                <w:b w:val="0"/>
                <w:bCs w:val="0"/>
                <w:kern w:val="2"/>
                <w:sz w:val="18"/>
                <w:szCs w:val="18"/>
                <w:lang w:val="en-US" w:eastAsia="zh-CN" w:bidi="ar"/>
              </w:rPr>
            </w:pPr>
            <w:r>
              <w:rPr>
                <w:rStyle w:val="21"/>
                <w:rFonts w:hint="eastAsia" w:ascii="宋体" w:hAnsi="宋体" w:eastAsia="宋体" w:cs="宋体"/>
                <w:b w:val="0"/>
                <w:bCs w:val="0"/>
                <w:color w:val="auto"/>
                <w:sz w:val="18"/>
                <w:szCs w:val="18"/>
                <w:lang w:bidi="ar"/>
              </w:rPr>
              <w:t>处</w:t>
            </w:r>
            <w:r>
              <w:rPr>
                <w:rStyle w:val="21"/>
                <w:rFonts w:hint="eastAsia" w:ascii="宋体" w:hAnsi="宋体" w:eastAsia="宋体" w:cs="宋体"/>
                <w:b w:val="0"/>
                <w:bCs w:val="0"/>
                <w:color w:val="auto"/>
                <w:sz w:val="18"/>
                <w:szCs w:val="18"/>
                <w:lang w:val="en-US" w:eastAsia="zh-CN" w:bidi="ar"/>
              </w:rPr>
              <w:t>5</w:t>
            </w:r>
            <w:r>
              <w:rPr>
                <w:rStyle w:val="21"/>
                <w:rFonts w:hint="eastAsia" w:ascii="宋体" w:hAnsi="宋体" w:eastAsia="宋体" w:cs="宋体"/>
                <w:b w:val="0"/>
                <w:bCs w:val="0"/>
                <w:color w:val="auto"/>
                <w:sz w:val="18"/>
                <w:szCs w:val="18"/>
                <w:lang w:bidi="ar"/>
              </w:rPr>
              <w:t>万元以上</w:t>
            </w:r>
            <w:r>
              <w:rPr>
                <w:rStyle w:val="21"/>
                <w:rFonts w:hint="eastAsia" w:ascii="宋体" w:hAnsi="宋体" w:eastAsia="宋体" w:cs="宋体"/>
                <w:b w:val="0"/>
                <w:bCs w:val="0"/>
                <w:color w:val="auto"/>
                <w:sz w:val="18"/>
                <w:szCs w:val="18"/>
                <w:lang w:val="en-US" w:eastAsia="zh-CN" w:bidi="ar"/>
              </w:rPr>
              <w:t>10</w:t>
            </w:r>
            <w:r>
              <w:rPr>
                <w:rStyle w:val="21"/>
                <w:rFonts w:hint="eastAsia" w:ascii="宋体" w:hAnsi="宋体" w:eastAsia="宋体" w:cs="宋体"/>
                <w:b w:val="0"/>
                <w:bCs w:val="0"/>
                <w:color w:val="auto"/>
                <w:sz w:val="18"/>
                <w:szCs w:val="18"/>
                <w:lang w:bidi="ar"/>
              </w:rPr>
              <w:t>万元以下罚款</w:t>
            </w:r>
          </w:p>
        </w:tc>
        <w:tc>
          <w:tcPr>
            <w:tcW w:w="739" w:type="dxa"/>
            <w:vMerge w:val="continue"/>
            <w:tcBorders>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CD26F30">
            <w:pPr>
              <w:spacing w:line="240" w:lineRule="exact"/>
              <w:jc w:val="center"/>
              <w:rPr>
                <w:rStyle w:val="21"/>
                <w:rFonts w:hint="eastAsia" w:ascii="宋体" w:hAnsi="宋体" w:eastAsia="宋体" w:cs="宋体"/>
                <w:b w:val="0"/>
                <w:bCs w:val="0"/>
                <w:color w:val="auto"/>
                <w:sz w:val="18"/>
                <w:szCs w:val="18"/>
                <w:lang w:bidi="ar"/>
              </w:rPr>
            </w:pPr>
          </w:p>
        </w:tc>
      </w:tr>
      <w:tr w14:paraId="2C8389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4" w:hRule="atLeast"/>
          <w:jc w:val="center"/>
        </w:trPr>
        <w:tc>
          <w:tcPr>
            <w:tcW w:w="474" w:type="dxa"/>
            <w:vMerge w:val="continue"/>
            <w:tcBorders>
              <w:left w:val="single" w:color="auto" w:sz="4" w:space="0"/>
              <w:right w:val="single" w:color="auto" w:sz="4" w:space="0"/>
            </w:tcBorders>
            <w:noWrap w:val="0"/>
            <w:tcMar>
              <w:top w:w="0" w:type="dxa"/>
              <w:left w:w="0" w:type="dxa"/>
              <w:bottom w:w="0" w:type="dxa"/>
              <w:right w:w="0" w:type="dxa"/>
            </w:tcMar>
            <w:vAlign w:val="center"/>
          </w:tcPr>
          <w:p w14:paraId="1C10369E">
            <w:pPr>
              <w:widowControl/>
              <w:spacing w:line="240" w:lineRule="exact"/>
              <w:jc w:val="center"/>
              <w:textAlignment w:val="center"/>
              <w:rPr>
                <w:rFonts w:hint="eastAsia" w:ascii="宋体" w:hAnsi="宋体" w:eastAsia="宋体" w:cs="宋体"/>
                <w:b w:val="0"/>
                <w:bCs w:val="0"/>
                <w:sz w:val="18"/>
                <w:szCs w:val="18"/>
              </w:rPr>
            </w:pPr>
          </w:p>
        </w:tc>
        <w:tc>
          <w:tcPr>
            <w:tcW w:w="1236" w:type="dxa"/>
            <w:vMerge w:val="continue"/>
            <w:tcBorders>
              <w:left w:val="single" w:color="auto" w:sz="4" w:space="0"/>
              <w:right w:val="single" w:color="auto" w:sz="4" w:space="0"/>
            </w:tcBorders>
            <w:noWrap w:val="0"/>
            <w:tcMar>
              <w:top w:w="0" w:type="dxa"/>
              <w:left w:w="0" w:type="dxa"/>
              <w:bottom w:w="0" w:type="dxa"/>
              <w:right w:w="0" w:type="dxa"/>
            </w:tcMar>
            <w:vAlign w:val="center"/>
          </w:tcPr>
          <w:p w14:paraId="44C681DF">
            <w:pPr>
              <w:widowControl/>
              <w:spacing w:line="240" w:lineRule="exact"/>
              <w:jc w:val="both"/>
              <w:textAlignment w:val="center"/>
              <w:rPr>
                <w:rFonts w:hint="eastAsia" w:ascii="宋体" w:hAnsi="宋体" w:eastAsia="宋体" w:cs="宋体"/>
                <w:b w:val="0"/>
                <w:bCs w:val="0"/>
                <w:kern w:val="0"/>
                <w:sz w:val="18"/>
                <w:szCs w:val="18"/>
                <w:lang w:bidi="ar"/>
              </w:rPr>
            </w:pPr>
          </w:p>
        </w:tc>
        <w:tc>
          <w:tcPr>
            <w:tcW w:w="6027" w:type="dxa"/>
            <w:vMerge w:val="continue"/>
            <w:tcBorders>
              <w:left w:val="single" w:color="auto" w:sz="4" w:space="0"/>
              <w:right w:val="single" w:color="auto" w:sz="4" w:space="0"/>
            </w:tcBorders>
            <w:noWrap w:val="0"/>
            <w:tcMar>
              <w:top w:w="0" w:type="dxa"/>
              <w:left w:w="0" w:type="dxa"/>
              <w:bottom w:w="0" w:type="dxa"/>
              <w:right w:w="0" w:type="dxa"/>
            </w:tcMar>
            <w:vAlign w:val="center"/>
          </w:tcPr>
          <w:p w14:paraId="5A8386FC">
            <w:pPr>
              <w:widowControl/>
              <w:spacing w:line="240" w:lineRule="exact"/>
              <w:textAlignment w:val="center"/>
              <w:rPr>
                <w:rFonts w:hint="eastAsia" w:ascii="宋体" w:hAnsi="宋体" w:eastAsia="宋体" w:cs="宋体"/>
                <w:b w:val="0"/>
                <w:bCs w:val="0"/>
                <w:kern w:val="0"/>
                <w:sz w:val="18"/>
                <w:szCs w:val="18"/>
                <w:lang w:bidi="ar"/>
              </w:rPr>
            </w:pPr>
          </w:p>
        </w:tc>
        <w:tc>
          <w:tcPr>
            <w:tcW w:w="1849" w:type="dxa"/>
            <w:tcBorders>
              <w:top w:val="single" w:color="auto" w:sz="4" w:space="0"/>
              <w:left w:val="single" w:color="auto" w:sz="4" w:space="0"/>
              <w:right w:val="single" w:color="auto" w:sz="4" w:space="0"/>
            </w:tcBorders>
            <w:noWrap w:val="0"/>
            <w:tcMar>
              <w:top w:w="0" w:type="dxa"/>
              <w:left w:w="0" w:type="dxa"/>
              <w:bottom w:w="0" w:type="dxa"/>
              <w:right w:w="0" w:type="dxa"/>
            </w:tcMar>
            <w:vAlign w:val="center"/>
          </w:tcPr>
          <w:p w14:paraId="291DBB6A">
            <w:pPr>
              <w:spacing w:line="240" w:lineRule="exact"/>
              <w:jc w:val="both"/>
              <w:rPr>
                <w:rFonts w:hint="eastAsia" w:ascii="宋体" w:hAnsi="宋体" w:eastAsia="宋体" w:cs="宋体"/>
                <w:b w:val="0"/>
                <w:bCs w:val="0"/>
                <w:sz w:val="18"/>
                <w:szCs w:val="18"/>
              </w:rPr>
            </w:pPr>
            <w:r>
              <w:rPr>
                <w:rFonts w:hint="eastAsia" w:ascii="宋体" w:hAnsi="宋体" w:eastAsia="宋体" w:cs="宋体"/>
                <w:b w:val="0"/>
                <w:bCs w:val="0"/>
                <w:kern w:val="0"/>
                <w:sz w:val="18"/>
                <w:szCs w:val="18"/>
                <w:highlight w:val="none"/>
                <w:lang w:bidi="ar"/>
              </w:rPr>
              <w:t>未经水行政主管部门对其工程建设方案审查同意或者未按照有关水行政主管部门审查批准的位置、界限，在河道、湖泊管理范围内从事工程设施建设活动影响行洪但尚可采取补救措施的</w:t>
            </w:r>
          </w:p>
        </w:tc>
        <w:tc>
          <w:tcPr>
            <w:tcW w:w="51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4B9E0E1">
            <w:pPr>
              <w:spacing w:line="240" w:lineRule="exact"/>
              <w:jc w:val="center"/>
              <w:rPr>
                <w:rFonts w:hint="eastAsia" w:ascii="宋体" w:hAnsi="宋体" w:eastAsia="宋体" w:cs="宋体"/>
                <w:b w:val="0"/>
                <w:bCs w:val="0"/>
                <w:sz w:val="18"/>
                <w:szCs w:val="18"/>
              </w:rPr>
            </w:pPr>
            <w:r>
              <w:rPr>
                <w:rFonts w:hint="eastAsia" w:ascii="宋体" w:hAnsi="宋体" w:eastAsia="宋体" w:cs="宋体"/>
                <w:b w:val="0"/>
                <w:bCs w:val="0"/>
                <w:sz w:val="18"/>
                <w:szCs w:val="18"/>
              </w:rPr>
              <w:t>轻微</w:t>
            </w:r>
          </w:p>
        </w:tc>
        <w:tc>
          <w:tcPr>
            <w:tcW w:w="242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CA845E4">
            <w:pPr>
              <w:spacing w:line="240" w:lineRule="exact"/>
              <w:rPr>
                <w:rFonts w:hint="eastAsia" w:ascii="宋体" w:hAnsi="宋体" w:eastAsia="宋体" w:cs="宋体"/>
                <w:b w:val="0"/>
                <w:bCs w:val="0"/>
                <w:kern w:val="0"/>
                <w:sz w:val="18"/>
                <w:szCs w:val="18"/>
                <w:highlight w:val="none"/>
                <w:lang w:val="en-US" w:eastAsia="zh-CN" w:bidi="ar"/>
              </w:rPr>
            </w:pPr>
            <w:r>
              <w:rPr>
                <w:rFonts w:hint="eastAsia" w:ascii="宋体" w:hAnsi="宋体" w:eastAsia="宋体" w:cs="宋体"/>
                <w:b w:val="0"/>
                <w:bCs w:val="0"/>
                <w:kern w:val="0"/>
                <w:sz w:val="18"/>
                <w:szCs w:val="18"/>
                <w:highlight w:val="none"/>
                <w:lang w:val="en-US" w:eastAsia="zh-CN" w:bidi="ar"/>
              </w:rPr>
              <w:t>1.首次违法；</w:t>
            </w:r>
          </w:p>
          <w:p w14:paraId="7B08D72C">
            <w:pPr>
              <w:spacing w:line="240" w:lineRule="exact"/>
              <w:rPr>
                <w:rFonts w:hint="eastAsia" w:ascii="宋体" w:hAnsi="宋体" w:eastAsia="宋体" w:cs="宋体"/>
                <w:b w:val="0"/>
                <w:bCs w:val="0"/>
                <w:kern w:val="0"/>
                <w:sz w:val="18"/>
                <w:szCs w:val="18"/>
                <w:highlight w:val="none"/>
                <w:lang w:val="en-US" w:eastAsia="zh-CN" w:bidi="ar"/>
              </w:rPr>
            </w:pPr>
            <w:r>
              <w:rPr>
                <w:rFonts w:hint="eastAsia" w:ascii="宋体" w:hAnsi="宋体" w:eastAsia="宋体" w:cs="宋体"/>
                <w:b w:val="0"/>
                <w:bCs w:val="0"/>
                <w:kern w:val="0"/>
                <w:sz w:val="18"/>
                <w:szCs w:val="18"/>
                <w:highlight w:val="none"/>
                <w:lang w:val="en-US" w:eastAsia="zh-CN" w:bidi="ar"/>
              </w:rPr>
              <w:t>2.</w:t>
            </w:r>
            <w:r>
              <w:rPr>
                <w:rFonts w:hint="eastAsia" w:ascii="宋体" w:hAnsi="宋体" w:eastAsia="宋体" w:cs="宋体"/>
                <w:b w:val="0"/>
                <w:bCs w:val="0"/>
                <w:kern w:val="0"/>
                <w:sz w:val="18"/>
                <w:szCs w:val="18"/>
                <w:highlight w:val="none"/>
                <w:lang w:bidi="ar"/>
              </w:rPr>
              <w:t>影响行洪但尚可采取补救措施的，</w:t>
            </w:r>
            <w:r>
              <w:rPr>
                <w:rStyle w:val="21"/>
                <w:rFonts w:hint="eastAsia" w:ascii="宋体" w:hAnsi="宋体" w:eastAsia="宋体" w:cs="宋体"/>
                <w:b w:val="0"/>
                <w:bCs w:val="0"/>
                <w:color w:val="auto"/>
                <w:sz w:val="18"/>
                <w:szCs w:val="18"/>
                <w:lang w:val="en-US" w:eastAsia="zh-CN" w:bidi="ar"/>
              </w:rPr>
              <w:t>立即</w:t>
            </w:r>
            <w:r>
              <w:rPr>
                <w:rStyle w:val="21"/>
                <w:rFonts w:hint="eastAsia" w:ascii="宋体" w:hAnsi="宋体" w:eastAsia="宋体" w:cs="宋体"/>
                <w:b w:val="0"/>
                <w:bCs w:val="0"/>
                <w:color w:val="auto"/>
                <w:sz w:val="18"/>
                <w:szCs w:val="18"/>
                <w:lang w:bidi="ar"/>
              </w:rPr>
              <w:t>停止违法行为，未造成危害后果的，</w:t>
            </w:r>
            <w:r>
              <w:rPr>
                <w:rFonts w:hint="eastAsia" w:ascii="宋体" w:hAnsi="宋体" w:eastAsia="宋体" w:cs="宋体"/>
                <w:b w:val="0"/>
                <w:bCs w:val="0"/>
                <w:kern w:val="0"/>
                <w:sz w:val="18"/>
                <w:szCs w:val="18"/>
                <w:highlight w:val="none"/>
                <w:lang w:eastAsia="zh-CN" w:bidi="ar"/>
              </w:rPr>
              <w:t>在</w:t>
            </w:r>
            <w:r>
              <w:rPr>
                <w:rFonts w:hint="eastAsia" w:ascii="宋体" w:hAnsi="宋体" w:eastAsia="宋体" w:cs="宋体"/>
                <w:b w:val="0"/>
                <w:bCs w:val="0"/>
                <w:kern w:val="0"/>
                <w:sz w:val="18"/>
                <w:szCs w:val="18"/>
                <w:highlight w:val="none"/>
                <w:lang w:val="en-US" w:eastAsia="zh-CN" w:bidi="ar"/>
              </w:rPr>
              <w:t>3个月内</w:t>
            </w:r>
            <w:r>
              <w:rPr>
                <w:rFonts w:hint="eastAsia" w:ascii="宋体" w:hAnsi="宋体" w:eastAsia="宋体" w:cs="宋体"/>
                <w:b w:val="0"/>
                <w:bCs w:val="0"/>
                <w:kern w:val="0"/>
                <w:sz w:val="18"/>
                <w:szCs w:val="18"/>
                <w:highlight w:val="none"/>
                <w:lang w:bidi="ar"/>
              </w:rPr>
              <w:t>采取补救措施</w:t>
            </w:r>
            <w:r>
              <w:rPr>
                <w:rFonts w:hint="eastAsia" w:ascii="宋体" w:hAnsi="宋体" w:eastAsia="宋体" w:cs="宋体"/>
                <w:b w:val="0"/>
                <w:bCs w:val="0"/>
                <w:kern w:val="0"/>
                <w:sz w:val="18"/>
                <w:szCs w:val="18"/>
                <w:highlight w:val="none"/>
                <w:lang w:val="en-US" w:eastAsia="zh-CN" w:bidi="ar"/>
              </w:rPr>
              <w:t>的；</w:t>
            </w:r>
          </w:p>
          <w:p w14:paraId="4FB717D9">
            <w:pPr>
              <w:pStyle w:val="2"/>
              <w:spacing w:line="240" w:lineRule="exact"/>
              <w:rPr>
                <w:rFonts w:hint="eastAsia" w:ascii="宋体" w:hAnsi="宋体" w:eastAsia="宋体" w:cs="宋体"/>
                <w:b w:val="0"/>
                <w:bCs w:val="0"/>
                <w:sz w:val="18"/>
                <w:szCs w:val="18"/>
                <w:lang w:val="en-US" w:eastAsia="zh-CN"/>
              </w:rPr>
            </w:pPr>
            <w:r>
              <w:rPr>
                <w:rStyle w:val="21"/>
                <w:rFonts w:hint="eastAsia" w:ascii="宋体" w:hAnsi="宋体" w:eastAsia="宋体" w:cs="宋体"/>
                <w:b w:val="0"/>
                <w:bCs w:val="0"/>
                <w:sz w:val="18"/>
                <w:szCs w:val="18"/>
                <w:lang w:val="en-US" w:eastAsia="zh-CN" w:bidi="ar"/>
              </w:rPr>
              <w:t>（注：符合上述所有情形的，不予处罚，应将本次违法情况进行登记备案，以后再发生类似问题的将不再适用本条件）</w:t>
            </w:r>
          </w:p>
        </w:tc>
        <w:tc>
          <w:tcPr>
            <w:tcW w:w="1628"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BC9470B">
            <w:pPr>
              <w:spacing w:line="240" w:lineRule="exact"/>
              <w:rPr>
                <w:rStyle w:val="21"/>
                <w:rFonts w:hint="eastAsia" w:ascii="宋体" w:hAnsi="宋体" w:eastAsia="宋体" w:cs="宋体"/>
                <w:b w:val="0"/>
                <w:bCs w:val="0"/>
                <w:color w:val="auto"/>
                <w:sz w:val="18"/>
                <w:szCs w:val="18"/>
                <w:lang w:val="en-US" w:eastAsia="zh-CN" w:bidi="ar"/>
              </w:rPr>
            </w:pPr>
            <w:r>
              <w:rPr>
                <w:rStyle w:val="21"/>
                <w:rFonts w:hint="eastAsia" w:ascii="宋体" w:hAnsi="宋体" w:eastAsia="宋体" w:cs="宋体"/>
                <w:b w:val="0"/>
                <w:bCs w:val="0"/>
                <w:color w:val="auto"/>
                <w:sz w:val="18"/>
                <w:szCs w:val="18"/>
                <w:lang w:val="en-US" w:eastAsia="zh-CN" w:bidi="ar"/>
              </w:rPr>
              <w:t>不予处罚</w:t>
            </w:r>
          </w:p>
        </w:tc>
        <w:tc>
          <w:tcPr>
            <w:tcW w:w="739" w:type="dxa"/>
            <w:vMerge w:val="restart"/>
            <w:tcBorders>
              <w:top w:val="single" w:color="auto" w:sz="4" w:space="0"/>
              <w:left w:val="single" w:color="auto" w:sz="4" w:space="0"/>
              <w:right w:val="single" w:color="auto" w:sz="4" w:space="0"/>
            </w:tcBorders>
            <w:noWrap w:val="0"/>
            <w:tcMar>
              <w:top w:w="0" w:type="dxa"/>
              <w:left w:w="0" w:type="dxa"/>
              <w:bottom w:w="0" w:type="dxa"/>
              <w:right w:w="0" w:type="dxa"/>
            </w:tcMar>
            <w:vAlign w:val="center"/>
          </w:tcPr>
          <w:p w14:paraId="34AC093C">
            <w:pPr>
              <w:spacing w:line="240" w:lineRule="exact"/>
              <w:jc w:val="center"/>
              <w:rPr>
                <w:rStyle w:val="21"/>
                <w:rFonts w:hint="eastAsia" w:ascii="宋体" w:hAnsi="宋体" w:eastAsia="宋体" w:cs="宋体"/>
                <w:b w:val="0"/>
                <w:bCs w:val="0"/>
                <w:color w:val="auto"/>
                <w:sz w:val="18"/>
                <w:szCs w:val="18"/>
                <w:lang w:bidi="ar"/>
              </w:rPr>
            </w:pPr>
          </w:p>
        </w:tc>
      </w:tr>
      <w:tr w14:paraId="429FE6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74" w:type="dxa"/>
            <w:vMerge w:val="restart"/>
            <w:tcBorders>
              <w:left w:val="single" w:color="auto" w:sz="4" w:space="0"/>
              <w:right w:val="single" w:color="auto" w:sz="4" w:space="0"/>
            </w:tcBorders>
            <w:noWrap w:val="0"/>
            <w:tcMar>
              <w:top w:w="0" w:type="dxa"/>
              <w:left w:w="0" w:type="dxa"/>
              <w:bottom w:w="0" w:type="dxa"/>
              <w:right w:w="0" w:type="dxa"/>
            </w:tcMar>
            <w:vAlign w:val="center"/>
          </w:tcPr>
          <w:p w14:paraId="53EAD89D">
            <w:pPr>
              <w:spacing w:line="240" w:lineRule="exact"/>
              <w:jc w:val="center"/>
              <w:rPr>
                <w:rFonts w:hint="eastAsia" w:ascii="宋体" w:hAnsi="宋体" w:eastAsia="宋体" w:cs="宋体"/>
                <w:b w:val="0"/>
                <w:bCs w:val="0"/>
                <w:sz w:val="18"/>
                <w:szCs w:val="18"/>
              </w:rPr>
            </w:pPr>
            <w:r>
              <w:rPr>
                <w:rFonts w:hint="eastAsia" w:ascii="宋体" w:hAnsi="宋体" w:eastAsia="宋体" w:cs="宋体"/>
                <w:b w:val="0"/>
                <w:bCs w:val="0"/>
                <w:sz w:val="18"/>
                <w:szCs w:val="18"/>
                <w:lang w:val="en-US" w:eastAsia="zh-CN"/>
              </w:rPr>
              <w:t>25</w:t>
            </w:r>
          </w:p>
        </w:tc>
        <w:tc>
          <w:tcPr>
            <w:tcW w:w="1236" w:type="dxa"/>
            <w:vMerge w:val="restart"/>
            <w:tcBorders>
              <w:left w:val="single" w:color="auto" w:sz="4" w:space="0"/>
              <w:right w:val="single" w:color="auto" w:sz="4" w:space="0"/>
            </w:tcBorders>
            <w:noWrap w:val="0"/>
            <w:tcMar>
              <w:top w:w="0" w:type="dxa"/>
              <w:left w:w="0" w:type="dxa"/>
              <w:bottom w:w="0" w:type="dxa"/>
              <w:right w:w="0" w:type="dxa"/>
            </w:tcMar>
            <w:vAlign w:val="center"/>
          </w:tcPr>
          <w:p w14:paraId="08A678D8">
            <w:pPr>
              <w:widowControl/>
              <w:spacing w:line="240" w:lineRule="exact"/>
              <w:textAlignment w:val="center"/>
              <w:rPr>
                <w:rFonts w:hint="eastAsia" w:ascii="宋体" w:hAnsi="宋体" w:eastAsia="宋体" w:cs="宋体"/>
                <w:b w:val="0"/>
                <w:bCs w:val="0"/>
                <w:kern w:val="0"/>
                <w:sz w:val="18"/>
                <w:szCs w:val="18"/>
                <w:lang w:bidi="ar"/>
              </w:rPr>
            </w:pPr>
            <w:r>
              <w:rPr>
                <w:rFonts w:hint="eastAsia" w:ascii="宋体" w:hAnsi="宋体" w:eastAsia="宋体" w:cs="宋体"/>
                <w:b w:val="0"/>
                <w:bCs w:val="0"/>
                <w:kern w:val="0"/>
                <w:sz w:val="18"/>
                <w:szCs w:val="18"/>
                <w:lang w:bidi="ar"/>
              </w:rPr>
              <w:t>对在河道管理范围内建设妨碍行洪的建筑物、构筑物，或者从事影响河势稳定、危害河岸堤防安全和其他妨碍河道行洪的活动，擅自修建水工程，或者建设桥梁、码头和其他拦河、跨河、临河建筑物、构筑物，铺设跨河管道、电缆等行为的行政处罚</w:t>
            </w:r>
          </w:p>
        </w:tc>
        <w:tc>
          <w:tcPr>
            <w:tcW w:w="6027" w:type="dxa"/>
            <w:vMerge w:val="continue"/>
            <w:tcBorders>
              <w:left w:val="single" w:color="auto" w:sz="4" w:space="0"/>
              <w:right w:val="single" w:color="auto" w:sz="4" w:space="0"/>
            </w:tcBorders>
            <w:noWrap w:val="0"/>
            <w:tcMar>
              <w:top w:w="0" w:type="dxa"/>
              <w:left w:w="0" w:type="dxa"/>
              <w:bottom w:w="0" w:type="dxa"/>
              <w:right w:w="0" w:type="dxa"/>
            </w:tcMar>
            <w:vAlign w:val="center"/>
          </w:tcPr>
          <w:p w14:paraId="425D92A3">
            <w:pPr>
              <w:widowControl/>
              <w:spacing w:line="240" w:lineRule="exact"/>
              <w:ind w:firstLine="360" w:firstLineChars="200"/>
              <w:textAlignment w:val="center"/>
              <w:rPr>
                <w:rFonts w:hint="eastAsia" w:ascii="宋体" w:hAnsi="宋体" w:eastAsia="宋体" w:cs="宋体"/>
                <w:b w:val="0"/>
                <w:bCs w:val="0"/>
                <w:kern w:val="0"/>
                <w:sz w:val="18"/>
                <w:szCs w:val="18"/>
                <w:lang w:bidi="ar"/>
              </w:rPr>
            </w:pPr>
          </w:p>
        </w:tc>
        <w:tc>
          <w:tcPr>
            <w:tcW w:w="1849" w:type="dxa"/>
            <w:vMerge w:val="restart"/>
            <w:tcBorders>
              <w:left w:val="single" w:color="auto" w:sz="4" w:space="0"/>
              <w:right w:val="single" w:color="auto" w:sz="4" w:space="0"/>
            </w:tcBorders>
            <w:noWrap w:val="0"/>
            <w:tcMar>
              <w:top w:w="0" w:type="dxa"/>
              <w:left w:w="0" w:type="dxa"/>
              <w:bottom w:w="0" w:type="dxa"/>
              <w:right w:w="0" w:type="dxa"/>
            </w:tcMar>
            <w:vAlign w:val="center"/>
          </w:tcPr>
          <w:p w14:paraId="3D71CA99">
            <w:pPr>
              <w:spacing w:line="240" w:lineRule="exact"/>
              <w:jc w:val="both"/>
              <w:rPr>
                <w:rFonts w:hint="eastAsia" w:ascii="宋体" w:hAnsi="宋体" w:eastAsia="宋体" w:cs="宋体"/>
                <w:b w:val="0"/>
                <w:bCs w:val="0"/>
                <w:sz w:val="18"/>
                <w:szCs w:val="18"/>
              </w:rPr>
            </w:pPr>
            <w:r>
              <w:rPr>
                <w:rFonts w:hint="eastAsia" w:ascii="宋体" w:hAnsi="宋体" w:eastAsia="宋体" w:cs="宋体"/>
                <w:b w:val="0"/>
                <w:bCs w:val="0"/>
                <w:kern w:val="0"/>
                <w:sz w:val="18"/>
                <w:szCs w:val="18"/>
                <w:highlight w:val="none"/>
                <w:lang w:bidi="ar"/>
              </w:rPr>
              <w:t>未经水行政主管部门对其工程建设方案审查同意或者未按照有关水行政主管部门审查批准的位置、界限，在河道、湖泊管理范围内从事工程设施建设活动影响行洪但尚可采取补救措施的</w:t>
            </w:r>
          </w:p>
        </w:tc>
        <w:tc>
          <w:tcPr>
            <w:tcW w:w="51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C1B129A">
            <w:pPr>
              <w:spacing w:line="240" w:lineRule="exact"/>
              <w:jc w:val="center"/>
              <w:rPr>
                <w:rFonts w:hint="eastAsia" w:ascii="宋体" w:hAnsi="宋体" w:eastAsia="宋体" w:cs="宋体"/>
                <w:b w:val="0"/>
                <w:bCs w:val="0"/>
                <w:sz w:val="18"/>
                <w:szCs w:val="18"/>
              </w:rPr>
            </w:pPr>
            <w:r>
              <w:rPr>
                <w:rFonts w:hint="eastAsia" w:ascii="宋体" w:hAnsi="宋体" w:eastAsia="宋体" w:cs="宋体"/>
                <w:b w:val="0"/>
                <w:bCs w:val="0"/>
                <w:sz w:val="18"/>
                <w:szCs w:val="18"/>
              </w:rPr>
              <w:t>较轻</w:t>
            </w:r>
          </w:p>
        </w:tc>
        <w:tc>
          <w:tcPr>
            <w:tcW w:w="242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00EFC1F">
            <w:pPr>
              <w:spacing w:line="260" w:lineRule="exact"/>
              <w:rPr>
                <w:rFonts w:hint="eastAsia" w:ascii="宋体" w:hAnsi="宋体" w:eastAsia="宋体" w:cs="宋体"/>
                <w:b w:val="0"/>
                <w:bCs w:val="0"/>
                <w:sz w:val="18"/>
                <w:szCs w:val="18"/>
                <w:lang w:bidi="ar"/>
              </w:rPr>
            </w:pPr>
            <w:r>
              <w:rPr>
                <w:rFonts w:hint="eastAsia" w:ascii="宋体" w:hAnsi="宋体" w:eastAsia="宋体" w:cs="宋体"/>
                <w:b w:val="0"/>
                <w:bCs w:val="0"/>
                <w:kern w:val="0"/>
                <w:sz w:val="18"/>
                <w:szCs w:val="18"/>
                <w:highlight w:val="none"/>
                <w:lang w:bidi="ar"/>
              </w:rPr>
              <w:t>影响行洪但尚可采取补救措施的，</w:t>
            </w:r>
            <w:r>
              <w:rPr>
                <w:rFonts w:hint="eastAsia" w:ascii="宋体" w:hAnsi="宋体" w:eastAsia="宋体" w:cs="宋体"/>
                <w:b w:val="0"/>
                <w:bCs w:val="0"/>
                <w:kern w:val="0"/>
                <w:sz w:val="18"/>
                <w:szCs w:val="18"/>
                <w:highlight w:val="none"/>
                <w:lang w:val="en-US" w:eastAsia="zh-CN" w:bidi="ar"/>
              </w:rPr>
              <w:t>但未在3个月内</w:t>
            </w:r>
            <w:r>
              <w:rPr>
                <w:rFonts w:hint="eastAsia" w:ascii="宋体" w:hAnsi="宋体" w:eastAsia="宋体" w:cs="宋体"/>
                <w:b w:val="0"/>
                <w:bCs w:val="0"/>
                <w:kern w:val="0"/>
                <w:sz w:val="18"/>
                <w:szCs w:val="18"/>
                <w:highlight w:val="none"/>
                <w:lang w:bidi="ar"/>
              </w:rPr>
              <w:t>采取补救措施</w:t>
            </w:r>
            <w:r>
              <w:rPr>
                <w:rFonts w:hint="eastAsia" w:ascii="宋体" w:hAnsi="宋体" w:eastAsia="宋体" w:cs="宋体"/>
                <w:b w:val="0"/>
                <w:bCs w:val="0"/>
                <w:kern w:val="0"/>
                <w:sz w:val="18"/>
                <w:szCs w:val="18"/>
                <w:highlight w:val="none"/>
                <w:lang w:val="en-US" w:eastAsia="zh-CN" w:bidi="ar"/>
              </w:rPr>
              <w:t>的</w:t>
            </w:r>
            <w:r>
              <w:rPr>
                <w:rFonts w:hint="eastAsia" w:ascii="宋体" w:hAnsi="宋体" w:eastAsia="宋体" w:cs="宋体"/>
                <w:b w:val="0"/>
                <w:bCs w:val="0"/>
                <w:kern w:val="0"/>
                <w:sz w:val="18"/>
                <w:szCs w:val="18"/>
                <w:highlight w:val="none"/>
                <w:lang w:bidi="ar"/>
              </w:rPr>
              <w:t>，</w:t>
            </w:r>
            <w:r>
              <w:rPr>
                <w:rStyle w:val="21"/>
                <w:rFonts w:hint="eastAsia" w:ascii="宋体" w:hAnsi="宋体" w:eastAsia="宋体" w:cs="宋体"/>
                <w:b w:val="0"/>
                <w:bCs w:val="0"/>
                <w:color w:val="auto"/>
                <w:sz w:val="18"/>
                <w:szCs w:val="18"/>
                <w:lang w:bidi="ar"/>
              </w:rPr>
              <w:t>投资额在</w:t>
            </w:r>
            <w:r>
              <w:rPr>
                <w:rStyle w:val="21"/>
                <w:rFonts w:hint="eastAsia" w:ascii="宋体" w:hAnsi="宋体" w:eastAsia="宋体" w:cs="宋体"/>
                <w:b w:val="0"/>
                <w:bCs w:val="0"/>
                <w:color w:val="auto"/>
                <w:sz w:val="18"/>
                <w:szCs w:val="18"/>
                <w:lang w:val="en-US" w:eastAsia="zh-CN" w:bidi="ar"/>
              </w:rPr>
              <w:t>10</w:t>
            </w:r>
            <w:r>
              <w:rPr>
                <w:rStyle w:val="21"/>
                <w:rFonts w:hint="eastAsia" w:ascii="宋体" w:hAnsi="宋体" w:eastAsia="宋体" w:cs="宋体"/>
                <w:b w:val="0"/>
                <w:bCs w:val="0"/>
                <w:color w:val="auto"/>
                <w:sz w:val="18"/>
                <w:szCs w:val="18"/>
                <w:lang w:bidi="ar"/>
              </w:rPr>
              <w:t>万元以下的</w:t>
            </w:r>
          </w:p>
        </w:tc>
        <w:tc>
          <w:tcPr>
            <w:tcW w:w="1628"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F25EBA2">
            <w:pPr>
              <w:spacing w:line="240" w:lineRule="exact"/>
              <w:rPr>
                <w:rFonts w:hint="eastAsia" w:ascii="宋体" w:hAnsi="宋体" w:eastAsia="宋体" w:cs="宋体"/>
                <w:b w:val="0"/>
                <w:bCs w:val="0"/>
                <w:sz w:val="18"/>
                <w:szCs w:val="18"/>
                <w:lang w:bidi="ar"/>
              </w:rPr>
            </w:pPr>
            <w:r>
              <w:rPr>
                <w:rStyle w:val="21"/>
                <w:rFonts w:hint="eastAsia" w:ascii="宋体" w:hAnsi="宋体" w:eastAsia="宋体" w:cs="宋体"/>
                <w:b w:val="0"/>
                <w:bCs w:val="0"/>
                <w:color w:val="auto"/>
                <w:sz w:val="18"/>
                <w:szCs w:val="18"/>
                <w:lang w:bidi="ar"/>
              </w:rPr>
              <w:t>处</w:t>
            </w:r>
            <w:r>
              <w:rPr>
                <w:rStyle w:val="21"/>
                <w:rFonts w:hint="eastAsia" w:ascii="宋体" w:hAnsi="宋体" w:eastAsia="宋体" w:cs="宋体"/>
                <w:b w:val="0"/>
                <w:bCs w:val="0"/>
                <w:color w:val="auto"/>
                <w:sz w:val="18"/>
                <w:szCs w:val="18"/>
                <w:lang w:val="en-US" w:eastAsia="zh-CN" w:bidi="ar"/>
              </w:rPr>
              <w:t>1</w:t>
            </w:r>
            <w:r>
              <w:rPr>
                <w:rStyle w:val="21"/>
                <w:rFonts w:hint="eastAsia" w:ascii="宋体" w:hAnsi="宋体" w:eastAsia="宋体" w:cs="宋体"/>
                <w:b w:val="0"/>
                <w:bCs w:val="0"/>
                <w:color w:val="auto"/>
                <w:sz w:val="18"/>
                <w:szCs w:val="18"/>
                <w:lang w:bidi="ar"/>
              </w:rPr>
              <w:t>万元罚款</w:t>
            </w:r>
          </w:p>
        </w:tc>
        <w:tc>
          <w:tcPr>
            <w:tcW w:w="739" w:type="dxa"/>
            <w:vMerge w:val="continue"/>
            <w:tcBorders>
              <w:left w:val="single" w:color="auto" w:sz="4" w:space="0"/>
              <w:right w:val="single" w:color="auto" w:sz="4" w:space="0"/>
            </w:tcBorders>
            <w:noWrap w:val="0"/>
            <w:tcMar>
              <w:top w:w="0" w:type="dxa"/>
              <w:left w:w="0" w:type="dxa"/>
              <w:bottom w:w="0" w:type="dxa"/>
              <w:right w:w="0" w:type="dxa"/>
            </w:tcMar>
            <w:vAlign w:val="center"/>
          </w:tcPr>
          <w:p w14:paraId="1D5A3216">
            <w:pPr>
              <w:spacing w:line="240" w:lineRule="exact"/>
              <w:jc w:val="center"/>
              <w:rPr>
                <w:rStyle w:val="21"/>
                <w:rFonts w:hint="eastAsia" w:ascii="宋体" w:hAnsi="宋体" w:eastAsia="宋体" w:cs="宋体"/>
                <w:b w:val="0"/>
                <w:bCs w:val="0"/>
                <w:color w:val="auto"/>
                <w:sz w:val="18"/>
                <w:szCs w:val="18"/>
                <w:lang w:bidi="ar"/>
              </w:rPr>
            </w:pPr>
          </w:p>
        </w:tc>
      </w:tr>
      <w:tr w14:paraId="41059B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74" w:type="dxa"/>
            <w:vMerge w:val="continue"/>
            <w:tcBorders>
              <w:left w:val="single" w:color="auto" w:sz="4" w:space="0"/>
              <w:right w:val="single" w:color="auto" w:sz="4" w:space="0"/>
            </w:tcBorders>
            <w:noWrap w:val="0"/>
            <w:tcMar>
              <w:top w:w="0" w:type="dxa"/>
              <w:left w:w="0" w:type="dxa"/>
              <w:bottom w:w="0" w:type="dxa"/>
              <w:right w:w="0" w:type="dxa"/>
            </w:tcMar>
            <w:vAlign w:val="center"/>
          </w:tcPr>
          <w:p w14:paraId="29A88F46">
            <w:pPr>
              <w:spacing w:line="240" w:lineRule="exact"/>
              <w:jc w:val="center"/>
              <w:rPr>
                <w:rFonts w:hint="eastAsia" w:ascii="宋体" w:hAnsi="宋体" w:eastAsia="宋体" w:cs="宋体"/>
                <w:b w:val="0"/>
                <w:bCs w:val="0"/>
                <w:sz w:val="18"/>
                <w:szCs w:val="18"/>
              </w:rPr>
            </w:pPr>
          </w:p>
        </w:tc>
        <w:tc>
          <w:tcPr>
            <w:tcW w:w="1236" w:type="dxa"/>
            <w:vMerge w:val="continue"/>
            <w:tcBorders>
              <w:left w:val="single" w:color="auto" w:sz="4" w:space="0"/>
              <w:right w:val="single" w:color="auto" w:sz="4" w:space="0"/>
            </w:tcBorders>
            <w:noWrap w:val="0"/>
            <w:tcMar>
              <w:top w:w="0" w:type="dxa"/>
              <w:left w:w="0" w:type="dxa"/>
              <w:bottom w:w="0" w:type="dxa"/>
              <w:right w:w="0" w:type="dxa"/>
            </w:tcMar>
            <w:vAlign w:val="center"/>
          </w:tcPr>
          <w:p w14:paraId="021890A8">
            <w:pPr>
              <w:widowControl/>
              <w:spacing w:line="240" w:lineRule="exact"/>
              <w:textAlignment w:val="center"/>
              <w:rPr>
                <w:rFonts w:hint="eastAsia" w:ascii="宋体" w:hAnsi="宋体" w:eastAsia="宋体" w:cs="宋体"/>
                <w:b w:val="0"/>
                <w:bCs w:val="0"/>
                <w:kern w:val="0"/>
                <w:sz w:val="18"/>
                <w:szCs w:val="18"/>
                <w:lang w:bidi="ar"/>
              </w:rPr>
            </w:pPr>
          </w:p>
        </w:tc>
        <w:tc>
          <w:tcPr>
            <w:tcW w:w="6027" w:type="dxa"/>
            <w:vMerge w:val="continue"/>
            <w:tcBorders>
              <w:left w:val="single" w:color="auto" w:sz="4" w:space="0"/>
              <w:right w:val="single" w:color="auto" w:sz="4" w:space="0"/>
            </w:tcBorders>
            <w:noWrap w:val="0"/>
            <w:tcMar>
              <w:top w:w="0" w:type="dxa"/>
              <w:left w:w="0" w:type="dxa"/>
              <w:bottom w:w="0" w:type="dxa"/>
              <w:right w:w="0" w:type="dxa"/>
            </w:tcMar>
            <w:vAlign w:val="center"/>
          </w:tcPr>
          <w:p w14:paraId="0E3368C0">
            <w:pPr>
              <w:widowControl/>
              <w:spacing w:line="240" w:lineRule="exact"/>
              <w:ind w:firstLine="360" w:firstLineChars="200"/>
              <w:textAlignment w:val="center"/>
              <w:rPr>
                <w:rFonts w:hint="eastAsia" w:ascii="宋体" w:hAnsi="宋体" w:eastAsia="宋体" w:cs="宋体"/>
                <w:b w:val="0"/>
                <w:bCs w:val="0"/>
                <w:kern w:val="0"/>
                <w:sz w:val="18"/>
                <w:szCs w:val="18"/>
                <w:lang w:bidi="ar"/>
              </w:rPr>
            </w:pPr>
          </w:p>
        </w:tc>
        <w:tc>
          <w:tcPr>
            <w:tcW w:w="1849" w:type="dxa"/>
            <w:vMerge w:val="continue"/>
            <w:tcBorders>
              <w:left w:val="single" w:color="auto" w:sz="4" w:space="0"/>
              <w:right w:val="single" w:color="auto" w:sz="4" w:space="0"/>
            </w:tcBorders>
            <w:noWrap w:val="0"/>
            <w:tcMar>
              <w:top w:w="0" w:type="dxa"/>
              <w:left w:w="0" w:type="dxa"/>
              <w:bottom w:w="0" w:type="dxa"/>
              <w:right w:w="0" w:type="dxa"/>
            </w:tcMar>
            <w:vAlign w:val="center"/>
          </w:tcPr>
          <w:p w14:paraId="58528FC1">
            <w:pPr>
              <w:spacing w:line="240" w:lineRule="exact"/>
              <w:jc w:val="both"/>
              <w:rPr>
                <w:rFonts w:hint="eastAsia" w:ascii="宋体" w:hAnsi="宋体" w:eastAsia="宋体" w:cs="宋体"/>
                <w:b w:val="0"/>
                <w:bCs w:val="0"/>
                <w:sz w:val="18"/>
                <w:szCs w:val="18"/>
              </w:rPr>
            </w:pPr>
          </w:p>
        </w:tc>
        <w:tc>
          <w:tcPr>
            <w:tcW w:w="51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8E63306">
            <w:pPr>
              <w:spacing w:line="240" w:lineRule="exact"/>
              <w:jc w:val="center"/>
              <w:rPr>
                <w:rFonts w:hint="eastAsia" w:ascii="宋体" w:hAnsi="宋体" w:eastAsia="宋体" w:cs="宋体"/>
                <w:b w:val="0"/>
                <w:bCs w:val="0"/>
                <w:sz w:val="18"/>
                <w:szCs w:val="18"/>
              </w:rPr>
            </w:pPr>
            <w:r>
              <w:rPr>
                <w:rFonts w:hint="eastAsia" w:ascii="宋体" w:hAnsi="宋体" w:eastAsia="宋体" w:cs="宋体"/>
                <w:b w:val="0"/>
                <w:bCs w:val="0"/>
                <w:sz w:val="18"/>
                <w:szCs w:val="18"/>
              </w:rPr>
              <w:t>一般</w:t>
            </w:r>
          </w:p>
        </w:tc>
        <w:tc>
          <w:tcPr>
            <w:tcW w:w="242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EC8EFF8">
            <w:pPr>
              <w:spacing w:line="260" w:lineRule="exact"/>
              <w:rPr>
                <w:rFonts w:hint="eastAsia" w:ascii="宋体" w:hAnsi="宋体" w:eastAsia="宋体" w:cs="宋体"/>
                <w:b w:val="0"/>
                <w:bCs w:val="0"/>
                <w:sz w:val="18"/>
                <w:szCs w:val="18"/>
                <w:lang w:val="en-US" w:bidi="ar"/>
              </w:rPr>
            </w:pPr>
            <w:r>
              <w:rPr>
                <w:rFonts w:hint="eastAsia" w:ascii="宋体" w:hAnsi="宋体" w:eastAsia="宋体" w:cs="宋体"/>
                <w:b w:val="0"/>
                <w:bCs w:val="0"/>
                <w:kern w:val="0"/>
                <w:sz w:val="18"/>
                <w:szCs w:val="18"/>
                <w:highlight w:val="none"/>
                <w:lang w:bidi="ar"/>
              </w:rPr>
              <w:t>影响行洪但尚可采取补救措施的，</w:t>
            </w:r>
            <w:r>
              <w:rPr>
                <w:rFonts w:hint="eastAsia" w:ascii="宋体" w:hAnsi="宋体" w:eastAsia="宋体" w:cs="宋体"/>
                <w:b w:val="0"/>
                <w:bCs w:val="0"/>
                <w:kern w:val="0"/>
                <w:sz w:val="18"/>
                <w:szCs w:val="18"/>
                <w:highlight w:val="none"/>
                <w:lang w:val="en-US" w:eastAsia="zh-CN" w:bidi="ar"/>
              </w:rPr>
              <w:t>但未在3个月内</w:t>
            </w:r>
            <w:r>
              <w:rPr>
                <w:rFonts w:hint="eastAsia" w:ascii="宋体" w:hAnsi="宋体" w:eastAsia="宋体" w:cs="宋体"/>
                <w:b w:val="0"/>
                <w:bCs w:val="0"/>
                <w:kern w:val="0"/>
                <w:sz w:val="18"/>
                <w:szCs w:val="18"/>
                <w:highlight w:val="none"/>
                <w:lang w:bidi="ar"/>
              </w:rPr>
              <w:t>采取补救措施</w:t>
            </w:r>
            <w:r>
              <w:rPr>
                <w:rFonts w:hint="eastAsia" w:ascii="宋体" w:hAnsi="宋体" w:eastAsia="宋体" w:cs="宋体"/>
                <w:b w:val="0"/>
                <w:bCs w:val="0"/>
                <w:kern w:val="0"/>
                <w:sz w:val="18"/>
                <w:szCs w:val="18"/>
                <w:highlight w:val="none"/>
                <w:lang w:val="en-US" w:eastAsia="zh-CN" w:bidi="ar"/>
              </w:rPr>
              <w:t>的</w:t>
            </w:r>
            <w:r>
              <w:rPr>
                <w:rFonts w:hint="eastAsia" w:ascii="宋体" w:hAnsi="宋体" w:eastAsia="宋体" w:cs="宋体"/>
                <w:b w:val="0"/>
                <w:bCs w:val="0"/>
                <w:kern w:val="0"/>
                <w:sz w:val="18"/>
                <w:szCs w:val="18"/>
                <w:highlight w:val="none"/>
                <w:lang w:bidi="ar"/>
              </w:rPr>
              <w:t>，</w:t>
            </w:r>
            <w:r>
              <w:rPr>
                <w:rStyle w:val="21"/>
                <w:rFonts w:hint="eastAsia" w:ascii="宋体" w:hAnsi="宋体" w:eastAsia="宋体" w:cs="宋体"/>
                <w:b w:val="0"/>
                <w:bCs w:val="0"/>
                <w:color w:val="auto"/>
                <w:sz w:val="18"/>
                <w:szCs w:val="18"/>
                <w:lang w:bidi="ar"/>
              </w:rPr>
              <w:t>投资额在</w:t>
            </w:r>
            <w:r>
              <w:rPr>
                <w:rStyle w:val="21"/>
                <w:rFonts w:hint="eastAsia" w:ascii="宋体" w:hAnsi="宋体" w:eastAsia="宋体" w:cs="宋体"/>
                <w:b w:val="0"/>
                <w:bCs w:val="0"/>
                <w:color w:val="auto"/>
                <w:sz w:val="18"/>
                <w:szCs w:val="18"/>
                <w:lang w:val="en-US" w:eastAsia="zh-CN" w:bidi="ar"/>
              </w:rPr>
              <w:t>10</w:t>
            </w:r>
            <w:r>
              <w:rPr>
                <w:rStyle w:val="21"/>
                <w:rFonts w:hint="eastAsia" w:ascii="宋体" w:hAnsi="宋体" w:eastAsia="宋体" w:cs="宋体"/>
                <w:b w:val="0"/>
                <w:bCs w:val="0"/>
                <w:color w:val="auto"/>
                <w:sz w:val="18"/>
                <w:szCs w:val="18"/>
                <w:lang w:bidi="ar"/>
              </w:rPr>
              <w:t>万元以</w:t>
            </w:r>
            <w:r>
              <w:rPr>
                <w:rStyle w:val="21"/>
                <w:rFonts w:hint="eastAsia" w:ascii="宋体" w:hAnsi="宋体" w:eastAsia="宋体" w:cs="宋体"/>
                <w:b w:val="0"/>
                <w:bCs w:val="0"/>
                <w:color w:val="auto"/>
                <w:sz w:val="18"/>
                <w:szCs w:val="18"/>
                <w:lang w:val="en-US" w:eastAsia="zh-CN" w:bidi="ar"/>
              </w:rPr>
              <w:t>上20万元以下的</w:t>
            </w:r>
          </w:p>
        </w:tc>
        <w:tc>
          <w:tcPr>
            <w:tcW w:w="1628"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FD93689">
            <w:pPr>
              <w:spacing w:line="240" w:lineRule="exact"/>
              <w:rPr>
                <w:rFonts w:hint="eastAsia" w:ascii="宋体" w:hAnsi="宋体" w:eastAsia="宋体" w:cs="宋体"/>
                <w:b w:val="0"/>
                <w:bCs w:val="0"/>
                <w:sz w:val="18"/>
                <w:szCs w:val="18"/>
                <w:lang w:bidi="ar"/>
              </w:rPr>
            </w:pPr>
            <w:r>
              <w:rPr>
                <w:rStyle w:val="21"/>
                <w:rFonts w:hint="eastAsia" w:ascii="宋体" w:hAnsi="宋体" w:eastAsia="宋体" w:cs="宋体"/>
                <w:b w:val="0"/>
                <w:bCs w:val="0"/>
                <w:color w:val="auto"/>
                <w:sz w:val="18"/>
                <w:szCs w:val="18"/>
                <w:lang w:bidi="ar"/>
              </w:rPr>
              <w:t>处</w:t>
            </w:r>
            <w:r>
              <w:rPr>
                <w:rStyle w:val="21"/>
                <w:rFonts w:hint="eastAsia" w:ascii="宋体" w:hAnsi="宋体" w:eastAsia="宋体" w:cs="宋体"/>
                <w:b w:val="0"/>
                <w:bCs w:val="0"/>
                <w:color w:val="auto"/>
                <w:sz w:val="18"/>
                <w:szCs w:val="18"/>
                <w:lang w:val="en-US" w:eastAsia="zh-CN" w:bidi="ar"/>
              </w:rPr>
              <w:t>1</w:t>
            </w:r>
            <w:r>
              <w:rPr>
                <w:rStyle w:val="21"/>
                <w:rFonts w:hint="eastAsia" w:ascii="宋体" w:hAnsi="宋体" w:eastAsia="宋体" w:cs="宋体"/>
                <w:b w:val="0"/>
                <w:bCs w:val="0"/>
                <w:color w:val="auto"/>
                <w:sz w:val="18"/>
                <w:szCs w:val="18"/>
                <w:lang w:bidi="ar"/>
              </w:rPr>
              <w:t>万元以上</w:t>
            </w:r>
            <w:r>
              <w:rPr>
                <w:rStyle w:val="21"/>
                <w:rFonts w:hint="eastAsia" w:ascii="宋体" w:hAnsi="宋体" w:eastAsia="宋体" w:cs="宋体"/>
                <w:b w:val="0"/>
                <w:bCs w:val="0"/>
                <w:color w:val="auto"/>
                <w:sz w:val="18"/>
                <w:szCs w:val="18"/>
                <w:lang w:val="en-US" w:eastAsia="zh-CN" w:bidi="ar"/>
              </w:rPr>
              <w:t>3</w:t>
            </w:r>
            <w:r>
              <w:rPr>
                <w:rStyle w:val="21"/>
                <w:rFonts w:hint="eastAsia" w:ascii="宋体" w:hAnsi="宋体" w:eastAsia="宋体" w:cs="宋体"/>
                <w:b w:val="0"/>
                <w:bCs w:val="0"/>
                <w:color w:val="auto"/>
                <w:sz w:val="18"/>
                <w:szCs w:val="18"/>
                <w:lang w:bidi="ar"/>
              </w:rPr>
              <w:t>万元以下罚款</w:t>
            </w:r>
          </w:p>
        </w:tc>
        <w:tc>
          <w:tcPr>
            <w:tcW w:w="739" w:type="dxa"/>
            <w:vMerge w:val="continue"/>
            <w:tcBorders>
              <w:left w:val="single" w:color="auto" w:sz="4" w:space="0"/>
              <w:right w:val="single" w:color="auto" w:sz="4" w:space="0"/>
            </w:tcBorders>
            <w:noWrap w:val="0"/>
            <w:tcMar>
              <w:top w:w="0" w:type="dxa"/>
              <w:left w:w="0" w:type="dxa"/>
              <w:bottom w:w="0" w:type="dxa"/>
              <w:right w:w="0" w:type="dxa"/>
            </w:tcMar>
            <w:vAlign w:val="center"/>
          </w:tcPr>
          <w:p w14:paraId="713D78D6">
            <w:pPr>
              <w:spacing w:line="240" w:lineRule="exact"/>
              <w:jc w:val="center"/>
              <w:rPr>
                <w:rStyle w:val="21"/>
                <w:rFonts w:hint="eastAsia" w:ascii="宋体" w:hAnsi="宋体" w:eastAsia="宋体" w:cs="宋体"/>
                <w:b w:val="0"/>
                <w:bCs w:val="0"/>
                <w:color w:val="auto"/>
                <w:sz w:val="18"/>
                <w:szCs w:val="18"/>
                <w:lang w:bidi="ar"/>
              </w:rPr>
            </w:pPr>
          </w:p>
        </w:tc>
      </w:tr>
      <w:tr w14:paraId="77C20A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74" w:type="dxa"/>
            <w:vMerge w:val="continue"/>
            <w:tcBorders>
              <w:left w:val="single" w:color="auto" w:sz="4" w:space="0"/>
              <w:right w:val="single" w:color="auto" w:sz="4" w:space="0"/>
            </w:tcBorders>
            <w:noWrap w:val="0"/>
            <w:tcMar>
              <w:top w:w="0" w:type="dxa"/>
              <w:left w:w="0" w:type="dxa"/>
              <w:bottom w:w="0" w:type="dxa"/>
              <w:right w:w="0" w:type="dxa"/>
            </w:tcMar>
            <w:vAlign w:val="center"/>
          </w:tcPr>
          <w:p w14:paraId="7C15E178">
            <w:pPr>
              <w:spacing w:line="240" w:lineRule="exact"/>
              <w:jc w:val="center"/>
              <w:rPr>
                <w:rFonts w:hint="eastAsia" w:ascii="宋体" w:hAnsi="宋体" w:eastAsia="宋体" w:cs="宋体"/>
                <w:b w:val="0"/>
                <w:bCs w:val="0"/>
                <w:sz w:val="18"/>
                <w:szCs w:val="18"/>
              </w:rPr>
            </w:pPr>
          </w:p>
        </w:tc>
        <w:tc>
          <w:tcPr>
            <w:tcW w:w="1236" w:type="dxa"/>
            <w:vMerge w:val="continue"/>
            <w:tcBorders>
              <w:left w:val="single" w:color="auto" w:sz="4" w:space="0"/>
              <w:right w:val="single" w:color="auto" w:sz="4" w:space="0"/>
            </w:tcBorders>
            <w:noWrap w:val="0"/>
            <w:tcMar>
              <w:top w:w="0" w:type="dxa"/>
              <w:left w:w="0" w:type="dxa"/>
              <w:bottom w:w="0" w:type="dxa"/>
              <w:right w:w="0" w:type="dxa"/>
            </w:tcMar>
            <w:vAlign w:val="center"/>
          </w:tcPr>
          <w:p w14:paraId="72F49369">
            <w:pPr>
              <w:widowControl/>
              <w:spacing w:line="240" w:lineRule="exact"/>
              <w:textAlignment w:val="center"/>
              <w:rPr>
                <w:rFonts w:hint="eastAsia" w:ascii="宋体" w:hAnsi="宋体" w:eastAsia="宋体" w:cs="宋体"/>
                <w:b w:val="0"/>
                <w:bCs w:val="0"/>
                <w:kern w:val="0"/>
                <w:sz w:val="18"/>
                <w:szCs w:val="18"/>
                <w:lang w:bidi="ar"/>
              </w:rPr>
            </w:pPr>
          </w:p>
        </w:tc>
        <w:tc>
          <w:tcPr>
            <w:tcW w:w="6027" w:type="dxa"/>
            <w:vMerge w:val="continue"/>
            <w:tcBorders>
              <w:left w:val="single" w:color="auto" w:sz="4" w:space="0"/>
              <w:right w:val="single" w:color="auto" w:sz="4" w:space="0"/>
            </w:tcBorders>
            <w:noWrap w:val="0"/>
            <w:tcMar>
              <w:top w:w="0" w:type="dxa"/>
              <w:left w:w="0" w:type="dxa"/>
              <w:bottom w:w="0" w:type="dxa"/>
              <w:right w:w="0" w:type="dxa"/>
            </w:tcMar>
            <w:vAlign w:val="center"/>
          </w:tcPr>
          <w:p w14:paraId="5E5BBC8C">
            <w:pPr>
              <w:widowControl/>
              <w:spacing w:line="240" w:lineRule="exact"/>
              <w:ind w:firstLine="360" w:firstLineChars="200"/>
              <w:textAlignment w:val="center"/>
              <w:rPr>
                <w:rFonts w:hint="eastAsia" w:ascii="宋体" w:hAnsi="宋体" w:eastAsia="宋体" w:cs="宋体"/>
                <w:b w:val="0"/>
                <w:bCs w:val="0"/>
                <w:kern w:val="0"/>
                <w:sz w:val="18"/>
                <w:szCs w:val="18"/>
                <w:lang w:bidi="ar"/>
              </w:rPr>
            </w:pPr>
          </w:p>
        </w:tc>
        <w:tc>
          <w:tcPr>
            <w:tcW w:w="1849" w:type="dxa"/>
            <w:vMerge w:val="continue"/>
            <w:tcBorders>
              <w:left w:val="single" w:color="auto" w:sz="4" w:space="0"/>
              <w:right w:val="single" w:color="auto" w:sz="4" w:space="0"/>
            </w:tcBorders>
            <w:noWrap w:val="0"/>
            <w:tcMar>
              <w:top w:w="0" w:type="dxa"/>
              <w:left w:w="0" w:type="dxa"/>
              <w:bottom w:w="0" w:type="dxa"/>
              <w:right w:w="0" w:type="dxa"/>
            </w:tcMar>
            <w:vAlign w:val="center"/>
          </w:tcPr>
          <w:p w14:paraId="7F9713B4">
            <w:pPr>
              <w:spacing w:line="240" w:lineRule="exact"/>
              <w:jc w:val="both"/>
              <w:rPr>
                <w:rFonts w:hint="eastAsia" w:ascii="宋体" w:hAnsi="宋体" w:eastAsia="宋体" w:cs="宋体"/>
                <w:b w:val="0"/>
                <w:bCs w:val="0"/>
                <w:sz w:val="18"/>
                <w:szCs w:val="18"/>
              </w:rPr>
            </w:pPr>
          </w:p>
        </w:tc>
        <w:tc>
          <w:tcPr>
            <w:tcW w:w="51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5739616">
            <w:pPr>
              <w:spacing w:line="240" w:lineRule="exact"/>
              <w:jc w:val="center"/>
              <w:rPr>
                <w:rFonts w:hint="eastAsia" w:ascii="宋体" w:hAnsi="宋体" w:eastAsia="宋体" w:cs="宋体"/>
                <w:b w:val="0"/>
                <w:bCs w:val="0"/>
                <w:sz w:val="18"/>
                <w:szCs w:val="18"/>
                <w:lang w:eastAsia="zh-CN"/>
              </w:rPr>
            </w:pPr>
            <w:r>
              <w:rPr>
                <w:rFonts w:hint="eastAsia" w:ascii="宋体" w:hAnsi="宋体" w:eastAsia="宋体" w:cs="宋体"/>
                <w:b w:val="0"/>
                <w:bCs w:val="0"/>
                <w:sz w:val="18"/>
                <w:szCs w:val="18"/>
                <w:lang w:eastAsia="zh-CN"/>
              </w:rPr>
              <w:t>较重</w:t>
            </w:r>
          </w:p>
        </w:tc>
        <w:tc>
          <w:tcPr>
            <w:tcW w:w="242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510C92C">
            <w:pPr>
              <w:spacing w:line="260" w:lineRule="exact"/>
              <w:rPr>
                <w:rFonts w:hint="eastAsia" w:ascii="宋体" w:hAnsi="宋体" w:eastAsia="宋体" w:cs="宋体"/>
                <w:b w:val="0"/>
                <w:bCs w:val="0"/>
                <w:sz w:val="18"/>
                <w:szCs w:val="18"/>
                <w:lang w:bidi="ar"/>
              </w:rPr>
            </w:pPr>
            <w:r>
              <w:rPr>
                <w:rFonts w:hint="eastAsia" w:ascii="宋体" w:hAnsi="宋体" w:eastAsia="宋体" w:cs="宋体"/>
                <w:b w:val="0"/>
                <w:bCs w:val="0"/>
                <w:kern w:val="0"/>
                <w:sz w:val="18"/>
                <w:szCs w:val="18"/>
                <w:highlight w:val="none"/>
                <w:lang w:bidi="ar"/>
              </w:rPr>
              <w:t>影响行洪但尚可采取补救措施的，</w:t>
            </w:r>
            <w:r>
              <w:rPr>
                <w:rFonts w:hint="eastAsia" w:ascii="宋体" w:hAnsi="宋体" w:eastAsia="宋体" w:cs="宋体"/>
                <w:b w:val="0"/>
                <w:bCs w:val="0"/>
                <w:kern w:val="0"/>
                <w:sz w:val="18"/>
                <w:szCs w:val="18"/>
                <w:highlight w:val="none"/>
                <w:lang w:val="en-US" w:eastAsia="zh-CN" w:bidi="ar"/>
              </w:rPr>
              <w:t>但未在3个月内</w:t>
            </w:r>
            <w:r>
              <w:rPr>
                <w:rFonts w:hint="eastAsia" w:ascii="宋体" w:hAnsi="宋体" w:eastAsia="宋体" w:cs="宋体"/>
                <w:b w:val="0"/>
                <w:bCs w:val="0"/>
                <w:kern w:val="0"/>
                <w:sz w:val="18"/>
                <w:szCs w:val="18"/>
                <w:highlight w:val="none"/>
                <w:lang w:bidi="ar"/>
              </w:rPr>
              <w:t>采取补救措施</w:t>
            </w:r>
            <w:r>
              <w:rPr>
                <w:rFonts w:hint="eastAsia" w:ascii="宋体" w:hAnsi="宋体" w:eastAsia="宋体" w:cs="宋体"/>
                <w:b w:val="0"/>
                <w:bCs w:val="0"/>
                <w:kern w:val="0"/>
                <w:sz w:val="18"/>
                <w:szCs w:val="18"/>
                <w:highlight w:val="none"/>
                <w:lang w:val="en-US" w:eastAsia="zh-CN" w:bidi="ar"/>
              </w:rPr>
              <w:t>的</w:t>
            </w:r>
            <w:r>
              <w:rPr>
                <w:rFonts w:hint="eastAsia" w:ascii="宋体" w:hAnsi="宋体" w:eastAsia="宋体" w:cs="宋体"/>
                <w:b w:val="0"/>
                <w:bCs w:val="0"/>
                <w:kern w:val="0"/>
                <w:sz w:val="18"/>
                <w:szCs w:val="18"/>
                <w:highlight w:val="none"/>
                <w:lang w:bidi="ar"/>
              </w:rPr>
              <w:t>，</w:t>
            </w:r>
            <w:r>
              <w:rPr>
                <w:rStyle w:val="21"/>
                <w:rFonts w:hint="eastAsia" w:ascii="宋体" w:hAnsi="宋体" w:eastAsia="宋体" w:cs="宋体"/>
                <w:b w:val="0"/>
                <w:bCs w:val="0"/>
                <w:color w:val="auto"/>
                <w:sz w:val="18"/>
                <w:szCs w:val="18"/>
                <w:lang w:bidi="ar"/>
              </w:rPr>
              <w:t>投资额在</w:t>
            </w:r>
            <w:r>
              <w:rPr>
                <w:rStyle w:val="21"/>
                <w:rFonts w:hint="eastAsia" w:ascii="宋体" w:hAnsi="宋体" w:eastAsia="宋体" w:cs="宋体"/>
                <w:b w:val="0"/>
                <w:bCs w:val="0"/>
                <w:color w:val="auto"/>
                <w:sz w:val="18"/>
                <w:szCs w:val="18"/>
                <w:lang w:val="en-US" w:eastAsia="zh-CN" w:bidi="ar"/>
              </w:rPr>
              <w:t>20</w:t>
            </w:r>
            <w:r>
              <w:rPr>
                <w:rStyle w:val="21"/>
                <w:rFonts w:hint="eastAsia" w:ascii="宋体" w:hAnsi="宋体" w:eastAsia="宋体" w:cs="宋体"/>
                <w:b w:val="0"/>
                <w:bCs w:val="0"/>
                <w:color w:val="auto"/>
                <w:sz w:val="18"/>
                <w:szCs w:val="18"/>
                <w:lang w:bidi="ar"/>
              </w:rPr>
              <w:t>万元以</w:t>
            </w:r>
            <w:r>
              <w:rPr>
                <w:rStyle w:val="21"/>
                <w:rFonts w:hint="eastAsia" w:ascii="宋体" w:hAnsi="宋体" w:eastAsia="宋体" w:cs="宋体"/>
                <w:b w:val="0"/>
                <w:bCs w:val="0"/>
                <w:color w:val="auto"/>
                <w:sz w:val="18"/>
                <w:szCs w:val="18"/>
                <w:lang w:val="en-US" w:eastAsia="zh-CN" w:bidi="ar"/>
              </w:rPr>
              <w:t>上40万元以下的</w:t>
            </w:r>
          </w:p>
        </w:tc>
        <w:tc>
          <w:tcPr>
            <w:tcW w:w="1628"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23D900B">
            <w:pPr>
              <w:spacing w:line="240" w:lineRule="exact"/>
              <w:rPr>
                <w:rFonts w:hint="eastAsia" w:ascii="宋体" w:hAnsi="宋体" w:eastAsia="宋体" w:cs="宋体"/>
                <w:b w:val="0"/>
                <w:bCs w:val="0"/>
                <w:sz w:val="18"/>
                <w:szCs w:val="18"/>
                <w:lang w:bidi="ar"/>
              </w:rPr>
            </w:pPr>
            <w:r>
              <w:rPr>
                <w:rStyle w:val="21"/>
                <w:rFonts w:hint="eastAsia" w:ascii="宋体" w:hAnsi="宋体" w:eastAsia="宋体" w:cs="宋体"/>
                <w:b w:val="0"/>
                <w:bCs w:val="0"/>
                <w:color w:val="auto"/>
                <w:sz w:val="18"/>
                <w:szCs w:val="18"/>
                <w:lang w:bidi="ar"/>
              </w:rPr>
              <w:t>处</w:t>
            </w:r>
            <w:r>
              <w:rPr>
                <w:rStyle w:val="21"/>
                <w:rFonts w:hint="eastAsia" w:ascii="宋体" w:hAnsi="宋体" w:eastAsia="宋体" w:cs="宋体"/>
                <w:b w:val="0"/>
                <w:bCs w:val="0"/>
                <w:color w:val="auto"/>
                <w:sz w:val="18"/>
                <w:szCs w:val="18"/>
                <w:lang w:val="en-US" w:eastAsia="zh-CN" w:bidi="ar"/>
              </w:rPr>
              <w:t>3</w:t>
            </w:r>
            <w:r>
              <w:rPr>
                <w:rStyle w:val="21"/>
                <w:rFonts w:hint="eastAsia" w:ascii="宋体" w:hAnsi="宋体" w:eastAsia="宋体" w:cs="宋体"/>
                <w:b w:val="0"/>
                <w:bCs w:val="0"/>
                <w:color w:val="auto"/>
                <w:sz w:val="18"/>
                <w:szCs w:val="18"/>
                <w:lang w:bidi="ar"/>
              </w:rPr>
              <w:t>万元以上</w:t>
            </w:r>
            <w:r>
              <w:rPr>
                <w:rStyle w:val="21"/>
                <w:rFonts w:hint="eastAsia" w:ascii="宋体" w:hAnsi="宋体" w:eastAsia="宋体" w:cs="宋体"/>
                <w:b w:val="0"/>
                <w:bCs w:val="0"/>
                <w:color w:val="auto"/>
                <w:sz w:val="18"/>
                <w:szCs w:val="18"/>
                <w:lang w:val="en-US" w:eastAsia="zh-CN" w:bidi="ar"/>
              </w:rPr>
              <w:t>7</w:t>
            </w:r>
            <w:r>
              <w:rPr>
                <w:rStyle w:val="21"/>
                <w:rFonts w:hint="eastAsia" w:ascii="宋体" w:hAnsi="宋体" w:eastAsia="宋体" w:cs="宋体"/>
                <w:b w:val="0"/>
                <w:bCs w:val="0"/>
                <w:color w:val="auto"/>
                <w:sz w:val="18"/>
                <w:szCs w:val="18"/>
                <w:lang w:bidi="ar"/>
              </w:rPr>
              <w:t>万元以下罚款</w:t>
            </w:r>
          </w:p>
        </w:tc>
        <w:tc>
          <w:tcPr>
            <w:tcW w:w="739" w:type="dxa"/>
            <w:vMerge w:val="continue"/>
            <w:tcBorders>
              <w:left w:val="single" w:color="auto" w:sz="4" w:space="0"/>
              <w:right w:val="single" w:color="auto" w:sz="4" w:space="0"/>
            </w:tcBorders>
            <w:noWrap w:val="0"/>
            <w:tcMar>
              <w:top w:w="0" w:type="dxa"/>
              <w:left w:w="0" w:type="dxa"/>
              <w:bottom w:w="0" w:type="dxa"/>
              <w:right w:w="0" w:type="dxa"/>
            </w:tcMar>
            <w:vAlign w:val="center"/>
          </w:tcPr>
          <w:p w14:paraId="3CAA8D67">
            <w:pPr>
              <w:spacing w:line="240" w:lineRule="exact"/>
              <w:jc w:val="center"/>
              <w:rPr>
                <w:rStyle w:val="21"/>
                <w:rFonts w:hint="eastAsia" w:ascii="宋体" w:hAnsi="宋体" w:eastAsia="宋体" w:cs="宋体"/>
                <w:b w:val="0"/>
                <w:bCs w:val="0"/>
                <w:color w:val="auto"/>
                <w:sz w:val="18"/>
                <w:szCs w:val="18"/>
                <w:lang w:bidi="ar"/>
              </w:rPr>
            </w:pPr>
          </w:p>
        </w:tc>
      </w:tr>
      <w:tr w14:paraId="1E12C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74" w:type="dxa"/>
            <w:vMerge w:val="continue"/>
            <w:tcBorders>
              <w:left w:val="single" w:color="auto" w:sz="4" w:space="0"/>
              <w:right w:val="single" w:color="auto" w:sz="4" w:space="0"/>
            </w:tcBorders>
            <w:noWrap w:val="0"/>
            <w:tcMar>
              <w:top w:w="0" w:type="dxa"/>
              <w:left w:w="0" w:type="dxa"/>
              <w:bottom w:w="0" w:type="dxa"/>
              <w:right w:w="0" w:type="dxa"/>
            </w:tcMar>
            <w:vAlign w:val="center"/>
          </w:tcPr>
          <w:p w14:paraId="4AD1E9EE">
            <w:pPr>
              <w:spacing w:line="240" w:lineRule="exact"/>
              <w:jc w:val="center"/>
              <w:rPr>
                <w:rFonts w:hint="eastAsia" w:ascii="宋体" w:hAnsi="宋体" w:eastAsia="宋体" w:cs="宋体"/>
                <w:b w:val="0"/>
                <w:bCs w:val="0"/>
                <w:sz w:val="18"/>
                <w:szCs w:val="18"/>
              </w:rPr>
            </w:pPr>
          </w:p>
        </w:tc>
        <w:tc>
          <w:tcPr>
            <w:tcW w:w="1236" w:type="dxa"/>
            <w:vMerge w:val="continue"/>
            <w:tcBorders>
              <w:left w:val="single" w:color="auto" w:sz="4" w:space="0"/>
              <w:right w:val="single" w:color="auto" w:sz="4" w:space="0"/>
            </w:tcBorders>
            <w:noWrap w:val="0"/>
            <w:tcMar>
              <w:top w:w="0" w:type="dxa"/>
              <w:left w:w="0" w:type="dxa"/>
              <w:bottom w:w="0" w:type="dxa"/>
              <w:right w:w="0" w:type="dxa"/>
            </w:tcMar>
            <w:vAlign w:val="center"/>
          </w:tcPr>
          <w:p w14:paraId="74B4F77E">
            <w:pPr>
              <w:widowControl/>
              <w:spacing w:line="240" w:lineRule="exact"/>
              <w:textAlignment w:val="center"/>
              <w:rPr>
                <w:rFonts w:hint="eastAsia" w:ascii="宋体" w:hAnsi="宋体" w:eastAsia="宋体" w:cs="宋体"/>
                <w:b w:val="0"/>
                <w:bCs w:val="0"/>
                <w:kern w:val="0"/>
                <w:sz w:val="18"/>
                <w:szCs w:val="18"/>
                <w:lang w:bidi="ar"/>
              </w:rPr>
            </w:pPr>
          </w:p>
        </w:tc>
        <w:tc>
          <w:tcPr>
            <w:tcW w:w="6027" w:type="dxa"/>
            <w:vMerge w:val="continue"/>
            <w:tcBorders>
              <w:left w:val="single" w:color="auto" w:sz="4" w:space="0"/>
              <w:right w:val="single" w:color="auto" w:sz="4" w:space="0"/>
            </w:tcBorders>
            <w:noWrap w:val="0"/>
            <w:tcMar>
              <w:top w:w="0" w:type="dxa"/>
              <w:left w:w="0" w:type="dxa"/>
              <w:bottom w:w="0" w:type="dxa"/>
              <w:right w:w="0" w:type="dxa"/>
            </w:tcMar>
            <w:vAlign w:val="center"/>
          </w:tcPr>
          <w:p w14:paraId="61454E8A">
            <w:pPr>
              <w:widowControl/>
              <w:spacing w:line="240" w:lineRule="exact"/>
              <w:ind w:firstLine="360" w:firstLineChars="200"/>
              <w:textAlignment w:val="center"/>
              <w:rPr>
                <w:rFonts w:hint="eastAsia" w:ascii="宋体" w:hAnsi="宋体" w:eastAsia="宋体" w:cs="宋体"/>
                <w:b w:val="0"/>
                <w:bCs w:val="0"/>
                <w:kern w:val="0"/>
                <w:sz w:val="18"/>
                <w:szCs w:val="18"/>
                <w:lang w:bidi="ar"/>
              </w:rPr>
            </w:pPr>
          </w:p>
        </w:tc>
        <w:tc>
          <w:tcPr>
            <w:tcW w:w="1849" w:type="dxa"/>
            <w:vMerge w:val="continue"/>
            <w:tcBorders>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B456C3D">
            <w:pPr>
              <w:spacing w:line="240" w:lineRule="exact"/>
              <w:jc w:val="both"/>
              <w:rPr>
                <w:rFonts w:hint="eastAsia" w:ascii="宋体" w:hAnsi="宋体" w:eastAsia="宋体" w:cs="宋体"/>
                <w:b w:val="0"/>
                <w:bCs w:val="0"/>
                <w:sz w:val="18"/>
                <w:szCs w:val="18"/>
              </w:rPr>
            </w:pPr>
          </w:p>
        </w:tc>
        <w:tc>
          <w:tcPr>
            <w:tcW w:w="51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F7D52E6">
            <w:pPr>
              <w:spacing w:line="240" w:lineRule="exact"/>
              <w:jc w:val="center"/>
              <w:rPr>
                <w:rFonts w:hint="eastAsia" w:ascii="宋体" w:hAnsi="宋体" w:eastAsia="宋体" w:cs="宋体"/>
                <w:b w:val="0"/>
                <w:bCs w:val="0"/>
                <w:sz w:val="18"/>
                <w:szCs w:val="18"/>
              </w:rPr>
            </w:pPr>
            <w:r>
              <w:rPr>
                <w:rFonts w:hint="eastAsia" w:ascii="宋体" w:hAnsi="宋体" w:eastAsia="宋体" w:cs="宋体"/>
                <w:b w:val="0"/>
                <w:bCs w:val="0"/>
                <w:sz w:val="18"/>
                <w:szCs w:val="18"/>
              </w:rPr>
              <w:t>严重</w:t>
            </w:r>
          </w:p>
        </w:tc>
        <w:tc>
          <w:tcPr>
            <w:tcW w:w="242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A5BE9E0">
            <w:pPr>
              <w:spacing w:line="260" w:lineRule="exact"/>
              <w:rPr>
                <w:rFonts w:hint="eastAsia" w:ascii="宋体" w:hAnsi="宋体" w:eastAsia="宋体" w:cs="宋体"/>
                <w:b w:val="0"/>
                <w:bCs w:val="0"/>
                <w:sz w:val="18"/>
                <w:szCs w:val="18"/>
                <w:lang w:bidi="ar"/>
              </w:rPr>
            </w:pPr>
            <w:r>
              <w:rPr>
                <w:rFonts w:hint="eastAsia" w:ascii="宋体" w:hAnsi="宋体" w:eastAsia="宋体" w:cs="宋体"/>
                <w:b w:val="0"/>
                <w:bCs w:val="0"/>
                <w:kern w:val="0"/>
                <w:sz w:val="18"/>
                <w:szCs w:val="18"/>
                <w:highlight w:val="none"/>
                <w:lang w:bidi="ar"/>
              </w:rPr>
              <w:t>影响行洪但尚可采取补救措施的，</w:t>
            </w:r>
            <w:r>
              <w:rPr>
                <w:rFonts w:hint="eastAsia" w:ascii="宋体" w:hAnsi="宋体" w:eastAsia="宋体" w:cs="宋体"/>
                <w:b w:val="0"/>
                <w:bCs w:val="0"/>
                <w:kern w:val="0"/>
                <w:sz w:val="18"/>
                <w:szCs w:val="18"/>
                <w:highlight w:val="none"/>
                <w:lang w:val="en-US" w:eastAsia="zh-CN" w:bidi="ar"/>
              </w:rPr>
              <w:t>但未在3个月内</w:t>
            </w:r>
            <w:r>
              <w:rPr>
                <w:rFonts w:hint="eastAsia" w:ascii="宋体" w:hAnsi="宋体" w:eastAsia="宋体" w:cs="宋体"/>
                <w:b w:val="0"/>
                <w:bCs w:val="0"/>
                <w:kern w:val="0"/>
                <w:sz w:val="18"/>
                <w:szCs w:val="18"/>
                <w:highlight w:val="none"/>
                <w:lang w:bidi="ar"/>
              </w:rPr>
              <w:t>采取补救措施</w:t>
            </w:r>
            <w:r>
              <w:rPr>
                <w:rFonts w:hint="eastAsia" w:ascii="宋体" w:hAnsi="宋体" w:eastAsia="宋体" w:cs="宋体"/>
                <w:b w:val="0"/>
                <w:bCs w:val="0"/>
                <w:kern w:val="0"/>
                <w:sz w:val="18"/>
                <w:szCs w:val="18"/>
                <w:highlight w:val="none"/>
                <w:lang w:val="en-US" w:eastAsia="zh-CN" w:bidi="ar"/>
              </w:rPr>
              <w:t>的</w:t>
            </w:r>
            <w:r>
              <w:rPr>
                <w:rFonts w:hint="eastAsia" w:ascii="宋体" w:hAnsi="宋体" w:eastAsia="宋体" w:cs="宋体"/>
                <w:b w:val="0"/>
                <w:bCs w:val="0"/>
                <w:kern w:val="0"/>
                <w:sz w:val="18"/>
                <w:szCs w:val="18"/>
                <w:highlight w:val="none"/>
                <w:lang w:bidi="ar"/>
              </w:rPr>
              <w:t>，</w:t>
            </w:r>
            <w:r>
              <w:rPr>
                <w:rStyle w:val="21"/>
                <w:rFonts w:hint="eastAsia" w:ascii="宋体" w:hAnsi="宋体" w:eastAsia="宋体" w:cs="宋体"/>
                <w:b w:val="0"/>
                <w:bCs w:val="0"/>
                <w:color w:val="auto"/>
                <w:sz w:val="18"/>
                <w:szCs w:val="18"/>
                <w:lang w:bidi="ar"/>
              </w:rPr>
              <w:t>投资额在</w:t>
            </w:r>
            <w:r>
              <w:rPr>
                <w:rStyle w:val="21"/>
                <w:rFonts w:hint="eastAsia" w:ascii="宋体" w:hAnsi="宋体" w:eastAsia="宋体" w:cs="宋体"/>
                <w:b w:val="0"/>
                <w:bCs w:val="0"/>
                <w:color w:val="auto"/>
                <w:sz w:val="18"/>
                <w:szCs w:val="18"/>
                <w:lang w:val="en-US" w:eastAsia="zh-CN" w:bidi="ar"/>
              </w:rPr>
              <w:t>40</w:t>
            </w:r>
            <w:r>
              <w:rPr>
                <w:rStyle w:val="21"/>
                <w:rFonts w:hint="eastAsia" w:ascii="宋体" w:hAnsi="宋体" w:eastAsia="宋体" w:cs="宋体"/>
                <w:b w:val="0"/>
                <w:bCs w:val="0"/>
                <w:color w:val="auto"/>
                <w:sz w:val="18"/>
                <w:szCs w:val="18"/>
                <w:lang w:bidi="ar"/>
              </w:rPr>
              <w:t>万元以</w:t>
            </w:r>
            <w:r>
              <w:rPr>
                <w:rStyle w:val="21"/>
                <w:rFonts w:hint="eastAsia" w:ascii="宋体" w:hAnsi="宋体" w:eastAsia="宋体" w:cs="宋体"/>
                <w:b w:val="0"/>
                <w:bCs w:val="0"/>
                <w:color w:val="auto"/>
                <w:sz w:val="18"/>
                <w:szCs w:val="18"/>
                <w:lang w:val="en-US" w:eastAsia="zh-CN" w:bidi="ar"/>
              </w:rPr>
              <w:t>上的</w:t>
            </w:r>
          </w:p>
        </w:tc>
        <w:tc>
          <w:tcPr>
            <w:tcW w:w="1628"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369DA09">
            <w:pPr>
              <w:spacing w:line="240" w:lineRule="exact"/>
              <w:rPr>
                <w:rFonts w:hint="eastAsia" w:ascii="宋体" w:hAnsi="宋体" w:eastAsia="宋体" w:cs="宋体"/>
                <w:b w:val="0"/>
                <w:bCs w:val="0"/>
                <w:sz w:val="18"/>
                <w:szCs w:val="18"/>
                <w:lang w:bidi="ar"/>
              </w:rPr>
            </w:pPr>
            <w:r>
              <w:rPr>
                <w:rStyle w:val="21"/>
                <w:rFonts w:hint="eastAsia" w:ascii="宋体" w:hAnsi="宋体" w:eastAsia="宋体" w:cs="宋体"/>
                <w:b w:val="0"/>
                <w:bCs w:val="0"/>
                <w:color w:val="auto"/>
                <w:sz w:val="18"/>
                <w:szCs w:val="18"/>
                <w:lang w:bidi="ar"/>
              </w:rPr>
              <w:t>处</w:t>
            </w:r>
            <w:r>
              <w:rPr>
                <w:rStyle w:val="21"/>
                <w:rFonts w:hint="eastAsia" w:ascii="宋体" w:hAnsi="宋体" w:eastAsia="宋体" w:cs="宋体"/>
                <w:b w:val="0"/>
                <w:bCs w:val="0"/>
                <w:color w:val="auto"/>
                <w:sz w:val="18"/>
                <w:szCs w:val="18"/>
                <w:lang w:val="en-US" w:eastAsia="zh-CN" w:bidi="ar"/>
              </w:rPr>
              <w:t>7</w:t>
            </w:r>
            <w:r>
              <w:rPr>
                <w:rStyle w:val="21"/>
                <w:rFonts w:hint="eastAsia" w:ascii="宋体" w:hAnsi="宋体" w:eastAsia="宋体" w:cs="宋体"/>
                <w:b w:val="0"/>
                <w:bCs w:val="0"/>
                <w:color w:val="auto"/>
                <w:sz w:val="18"/>
                <w:szCs w:val="18"/>
                <w:lang w:bidi="ar"/>
              </w:rPr>
              <w:t>万元以上</w:t>
            </w:r>
            <w:r>
              <w:rPr>
                <w:rStyle w:val="21"/>
                <w:rFonts w:hint="eastAsia" w:ascii="宋体" w:hAnsi="宋体" w:eastAsia="宋体" w:cs="宋体"/>
                <w:b w:val="0"/>
                <w:bCs w:val="0"/>
                <w:color w:val="auto"/>
                <w:sz w:val="18"/>
                <w:szCs w:val="18"/>
                <w:lang w:val="en-US" w:eastAsia="zh-CN" w:bidi="ar"/>
              </w:rPr>
              <w:t>10</w:t>
            </w:r>
            <w:r>
              <w:rPr>
                <w:rStyle w:val="21"/>
                <w:rFonts w:hint="eastAsia" w:ascii="宋体" w:hAnsi="宋体" w:eastAsia="宋体" w:cs="宋体"/>
                <w:b w:val="0"/>
                <w:bCs w:val="0"/>
                <w:color w:val="auto"/>
                <w:sz w:val="18"/>
                <w:szCs w:val="18"/>
                <w:lang w:bidi="ar"/>
              </w:rPr>
              <w:t>万元以下罚款</w:t>
            </w:r>
          </w:p>
        </w:tc>
        <w:tc>
          <w:tcPr>
            <w:tcW w:w="739" w:type="dxa"/>
            <w:vMerge w:val="continue"/>
            <w:tcBorders>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93F3519">
            <w:pPr>
              <w:spacing w:line="240" w:lineRule="exact"/>
              <w:jc w:val="center"/>
              <w:rPr>
                <w:rStyle w:val="21"/>
                <w:rFonts w:hint="eastAsia" w:ascii="宋体" w:hAnsi="宋体" w:eastAsia="宋体" w:cs="宋体"/>
                <w:b w:val="0"/>
                <w:bCs w:val="0"/>
                <w:color w:val="auto"/>
                <w:sz w:val="18"/>
                <w:szCs w:val="18"/>
                <w:lang w:bidi="ar"/>
              </w:rPr>
            </w:pPr>
          </w:p>
        </w:tc>
      </w:tr>
      <w:tr w14:paraId="4C5F36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474" w:type="dxa"/>
            <w:vMerge w:val="continue"/>
            <w:tcBorders>
              <w:left w:val="single" w:color="auto" w:sz="4" w:space="0"/>
              <w:right w:val="single" w:color="auto" w:sz="4" w:space="0"/>
            </w:tcBorders>
            <w:noWrap w:val="0"/>
            <w:tcMar>
              <w:top w:w="0" w:type="dxa"/>
              <w:left w:w="0" w:type="dxa"/>
              <w:bottom w:w="0" w:type="dxa"/>
              <w:right w:w="0" w:type="dxa"/>
            </w:tcMar>
            <w:vAlign w:val="center"/>
          </w:tcPr>
          <w:p w14:paraId="1CEC57CF">
            <w:pPr>
              <w:spacing w:line="240" w:lineRule="exact"/>
              <w:jc w:val="center"/>
              <w:rPr>
                <w:rFonts w:hint="eastAsia" w:ascii="宋体" w:hAnsi="宋体" w:eastAsia="宋体" w:cs="宋体"/>
                <w:b w:val="0"/>
                <w:bCs w:val="0"/>
                <w:sz w:val="18"/>
                <w:szCs w:val="18"/>
              </w:rPr>
            </w:pPr>
          </w:p>
        </w:tc>
        <w:tc>
          <w:tcPr>
            <w:tcW w:w="1236" w:type="dxa"/>
            <w:vMerge w:val="continue"/>
            <w:tcBorders>
              <w:left w:val="single" w:color="auto" w:sz="4" w:space="0"/>
              <w:right w:val="single" w:color="auto" w:sz="4" w:space="0"/>
            </w:tcBorders>
            <w:noWrap w:val="0"/>
            <w:tcMar>
              <w:top w:w="0" w:type="dxa"/>
              <w:left w:w="0" w:type="dxa"/>
              <w:bottom w:w="0" w:type="dxa"/>
              <w:right w:w="0" w:type="dxa"/>
            </w:tcMar>
            <w:vAlign w:val="center"/>
          </w:tcPr>
          <w:p w14:paraId="68D92AC8">
            <w:pPr>
              <w:widowControl/>
              <w:spacing w:line="240" w:lineRule="exact"/>
              <w:textAlignment w:val="center"/>
              <w:rPr>
                <w:rFonts w:hint="eastAsia" w:ascii="宋体" w:hAnsi="宋体" w:eastAsia="宋体" w:cs="宋体"/>
                <w:b w:val="0"/>
                <w:bCs w:val="0"/>
                <w:kern w:val="0"/>
                <w:sz w:val="18"/>
                <w:szCs w:val="18"/>
                <w:lang w:bidi="ar"/>
              </w:rPr>
            </w:pPr>
          </w:p>
        </w:tc>
        <w:tc>
          <w:tcPr>
            <w:tcW w:w="6027" w:type="dxa"/>
            <w:vMerge w:val="continue"/>
            <w:tcBorders>
              <w:left w:val="single" w:color="auto" w:sz="4" w:space="0"/>
              <w:right w:val="single" w:color="auto" w:sz="4" w:space="0"/>
            </w:tcBorders>
            <w:noWrap w:val="0"/>
            <w:tcMar>
              <w:top w:w="0" w:type="dxa"/>
              <w:left w:w="0" w:type="dxa"/>
              <w:bottom w:w="0" w:type="dxa"/>
              <w:right w:w="0" w:type="dxa"/>
            </w:tcMar>
            <w:vAlign w:val="center"/>
          </w:tcPr>
          <w:p w14:paraId="6FF11EB4">
            <w:pPr>
              <w:widowControl/>
              <w:spacing w:line="240" w:lineRule="exact"/>
              <w:ind w:firstLine="360" w:firstLineChars="200"/>
              <w:textAlignment w:val="center"/>
              <w:rPr>
                <w:rFonts w:hint="eastAsia" w:ascii="宋体" w:hAnsi="宋体" w:eastAsia="宋体" w:cs="宋体"/>
                <w:b w:val="0"/>
                <w:bCs w:val="0"/>
                <w:kern w:val="0"/>
                <w:sz w:val="18"/>
                <w:szCs w:val="18"/>
                <w:lang w:bidi="ar"/>
              </w:rPr>
            </w:pPr>
          </w:p>
        </w:tc>
        <w:tc>
          <w:tcPr>
            <w:tcW w:w="1849" w:type="dxa"/>
            <w:vMerge w:val="restart"/>
            <w:tcBorders>
              <w:left w:val="single" w:color="auto" w:sz="4" w:space="0"/>
              <w:right w:val="single" w:color="auto" w:sz="4" w:space="0"/>
            </w:tcBorders>
            <w:noWrap w:val="0"/>
            <w:tcMar>
              <w:top w:w="0" w:type="dxa"/>
              <w:left w:w="0" w:type="dxa"/>
              <w:bottom w:w="0" w:type="dxa"/>
              <w:right w:w="0" w:type="dxa"/>
            </w:tcMar>
            <w:vAlign w:val="center"/>
          </w:tcPr>
          <w:p w14:paraId="67334A3B">
            <w:pPr>
              <w:spacing w:line="240" w:lineRule="exact"/>
              <w:jc w:val="both"/>
              <w:rPr>
                <w:rFonts w:hint="eastAsia" w:ascii="宋体" w:hAnsi="宋体" w:eastAsia="宋体" w:cs="宋体"/>
                <w:b w:val="0"/>
                <w:bCs w:val="0"/>
                <w:sz w:val="18"/>
                <w:szCs w:val="18"/>
              </w:rPr>
            </w:pPr>
            <w:r>
              <w:rPr>
                <w:rFonts w:hint="eastAsia" w:ascii="宋体" w:hAnsi="宋体" w:eastAsia="宋体" w:cs="宋体"/>
                <w:b w:val="0"/>
                <w:bCs w:val="0"/>
                <w:kern w:val="0"/>
                <w:sz w:val="18"/>
                <w:szCs w:val="18"/>
                <w:highlight w:val="none"/>
                <w:lang w:bidi="ar"/>
              </w:rPr>
              <w:t>未按要求修建水工程，或者建设桥梁、码头和其他拦河、跨河、穿河、临河建筑物、构筑物，铺设跨河、穿河、穿堤管道、电缆等工程设施的</w:t>
            </w:r>
          </w:p>
        </w:tc>
        <w:tc>
          <w:tcPr>
            <w:tcW w:w="517"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center"/>
          </w:tcPr>
          <w:p w14:paraId="1CBB2C35">
            <w:pPr>
              <w:spacing w:line="240" w:lineRule="exact"/>
              <w:jc w:val="both"/>
              <w:rPr>
                <w:rFonts w:hint="eastAsia" w:ascii="宋体" w:hAnsi="宋体" w:eastAsia="宋体" w:cs="宋体"/>
                <w:b w:val="0"/>
                <w:bCs w:val="0"/>
                <w:kern w:val="0"/>
                <w:sz w:val="18"/>
                <w:szCs w:val="18"/>
                <w:highlight w:val="none"/>
                <w:lang w:val="en-US" w:eastAsia="zh-CN" w:bidi="ar"/>
              </w:rPr>
            </w:pPr>
            <w:r>
              <w:rPr>
                <w:rFonts w:hint="eastAsia" w:ascii="宋体" w:hAnsi="宋体" w:eastAsia="宋体" w:cs="宋体"/>
                <w:b w:val="0"/>
                <w:bCs w:val="0"/>
                <w:kern w:val="0"/>
                <w:sz w:val="18"/>
                <w:szCs w:val="18"/>
                <w:highlight w:val="none"/>
                <w:lang w:bidi="ar"/>
              </w:rPr>
              <w:t>轻微</w:t>
            </w:r>
          </w:p>
        </w:tc>
        <w:tc>
          <w:tcPr>
            <w:tcW w:w="242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547E7772">
            <w:pPr>
              <w:snapToGrid w:val="0"/>
              <w:spacing w:line="240" w:lineRule="auto"/>
              <w:jc w:val="both"/>
              <mc:AlternateContent>
                <mc:Choice Requires="wpsCustomData">
                  <wpsCustomData:diagonalParaType/>
                </mc:Choice>
              </mc:AlternateContent>
              <w:rPr>
                <w:rFonts w:hint="eastAsia" w:ascii="宋体" w:hAnsi="宋体" w:eastAsia="宋体" w:cs="宋体"/>
                <w:b w:val="0"/>
                <w:bCs w:val="0"/>
                <w:kern w:val="0"/>
                <w:sz w:val="18"/>
                <w:szCs w:val="18"/>
                <w:highlight w:val="none"/>
                <w:lang w:bidi="ar"/>
              </w:rPr>
            </w:pPr>
          </w:p>
          <w:p w14:paraId="6003FEC3">
            <w:pPr>
              <w:spacing w:line="240" w:lineRule="exact"/>
              <w:jc w:val="both"/>
              <w:rPr>
                <w:rFonts w:hint="eastAsia" w:ascii="宋体" w:hAnsi="宋体" w:eastAsia="宋体" w:cs="宋体"/>
                <w:b w:val="0"/>
                <w:bCs w:val="0"/>
                <w:kern w:val="0"/>
                <w:sz w:val="18"/>
                <w:szCs w:val="18"/>
                <w:highlight w:val="none"/>
                <w:lang w:bidi="ar"/>
              </w:rPr>
            </w:pPr>
          </w:p>
        </w:tc>
        <w:tc>
          <w:tcPr>
            <w:tcW w:w="1628"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098E6CC2">
            <w:pPr>
              <w:snapToGrid w:val="0"/>
              <w:spacing w:line="240" w:lineRule="auto"/>
              <w:jc w:val="both"/>
              <mc:AlternateContent>
                <mc:Choice Requires="wpsCustomData">
                  <wpsCustomData:diagonalParaType/>
                </mc:Choice>
              </mc:AlternateContent>
              <w:rPr>
                <w:rFonts w:hint="eastAsia" w:ascii="宋体" w:hAnsi="宋体" w:eastAsia="宋体" w:cs="宋体"/>
                <w:b w:val="0"/>
                <w:bCs w:val="0"/>
                <w:kern w:val="0"/>
                <w:sz w:val="18"/>
                <w:szCs w:val="18"/>
                <w:highlight w:val="none"/>
                <w:lang w:bidi="ar"/>
              </w:rPr>
            </w:pPr>
          </w:p>
          <w:p w14:paraId="707ABC7E">
            <w:pPr>
              <w:spacing w:line="240" w:lineRule="exact"/>
              <w:jc w:val="both"/>
              <w:rPr>
                <w:rFonts w:hint="eastAsia" w:ascii="宋体" w:hAnsi="宋体" w:eastAsia="宋体" w:cs="宋体"/>
                <w:b w:val="0"/>
                <w:bCs w:val="0"/>
                <w:kern w:val="0"/>
                <w:sz w:val="18"/>
                <w:szCs w:val="18"/>
                <w:highlight w:val="none"/>
                <w:lang w:bidi="ar"/>
              </w:rPr>
            </w:pPr>
          </w:p>
        </w:tc>
        <w:tc>
          <w:tcPr>
            <w:tcW w:w="739" w:type="dxa"/>
            <w:vMerge w:val="restart"/>
            <w:tcBorders>
              <w:left w:val="single" w:color="auto" w:sz="4" w:space="0"/>
              <w:right w:val="single" w:color="auto" w:sz="4" w:space="0"/>
            </w:tcBorders>
            <w:noWrap w:val="0"/>
            <w:tcMar>
              <w:top w:w="0" w:type="dxa"/>
              <w:left w:w="0" w:type="dxa"/>
              <w:bottom w:w="0" w:type="dxa"/>
              <w:right w:w="0" w:type="dxa"/>
            </w:tcMar>
            <w:vAlign w:val="center"/>
          </w:tcPr>
          <w:p w14:paraId="2135D043">
            <w:pPr>
              <w:spacing w:line="240" w:lineRule="exact"/>
              <w:jc w:val="center"/>
              <w:rPr>
                <w:rStyle w:val="21"/>
                <w:rFonts w:hint="eastAsia" w:ascii="宋体" w:hAnsi="宋体" w:eastAsia="宋体" w:cs="宋体"/>
                <w:b w:val="0"/>
                <w:bCs w:val="0"/>
                <w:color w:val="auto"/>
                <w:sz w:val="18"/>
                <w:szCs w:val="18"/>
                <w:lang w:bidi="ar"/>
              </w:rPr>
            </w:pPr>
          </w:p>
        </w:tc>
      </w:tr>
      <w:tr w14:paraId="6F8735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0" w:hRule="atLeast"/>
          <w:jc w:val="center"/>
        </w:trPr>
        <w:tc>
          <w:tcPr>
            <w:tcW w:w="474" w:type="dxa"/>
            <w:vMerge w:val="continue"/>
            <w:tcBorders>
              <w:left w:val="single" w:color="auto" w:sz="4" w:space="0"/>
              <w:right w:val="single" w:color="auto" w:sz="4" w:space="0"/>
            </w:tcBorders>
            <w:noWrap w:val="0"/>
            <w:tcMar>
              <w:top w:w="0" w:type="dxa"/>
              <w:left w:w="0" w:type="dxa"/>
              <w:bottom w:w="0" w:type="dxa"/>
              <w:right w:w="0" w:type="dxa"/>
            </w:tcMar>
            <w:vAlign w:val="center"/>
          </w:tcPr>
          <w:p w14:paraId="14F7F009">
            <w:pPr>
              <w:spacing w:line="240" w:lineRule="exact"/>
              <w:jc w:val="center"/>
              <w:rPr>
                <w:rFonts w:hint="eastAsia" w:ascii="宋体" w:hAnsi="宋体" w:eastAsia="宋体" w:cs="宋体"/>
                <w:b w:val="0"/>
                <w:bCs w:val="0"/>
                <w:sz w:val="18"/>
                <w:szCs w:val="18"/>
              </w:rPr>
            </w:pPr>
          </w:p>
        </w:tc>
        <w:tc>
          <w:tcPr>
            <w:tcW w:w="1236" w:type="dxa"/>
            <w:vMerge w:val="continue"/>
            <w:tcBorders>
              <w:left w:val="single" w:color="auto" w:sz="4" w:space="0"/>
              <w:right w:val="single" w:color="auto" w:sz="4" w:space="0"/>
            </w:tcBorders>
            <w:noWrap w:val="0"/>
            <w:tcMar>
              <w:top w:w="0" w:type="dxa"/>
              <w:left w:w="0" w:type="dxa"/>
              <w:bottom w:w="0" w:type="dxa"/>
              <w:right w:w="0" w:type="dxa"/>
            </w:tcMar>
            <w:vAlign w:val="center"/>
          </w:tcPr>
          <w:p w14:paraId="1164A48B">
            <w:pPr>
              <w:widowControl/>
              <w:spacing w:line="240" w:lineRule="exact"/>
              <w:textAlignment w:val="center"/>
              <w:rPr>
                <w:rFonts w:hint="eastAsia" w:ascii="宋体" w:hAnsi="宋体" w:eastAsia="宋体" w:cs="宋体"/>
                <w:b w:val="0"/>
                <w:bCs w:val="0"/>
                <w:kern w:val="0"/>
                <w:sz w:val="18"/>
                <w:szCs w:val="18"/>
                <w:lang w:bidi="ar"/>
              </w:rPr>
            </w:pPr>
          </w:p>
        </w:tc>
        <w:tc>
          <w:tcPr>
            <w:tcW w:w="6027" w:type="dxa"/>
            <w:vMerge w:val="continue"/>
            <w:tcBorders>
              <w:left w:val="single" w:color="auto" w:sz="4" w:space="0"/>
              <w:right w:val="single" w:color="auto" w:sz="4" w:space="0"/>
            </w:tcBorders>
            <w:noWrap w:val="0"/>
            <w:tcMar>
              <w:top w:w="0" w:type="dxa"/>
              <w:left w:w="0" w:type="dxa"/>
              <w:bottom w:w="0" w:type="dxa"/>
              <w:right w:w="0" w:type="dxa"/>
            </w:tcMar>
            <w:vAlign w:val="center"/>
          </w:tcPr>
          <w:p w14:paraId="567BEE74">
            <w:pPr>
              <w:widowControl/>
              <w:spacing w:line="240" w:lineRule="exact"/>
              <w:ind w:firstLine="360" w:firstLineChars="200"/>
              <w:textAlignment w:val="center"/>
              <w:rPr>
                <w:rFonts w:hint="eastAsia" w:ascii="宋体" w:hAnsi="宋体" w:eastAsia="宋体" w:cs="宋体"/>
                <w:b w:val="0"/>
                <w:bCs w:val="0"/>
                <w:kern w:val="0"/>
                <w:sz w:val="18"/>
                <w:szCs w:val="18"/>
                <w:lang w:bidi="ar"/>
              </w:rPr>
            </w:pPr>
          </w:p>
        </w:tc>
        <w:tc>
          <w:tcPr>
            <w:tcW w:w="1849" w:type="dxa"/>
            <w:vMerge w:val="continue"/>
            <w:tcBorders>
              <w:left w:val="single" w:color="auto" w:sz="4" w:space="0"/>
              <w:right w:val="single" w:color="auto" w:sz="4" w:space="0"/>
            </w:tcBorders>
            <w:noWrap w:val="0"/>
            <w:tcMar>
              <w:top w:w="0" w:type="dxa"/>
              <w:left w:w="0" w:type="dxa"/>
              <w:bottom w:w="0" w:type="dxa"/>
              <w:right w:w="0" w:type="dxa"/>
            </w:tcMar>
            <w:vAlign w:val="center"/>
          </w:tcPr>
          <w:p w14:paraId="75AF9F04">
            <w:pPr>
              <w:spacing w:line="240" w:lineRule="exact"/>
              <w:jc w:val="both"/>
              <w:rPr>
                <w:rFonts w:hint="eastAsia" w:ascii="宋体" w:hAnsi="宋体" w:eastAsia="宋体" w:cs="宋体"/>
                <w:b w:val="0"/>
                <w:bCs w:val="0"/>
                <w:sz w:val="18"/>
                <w:szCs w:val="18"/>
              </w:rPr>
            </w:pPr>
          </w:p>
        </w:tc>
        <w:tc>
          <w:tcPr>
            <w:tcW w:w="517"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center"/>
          </w:tcPr>
          <w:p w14:paraId="207A9AFE">
            <w:pPr>
              <w:spacing w:line="240" w:lineRule="exact"/>
              <w:jc w:val="both"/>
              <w:rPr>
                <w:rFonts w:hint="eastAsia" w:ascii="宋体" w:hAnsi="宋体" w:eastAsia="宋体" w:cs="宋体"/>
                <w:b w:val="0"/>
                <w:bCs w:val="0"/>
                <w:kern w:val="0"/>
                <w:sz w:val="18"/>
                <w:szCs w:val="18"/>
                <w:highlight w:val="none"/>
                <w:lang w:val="en-US" w:eastAsia="zh-CN" w:bidi="ar"/>
              </w:rPr>
            </w:pPr>
            <w:r>
              <w:rPr>
                <w:rFonts w:hint="eastAsia" w:ascii="宋体" w:hAnsi="宋体" w:eastAsia="宋体" w:cs="宋体"/>
                <w:b w:val="0"/>
                <w:bCs w:val="0"/>
                <w:kern w:val="0"/>
                <w:sz w:val="18"/>
                <w:szCs w:val="18"/>
                <w:highlight w:val="none"/>
                <w:lang w:bidi="ar"/>
              </w:rPr>
              <w:t>较轻</w:t>
            </w:r>
          </w:p>
        </w:tc>
        <w:tc>
          <w:tcPr>
            <w:tcW w:w="2420"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center"/>
          </w:tcPr>
          <w:p w14:paraId="0F05D13D">
            <w:pPr>
              <w:spacing w:line="240" w:lineRule="exact"/>
              <w:jc w:val="both"/>
              <w:rPr>
                <w:rFonts w:hint="eastAsia" w:ascii="宋体" w:hAnsi="宋体" w:eastAsia="宋体" w:cs="宋体"/>
                <w:b w:val="0"/>
                <w:bCs w:val="0"/>
                <w:kern w:val="0"/>
                <w:sz w:val="18"/>
                <w:szCs w:val="18"/>
                <w:highlight w:val="none"/>
                <w:lang w:val="en-US" w:eastAsia="zh-CN" w:bidi="ar"/>
              </w:rPr>
            </w:pPr>
            <w:r>
              <w:rPr>
                <w:rFonts w:hint="eastAsia" w:ascii="宋体" w:hAnsi="宋体" w:eastAsia="宋体" w:cs="宋体"/>
                <w:b w:val="0"/>
                <w:bCs w:val="0"/>
                <w:kern w:val="0"/>
                <w:sz w:val="18"/>
                <w:szCs w:val="18"/>
                <w:highlight w:val="none"/>
                <w:lang w:bidi="ar"/>
              </w:rPr>
              <w:t>违反批准的界限、位置、建设方案之一，但在规定的期限内整改的</w:t>
            </w:r>
          </w:p>
        </w:tc>
        <w:tc>
          <w:tcPr>
            <w:tcW w:w="1628"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center"/>
          </w:tcPr>
          <w:p w14:paraId="2C522BA0">
            <w:pPr>
              <w:spacing w:line="240" w:lineRule="exact"/>
              <w:jc w:val="both"/>
              <w:rPr>
                <w:rFonts w:hint="eastAsia" w:ascii="宋体" w:hAnsi="宋体" w:eastAsia="宋体" w:cs="宋体"/>
                <w:b w:val="0"/>
                <w:bCs w:val="0"/>
                <w:kern w:val="0"/>
                <w:sz w:val="18"/>
                <w:szCs w:val="18"/>
                <w:highlight w:val="none"/>
                <w:lang w:val="en-US" w:eastAsia="zh-CN" w:bidi="ar"/>
              </w:rPr>
            </w:pPr>
            <w:r>
              <w:rPr>
                <w:rFonts w:hint="eastAsia" w:ascii="宋体" w:hAnsi="宋体" w:eastAsia="宋体" w:cs="宋体"/>
                <w:b w:val="0"/>
                <w:bCs w:val="0"/>
                <w:kern w:val="0"/>
                <w:sz w:val="18"/>
                <w:szCs w:val="18"/>
                <w:highlight w:val="none"/>
                <w:lang w:bidi="ar"/>
              </w:rPr>
              <w:t>处</w:t>
            </w:r>
            <w:r>
              <w:rPr>
                <w:rFonts w:hint="eastAsia" w:ascii="宋体" w:hAnsi="宋体" w:eastAsia="宋体" w:cs="宋体"/>
                <w:b w:val="0"/>
                <w:bCs w:val="0"/>
                <w:kern w:val="0"/>
                <w:sz w:val="18"/>
                <w:szCs w:val="18"/>
                <w:highlight w:val="none"/>
                <w:lang w:val="en-US" w:eastAsia="zh-CN" w:bidi="ar"/>
              </w:rPr>
              <w:t>1</w:t>
            </w:r>
            <w:r>
              <w:rPr>
                <w:rFonts w:hint="eastAsia" w:ascii="宋体" w:hAnsi="宋体" w:eastAsia="宋体" w:cs="宋体"/>
                <w:b w:val="0"/>
                <w:bCs w:val="0"/>
                <w:kern w:val="0"/>
                <w:sz w:val="18"/>
                <w:szCs w:val="18"/>
                <w:highlight w:val="none"/>
                <w:lang w:bidi="ar"/>
              </w:rPr>
              <w:t>万元以上</w:t>
            </w:r>
            <w:r>
              <w:rPr>
                <w:rFonts w:hint="eastAsia" w:ascii="宋体" w:hAnsi="宋体" w:eastAsia="宋体" w:cs="宋体"/>
                <w:b w:val="0"/>
                <w:bCs w:val="0"/>
                <w:kern w:val="0"/>
                <w:sz w:val="18"/>
                <w:szCs w:val="18"/>
                <w:highlight w:val="none"/>
                <w:lang w:val="en-US" w:eastAsia="zh-CN" w:bidi="ar"/>
              </w:rPr>
              <w:t>3</w:t>
            </w:r>
            <w:r>
              <w:rPr>
                <w:rFonts w:hint="eastAsia" w:ascii="宋体" w:hAnsi="宋体" w:eastAsia="宋体" w:cs="宋体"/>
                <w:b w:val="0"/>
                <w:bCs w:val="0"/>
                <w:kern w:val="0"/>
                <w:sz w:val="18"/>
                <w:szCs w:val="18"/>
                <w:highlight w:val="none"/>
                <w:lang w:bidi="ar"/>
              </w:rPr>
              <w:t>万元以下的罚款</w:t>
            </w:r>
          </w:p>
        </w:tc>
        <w:tc>
          <w:tcPr>
            <w:tcW w:w="739" w:type="dxa"/>
            <w:vMerge w:val="continue"/>
            <w:tcBorders>
              <w:left w:val="single" w:color="auto" w:sz="4" w:space="0"/>
              <w:right w:val="single" w:color="auto" w:sz="4" w:space="0"/>
            </w:tcBorders>
            <w:noWrap w:val="0"/>
            <w:tcMar>
              <w:top w:w="0" w:type="dxa"/>
              <w:left w:w="0" w:type="dxa"/>
              <w:bottom w:w="0" w:type="dxa"/>
              <w:right w:w="0" w:type="dxa"/>
            </w:tcMar>
            <w:vAlign w:val="center"/>
          </w:tcPr>
          <w:p w14:paraId="5B075A54">
            <w:pPr>
              <w:spacing w:line="240" w:lineRule="exact"/>
              <w:jc w:val="center"/>
              <w:rPr>
                <w:rStyle w:val="21"/>
                <w:rFonts w:hint="eastAsia" w:ascii="宋体" w:hAnsi="宋体" w:eastAsia="宋体" w:cs="宋体"/>
                <w:b w:val="0"/>
                <w:bCs w:val="0"/>
                <w:color w:val="auto"/>
                <w:sz w:val="18"/>
                <w:szCs w:val="18"/>
                <w:lang w:bidi="ar"/>
              </w:rPr>
            </w:pPr>
          </w:p>
        </w:tc>
      </w:tr>
      <w:tr w14:paraId="035151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4" w:hRule="atLeast"/>
          <w:jc w:val="center"/>
        </w:trPr>
        <w:tc>
          <w:tcPr>
            <w:tcW w:w="474" w:type="dxa"/>
            <w:vMerge w:val="continue"/>
            <w:tcBorders>
              <w:left w:val="single" w:color="auto" w:sz="4" w:space="0"/>
              <w:right w:val="single" w:color="auto" w:sz="4" w:space="0"/>
            </w:tcBorders>
            <w:noWrap w:val="0"/>
            <w:tcMar>
              <w:top w:w="0" w:type="dxa"/>
              <w:left w:w="0" w:type="dxa"/>
              <w:bottom w:w="0" w:type="dxa"/>
              <w:right w:w="0" w:type="dxa"/>
            </w:tcMar>
            <w:vAlign w:val="center"/>
          </w:tcPr>
          <w:p w14:paraId="29503A50">
            <w:pPr>
              <w:spacing w:line="240" w:lineRule="exact"/>
              <w:jc w:val="center"/>
              <w:rPr>
                <w:rFonts w:hint="eastAsia" w:ascii="宋体" w:hAnsi="宋体" w:eastAsia="宋体" w:cs="宋体"/>
                <w:b w:val="0"/>
                <w:bCs w:val="0"/>
                <w:sz w:val="18"/>
                <w:szCs w:val="18"/>
              </w:rPr>
            </w:pPr>
          </w:p>
        </w:tc>
        <w:tc>
          <w:tcPr>
            <w:tcW w:w="1236" w:type="dxa"/>
            <w:vMerge w:val="continue"/>
            <w:tcBorders>
              <w:left w:val="single" w:color="auto" w:sz="4" w:space="0"/>
              <w:right w:val="single" w:color="auto" w:sz="4" w:space="0"/>
            </w:tcBorders>
            <w:noWrap w:val="0"/>
            <w:tcMar>
              <w:top w:w="0" w:type="dxa"/>
              <w:left w:w="0" w:type="dxa"/>
              <w:bottom w:w="0" w:type="dxa"/>
              <w:right w:w="0" w:type="dxa"/>
            </w:tcMar>
            <w:vAlign w:val="center"/>
          </w:tcPr>
          <w:p w14:paraId="1D75AB5B">
            <w:pPr>
              <w:widowControl/>
              <w:spacing w:line="240" w:lineRule="exact"/>
              <w:textAlignment w:val="center"/>
              <w:rPr>
                <w:rFonts w:hint="eastAsia" w:ascii="宋体" w:hAnsi="宋体" w:eastAsia="宋体" w:cs="宋体"/>
                <w:b w:val="0"/>
                <w:bCs w:val="0"/>
                <w:kern w:val="0"/>
                <w:sz w:val="18"/>
                <w:szCs w:val="18"/>
                <w:lang w:bidi="ar"/>
              </w:rPr>
            </w:pPr>
          </w:p>
        </w:tc>
        <w:tc>
          <w:tcPr>
            <w:tcW w:w="6027" w:type="dxa"/>
            <w:vMerge w:val="continue"/>
            <w:tcBorders>
              <w:left w:val="single" w:color="auto" w:sz="4" w:space="0"/>
              <w:right w:val="single" w:color="auto" w:sz="4" w:space="0"/>
            </w:tcBorders>
            <w:noWrap w:val="0"/>
            <w:tcMar>
              <w:top w:w="0" w:type="dxa"/>
              <w:left w:w="0" w:type="dxa"/>
              <w:bottom w:w="0" w:type="dxa"/>
              <w:right w:w="0" w:type="dxa"/>
            </w:tcMar>
            <w:vAlign w:val="center"/>
          </w:tcPr>
          <w:p w14:paraId="6950B338">
            <w:pPr>
              <w:widowControl/>
              <w:spacing w:line="240" w:lineRule="exact"/>
              <w:ind w:firstLine="360" w:firstLineChars="200"/>
              <w:textAlignment w:val="center"/>
              <w:rPr>
                <w:rFonts w:hint="eastAsia" w:ascii="宋体" w:hAnsi="宋体" w:eastAsia="宋体" w:cs="宋体"/>
                <w:b w:val="0"/>
                <w:bCs w:val="0"/>
                <w:kern w:val="0"/>
                <w:sz w:val="18"/>
                <w:szCs w:val="18"/>
                <w:lang w:bidi="ar"/>
              </w:rPr>
            </w:pPr>
          </w:p>
        </w:tc>
        <w:tc>
          <w:tcPr>
            <w:tcW w:w="1849" w:type="dxa"/>
            <w:vMerge w:val="continue"/>
            <w:tcBorders>
              <w:left w:val="single" w:color="auto" w:sz="4" w:space="0"/>
              <w:right w:val="single" w:color="auto" w:sz="4" w:space="0"/>
            </w:tcBorders>
            <w:noWrap w:val="0"/>
            <w:tcMar>
              <w:top w:w="0" w:type="dxa"/>
              <w:left w:w="0" w:type="dxa"/>
              <w:bottom w:w="0" w:type="dxa"/>
              <w:right w:w="0" w:type="dxa"/>
            </w:tcMar>
            <w:vAlign w:val="center"/>
          </w:tcPr>
          <w:p w14:paraId="70F28870">
            <w:pPr>
              <w:spacing w:line="240" w:lineRule="exact"/>
              <w:jc w:val="both"/>
              <w:rPr>
                <w:rFonts w:hint="eastAsia" w:ascii="宋体" w:hAnsi="宋体" w:eastAsia="宋体" w:cs="宋体"/>
                <w:b w:val="0"/>
                <w:bCs w:val="0"/>
                <w:sz w:val="18"/>
                <w:szCs w:val="18"/>
              </w:rPr>
            </w:pPr>
          </w:p>
        </w:tc>
        <w:tc>
          <w:tcPr>
            <w:tcW w:w="517"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center"/>
          </w:tcPr>
          <w:p w14:paraId="140FF1A7">
            <w:pPr>
              <w:spacing w:line="240" w:lineRule="exact"/>
              <w:jc w:val="both"/>
              <w:rPr>
                <w:rFonts w:hint="eastAsia" w:ascii="宋体" w:hAnsi="宋体" w:eastAsia="宋体" w:cs="宋体"/>
                <w:b w:val="0"/>
                <w:bCs w:val="0"/>
                <w:kern w:val="0"/>
                <w:sz w:val="18"/>
                <w:szCs w:val="18"/>
                <w:highlight w:val="none"/>
                <w:lang w:val="en-US" w:eastAsia="zh-CN" w:bidi="ar"/>
              </w:rPr>
            </w:pPr>
            <w:r>
              <w:rPr>
                <w:rFonts w:hint="eastAsia" w:ascii="宋体" w:hAnsi="宋体" w:eastAsia="宋体" w:cs="宋体"/>
                <w:b w:val="0"/>
                <w:bCs w:val="0"/>
                <w:kern w:val="0"/>
                <w:sz w:val="18"/>
                <w:szCs w:val="18"/>
                <w:highlight w:val="none"/>
                <w:lang w:bidi="ar"/>
              </w:rPr>
              <w:t>一般</w:t>
            </w:r>
          </w:p>
        </w:tc>
        <w:tc>
          <w:tcPr>
            <w:tcW w:w="2420"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center"/>
          </w:tcPr>
          <w:p w14:paraId="40AEF497">
            <w:pPr>
              <w:spacing w:line="240" w:lineRule="exact"/>
              <w:jc w:val="both"/>
              <w:rPr>
                <w:rFonts w:hint="eastAsia" w:ascii="宋体" w:hAnsi="宋体" w:eastAsia="宋体" w:cs="宋体"/>
                <w:b w:val="0"/>
                <w:bCs w:val="0"/>
                <w:kern w:val="0"/>
                <w:sz w:val="18"/>
                <w:szCs w:val="18"/>
                <w:highlight w:val="none"/>
                <w:lang w:val="en-US" w:eastAsia="zh-CN" w:bidi="ar"/>
              </w:rPr>
            </w:pPr>
            <w:r>
              <w:rPr>
                <w:rFonts w:hint="eastAsia" w:ascii="宋体" w:hAnsi="宋体" w:eastAsia="宋体" w:cs="宋体"/>
                <w:b w:val="0"/>
                <w:bCs w:val="0"/>
                <w:kern w:val="0"/>
                <w:sz w:val="18"/>
                <w:szCs w:val="18"/>
                <w:highlight w:val="none"/>
                <w:lang w:bidi="ar"/>
              </w:rPr>
              <w:t>违反批准的界限、位置、建设方案两种以上，但在规定的期限内整改的</w:t>
            </w:r>
          </w:p>
        </w:tc>
        <w:tc>
          <w:tcPr>
            <w:tcW w:w="1628"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center"/>
          </w:tcPr>
          <w:p w14:paraId="425E3D75">
            <w:pPr>
              <w:spacing w:line="240" w:lineRule="exact"/>
              <w:jc w:val="both"/>
              <w:rPr>
                <w:rFonts w:hint="eastAsia" w:ascii="宋体" w:hAnsi="宋体" w:eastAsia="宋体" w:cs="宋体"/>
                <w:b w:val="0"/>
                <w:bCs w:val="0"/>
                <w:kern w:val="0"/>
                <w:sz w:val="18"/>
                <w:szCs w:val="18"/>
                <w:highlight w:val="none"/>
                <w:lang w:val="en-US" w:eastAsia="zh-CN" w:bidi="ar"/>
              </w:rPr>
            </w:pPr>
            <w:r>
              <w:rPr>
                <w:rFonts w:hint="eastAsia" w:ascii="宋体" w:hAnsi="宋体" w:eastAsia="宋体" w:cs="宋体"/>
                <w:b w:val="0"/>
                <w:bCs w:val="0"/>
                <w:kern w:val="0"/>
                <w:sz w:val="18"/>
                <w:szCs w:val="18"/>
                <w:highlight w:val="none"/>
                <w:lang w:bidi="ar"/>
              </w:rPr>
              <w:t>处</w:t>
            </w:r>
            <w:r>
              <w:rPr>
                <w:rFonts w:hint="eastAsia" w:ascii="宋体" w:hAnsi="宋体" w:eastAsia="宋体" w:cs="宋体"/>
                <w:b w:val="0"/>
                <w:bCs w:val="0"/>
                <w:kern w:val="0"/>
                <w:sz w:val="18"/>
                <w:szCs w:val="18"/>
                <w:highlight w:val="none"/>
                <w:lang w:val="en-US" w:eastAsia="zh-CN" w:bidi="ar"/>
              </w:rPr>
              <w:t>3</w:t>
            </w:r>
            <w:r>
              <w:rPr>
                <w:rFonts w:hint="eastAsia" w:ascii="宋体" w:hAnsi="宋体" w:eastAsia="宋体" w:cs="宋体"/>
                <w:b w:val="0"/>
                <w:bCs w:val="0"/>
                <w:kern w:val="0"/>
                <w:sz w:val="18"/>
                <w:szCs w:val="18"/>
                <w:highlight w:val="none"/>
                <w:lang w:bidi="ar"/>
              </w:rPr>
              <w:t>万元以上</w:t>
            </w:r>
            <w:r>
              <w:rPr>
                <w:rFonts w:hint="eastAsia" w:ascii="宋体" w:hAnsi="宋体" w:eastAsia="宋体" w:cs="宋体"/>
                <w:b w:val="0"/>
                <w:bCs w:val="0"/>
                <w:kern w:val="0"/>
                <w:sz w:val="18"/>
                <w:szCs w:val="18"/>
                <w:highlight w:val="none"/>
                <w:lang w:val="en-US" w:eastAsia="zh-CN" w:bidi="ar"/>
              </w:rPr>
              <w:t>5</w:t>
            </w:r>
            <w:r>
              <w:rPr>
                <w:rFonts w:hint="eastAsia" w:ascii="宋体" w:hAnsi="宋体" w:eastAsia="宋体" w:cs="宋体"/>
                <w:b w:val="0"/>
                <w:bCs w:val="0"/>
                <w:kern w:val="0"/>
                <w:sz w:val="18"/>
                <w:szCs w:val="18"/>
                <w:highlight w:val="none"/>
                <w:lang w:bidi="ar"/>
              </w:rPr>
              <w:t>万元以下的罚款</w:t>
            </w:r>
          </w:p>
        </w:tc>
        <w:tc>
          <w:tcPr>
            <w:tcW w:w="739" w:type="dxa"/>
            <w:vMerge w:val="continue"/>
            <w:tcBorders>
              <w:left w:val="single" w:color="auto" w:sz="4" w:space="0"/>
              <w:right w:val="single" w:color="auto" w:sz="4" w:space="0"/>
            </w:tcBorders>
            <w:noWrap w:val="0"/>
            <w:tcMar>
              <w:top w:w="0" w:type="dxa"/>
              <w:left w:w="0" w:type="dxa"/>
              <w:bottom w:w="0" w:type="dxa"/>
              <w:right w:w="0" w:type="dxa"/>
            </w:tcMar>
            <w:vAlign w:val="center"/>
          </w:tcPr>
          <w:p w14:paraId="3D4F0A76">
            <w:pPr>
              <w:spacing w:line="240" w:lineRule="exact"/>
              <w:jc w:val="center"/>
              <w:rPr>
                <w:rStyle w:val="21"/>
                <w:rFonts w:hint="eastAsia" w:ascii="宋体" w:hAnsi="宋体" w:eastAsia="宋体" w:cs="宋体"/>
                <w:b w:val="0"/>
                <w:bCs w:val="0"/>
                <w:color w:val="auto"/>
                <w:sz w:val="18"/>
                <w:szCs w:val="18"/>
                <w:lang w:bidi="ar"/>
              </w:rPr>
            </w:pPr>
          </w:p>
        </w:tc>
      </w:tr>
      <w:tr w14:paraId="17B732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0" w:hRule="atLeast"/>
          <w:jc w:val="center"/>
        </w:trPr>
        <w:tc>
          <w:tcPr>
            <w:tcW w:w="474" w:type="dxa"/>
            <w:vMerge w:val="continue"/>
            <w:tcBorders>
              <w:left w:val="single" w:color="auto" w:sz="4" w:space="0"/>
              <w:right w:val="single" w:color="auto" w:sz="4" w:space="0"/>
            </w:tcBorders>
            <w:noWrap w:val="0"/>
            <w:tcMar>
              <w:top w:w="0" w:type="dxa"/>
              <w:left w:w="0" w:type="dxa"/>
              <w:bottom w:w="0" w:type="dxa"/>
              <w:right w:w="0" w:type="dxa"/>
            </w:tcMar>
            <w:vAlign w:val="center"/>
          </w:tcPr>
          <w:p w14:paraId="74F06545">
            <w:pPr>
              <w:spacing w:line="240" w:lineRule="exact"/>
              <w:jc w:val="center"/>
              <w:rPr>
                <w:rFonts w:hint="eastAsia" w:ascii="宋体" w:hAnsi="宋体" w:eastAsia="宋体" w:cs="宋体"/>
                <w:b w:val="0"/>
                <w:bCs w:val="0"/>
                <w:sz w:val="18"/>
                <w:szCs w:val="18"/>
              </w:rPr>
            </w:pPr>
          </w:p>
        </w:tc>
        <w:tc>
          <w:tcPr>
            <w:tcW w:w="1236" w:type="dxa"/>
            <w:vMerge w:val="continue"/>
            <w:tcBorders>
              <w:left w:val="single" w:color="auto" w:sz="4" w:space="0"/>
              <w:right w:val="single" w:color="auto" w:sz="4" w:space="0"/>
            </w:tcBorders>
            <w:noWrap w:val="0"/>
            <w:tcMar>
              <w:top w:w="0" w:type="dxa"/>
              <w:left w:w="0" w:type="dxa"/>
              <w:bottom w:w="0" w:type="dxa"/>
              <w:right w:w="0" w:type="dxa"/>
            </w:tcMar>
            <w:vAlign w:val="center"/>
          </w:tcPr>
          <w:p w14:paraId="29614C51">
            <w:pPr>
              <w:widowControl/>
              <w:spacing w:line="240" w:lineRule="exact"/>
              <w:textAlignment w:val="center"/>
              <w:rPr>
                <w:rFonts w:hint="eastAsia" w:ascii="宋体" w:hAnsi="宋体" w:eastAsia="宋体" w:cs="宋体"/>
                <w:b w:val="0"/>
                <w:bCs w:val="0"/>
                <w:kern w:val="0"/>
                <w:sz w:val="18"/>
                <w:szCs w:val="18"/>
                <w:lang w:bidi="ar"/>
              </w:rPr>
            </w:pPr>
          </w:p>
        </w:tc>
        <w:tc>
          <w:tcPr>
            <w:tcW w:w="6027" w:type="dxa"/>
            <w:vMerge w:val="continue"/>
            <w:tcBorders>
              <w:left w:val="single" w:color="auto" w:sz="4" w:space="0"/>
              <w:right w:val="single" w:color="auto" w:sz="4" w:space="0"/>
            </w:tcBorders>
            <w:noWrap w:val="0"/>
            <w:tcMar>
              <w:top w:w="0" w:type="dxa"/>
              <w:left w:w="0" w:type="dxa"/>
              <w:bottom w:w="0" w:type="dxa"/>
              <w:right w:w="0" w:type="dxa"/>
            </w:tcMar>
            <w:vAlign w:val="center"/>
          </w:tcPr>
          <w:p w14:paraId="52242F32">
            <w:pPr>
              <w:widowControl/>
              <w:spacing w:line="240" w:lineRule="exact"/>
              <w:ind w:firstLine="360" w:firstLineChars="200"/>
              <w:textAlignment w:val="center"/>
              <w:rPr>
                <w:rFonts w:hint="eastAsia" w:ascii="宋体" w:hAnsi="宋体" w:eastAsia="宋体" w:cs="宋体"/>
                <w:b w:val="0"/>
                <w:bCs w:val="0"/>
                <w:kern w:val="0"/>
                <w:sz w:val="18"/>
                <w:szCs w:val="18"/>
                <w:lang w:bidi="ar"/>
              </w:rPr>
            </w:pPr>
          </w:p>
        </w:tc>
        <w:tc>
          <w:tcPr>
            <w:tcW w:w="1849" w:type="dxa"/>
            <w:vMerge w:val="continue"/>
            <w:tcBorders>
              <w:left w:val="single" w:color="auto" w:sz="4" w:space="0"/>
              <w:right w:val="single" w:color="auto" w:sz="4" w:space="0"/>
            </w:tcBorders>
            <w:noWrap w:val="0"/>
            <w:tcMar>
              <w:top w:w="0" w:type="dxa"/>
              <w:left w:w="0" w:type="dxa"/>
              <w:bottom w:w="0" w:type="dxa"/>
              <w:right w:w="0" w:type="dxa"/>
            </w:tcMar>
            <w:vAlign w:val="center"/>
          </w:tcPr>
          <w:p w14:paraId="0CD61A22">
            <w:pPr>
              <w:spacing w:line="240" w:lineRule="exact"/>
              <w:jc w:val="both"/>
              <w:rPr>
                <w:rFonts w:hint="eastAsia" w:ascii="宋体" w:hAnsi="宋体" w:eastAsia="宋体" w:cs="宋体"/>
                <w:b w:val="0"/>
                <w:bCs w:val="0"/>
                <w:sz w:val="18"/>
                <w:szCs w:val="18"/>
              </w:rPr>
            </w:pPr>
          </w:p>
        </w:tc>
        <w:tc>
          <w:tcPr>
            <w:tcW w:w="517"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center"/>
          </w:tcPr>
          <w:p w14:paraId="7F1AEAE5">
            <w:pPr>
              <w:spacing w:line="240" w:lineRule="exact"/>
              <w:jc w:val="both"/>
              <w:rPr>
                <w:rFonts w:hint="eastAsia" w:ascii="宋体" w:hAnsi="宋体" w:eastAsia="宋体" w:cs="宋体"/>
                <w:b w:val="0"/>
                <w:bCs w:val="0"/>
                <w:kern w:val="0"/>
                <w:sz w:val="18"/>
                <w:szCs w:val="18"/>
                <w:highlight w:val="none"/>
                <w:lang w:val="en-US" w:eastAsia="zh-CN" w:bidi="ar"/>
              </w:rPr>
            </w:pPr>
            <w:r>
              <w:rPr>
                <w:rFonts w:hint="eastAsia" w:ascii="宋体" w:hAnsi="宋体" w:eastAsia="宋体" w:cs="宋体"/>
                <w:b w:val="0"/>
                <w:bCs w:val="0"/>
                <w:kern w:val="0"/>
                <w:sz w:val="18"/>
                <w:szCs w:val="18"/>
                <w:highlight w:val="none"/>
                <w:lang w:eastAsia="zh-CN" w:bidi="ar"/>
              </w:rPr>
              <w:t>较重</w:t>
            </w:r>
          </w:p>
        </w:tc>
        <w:tc>
          <w:tcPr>
            <w:tcW w:w="2420"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center"/>
          </w:tcPr>
          <w:p w14:paraId="55402E80">
            <w:pPr>
              <w:spacing w:line="240" w:lineRule="exact"/>
              <w:jc w:val="both"/>
              <w:rPr>
                <w:rFonts w:hint="eastAsia" w:ascii="宋体" w:hAnsi="宋体" w:eastAsia="宋体" w:cs="宋体"/>
                <w:b w:val="0"/>
                <w:bCs w:val="0"/>
                <w:kern w:val="0"/>
                <w:sz w:val="18"/>
                <w:szCs w:val="18"/>
                <w:highlight w:val="none"/>
                <w:lang w:val="en-US" w:eastAsia="zh-CN" w:bidi="ar"/>
              </w:rPr>
            </w:pPr>
            <w:r>
              <w:rPr>
                <w:rFonts w:hint="eastAsia" w:ascii="宋体" w:hAnsi="宋体" w:eastAsia="宋体" w:cs="宋体"/>
                <w:b w:val="0"/>
                <w:bCs w:val="0"/>
                <w:kern w:val="0"/>
                <w:sz w:val="18"/>
                <w:szCs w:val="18"/>
                <w:highlight w:val="none"/>
                <w:lang w:bidi="ar"/>
              </w:rPr>
              <w:t>违反批准的界限、位置、建设方案之一，未在规定的期限内整改或者难以整改的</w:t>
            </w:r>
          </w:p>
        </w:tc>
        <w:tc>
          <w:tcPr>
            <w:tcW w:w="1628"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center"/>
          </w:tcPr>
          <w:p w14:paraId="345CCDE2">
            <w:pPr>
              <w:spacing w:line="240" w:lineRule="exact"/>
              <w:jc w:val="both"/>
              <w:rPr>
                <w:rFonts w:hint="eastAsia" w:ascii="宋体" w:hAnsi="宋体" w:eastAsia="宋体" w:cs="宋体"/>
                <w:b w:val="0"/>
                <w:bCs w:val="0"/>
                <w:kern w:val="0"/>
                <w:sz w:val="18"/>
                <w:szCs w:val="18"/>
                <w:highlight w:val="none"/>
                <w:lang w:val="en-US" w:eastAsia="zh-CN" w:bidi="ar"/>
              </w:rPr>
            </w:pPr>
            <w:r>
              <w:rPr>
                <w:rFonts w:hint="eastAsia" w:ascii="宋体" w:hAnsi="宋体" w:eastAsia="宋体" w:cs="宋体"/>
                <w:b w:val="0"/>
                <w:bCs w:val="0"/>
                <w:kern w:val="0"/>
                <w:sz w:val="18"/>
                <w:szCs w:val="18"/>
                <w:highlight w:val="none"/>
                <w:lang w:bidi="ar"/>
              </w:rPr>
              <w:t>处</w:t>
            </w:r>
            <w:r>
              <w:rPr>
                <w:rFonts w:hint="eastAsia" w:ascii="宋体" w:hAnsi="宋体" w:eastAsia="宋体" w:cs="宋体"/>
                <w:b w:val="0"/>
                <w:bCs w:val="0"/>
                <w:kern w:val="0"/>
                <w:sz w:val="18"/>
                <w:szCs w:val="18"/>
                <w:highlight w:val="none"/>
                <w:lang w:val="en-US" w:eastAsia="zh-CN" w:bidi="ar"/>
              </w:rPr>
              <w:t>5</w:t>
            </w:r>
            <w:r>
              <w:rPr>
                <w:rFonts w:hint="eastAsia" w:ascii="宋体" w:hAnsi="宋体" w:eastAsia="宋体" w:cs="宋体"/>
                <w:b w:val="0"/>
                <w:bCs w:val="0"/>
                <w:kern w:val="0"/>
                <w:sz w:val="18"/>
                <w:szCs w:val="18"/>
                <w:highlight w:val="none"/>
                <w:lang w:bidi="ar"/>
              </w:rPr>
              <w:t>万元以上</w:t>
            </w:r>
            <w:r>
              <w:rPr>
                <w:rFonts w:hint="eastAsia" w:ascii="宋体" w:hAnsi="宋体" w:eastAsia="宋体" w:cs="宋体"/>
                <w:b w:val="0"/>
                <w:bCs w:val="0"/>
                <w:kern w:val="0"/>
                <w:sz w:val="18"/>
                <w:szCs w:val="18"/>
                <w:highlight w:val="none"/>
                <w:lang w:val="en-US" w:eastAsia="zh-CN" w:bidi="ar"/>
              </w:rPr>
              <w:t>7</w:t>
            </w:r>
            <w:r>
              <w:rPr>
                <w:rFonts w:hint="eastAsia" w:ascii="宋体" w:hAnsi="宋体" w:eastAsia="宋体" w:cs="宋体"/>
                <w:b w:val="0"/>
                <w:bCs w:val="0"/>
                <w:kern w:val="0"/>
                <w:sz w:val="18"/>
                <w:szCs w:val="18"/>
                <w:highlight w:val="none"/>
                <w:lang w:bidi="ar"/>
              </w:rPr>
              <w:t>万元以下的罚款</w:t>
            </w:r>
          </w:p>
        </w:tc>
        <w:tc>
          <w:tcPr>
            <w:tcW w:w="739" w:type="dxa"/>
            <w:vMerge w:val="continue"/>
            <w:tcBorders>
              <w:left w:val="single" w:color="auto" w:sz="4" w:space="0"/>
              <w:right w:val="single" w:color="auto" w:sz="4" w:space="0"/>
            </w:tcBorders>
            <w:noWrap w:val="0"/>
            <w:tcMar>
              <w:top w:w="0" w:type="dxa"/>
              <w:left w:w="0" w:type="dxa"/>
              <w:bottom w:w="0" w:type="dxa"/>
              <w:right w:w="0" w:type="dxa"/>
            </w:tcMar>
            <w:vAlign w:val="center"/>
          </w:tcPr>
          <w:p w14:paraId="3FE0AD0D">
            <w:pPr>
              <w:spacing w:line="240" w:lineRule="exact"/>
              <w:jc w:val="center"/>
              <w:rPr>
                <w:rStyle w:val="21"/>
                <w:rFonts w:hint="eastAsia" w:ascii="宋体" w:hAnsi="宋体" w:eastAsia="宋体" w:cs="宋体"/>
                <w:b w:val="0"/>
                <w:bCs w:val="0"/>
                <w:color w:val="auto"/>
                <w:sz w:val="18"/>
                <w:szCs w:val="18"/>
                <w:lang w:bidi="ar"/>
              </w:rPr>
            </w:pPr>
          </w:p>
        </w:tc>
      </w:tr>
      <w:tr w14:paraId="625ED2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7" w:hRule="atLeast"/>
          <w:jc w:val="center"/>
        </w:trPr>
        <w:tc>
          <w:tcPr>
            <w:tcW w:w="474" w:type="dxa"/>
            <w:vMerge w:val="continue"/>
            <w:tcBorders>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12E5AAA">
            <w:pPr>
              <w:spacing w:line="240" w:lineRule="exact"/>
              <w:jc w:val="center"/>
              <w:rPr>
                <w:rFonts w:hint="eastAsia" w:ascii="宋体" w:hAnsi="宋体" w:eastAsia="宋体" w:cs="宋体"/>
                <w:b w:val="0"/>
                <w:bCs w:val="0"/>
                <w:sz w:val="18"/>
                <w:szCs w:val="18"/>
              </w:rPr>
            </w:pPr>
          </w:p>
        </w:tc>
        <w:tc>
          <w:tcPr>
            <w:tcW w:w="1236" w:type="dxa"/>
            <w:vMerge w:val="continue"/>
            <w:tcBorders>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27D1B3E">
            <w:pPr>
              <w:widowControl/>
              <w:spacing w:line="240" w:lineRule="exact"/>
              <w:textAlignment w:val="center"/>
              <w:rPr>
                <w:rFonts w:hint="eastAsia" w:ascii="宋体" w:hAnsi="宋体" w:eastAsia="宋体" w:cs="宋体"/>
                <w:b w:val="0"/>
                <w:bCs w:val="0"/>
                <w:kern w:val="0"/>
                <w:sz w:val="18"/>
                <w:szCs w:val="18"/>
                <w:lang w:bidi="ar"/>
              </w:rPr>
            </w:pPr>
          </w:p>
        </w:tc>
        <w:tc>
          <w:tcPr>
            <w:tcW w:w="6027" w:type="dxa"/>
            <w:vMerge w:val="continue"/>
            <w:tcBorders>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3BB2C6B">
            <w:pPr>
              <w:widowControl/>
              <w:spacing w:line="240" w:lineRule="exact"/>
              <w:ind w:firstLine="360" w:firstLineChars="200"/>
              <w:textAlignment w:val="center"/>
              <w:rPr>
                <w:rFonts w:hint="eastAsia" w:ascii="宋体" w:hAnsi="宋体" w:eastAsia="宋体" w:cs="宋体"/>
                <w:b w:val="0"/>
                <w:bCs w:val="0"/>
                <w:kern w:val="0"/>
                <w:sz w:val="18"/>
                <w:szCs w:val="18"/>
                <w:lang w:bidi="ar"/>
              </w:rPr>
            </w:pPr>
          </w:p>
        </w:tc>
        <w:tc>
          <w:tcPr>
            <w:tcW w:w="1849" w:type="dxa"/>
            <w:vMerge w:val="continue"/>
            <w:tcBorders>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06A3A2A">
            <w:pPr>
              <w:spacing w:line="240" w:lineRule="exact"/>
              <w:jc w:val="both"/>
              <w:rPr>
                <w:rFonts w:hint="eastAsia" w:ascii="宋体" w:hAnsi="宋体" w:eastAsia="宋体" w:cs="宋体"/>
                <w:b w:val="0"/>
                <w:bCs w:val="0"/>
                <w:sz w:val="18"/>
                <w:szCs w:val="18"/>
              </w:rPr>
            </w:pPr>
          </w:p>
        </w:tc>
        <w:tc>
          <w:tcPr>
            <w:tcW w:w="517"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center"/>
          </w:tcPr>
          <w:p w14:paraId="2C7EE58E">
            <w:pPr>
              <w:spacing w:line="240" w:lineRule="exact"/>
              <w:jc w:val="both"/>
              <w:rPr>
                <w:rFonts w:hint="eastAsia" w:ascii="宋体" w:hAnsi="宋体" w:eastAsia="宋体" w:cs="宋体"/>
                <w:b w:val="0"/>
                <w:bCs w:val="0"/>
                <w:kern w:val="0"/>
                <w:sz w:val="18"/>
                <w:szCs w:val="18"/>
                <w:highlight w:val="none"/>
                <w:lang w:val="en-US" w:eastAsia="zh-CN" w:bidi="ar"/>
              </w:rPr>
            </w:pPr>
            <w:r>
              <w:rPr>
                <w:rFonts w:hint="eastAsia" w:ascii="宋体" w:hAnsi="宋体" w:eastAsia="宋体" w:cs="宋体"/>
                <w:b w:val="0"/>
                <w:bCs w:val="0"/>
                <w:kern w:val="0"/>
                <w:sz w:val="18"/>
                <w:szCs w:val="18"/>
                <w:highlight w:val="none"/>
                <w:lang w:bidi="ar"/>
              </w:rPr>
              <w:t>严重</w:t>
            </w:r>
          </w:p>
        </w:tc>
        <w:tc>
          <w:tcPr>
            <w:tcW w:w="2420"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center"/>
          </w:tcPr>
          <w:p w14:paraId="144C2A04">
            <w:pPr>
              <w:spacing w:line="240" w:lineRule="exact"/>
              <w:jc w:val="both"/>
              <w:rPr>
                <w:rFonts w:hint="eastAsia" w:ascii="宋体" w:hAnsi="宋体" w:eastAsia="宋体" w:cs="宋体"/>
                <w:b w:val="0"/>
                <w:bCs w:val="0"/>
                <w:kern w:val="0"/>
                <w:sz w:val="18"/>
                <w:szCs w:val="18"/>
                <w:highlight w:val="none"/>
                <w:lang w:val="en-US" w:eastAsia="zh-CN" w:bidi="ar"/>
              </w:rPr>
            </w:pPr>
            <w:r>
              <w:rPr>
                <w:rFonts w:hint="eastAsia" w:ascii="宋体" w:hAnsi="宋体" w:eastAsia="宋体" w:cs="宋体"/>
                <w:b w:val="0"/>
                <w:bCs w:val="0"/>
                <w:kern w:val="0"/>
                <w:sz w:val="18"/>
                <w:szCs w:val="18"/>
                <w:highlight w:val="none"/>
                <w:lang w:bidi="ar"/>
              </w:rPr>
              <w:t>违反批准的界限、位置、建设方案两种以上，未在规定的期限内整改、拒不整改或者难以整改的</w:t>
            </w:r>
          </w:p>
        </w:tc>
        <w:tc>
          <w:tcPr>
            <w:tcW w:w="1628"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center"/>
          </w:tcPr>
          <w:p w14:paraId="530993E4">
            <w:pPr>
              <w:spacing w:line="240" w:lineRule="exact"/>
              <w:jc w:val="both"/>
              <w:rPr>
                <w:rFonts w:hint="eastAsia" w:ascii="宋体" w:hAnsi="宋体" w:eastAsia="宋体" w:cs="宋体"/>
                <w:b w:val="0"/>
                <w:bCs w:val="0"/>
                <w:kern w:val="0"/>
                <w:sz w:val="18"/>
                <w:szCs w:val="18"/>
                <w:highlight w:val="none"/>
                <w:lang w:val="en-US" w:eastAsia="zh-CN" w:bidi="ar"/>
              </w:rPr>
            </w:pPr>
            <w:r>
              <w:rPr>
                <w:rFonts w:hint="eastAsia" w:ascii="宋体" w:hAnsi="宋体" w:eastAsia="宋体" w:cs="宋体"/>
                <w:b w:val="0"/>
                <w:bCs w:val="0"/>
                <w:kern w:val="0"/>
                <w:sz w:val="18"/>
                <w:szCs w:val="18"/>
                <w:highlight w:val="none"/>
                <w:lang w:bidi="ar"/>
              </w:rPr>
              <w:t>处</w:t>
            </w:r>
            <w:r>
              <w:rPr>
                <w:rFonts w:hint="eastAsia" w:ascii="宋体" w:hAnsi="宋体" w:eastAsia="宋体" w:cs="宋体"/>
                <w:b w:val="0"/>
                <w:bCs w:val="0"/>
                <w:kern w:val="0"/>
                <w:sz w:val="18"/>
                <w:szCs w:val="18"/>
                <w:highlight w:val="none"/>
                <w:lang w:val="en-US" w:eastAsia="zh-CN" w:bidi="ar"/>
              </w:rPr>
              <w:t>7</w:t>
            </w:r>
            <w:r>
              <w:rPr>
                <w:rFonts w:hint="eastAsia" w:ascii="宋体" w:hAnsi="宋体" w:eastAsia="宋体" w:cs="宋体"/>
                <w:b w:val="0"/>
                <w:bCs w:val="0"/>
                <w:kern w:val="0"/>
                <w:sz w:val="18"/>
                <w:szCs w:val="18"/>
                <w:highlight w:val="none"/>
                <w:lang w:bidi="ar"/>
              </w:rPr>
              <w:t>万元以上</w:t>
            </w:r>
            <w:r>
              <w:rPr>
                <w:rFonts w:hint="eastAsia" w:ascii="宋体" w:hAnsi="宋体" w:eastAsia="宋体" w:cs="宋体"/>
                <w:b w:val="0"/>
                <w:bCs w:val="0"/>
                <w:kern w:val="0"/>
                <w:sz w:val="18"/>
                <w:szCs w:val="18"/>
                <w:highlight w:val="none"/>
                <w:lang w:val="en-US" w:eastAsia="zh-CN" w:bidi="ar"/>
              </w:rPr>
              <w:t>10</w:t>
            </w:r>
            <w:r>
              <w:rPr>
                <w:rFonts w:hint="eastAsia" w:ascii="宋体" w:hAnsi="宋体" w:eastAsia="宋体" w:cs="宋体"/>
                <w:b w:val="0"/>
                <w:bCs w:val="0"/>
                <w:kern w:val="0"/>
                <w:sz w:val="18"/>
                <w:szCs w:val="18"/>
                <w:highlight w:val="none"/>
                <w:lang w:bidi="ar"/>
              </w:rPr>
              <w:t>万元以下的罚款</w:t>
            </w:r>
          </w:p>
        </w:tc>
        <w:tc>
          <w:tcPr>
            <w:tcW w:w="739" w:type="dxa"/>
            <w:vMerge w:val="continue"/>
            <w:tcBorders>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4C4AA2A">
            <w:pPr>
              <w:spacing w:line="240" w:lineRule="exact"/>
              <w:jc w:val="center"/>
              <w:rPr>
                <w:rStyle w:val="21"/>
                <w:rFonts w:hint="eastAsia" w:ascii="宋体" w:hAnsi="宋体" w:eastAsia="宋体" w:cs="宋体"/>
                <w:b w:val="0"/>
                <w:bCs w:val="0"/>
                <w:color w:val="auto"/>
                <w:sz w:val="18"/>
                <w:szCs w:val="18"/>
                <w:lang w:bidi="ar"/>
              </w:rPr>
            </w:pPr>
          </w:p>
        </w:tc>
      </w:tr>
      <w:tr w14:paraId="541596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8" w:hRule="atLeast"/>
          <w:jc w:val="center"/>
        </w:trPr>
        <w:tc>
          <w:tcPr>
            <w:tcW w:w="474" w:type="dxa"/>
            <w:vMerge w:val="restart"/>
            <w:tcBorders>
              <w:left w:val="single" w:color="auto" w:sz="4" w:space="0"/>
              <w:right w:val="single" w:color="auto" w:sz="4" w:space="0"/>
            </w:tcBorders>
            <w:noWrap w:val="0"/>
            <w:tcMar>
              <w:top w:w="0" w:type="dxa"/>
              <w:left w:w="0" w:type="dxa"/>
              <w:bottom w:w="0" w:type="dxa"/>
              <w:right w:w="0" w:type="dxa"/>
            </w:tcMar>
            <w:vAlign w:val="center"/>
          </w:tcPr>
          <w:p w14:paraId="55770A91">
            <w:pPr>
              <w:widowControl/>
              <w:spacing w:line="240" w:lineRule="exact"/>
              <w:jc w:val="center"/>
              <w:textAlignment w:val="center"/>
              <w:rPr>
                <w:rFonts w:hint="eastAsia" w:ascii="宋体" w:hAnsi="宋体" w:eastAsia="宋体" w:cs="宋体"/>
                <w:b w:val="0"/>
                <w:bCs w:val="0"/>
                <w:sz w:val="18"/>
                <w:szCs w:val="18"/>
                <w:lang w:eastAsia="zh-CN"/>
              </w:rPr>
            </w:pPr>
            <w:r>
              <w:rPr>
                <w:rFonts w:hint="eastAsia" w:ascii="宋体" w:hAnsi="宋体" w:eastAsia="宋体" w:cs="宋体"/>
                <w:b w:val="0"/>
                <w:bCs w:val="0"/>
                <w:kern w:val="0"/>
                <w:sz w:val="18"/>
                <w:szCs w:val="18"/>
                <w:lang w:bidi="ar"/>
              </w:rPr>
              <w:t>2</w:t>
            </w:r>
            <w:r>
              <w:rPr>
                <w:rFonts w:hint="eastAsia" w:ascii="宋体" w:hAnsi="宋体" w:eastAsia="宋体" w:cs="宋体"/>
                <w:b w:val="0"/>
                <w:bCs w:val="0"/>
                <w:kern w:val="0"/>
                <w:sz w:val="18"/>
                <w:szCs w:val="18"/>
                <w:lang w:val="en-US" w:eastAsia="zh-CN" w:bidi="ar"/>
              </w:rPr>
              <w:t>6</w:t>
            </w:r>
          </w:p>
        </w:tc>
        <w:tc>
          <w:tcPr>
            <w:tcW w:w="1236" w:type="dxa"/>
            <w:vMerge w:val="restart"/>
            <w:tcBorders>
              <w:left w:val="single" w:color="auto" w:sz="4" w:space="0"/>
              <w:right w:val="single" w:color="auto" w:sz="4" w:space="0"/>
            </w:tcBorders>
            <w:noWrap w:val="0"/>
            <w:tcMar>
              <w:top w:w="0" w:type="dxa"/>
              <w:left w:w="0" w:type="dxa"/>
              <w:bottom w:w="0" w:type="dxa"/>
              <w:right w:w="0" w:type="dxa"/>
            </w:tcMar>
            <w:vAlign w:val="center"/>
          </w:tcPr>
          <w:p w14:paraId="4B04C7CB">
            <w:pPr>
              <w:widowControl/>
              <w:spacing w:line="240" w:lineRule="exact"/>
              <w:jc w:val="both"/>
              <w:textAlignment w:val="center"/>
              <w:rPr>
                <w:rFonts w:hint="eastAsia" w:ascii="宋体" w:hAnsi="宋体" w:eastAsia="宋体" w:cs="宋体"/>
                <w:b w:val="0"/>
                <w:bCs w:val="0"/>
                <w:kern w:val="0"/>
                <w:sz w:val="18"/>
                <w:szCs w:val="18"/>
                <w:lang w:bidi="ar"/>
              </w:rPr>
            </w:pPr>
            <w:r>
              <w:rPr>
                <w:rFonts w:hint="eastAsia" w:ascii="宋体" w:hAnsi="宋体" w:eastAsia="宋体" w:cs="宋体"/>
                <w:b w:val="0"/>
                <w:bCs w:val="0"/>
                <w:kern w:val="0"/>
                <w:sz w:val="18"/>
                <w:szCs w:val="18"/>
                <w:lang w:bidi="ar"/>
              </w:rPr>
              <w:t>擅自在水利工程管理范围内兴建建设项目的行政处罚</w:t>
            </w:r>
          </w:p>
        </w:tc>
        <w:tc>
          <w:tcPr>
            <w:tcW w:w="6027" w:type="dxa"/>
            <w:vMerge w:val="restart"/>
            <w:tcBorders>
              <w:top w:val="single" w:color="auto" w:sz="4" w:space="0"/>
              <w:left w:val="single" w:color="auto" w:sz="4" w:space="0"/>
              <w:right w:val="single" w:color="auto" w:sz="4" w:space="0"/>
            </w:tcBorders>
            <w:noWrap w:val="0"/>
            <w:tcMar>
              <w:top w:w="0" w:type="dxa"/>
              <w:left w:w="0" w:type="dxa"/>
              <w:bottom w:w="0" w:type="dxa"/>
              <w:right w:w="0" w:type="dxa"/>
            </w:tcMar>
            <w:vAlign w:val="center"/>
          </w:tcPr>
          <w:p w14:paraId="4FAB6E7F">
            <w:pPr>
              <w:widowControl/>
              <w:spacing w:line="240" w:lineRule="exact"/>
              <w:textAlignment w:val="center"/>
              <w:rPr>
                <w:rFonts w:hint="eastAsia" w:ascii="宋体" w:hAnsi="宋体" w:eastAsia="宋体" w:cs="宋体"/>
                <w:b w:val="0"/>
                <w:bCs w:val="0"/>
                <w:kern w:val="0"/>
                <w:sz w:val="18"/>
                <w:szCs w:val="18"/>
                <w:lang w:bidi="ar"/>
              </w:rPr>
            </w:pPr>
            <w:r>
              <w:rPr>
                <w:rFonts w:hint="eastAsia" w:ascii="宋体" w:hAnsi="宋体" w:eastAsia="宋体" w:cs="宋体"/>
                <w:b w:val="0"/>
                <w:bCs w:val="0"/>
                <w:kern w:val="0"/>
                <w:sz w:val="18"/>
                <w:szCs w:val="18"/>
                <w:lang w:bidi="ar"/>
              </w:rPr>
              <w:t>《河北省水利工程管理条例》第十七条 在水利工程管理范围内需新建、扩建、改建的建设项目，必须按照水利工程管理权限，首先向水行政主管部门提出申请。经水行政主管部门出具审查意见，方可向有关部门申请办理其他审批手续。</w:t>
            </w:r>
          </w:p>
          <w:p w14:paraId="3389FB49">
            <w:pPr>
              <w:widowControl/>
              <w:spacing w:line="240" w:lineRule="exact"/>
              <w:textAlignment w:val="center"/>
              <w:rPr>
                <w:rFonts w:hint="eastAsia" w:ascii="宋体" w:hAnsi="宋体" w:eastAsia="宋体" w:cs="宋体"/>
                <w:b w:val="0"/>
                <w:bCs w:val="0"/>
                <w:kern w:val="0"/>
                <w:sz w:val="18"/>
                <w:szCs w:val="18"/>
                <w:lang w:bidi="ar"/>
              </w:rPr>
            </w:pPr>
            <w:r>
              <w:rPr>
                <w:rFonts w:hint="eastAsia" w:ascii="宋体" w:hAnsi="宋体" w:eastAsia="宋体" w:cs="宋体"/>
                <w:b w:val="0"/>
                <w:bCs w:val="0"/>
                <w:kern w:val="0"/>
                <w:sz w:val="18"/>
                <w:szCs w:val="18"/>
                <w:lang w:bidi="ar"/>
              </w:rPr>
              <w:t>水行政主管部门在审查新建、扩建、改建建设项目申请时，可以根据国家有关规定要求申请者提供对水利工程功能影响的报告和防洪评价报告。</w:t>
            </w:r>
          </w:p>
          <w:p w14:paraId="0D0D6643">
            <w:pPr>
              <w:widowControl/>
              <w:spacing w:line="240" w:lineRule="exact"/>
              <w:textAlignment w:val="center"/>
              <w:rPr>
                <w:rFonts w:hint="eastAsia" w:ascii="宋体" w:hAnsi="宋体" w:eastAsia="宋体" w:cs="宋体"/>
                <w:b w:val="0"/>
                <w:bCs w:val="0"/>
                <w:kern w:val="0"/>
                <w:sz w:val="18"/>
                <w:szCs w:val="18"/>
                <w:lang w:bidi="ar"/>
              </w:rPr>
            </w:pPr>
            <w:r>
              <w:rPr>
                <w:rFonts w:hint="eastAsia" w:ascii="宋体" w:hAnsi="宋体" w:eastAsia="宋体" w:cs="宋体"/>
                <w:b w:val="0"/>
                <w:bCs w:val="0"/>
                <w:kern w:val="0"/>
                <w:sz w:val="18"/>
                <w:szCs w:val="18"/>
                <w:lang w:bidi="ar"/>
              </w:rPr>
              <w:t>第四十二条 违反本条例第十七条规定，擅自在水利工程管理范围内兴建建设项目的，责令其纠正违法行为，采取补救措施，可以并处一万元以上五万元以下的罚款；工程设施严重影响防洪的，责令限期拆除，逾期不拆除的强行拆除，所需费用由违法者承担。</w:t>
            </w:r>
          </w:p>
        </w:tc>
        <w:tc>
          <w:tcPr>
            <w:tcW w:w="1849" w:type="dxa"/>
            <w:vMerge w:val="restart"/>
            <w:tcBorders>
              <w:top w:val="single" w:color="auto" w:sz="4" w:space="0"/>
              <w:left w:val="single" w:color="auto" w:sz="4" w:space="0"/>
              <w:right w:val="single" w:color="auto" w:sz="4" w:space="0"/>
            </w:tcBorders>
            <w:noWrap w:val="0"/>
            <w:tcMar>
              <w:top w:w="0" w:type="dxa"/>
              <w:left w:w="0" w:type="dxa"/>
              <w:bottom w:w="0" w:type="dxa"/>
              <w:right w:w="0" w:type="dxa"/>
            </w:tcMar>
            <w:vAlign w:val="center"/>
          </w:tcPr>
          <w:p w14:paraId="4BC21683">
            <w:pPr>
              <w:spacing w:line="240" w:lineRule="exact"/>
              <w:jc w:val="both"/>
              <w:rPr>
                <w:rFonts w:hint="eastAsia" w:ascii="宋体" w:hAnsi="宋体" w:eastAsia="宋体" w:cs="宋体"/>
                <w:b w:val="0"/>
                <w:bCs w:val="0"/>
                <w:sz w:val="18"/>
                <w:szCs w:val="18"/>
              </w:rPr>
            </w:pPr>
            <w:r>
              <w:rPr>
                <w:rFonts w:hint="eastAsia" w:ascii="宋体" w:hAnsi="宋体" w:eastAsia="宋体" w:cs="宋体"/>
                <w:b w:val="0"/>
                <w:bCs w:val="0"/>
                <w:kern w:val="0"/>
                <w:sz w:val="18"/>
                <w:szCs w:val="18"/>
                <w:lang w:bidi="ar"/>
              </w:rPr>
              <w:t>擅自在水利工程管理范围内兴建建设项目的</w:t>
            </w:r>
          </w:p>
        </w:tc>
        <w:tc>
          <w:tcPr>
            <w:tcW w:w="51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9906CD1">
            <w:pPr>
              <w:spacing w:line="240" w:lineRule="exact"/>
              <w:jc w:val="center"/>
              <w:rPr>
                <w:rFonts w:hint="eastAsia" w:ascii="宋体" w:hAnsi="宋体" w:eastAsia="宋体" w:cs="宋体"/>
                <w:b w:val="0"/>
                <w:bCs w:val="0"/>
                <w:sz w:val="18"/>
                <w:szCs w:val="18"/>
              </w:rPr>
            </w:pPr>
            <w:r>
              <w:rPr>
                <w:rFonts w:hint="eastAsia" w:ascii="宋体" w:hAnsi="宋体" w:eastAsia="宋体" w:cs="宋体"/>
                <w:b w:val="0"/>
                <w:bCs w:val="0"/>
                <w:sz w:val="18"/>
                <w:szCs w:val="18"/>
              </w:rPr>
              <w:t>轻微</w:t>
            </w:r>
          </w:p>
        </w:tc>
        <w:tc>
          <w:tcPr>
            <w:tcW w:w="242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49A37A57">
            <w:pPr>
              <w:snapToGrid/>
              <w:spacing w:line="260" w:lineRule="exact"/>
              <mc:AlternateContent>
                <mc:Choice Requires="wpsCustomData">
                  <wpsCustomData:diagonalParaType/>
                </mc:Choice>
              </mc:AlternateContent>
              <w:rPr>
                <w:rStyle w:val="21"/>
                <w:rFonts w:hint="eastAsia" w:ascii="宋体" w:hAnsi="宋体" w:eastAsia="宋体" w:cs="宋体"/>
                <w:b w:val="0"/>
                <w:bCs w:val="0"/>
                <w:color w:val="auto"/>
                <w:sz w:val="18"/>
                <w:szCs w:val="18"/>
                <w:lang w:bidi="ar"/>
              </w:rPr>
            </w:pPr>
          </w:p>
          <w:p w14:paraId="012EE23A">
            <w:pPr>
              <w:spacing w:line="260" w:lineRule="exact"/>
              <w:rPr>
                <w:rStyle w:val="21"/>
                <w:rFonts w:hint="eastAsia" w:ascii="宋体" w:hAnsi="宋体" w:eastAsia="宋体" w:cs="宋体"/>
                <w:b w:val="0"/>
                <w:bCs w:val="0"/>
                <w:color w:val="auto"/>
                <w:sz w:val="18"/>
                <w:szCs w:val="18"/>
                <w:lang w:bidi="ar"/>
              </w:rPr>
            </w:pPr>
          </w:p>
        </w:tc>
        <w:tc>
          <w:tcPr>
            <w:tcW w:w="1628"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71E8F859">
            <w:pPr>
              <w:snapToGrid w:val="0"/>
              <w:spacing w:line="240" w:lineRule="exact"/>
              <mc:AlternateContent>
                <mc:Choice Requires="wpsCustomData">
                  <wpsCustomData:diagonalParaType/>
                </mc:Choice>
              </mc:AlternateContent>
              <w:rPr>
                <w:rStyle w:val="21"/>
                <w:rFonts w:hint="eastAsia" w:ascii="宋体" w:hAnsi="宋体" w:eastAsia="宋体" w:cs="宋体"/>
                <w:b w:val="0"/>
                <w:bCs w:val="0"/>
                <w:color w:val="auto"/>
                <w:sz w:val="18"/>
                <w:szCs w:val="18"/>
                <w:lang w:bidi="ar"/>
              </w:rPr>
            </w:pPr>
          </w:p>
          <w:p w14:paraId="13B40FF3">
            <w:pPr>
              <w:spacing w:line="240" w:lineRule="exact"/>
              <w:rPr>
                <w:rStyle w:val="21"/>
                <w:rFonts w:hint="eastAsia" w:ascii="宋体" w:hAnsi="宋体" w:eastAsia="宋体" w:cs="宋体"/>
                <w:b w:val="0"/>
                <w:bCs w:val="0"/>
                <w:color w:val="auto"/>
                <w:sz w:val="18"/>
                <w:szCs w:val="18"/>
                <w:lang w:bidi="ar"/>
              </w:rPr>
            </w:pPr>
          </w:p>
        </w:tc>
        <w:tc>
          <w:tcPr>
            <w:tcW w:w="739" w:type="dxa"/>
            <w:vMerge w:val="restart"/>
            <w:tcBorders>
              <w:top w:val="single" w:color="auto" w:sz="4" w:space="0"/>
              <w:left w:val="single" w:color="auto" w:sz="4" w:space="0"/>
              <w:right w:val="single" w:color="auto" w:sz="4" w:space="0"/>
            </w:tcBorders>
            <w:noWrap w:val="0"/>
            <w:tcMar>
              <w:top w:w="0" w:type="dxa"/>
              <w:left w:w="0" w:type="dxa"/>
              <w:bottom w:w="0" w:type="dxa"/>
              <w:right w:w="0" w:type="dxa"/>
            </w:tcMar>
            <w:vAlign w:val="center"/>
          </w:tcPr>
          <w:p w14:paraId="4070C978">
            <w:pPr>
              <w:pStyle w:val="2"/>
              <w:spacing w:line="240" w:lineRule="exact"/>
              <w:jc w:val="center"/>
              <w:rPr>
                <w:rFonts w:hint="eastAsia" w:ascii="宋体" w:hAnsi="宋体" w:eastAsia="宋体" w:cs="宋体"/>
                <w:b w:val="0"/>
                <w:bCs w:val="0"/>
                <w:sz w:val="18"/>
                <w:szCs w:val="18"/>
                <w:lang w:eastAsia="zh-CN"/>
              </w:rPr>
            </w:pPr>
          </w:p>
        </w:tc>
      </w:tr>
      <w:tr w14:paraId="45286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0" w:hRule="atLeast"/>
          <w:jc w:val="center"/>
        </w:trPr>
        <w:tc>
          <w:tcPr>
            <w:tcW w:w="474" w:type="dxa"/>
            <w:vMerge w:val="continue"/>
            <w:tcBorders>
              <w:left w:val="single" w:color="auto" w:sz="4" w:space="0"/>
              <w:right w:val="single" w:color="auto" w:sz="4" w:space="0"/>
            </w:tcBorders>
            <w:noWrap w:val="0"/>
            <w:tcMar>
              <w:top w:w="0" w:type="dxa"/>
              <w:left w:w="0" w:type="dxa"/>
              <w:bottom w:w="0" w:type="dxa"/>
              <w:right w:w="0" w:type="dxa"/>
            </w:tcMar>
            <w:vAlign w:val="center"/>
          </w:tcPr>
          <w:p w14:paraId="4EF55C00">
            <w:pPr>
              <w:spacing w:line="240" w:lineRule="exact"/>
              <w:jc w:val="center"/>
              <w:rPr>
                <w:rFonts w:hint="eastAsia" w:ascii="宋体" w:hAnsi="宋体" w:eastAsia="宋体" w:cs="宋体"/>
                <w:b w:val="0"/>
                <w:bCs w:val="0"/>
                <w:sz w:val="18"/>
                <w:szCs w:val="18"/>
              </w:rPr>
            </w:pPr>
          </w:p>
        </w:tc>
        <w:tc>
          <w:tcPr>
            <w:tcW w:w="1236" w:type="dxa"/>
            <w:vMerge w:val="continue"/>
            <w:tcBorders>
              <w:left w:val="single" w:color="auto" w:sz="4" w:space="0"/>
              <w:right w:val="single" w:color="auto" w:sz="4" w:space="0"/>
            </w:tcBorders>
            <w:noWrap w:val="0"/>
            <w:tcMar>
              <w:top w:w="0" w:type="dxa"/>
              <w:left w:w="0" w:type="dxa"/>
              <w:bottom w:w="0" w:type="dxa"/>
              <w:right w:w="0" w:type="dxa"/>
            </w:tcMar>
            <w:vAlign w:val="center"/>
          </w:tcPr>
          <w:p w14:paraId="24B04985">
            <w:pPr>
              <w:widowControl/>
              <w:spacing w:line="240" w:lineRule="exact"/>
              <w:textAlignment w:val="center"/>
              <w:rPr>
                <w:rFonts w:hint="eastAsia" w:ascii="宋体" w:hAnsi="宋体" w:eastAsia="宋体" w:cs="宋体"/>
                <w:b w:val="0"/>
                <w:bCs w:val="0"/>
                <w:kern w:val="0"/>
                <w:sz w:val="18"/>
                <w:szCs w:val="18"/>
                <w:lang w:bidi="ar"/>
              </w:rPr>
            </w:pPr>
          </w:p>
        </w:tc>
        <w:tc>
          <w:tcPr>
            <w:tcW w:w="6027" w:type="dxa"/>
            <w:vMerge w:val="continue"/>
            <w:tcBorders>
              <w:left w:val="single" w:color="auto" w:sz="4" w:space="0"/>
              <w:right w:val="single" w:color="auto" w:sz="4" w:space="0"/>
            </w:tcBorders>
            <w:noWrap w:val="0"/>
            <w:tcMar>
              <w:top w:w="0" w:type="dxa"/>
              <w:left w:w="0" w:type="dxa"/>
              <w:bottom w:w="0" w:type="dxa"/>
              <w:right w:w="0" w:type="dxa"/>
            </w:tcMar>
            <w:vAlign w:val="center"/>
          </w:tcPr>
          <w:p w14:paraId="1213846A">
            <w:pPr>
              <w:widowControl/>
              <w:spacing w:line="240" w:lineRule="exact"/>
              <w:ind w:firstLine="360" w:firstLineChars="200"/>
              <w:textAlignment w:val="center"/>
              <w:rPr>
                <w:rFonts w:hint="eastAsia" w:ascii="宋体" w:hAnsi="宋体" w:eastAsia="宋体" w:cs="宋体"/>
                <w:b w:val="0"/>
                <w:bCs w:val="0"/>
                <w:kern w:val="0"/>
                <w:sz w:val="18"/>
                <w:szCs w:val="18"/>
                <w:lang w:bidi="ar"/>
              </w:rPr>
            </w:pPr>
          </w:p>
        </w:tc>
        <w:tc>
          <w:tcPr>
            <w:tcW w:w="1849" w:type="dxa"/>
            <w:vMerge w:val="continue"/>
            <w:tcBorders>
              <w:left w:val="single" w:color="auto" w:sz="4" w:space="0"/>
              <w:right w:val="single" w:color="auto" w:sz="4" w:space="0"/>
            </w:tcBorders>
            <w:noWrap w:val="0"/>
            <w:tcMar>
              <w:top w:w="0" w:type="dxa"/>
              <w:left w:w="0" w:type="dxa"/>
              <w:bottom w:w="0" w:type="dxa"/>
              <w:right w:w="0" w:type="dxa"/>
            </w:tcMar>
            <w:vAlign w:val="center"/>
          </w:tcPr>
          <w:p w14:paraId="6DC13276">
            <w:pPr>
              <w:spacing w:line="240" w:lineRule="exact"/>
              <w:jc w:val="both"/>
              <w:rPr>
                <w:rFonts w:hint="eastAsia" w:ascii="宋体" w:hAnsi="宋体" w:eastAsia="宋体" w:cs="宋体"/>
                <w:b w:val="0"/>
                <w:bCs w:val="0"/>
                <w:sz w:val="18"/>
                <w:szCs w:val="18"/>
              </w:rPr>
            </w:pPr>
          </w:p>
        </w:tc>
        <w:tc>
          <w:tcPr>
            <w:tcW w:w="51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A9DFB02">
            <w:pPr>
              <w:spacing w:line="240" w:lineRule="exact"/>
              <w:jc w:val="center"/>
              <w:rPr>
                <w:rFonts w:hint="eastAsia" w:ascii="宋体" w:hAnsi="宋体" w:eastAsia="宋体" w:cs="宋体"/>
                <w:b w:val="0"/>
                <w:bCs w:val="0"/>
                <w:sz w:val="18"/>
                <w:szCs w:val="18"/>
              </w:rPr>
            </w:pPr>
            <w:r>
              <w:rPr>
                <w:rFonts w:hint="eastAsia" w:ascii="宋体" w:hAnsi="宋体" w:eastAsia="宋体" w:cs="宋体"/>
                <w:b w:val="0"/>
                <w:bCs w:val="0"/>
                <w:sz w:val="18"/>
                <w:szCs w:val="18"/>
              </w:rPr>
              <w:t>较轻</w:t>
            </w:r>
          </w:p>
        </w:tc>
        <w:tc>
          <w:tcPr>
            <w:tcW w:w="242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2504F9E">
            <w:pPr>
              <w:spacing w:line="300" w:lineRule="exact"/>
              <w:rPr>
                <w:rFonts w:hint="eastAsia" w:ascii="宋体" w:hAnsi="宋体" w:eastAsia="宋体" w:cs="宋体"/>
                <w:b w:val="0"/>
                <w:bCs w:val="0"/>
                <w:sz w:val="18"/>
                <w:szCs w:val="18"/>
                <w:lang w:bidi="ar"/>
              </w:rPr>
            </w:pPr>
            <w:r>
              <w:rPr>
                <w:rStyle w:val="21"/>
                <w:rFonts w:hint="eastAsia" w:ascii="宋体" w:hAnsi="宋体" w:eastAsia="宋体" w:cs="宋体"/>
                <w:b w:val="0"/>
                <w:bCs w:val="0"/>
                <w:color w:val="auto"/>
                <w:sz w:val="18"/>
                <w:szCs w:val="18"/>
                <w:lang w:bidi="ar"/>
              </w:rPr>
              <w:t>对工程安全影响较小，立即停止违法行为，在限期内采取补救措施的</w:t>
            </w:r>
          </w:p>
        </w:tc>
        <w:tc>
          <w:tcPr>
            <w:tcW w:w="1628"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4E3C7AD">
            <w:pPr>
              <w:spacing w:line="240" w:lineRule="exact"/>
              <w:rPr>
                <w:rFonts w:hint="eastAsia" w:ascii="宋体" w:hAnsi="宋体" w:eastAsia="宋体" w:cs="宋体"/>
                <w:b w:val="0"/>
                <w:bCs w:val="0"/>
                <w:sz w:val="18"/>
                <w:szCs w:val="18"/>
                <w:lang w:bidi="ar"/>
              </w:rPr>
            </w:pPr>
            <w:r>
              <w:rPr>
                <w:rStyle w:val="21"/>
                <w:rFonts w:hint="eastAsia" w:ascii="宋体" w:hAnsi="宋体" w:eastAsia="宋体" w:cs="宋体"/>
                <w:b w:val="0"/>
                <w:bCs w:val="0"/>
                <w:color w:val="auto"/>
                <w:sz w:val="18"/>
                <w:szCs w:val="18"/>
                <w:lang w:bidi="ar"/>
              </w:rPr>
              <w:t>处</w:t>
            </w:r>
            <w:r>
              <w:rPr>
                <w:rStyle w:val="21"/>
                <w:rFonts w:hint="eastAsia" w:ascii="宋体" w:hAnsi="宋体" w:eastAsia="宋体" w:cs="宋体"/>
                <w:b w:val="0"/>
                <w:bCs w:val="0"/>
                <w:color w:val="auto"/>
                <w:sz w:val="18"/>
                <w:szCs w:val="18"/>
                <w:lang w:val="en-US" w:eastAsia="zh-CN" w:bidi="ar"/>
              </w:rPr>
              <w:t>1</w:t>
            </w:r>
            <w:r>
              <w:rPr>
                <w:rStyle w:val="21"/>
                <w:rFonts w:hint="eastAsia" w:ascii="宋体" w:hAnsi="宋体" w:eastAsia="宋体" w:cs="宋体"/>
                <w:b w:val="0"/>
                <w:bCs w:val="0"/>
                <w:color w:val="auto"/>
                <w:sz w:val="18"/>
                <w:szCs w:val="18"/>
                <w:lang w:bidi="ar"/>
              </w:rPr>
              <w:t>万元以上</w:t>
            </w:r>
            <w:r>
              <w:rPr>
                <w:rStyle w:val="21"/>
                <w:rFonts w:hint="eastAsia" w:ascii="宋体" w:hAnsi="宋体" w:eastAsia="宋体" w:cs="宋体"/>
                <w:b w:val="0"/>
                <w:bCs w:val="0"/>
                <w:color w:val="auto"/>
                <w:sz w:val="18"/>
                <w:szCs w:val="18"/>
                <w:lang w:val="en-US" w:eastAsia="zh-CN" w:bidi="ar"/>
              </w:rPr>
              <w:t>2</w:t>
            </w:r>
            <w:r>
              <w:rPr>
                <w:rStyle w:val="21"/>
                <w:rFonts w:hint="eastAsia" w:ascii="宋体" w:hAnsi="宋体" w:eastAsia="宋体" w:cs="宋体"/>
                <w:b w:val="0"/>
                <w:bCs w:val="0"/>
                <w:color w:val="auto"/>
                <w:sz w:val="18"/>
                <w:szCs w:val="18"/>
                <w:lang w:bidi="ar"/>
              </w:rPr>
              <w:t>万元以下的罚款</w:t>
            </w:r>
          </w:p>
        </w:tc>
        <w:tc>
          <w:tcPr>
            <w:tcW w:w="739" w:type="dxa"/>
            <w:vMerge w:val="continue"/>
            <w:tcBorders>
              <w:left w:val="single" w:color="auto" w:sz="4" w:space="0"/>
              <w:right w:val="single" w:color="auto" w:sz="4" w:space="0"/>
            </w:tcBorders>
            <w:noWrap w:val="0"/>
            <w:tcMar>
              <w:top w:w="0" w:type="dxa"/>
              <w:left w:w="0" w:type="dxa"/>
              <w:bottom w:w="0" w:type="dxa"/>
              <w:right w:w="0" w:type="dxa"/>
            </w:tcMar>
            <w:vAlign w:val="center"/>
          </w:tcPr>
          <w:p w14:paraId="0431D332">
            <w:pPr>
              <w:spacing w:line="240" w:lineRule="exact"/>
              <w:jc w:val="center"/>
              <w:rPr>
                <w:rStyle w:val="21"/>
                <w:rFonts w:hint="eastAsia" w:ascii="宋体" w:hAnsi="宋体" w:eastAsia="宋体" w:cs="宋体"/>
                <w:b w:val="0"/>
                <w:bCs w:val="0"/>
                <w:color w:val="auto"/>
                <w:sz w:val="18"/>
                <w:szCs w:val="18"/>
                <w:lang w:bidi="ar"/>
              </w:rPr>
            </w:pPr>
          </w:p>
        </w:tc>
      </w:tr>
      <w:tr w14:paraId="4B1DE7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6" w:hRule="atLeast"/>
          <w:jc w:val="center"/>
        </w:trPr>
        <w:tc>
          <w:tcPr>
            <w:tcW w:w="474" w:type="dxa"/>
            <w:vMerge w:val="continue"/>
            <w:tcBorders>
              <w:left w:val="single" w:color="auto" w:sz="4" w:space="0"/>
              <w:right w:val="single" w:color="auto" w:sz="4" w:space="0"/>
            </w:tcBorders>
            <w:noWrap w:val="0"/>
            <w:tcMar>
              <w:top w:w="0" w:type="dxa"/>
              <w:left w:w="0" w:type="dxa"/>
              <w:bottom w:w="0" w:type="dxa"/>
              <w:right w:w="0" w:type="dxa"/>
            </w:tcMar>
            <w:vAlign w:val="center"/>
          </w:tcPr>
          <w:p w14:paraId="34A596CD">
            <w:pPr>
              <w:spacing w:line="240" w:lineRule="exact"/>
              <w:jc w:val="center"/>
              <w:rPr>
                <w:rFonts w:hint="eastAsia" w:ascii="宋体" w:hAnsi="宋体" w:eastAsia="宋体" w:cs="宋体"/>
                <w:b w:val="0"/>
                <w:bCs w:val="0"/>
                <w:sz w:val="18"/>
                <w:szCs w:val="18"/>
              </w:rPr>
            </w:pPr>
          </w:p>
        </w:tc>
        <w:tc>
          <w:tcPr>
            <w:tcW w:w="1236" w:type="dxa"/>
            <w:vMerge w:val="continue"/>
            <w:tcBorders>
              <w:left w:val="single" w:color="auto" w:sz="4" w:space="0"/>
              <w:right w:val="single" w:color="auto" w:sz="4" w:space="0"/>
            </w:tcBorders>
            <w:noWrap w:val="0"/>
            <w:tcMar>
              <w:top w:w="0" w:type="dxa"/>
              <w:left w:w="0" w:type="dxa"/>
              <w:bottom w:w="0" w:type="dxa"/>
              <w:right w:w="0" w:type="dxa"/>
            </w:tcMar>
            <w:vAlign w:val="center"/>
          </w:tcPr>
          <w:p w14:paraId="7589907A">
            <w:pPr>
              <w:widowControl/>
              <w:spacing w:line="240" w:lineRule="exact"/>
              <w:textAlignment w:val="center"/>
              <w:rPr>
                <w:rFonts w:hint="eastAsia" w:ascii="宋体" w:hAnsi="宋体" w:eastAsia="宋体" w:cs="宋体"/>
                <w:b w:val="0"/>
                <w:bCs w:val="0"/>
                <w:kern w:val="0"/>
                <w:sz w:val="18"/>
                <w:szCs w:val="18"/>
                <w:lang w:bidi="ar"/>
              </w:rPr>
            </w:pPr>
          </w:p>
        </w:tc>
        <w:tc>
          <w:tcPr>
            <w:tcW w:w="6027" w:type="dxa"/>
            <w:vMerge w:val="continue"/>
            <w:tcBorders>
              <w:left w:val="single" w:color="auto" w:sz="4" w:space="0"/>
              <w:right w:val="single" w:color="auto" w:sz="4" w:space="0"/>
            </w:tcBorders>
            <w:noWrap w:val="0"/>
            <w:tcMar>
              <w:top w:w="0" w:type="dxa"/>
              <w:left w:w="0" w:type="dxa"/>
              <w:bottom w:w="0" w:type="dxa"/>
              <w:right w:w="0" w:type="dxa"/>
            </w:tcMar>
            <w:vAlign w:val="center"/>
          </w:tcPr>
          <w:p w14:paraId="57D95EC5">
            <w:pPr>
              <w:widowControl/>
              <w:spacing w:line="240" w:lineRule="exact"/>
              <w:ind w:firstLine="360" w:firstLineChars="200"/>
              <w:textAlignment w:val="center"/>
              <w:rPr>
                <w:rFonts w:hint="eastAsia" w:ascii="宋体" w:hAnsi="宋体" w:eastAsia="宋体" w:cs="宋体"/>
                <w:b w:val="0"/>
                <w:bCs w:val="0"/>
                <w:kern w:val="0"/>
                <w:sz w:val="18"/>
                <w:szCs w:val="18"/>
                <w:lang w:bidi="ar"/>
              </w:rPr>
            </w:pPr>
          </w:p>
        </w:tc>
        <w:tc>
          <w:tcPr>
            <w:tcW w:w="1849" w:type="dxa"/>
            <w:vMerge w:val="continue"/>
            <w:tcBorders>
              <w:left w:val="single" w:color="auto" w:sz="4" w:space="0"/>
              <w:right w:val="single" w:color="auto" w:sz="4" w:space="0"/>
            </w:tcBorders>
            <w:noWrap w:val="0"/>
            <w:tcMar>
              <w:top w:w="0" w:type="dxa"/>
              <w:left w:w="0" w:type="dxa"/>
              <w:bottom w:w="0" w:type="dxa"/>
              <w:right w:w="0" w:type="dxa"/>
            </w:tcMar>
            <w:vAlign w:val="center"/>
          </w:tcPr>
          <w:p w14:paraId="0EBA966F">
            <w:pPr>
              <w:spacing w:line="240" w:lineRule="exact"/>
              <w:jc w:val="both"/>
              <w:rPr>
                <w:rFonts w:hint="eastAsia" w:ascii="宋体" w:hAnsi="宋体" w:eastAsia="宋体" w:cs="宋体"/>
                <w:b w:val="0"/>
                <w:bCs w:val="0"/>
                <w:sz w:val="18"/>
                <w:szCs w:val="18"/>
              </w:rPr>
            </w:pPr>
          </w:p>
        </w:tc>
        <w:tc>
          <w:tcPr>
            <w:tcW w:w="51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F4E7E1A">
            <w:pPr>
              <w:spacing w:line="240" w:lineRule="exact"/>
              <w:jc w:val="center"/>
              <w:rPr>
                <w:rFonts w:hint="eastAsia" w:ascii="宋体" w:hAnsi="宋体" w:eastAsia="宋体" w:cs="宋体"/>
                <w:b w:val="0"/>
                <w:bCs w:val="0"/>
                <w:sz w:val="18"/>
                <w:szCs w:val="18"/>
              </w:rPr>
            </w:pPr>
            <w:r>
              <w:rPr>
                <w:rFonts w:hint="eastAsia" w:ascii="宋体" w:hAnsi="宋体" w:eastAsia="宋体" w:cs="宋体"/>
                <w:b w:val="0"/>
                <w:bCs w:val="0"/>
                <w:sz w:val="18"/>
                <w:szCs w:val="18"/>
              </w:rPr>
              <w:t>一般</w:t>
            </w:r>
          </w:p>
        </w:tc>
        <w:tc>
          <w:tcPr>
            <w:tcW w:w="242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3AAAC4D">
            <w:pPr>
              <w:spacing w:line="300" w:lineRule="exact"/>
              <w:rPr>
                <w:rFonts w:hint="eastAsia" w:ascii="宋体" w:hAnsi="宋体" w:eastAsia="宋体" w:cs="宋体"/>
                <w:b w:val="0"/>
                <w:bCs w:val="0"/>
                <w:sz w:val="18"/>
                <w:szCs w:val="18"/>
                <w:lang w:bidi="ar"/>
              </w:rPr>
            </w:pPr>
            <w:r>
              <w:rPr>
                <w:rStyle w:val="21"/>
                <w:rFonts w:hint="eastAsia" w:ascii="宋体" w:hAnsi="宋体" w:eastAsia="宋体" w:cs="宋体"/>
                <w:b w:val="0"/>
                <w:bCs w:val="0"/>
                <w:color w:val="auto"/>
                <w:sz w:val="18"/>
                <w:szCs w:val="18"/>
                <w:lang w:bidi="ar"/>
              </w:rPr>
              <w:t>对工程安全影响较小的，或者立即停止违法行为，但未在限期内采取补救措施的</w:t>
            </w:r>
          </w:p>
        </w:tc>
        <w:tc>
          <w:tcPr>
            <w:tcW w:w="1628"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F1BD154">
            <w:pPr>
              <w:spacing w:line="240" w:lineRule="exact"/>
              <w:rPr>
                <w:rFonts w:hint="eastAsia" w:ascii="宋体" w:hAnsi="宋体" w:eastAsia="宋体" w:cs="宋体"/>
                <w:b w:val="0"/>
                <w:bCs w:val="0"/>
                <w:sz w:val="18"/>
                <w:szCs w:val="18"/>
                <w:lang w:bidi="ar"/>
              </w:rPr>
            </w:pPr>
            <w:r>
              <w:rPr>
                <w:rStyle w:val="21"/>
                <w:rFonts w:hint="eastAsia" w:ascii="宋体" w:hAnsi="宋体" w:eastAsia="宋体" w:cs="宋体"/>
                <w:b w:val="0"/>
                <w:bCs w:val="0"/>
                <w:color w:val="auto"/>
                <w:sz w:val="18"/>
                <w:szCs w:val="18"/>
                <w:lang w:bidi="ar"/>
              </w:rPr>
              <w:t>处</w:t>
            </w:r>
            <w:r>
              <w:rPr>
                <w:rStyle w:val="21"/>
                <w:rFonts w:hint="eastAsia" w:ascii="宋体" w:hAnsi="宋体" w:eastAsia="宋体" w:cs="宋体"/>
                <w:b w:val="0"/>
                <w:bCs w:val="0"/>
                <w:color w:val="auto"/>
                <w:sz w:val="18"/>
                <w:szCs w:val="18"/>
                <w:lang w:val="en-US" w:eastAsia="zh-CN" w:bidi="ar"/>
              </w:rPr>
              <w:t>2</w:t>
            </w:r>
            <w:r>
              <w:rPr>
                <w:rStyle w:val="21"/>
                <w:rFonts w:hint="eastAsia" w:ascii="宋体" w:hAnsi="宋体" w:eastAsia="宋体" w:cs="宋体"/>
                <w:b w:val="0"/>
                <w:bCs w:val="0"/>
                <w:color w:val="auto"/>
                <w:sz w:val="18"/>
                <w:szCs w:val="18"/>
                <w:lang w:bidi="ar"/>
              </w:rPr>
              <w:t>万元以上</w:t>
            </w:r>
            <w:r>
              <w:rPr>
                <w:rStyle w:val="21"/>
                <w:rFonts w:hint="eastAsia" w:ascii="宋体" w:hAnsi="宋体" w:eastAsia="宋体" w:cs="宋体"/>
                <w:b w:val="0"/>
                <w:bCs w:val="0"/>
                <w:color w:val="auto"/>
                <w:sz w:val="18"/>
                <w:szCs w:val="18"/>
                <w:lang w:val="en-US" w:eastAsia="zh-CN" w:bidi="ar"/>
              </w:rPr>
              <w:t>3</w:t>
            </w:r>
            <w:r>
              <w:rPr>
                <w:rStyle w:val="21"/>
                <w:rFonts w:hint="eastAsia" w:ascii="宋体" w:hAnsi="宋体" w:eastAsia="宋体" w:cs="宋体"/>
                <w:b w:val="0"/>
                <w:bCs w:val="0"/>
                <w:color w:val="auto"/>
                <w:sz w:val="18"/>
                <w:szCs w:val="18"/>
                <w:lang w:bidi="ar"/>
              </w:rPr>
              <w:t>万元以下的罚款</w:t>
            </w:r>
          </w:p>
        </w:tc>
        <w:tc>
          <w:tcPr>
            <w:tcW w:w="739" w:type="dxa"/>
            <w:vMerge w:val="continue"/>
            <w:tcBorders>
              <w:left w:val="single" w:color="auto" w:sz="4" w:space="0"/>
              <w:right w:val="single" w:color="auto" w:sz="4" w:space="0"/>
            </w:tcBorders>
            <w:noWrap w:val="0"/>
            <w:tcMar>
              <w:top w:w="0" w:type="dxa"/>
              <w:left w:w="0" w:type="dxa"/>
              <w:bottom w:w="0" w:type="dxa"/>
              <w:right w:w="0" w:type="dxa"/>
            </w:tcMar>
            <w:vAlign w:val="center"/>
          </w:tcPr>
          <w:p w14:paraId="183123E8">
            <w:pPr>
              <w:spacing w:line="240" w:lineRule="exact"/>
              <w:jc w:val="center"/>
              <w:rPr>
                <w:rStyle w:val="21"/>
                <w:rFonts w:hint="eastAsia" w:ascii="宋体" w:hAnsi="宋体" w:eastAsia="宋体" w:cs="宋体"/>
                <w:b w:val="0"/>
                <w:bCs w:val="0"/>
                <w:color w:val="auto"/>
                <w:sz w:val="18"/>
                <w:szCs w:val="18"/>
                <w:lang w:bidi="ar"/>
              </w:rPr>
            </w:pPr>
          </w:p>
        </w:tc>
      </w:tr>
      <w:tr w14:paraId="70DCA3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1" w:hRule="atLeast"/>
          <w:jc w:val="center"/>
        </w:trPr>
        <w:tc>
          <w:tcPr>
            <w:tcW w:w="474" w:type="dxa"/>
            <w:vMerge w:val="continue"/>
            <w:tcBorders>
              <w:left w:val="single" w:color="auto" w:sz="4" w:space="0"/>
              <w:right w:val="single" w:color="auto" w:sz="4" w:space="0"/>
            </w:tcBorders>
            <w:noWrap w:val="0"/>
            <w:tcMar>
              <w:top w:w="0" w:type="dxa"/>
              <w:left w:w="0" w:type="dxa"/>
              <w:bottom w:w="0" w:type="dxa"/>
              <w:right w:w="0" w:type="dxa"/>
            </w:tcMar>
            <w:vAlign w:val="center"/>
          </w:tcPr>
          <w:p w14:paraId="5447FD01">
            <w:pPr>
              <w:spacing w:line="240" w:lineRule="exact"/>
              <w:jc w:val="center"/>
              <w:rPr>
                <w:rFonts w:hint="eastAsia" w:ascii="宋体" w:hAnsi="宋体" w:eastAsia="宋体" w:cs="宋体"/>
                <w:b w:val="0"/>
                <w:bCs w:val="0"/>
                <w:sz w:val="18"/>
                <w:szCs w:val="18"/>
              </w:rPr>
            </w:pPr>
          </w:p>
        </w:tc>
        <w:tc>
          <w:tcPr>
            <w:tcW w:w="1236" w:type="dxa"/>
            <w:vMerge w:val="continue"/>
            <w:tcBorders>
              <w:left w:val="single" w:color="auto" w:sz="4" w:space="0"/>
              <w:right w:val="single" w:color="auto" w:sz="4" w:space="0"/>
            </w:tcBorders>
            <w:noWrap w:val="0"/>
            <w:tcMar>
              <w:top w:w="0" w:type="dxa"/>
              <w:left w:w="0" w:type="dxa"/>
              <w:bottom w:w="0" w:type="dxa"/>
              <w:right w:w="0" w:type="dxa"/>
            </w:tcMar>
            <w:vAlign w:val="center"/>
          </w:tcPr>
          <w:p w14:paraId="7A6D74F8">
            <w:pPr>
              <w:widowControl/>
              <w:spacing w:line="240" w:lineRule="exact"/>
              <w:textAlignment w:val="center"/>
              <w:rPr>
                <w:rFonts w:hint="eastAsia" w:ascii="宋体" w:hAnsi="宋体" w:eastAsia="宋体" w:cs="宋体"/>
                <w:b w:val="0"/>
                <w:bCs w:val="0"/>
                <w:kern w:val="0"/>
                <w:sz w:val="18"/>
                <w:szCs w:val="18"/>
                <w:lang w:bidi="ar"/>
              </w:rPr>
            </w:pPr>
          </w:p>
        </w:tc>
        <w:tc>
          <w:tcPr>
            <w:tcW w:w="6027" w:type="dxa"/>
            <w:vMerge w:val="continue"/>
            <w:tcBorders>
              <w:left w:val="single" w:color="auto" w:sz="4" w:space="0"/>
              <w:right w:val="single" w:color="auto" w:sz="4" w:space="0"/>
            </w:tcBorders>
            <w:noWrap w:val="0"/>
            <w:tcMar>
              <w:top w:w="0" w:type="dxa"/>
              <w:left w:w="0" w:type="dxa"/>
              <w:bottom w:w="0" w:type="dxa"/>
              <w:right w:w="0" w:type="dxa"/>
            </w:tcMar>
            <w:vAlign w:val="center"/>
          </w:tcPr>
          <w:p w14:paraId="7E033CB7">
            <w:pPr>
              <w:widowControl/>
              <w:spacing w:line="240" w:lineRule="exact"/>
              <w:ind w:firstLine="360" w:firstLineChars="200"/>
              <w:textAlignment w:val="center"/>
              <w:rPr>
                <w:rFonts w:hint="eastAsia" w:ascii="宋体" w:hAnsi="宋体" w:eastAsia="宋体" w:cs="宋体"/>
                <w:b w:val="0"/>
                <w:bCs w:val="0"/>
                <w:kern w:val="0"/>
                <w:sz w:val="18"/>
                <w:szCs w:val="18"/>
                <w:lang w:bidi="ar"/>
              </w:rPr>
            </w:pPr>
          </w:p>
        </w:tc>
        <w:tc>
          <w:tcPr>
            <w:tcW w:w="1849" w:type="dxa"/>
            <w:vMerge w:val="continue"/>
            <w:tcBorders>
              <w:left w:val="single" w:color="auto" w:sz="4" w:space="0"/>
              <w:right w:val="single" w:color="auto" w:sz="4" w:space="0"/>
            </w:tcBorders>
            <w:noWrap w:val="0"/>
            <w:tcMar>
              <w:top w:w="0" w:type="dxa"/>
              <w:left w:w="0" w:type="dxa"/>
              <w:bottom w:w="0" w:type="dxa"/>
              <w:right w:w="0" w:type="dxa"/>
            </w:tcMar>
            <w:vAlign w:val="center"/>
          </w:tcPr>
          <w:p w14:paraId="27D4C53B">
            <w:pPr>
              <w:spacing w:line="240" w:lineRule="exact"/>
              <w:jc w:val="both"/>
              <w:rPr>
                <w:rFonts w:hint="eastAsia" w:ascii="宋体" w:hAnsi="宋体" w:eastAsia="宋体" w:cs="宋体"/>
                <w:b w:val="0"/>
                <w:bCs w:val="0"/>
                <w:sz w:val="18"/>
                <w:szCs w:val="18"/>
              </w:rPr>
            </w:pPr>
          </w:p>
        </w:tc>
        <w:tc>
          <w:tcPr>
            <w:tcW w:w="51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1E39666">
            <w:pPr>
              <w:spacing w:line="240" w:lineRule="exact"/>
              <w:jc w:val="center"/>
              <w:rPr>
                <w:rFonts w:hint="eastAsia" w:ascii="宋体" w:hAnsi="宋体" w:eastAsia="宋体" w:cs="宋体"/>
                <w:b w:val="0"/>
                <w:bCs w:val="0"/>
                <w:sz w:val="18"/>
                <w:szCs w:val="18"/>
                <w:lang w:eastAsia="zh-CN"/>
              </w:rPr>
            </w:pPr>
            <w:r>
              <w:rPr>
                <w:rFonts w:hint="eastAsia" w:ascii="宋体" w:hAnsi="宋体" w:eastAsia="宋体" w:cs="宋体"/>
                <w:b w:val="0"/>
                <w:bCs w:val="0"/>
                <w:sz w:val="18"/>
                <w:szCs w:val="18"/>
                <w:lang w:eastAsia="zh-CN"/>
              </w:rPr>
              <w:t>较重</w:t>
            </w:r>
          </w:p>
        </w:tc>
        <w:tc>
          <w:tcPr>
            <w:tcW w:w="242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AD0586D">
            <w:pPr>
              <w:spacing w:line="300" w:lineRule="exact"/>
              <w:rPr>
                <w:rFonts w:hint="eastAsia" w:ascii="宋体" w:hAnsi="宋体" w:eastAsia="宋体" w:cs="宋体"/>
                <w:b w:val="0"/>
                <w:bCs w:val="0"/>
                <w:sz w:val="18"/>
                <w:szCs w:val="18"/>
                <w:lang w:bidi="ar"/>
              </w:rPr>
            </w:pPr>
            <w:r>
              <w:rPr>
                <w:rStyle w:val="21"/>
                <w:rFonts w:hint="eastAsia" w:ascii="宋体" w:hAnsi="宋体" w:eastAsia="宋体" w:cs="宋体"/>
                <w:b w:val="0"/>
                <w:bCs w:val="0"/>
                <w:color w:val="auto"/>
                <w:sz w:val="18"/>
                <w:szCs w:val="18"/>
                <w:lang w:bidi="ar"/>
              </w:rPr>
              <w:t>对工程安全影响较大的，或者未在限期内停止违法行为、采取补救措施的</w:t>
            </w:r>
          </w:p>
        </w:tc>
        <w:tc>
          <w:tcPr>
            <w:tcW w:w="1628"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95D0115">
            <w:pPr>
              <w:spacing w:line="240" w:lineRule="exact"/>
              <w:rPr>
                <w:rFonts w:hint="eastAsia" w:ascii="宋体" w:hAnsi="宋体" w:eastAsia="宋体" w:cs="宋体"/>
                <w:b w:val="0"/>
                <w:bCs w:val="0"/>
                <w:sz w:val="18"/>
                <w:szCs w:val="18"/>
                <w:lang w:bidi="ar"/>
              </w:rPr>
            </w:pPr>
            <w:r>
              <w:rPr>
                <w:rStyle w:val="21"/>
                <w:rFonts w:hint="eastAsia" w:ascii="宋体" w:hAnsi="宋体" w:eastAsia="宋体" w:cs="宋体"/>
                <w:b w:val="0"/>
                <w:bCs w:val="0"/>
                <w:color w:val="auto"/>
                <w:sz w:val="18"/>
                <w:szCs w:val="18"/>
                <w:lang w:bidi="ar"/>
              </w:rPr>
              <w:t>处</w:t>
            </w:r>
            <w:r>
              <w:rPr>
                <w:rStyle w:val="21"/>
                <w:rFonts w:hint="eastAsia" w:ascii="宋体" w:hAnsi="宋体" w:eastAsia="宋体" w:cs="宋体"/>
                <w:b w:val="0"/>
                <w:bCs w:val="0"/>
                <w:color w:val="auto"/>
                <w:sz w:val="18"/>
                <w:szCs w:val="18"/>
                <w:lang w:val="en-US" w:eastAsia="zh-CN" w:bidi="ar"/>
              </w:rPr>
              <w:t>3</w:t>
            </w:r>
            <w:r>
              <w:rPr>
                <w:rStyle w:val="21"/>
                <w:rFonts w:hint="eastAsia" w:ascii="宋体" w:hAnsi="宋体" w:eastAsia="宋体" w:cs="宋体"/>
                <w:b w:val="0"/>
                <w:bCs w:val="0"/>
                <w:color w:val="auto"/>
                <w:sz w:val="18"/>
                <w:szCs w:val="18"/>
                <w:lang w:bidi="ar"/>
              </w:rPr>
              <w:t>万元以上</w:t>
            </w:r>
            <w:r>
              <w:rPr>
                <w:rStyle w:val="21"/>
                <w:rFonts w:hint="eastAsia" w:ascii="宋体" w:hAnsi="宋体" w:eastAsia="宋体" w:cs="宋体"/>
                <w:b w:val="0"/>
                <w:bCs w:val="0"/>
                <w:color w:val="auto"/>
                <w:sz w:val="18"/>
                <w:szCs w:val="18"/>
                <w:lang w:val="en-US" w:eastAsia="zh-CN" w:bidi="ar"/>
              </w:rPr>
              <w:t>4</w:t>
            </w:r>
            <w:r>
              <w:rPr>
                <w:rStyle w:val="21"/>
                <w:rFonts w:hint="eastAsia" w:ascii="宋体" w:hAnsi="宋体" w:eastAsia="宋体" w:cs="宋体"/>
                <w:b w:val="0"/>
                <w:bCs w:val="0"/>
                <w:color w:val="auto"/>
                <w:sz w:val="18"/>
                <w:szCs w:val="18"/>
                <w:lang w:bidi="ar"/>
              </w:rPr>
              <w:t>万元以下的罚款</w:t>
            </w:r>
          </w:p>
        </w:tc>
        <w:tc>
          <w:tcPr>
            <w:tcW w:w="739" w:type="dxa"/>
            <w:vMerge w:val="continue"/>
            <w:tcBorders>
              <w:left w:val="single" w:color="auto" w:sz="4" w:space="0"/>
              <w:right w:val="single" w:color="auto" w:sz="4" w:space="0"/>
            </w:tcBorders>
            <w:noWrap w:val="0"/>
            <w:tcMar>
              <w:top w:w="0" w:type="dxa"/>
              <w:left w:w="0" w:type="dxa"/>
              <w:bottom w:w="0" w:type="dxa"/>
              <w:right w:w="0" w:type="dxa"/>
            </w:tcMar>
            <w:vAlign w:val="center"/>
          </w:tcPr>
          <w:p w14:paraId="5236F3EE">
            <w:pPr>
              <w:spacing w:line="240" w:lineRule="exact"/>
              <w:jc w:val="center"/>
              <w:rPr>
                <w:rStyle w:val="21"/>
                <w:rFonts w:hint="eastAsia" w:ascii="宋体" w:hAnsi="宋体" w:eastAsia="宋体" w:cs="宋体"/>
                <w:b w:val="0"/>
                <w:bCs w:val="0"/>
                <w:color w:val="auto"/>
                <w:sz w:val="18"/>
                <w:szCs w:val="18"/>
                <w:lang w:bidi="ar"/>
              </w:rPr>
            </w:pPr>
          </w:p>
        </w:tc>
      </w:tr>
      <w:tr w14:paraId="2136A6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6" w:hRule="atLeast"/>
          <w:jc w:val="center"/>
        </w:trPr>
        <w:tc>
          <w:tcPr>
            <w:tcW w:w="474" w:type="dxa"/>
            <w:vMerge w:val="continue"/>
            <w:tcBorders>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B714575">
            <w:pPr>
              <w:spacing w:line="240" w:lineRule="exact"/>
              <w:jc w:val="center"/>
              <w:rPr>
                <w:rFonts w:hint="eastAsia" w:ascii="宋体" w:hAnsi="宋体" w:eastAsia="宋体" w:cs="宋体"/>
                <w:b w:val="0"/>
                <w:bCs w:val="0"/>
                <w:sz w:val="18"/>
                <w:szCs w:val="18"/>
              </w:rPr>
            </w:pPr>
          </w:p>
        </w:tc>
        <w:tc>
          <w:tcPr>
            <w:tcW w:w="1236" w:type="dxa"/>
            <w:vMerge w:val="continue"/>
            <w:tcBorders>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7D9CFC2">
            <w:pPr>
              <w:widowControl/>
              <w:spacing w:line="240" w:lineRule="exact"/>
              <w:textAlignment w:val="center"/>
              <w:rPr>
                <w:rFonts w:hint="eastAsia" w:ascii="宋体" w:hAnsi="宋体" w:eastAsia="宋体" w:cs="宋体"/>
                <w:b w:val="0"/>
                <w:bCs w:val="0"/>
                <w:kern w:val="0"/>
                <w:sz w:val="18"/>
                <w:szCs w:val="18"/>
                <w:lang w:bidi="ar"/>
              </w:rPr>
            </w:pPr>
          </w:p>
        </w:tc>
        <w:tc>
          <w:tcPr>
            <w:tcW w:w="6027" w:type="dxa"/>
            <w:vMerge w:val="continue"/>
            <w:tcBorders>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2F4B75E">
            <w:pPr>
              <w:widowControl/>
              <w:spacing w:line="240" w:lineRule="exact"/>
              <w:ind w:firstLine="360" w:firstLineChars="200"/>
              <w:textAlignment w:val="center"/>
              <w:rPr>
                <w:rFonts w:hint="eastAsia" w:ascii="宋体" w:hAnsi="宋体" w:eastAsia="宋体" w:cs="宋体"/>
                <w:b w:val="0"/>
                <w:bCs w:val="0"/>
                <w:kern w:val="0"/>
                <w:sz w:val="18"/>
                <w:szCs w:val="18"/>
                <w:lang w:bidi="ar"/>
              </w:rPr>
            </w:pPr>
          </w:p>
        </w:tc>
        <w:tc>
          <w:tcPr>
            <w:tcW w:w="1849" w:type="dxa"/>
            <w:vMerge w:val="continue"/>
            <w:tcBorders>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0D20768">
            <w:pPr>
              <w:spacing w:line="240" w:lineRule="exact"/>
              <w:jc w:val="both"/>
              <w:rPr>
                <w:rFonts w:hint="eastAsia" w:ascii="宋体" w:hAnsi="宋体" w:eastAsia="宋体" w:cs="宋体"/>
                <w:b w:val="0"/>
                <w:bCs w:val="0"/>
                <w:sz w:val="18"/>
                <w:szCs w:val="18"/>
              </w:rPr>
            </w:pPr>
          </w:p>
        </w:tc>
        <w:tc>
          <w:tcPr>
            <w:tcW w:w="51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A048135">
            <w:pPr>
              <w:spacing w:line="240" w:lineRule="exact"/>
              <w:jc w:val="center"/>
              <w:rPr>
                <w:rFonts w:hint="eastAsia" w:ascii="宋体" w:hAnsi="宋体" w:eastAsia="宋体" w:cs="宋体"/>
                <w:b w:val="0"/>
                <w:bCs w:val="0"/>
                <w:sz w:val="18"/>
                <w:szCs w:val="18"/>
              </w:rPr>
            </w:pPr>
            <w:r>
              <w:rPr>
                <w:rFonts w:hint="eastAsia" w:ascii="宋体" w:hAnsi="宋体" w:eastAsia="宋体" w:cs="宋体"/>
                <w:b w:val="0"/>
                <w:bCs w:val="0"/>
                <w:sz w:val="18"/>
                <w:szCs w:val="18"/>
              </w:rPr>
              <w:t>严重</w:t>
            </w:r>
          </w:p>
        </w:tc>
        <w:tc>
          <w:tcPr>
            <w:tcW w:w="242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EF066EF">
            <w:pPr>
              <w:spacing w:line="300" w:lineRule="exact"/>
              <w:rPr>
                <w:rFonts w:hint="eastAsia" w:ascii="宋体" w:hAnsi="宋体" w:eastAsia="宋体" w:cs="宋体"/>
                <w:b w:val="0"/>
                <w:bCs w:val="0"/>
                <w:sz w:val="18"/>
                <w:szCs w:val="18"/>
                <w:lang w:bidi="ar"/>
              </w:rPr>
            </w:pPr>
            <w:r>
              <w:rPr>
                <w:rStyle w:val="21"/>
                <w:rFonts w:hint="eastAsia" w:ascii="宋体" w:hAnsi="宋体" w:eastAsia="宋体" w:cs="宋体"/>
                <w:b w:val="0"/>
                <w:bCs w:val="0"/>
                <w:color w:val="auto"/>
                <w:sz w:val="18"/>
                <w:szCs w:val="18"/>
                <w:lang w:bidi="ar"/>
              </w:rPr>
              <w:t>对工程安全影响严重，或者拒不停止违法行为、采取补救措施的</w:t>
            </w:r>
          </w:p>
        </w:tc>
        <w:tc>
          <w:tcPr>
            <w:tcW w:w="1628"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D2DC7C4">
            <w:pPr>
              <w:spacing w:line="240" w:lineRule="exact"/>
              <w:rPr>
                <w:rFonts w:hint="eastAsia" w:ascii="宋体" w:hAnsi="宋体" w:eastAsia="宋体" w:cs="宋体"/>
                <w:b w:val="0"/>
                <w:bCs w:val="0"/>
                <w:sz w:val="18"/>
                <w:szCs w:val="18"/>
                <w:lang w:bidi="ar"/>
              </w:rPr>
            </w:pPr>
            <w:r>
              <w:rPr>
                <w:rStyle w:val="21"/>
                <w:rFonts w:hint="eastAsia" w:ascii="宋体" w:hAnsi="宋体" w:eastAsia="宋体" w:cs="宋体"/>
                <w:b w:val="0"/>
                <w:bCs w:val="0"/>
                <w:color w:val="auto"/>
                <w:sz w:val="18"/>
                <w:szCs w:val="18"/>
                <w:lang w:val="en-US" w:eastAsia="zh-CN" w:bidi="ar"/>
              </w:rPr>
              <w:t>4</w:t>
            </w:r>
            <w:r>
              <w:rPr>
                <w:rStyle w:val="21"/>
                <w:rFonts w:hint="eastAsia" w:ascii="宋体" w:hAnsi="宋体" w:eastAsia="宋体" w:cs="宋体"/>
                <w:b w:val="0"/>
                <w:bCs w:val="0"/>
                <w:color w:val="auto"/>
                <w:sz w:val="18"/>
                <w:szCs w:val="18"/>
                <w:lang w:bidi="ar"/>
              </w:rPr>
              <w:t>万元以上</w:t>
            </w:r>
            <w:r>
              <w:rPr>
                <w:rStyle w:val="21"/>
                <w:rFonts w:hint="eastAsia" w:ascii="宋体" w:hAnsi="宋体" w:eastAsia="宋体" w:cs="宋体"/>
                <w:b w:val="0"/>
                <w:bCs w:val="0"/>
                <w:color w:val="auto"/>
                <w:sz w:val="18"/>
                <w:szCs w:val="18"/>
                <w:lang w:val="en-US" w:eastAsia="zh-CN" w:bidi="ar"/>
              </w:rPr>
              <w:t>5</w:t>
            </w:r>
            <w:r>
              <w:rPr>
                <w:rStyle w:val="21"/>
                <w:rFonts w:hint="eastAsia" w:ascii="宋体" w:hAnsi="宋体" w:eastAsia="宋体" w:cs="宋体"/>
                <w:b w:val="0"/>
                <w:bCs w:val="0"/>
                <w:color w:val="auto"/>
                <w:sz w:val="18"/>
                <w:szCs w:val="18"/>
                <w:lang w:bidi="ar"/>
              </w:rPr>
              <w:t>万元以下的罚款</w:t>
            </w:r>
          </w:p>
        </w:tc>
        <w:tc>
          <w:tcPr>
            <w:tcW w:w="739" w:type="dxa"/>
            <w:vMerge w:val="continue"/>
            <w:tcBorders>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B8C33D3">
            <w:pPr>
              <w:spacing w:line="240" w:lineRule="exact"/>
              <w:jc w:val="center"/>
              <w:rPr>
                <w:rStyle w:val="21"/>
                <w:rFonts w:hint="eastAsia" w:ascii="宋体" w:hAnsi="宋体" w:eastAsia="宋体" w:cs="宋体"/>
                <w:b w:val="0"/>
                <w:bCs w:val="0"/>
                <w:color w:val="auto"/>
                <w:sz w:val="18"/>
                <w:szCs w:val="18"/>
                <w:lang w:bidi="ar"/>
              </w:rPr>
            </w:pPr>
          </w:p>
        </w:tc>
      </w:tr>
      <w:tr w14:paraId="320A2F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40" w:hRule="atLeast"/>
          <w:jc w:val="center"/>
        </w:trPr>
        <w:tc>
          <w:tcPr>
            <w:tcW w:w="474" w:type="dxa"/>
            <w:vMerge w:val="restart"/>
            <w:tcBorders>
              <w:left w:val="single" w:color="auto" w:sz="4" w:space="0"/>
              <w:right w:val="single" w:color="auto" w:sz="4" w:space="0"/>
            </w:tcBorders>
            <w:noWrap w:val="0"/>
            <w:tcMar>
              <w:top w:w="0" w:type="dxa"/>
              <w:left w:w="0" w:type="dxa"/>
              <w:bottom w:w="0" w:type="dxa"/>
              <w:right w:w="0" w:type="dxa"/>
            </w:tcMar>
            <w:vAlign w:val="center"/>
          </w:tcPr>
          <w:p w14:paraId="073832DF">
            <w:pPr>
              <w:widowControl/>
              <w:spacing w:line="240" w:lineRule="exact"/>
              <w:jc w:val="center"/>
              <w:textAlignment w:val="center"/>
              <w:rPr>
                <w:rFonts w:hint="eastAsia" w:ascii="宋体" w:hAnsi="宋体" w:eastAsia="宋体" w:cs="宋体"/>
                <w:b w:val="0"/>
                <w:bCs w:val="0"/>
                <w:sz w:val="18"/>
                <w:szCs w:val="18"/>
                <w:lang w:eastAsia="zh-CN"/>
              </w:rPr>
            </w:pPr>
            <w:r>
              <w:rPr>
                <w:rFonts w:hint="eastAsia" w:ascii="宋体" w:hAnsi="宋体" w:eastAsia="宋体" w:cs="宋体"/>
                <w:b w:val="0"/>
                <w:bCs w:val="0"/>
                <w:kern w:val="0"/>
                <w:sz w:val="18"/>
                <w:szCs w:val="18"/>
                <w:lang w:bidi="ar"/>
              </w:rPr>
              <w:t>2</w:t>
            </w:r>
            <w:r>
              <w:rPr>
                <w:rFonts w:hint="eastAsia" w:ascii="宋体" w:hAnsi="宋体" w:eastAsia="宋体" w:cs="宋体"/>
                <w:b w:val="0"/>
                <w:bCs w:val="0"/>
                <w:kern w:val="0"/>
                <w:sz w:val="18"/>
                <w:szCs w:val="18"/>
                <w:lang w:val="en-US" w:eastAsia="zh-CN" w:bidi="ar"/>
              </w:rPr>
              <w:t>7</w:t>
            </w:r>
          </w:p>
        </w:tc>
        <w:tc>
          <w:tcPr>
            <w:tcW w:w="1236" w:type="dxa"/>
            <w:vMerge w:val="restart"/>
            <w:tcBorders>
              <w:left w:val="single" w:color="auto" w:sz="4" w:space="0"/>
              <w:right w:val="single" w:color="auto" w:sz="4" w:space="0"/>
            </w:tcBorders>
            <w:noWrap w:val="0"/>
            <w:tcMar>
              <w:top w:w="0" w:type="dxa"/>
              <w:left w:w="0" w:type="dxa"/>
              <w:bottom w:w="0" w:type="dxa"/>
              <w:right w:w="0" w:type="dxa"/>
            </w:tcMar>
            <w:vAlign w:val="center"/>
          </w:tcPr>
          <w:p w14:paraId="09C1D63A">
            <w:pPr>
              <w:widowControl/>
              <w:spacing w:line="220" w:lineRule="exact"/>
              <w:jc w:val="both"/>
              <w:textAlignment w:val="center"/>
              <w:rPr>
                <w:rFonts w:hint="eastAsia" w:ascii="宋体" w:hAnsi="宋体" w:eastAsia="宋体" w:cs="宋体"/>
                <w:b w:val="0"/>
                <w:bCs w:val="0"/>
                <w:kern w:val="0"/>
                <w:sz w:val="18"/>
                <w:szCs w:val="18"/>
                <w:lang w:bidi="ar"/>
              </w:rPr>
            </w:pPr>
            <w:r>
              <w:rPr>
                <w:rFonts w:hint="eastAsia" w:ascii="宋体" w:hAnsi="宋体" w:eastAsia="宋体" w:cs="宋体"/>
                <w:b w:val="0"/>
                <w:bCs w:val="0"/>
                <w:kern w:val="0"/>
                <w:sz w:val="18"/>
                <w:szCs w:val="18"/>
                <w:lang w:bidi="ar"/>
              </w:rPr>
              <w:t>对在江河、湖泊、水库、运河、渠道内弃置、堆放阻碍行洪的物体和种植阻碍行洪的林木及高秆作物，围湖造地或者未经批准围垦河道等行为的行政处罚</w:t>
            </w:r>
          </w:p>
        </w:tc>
        <w:tc>
          <w:tcPr>
            <w:tcW w:w="6027" w:type="dxa"/>
            <w:vMerge w:val="restart"/>
            <w:tcBorders>
              <w:top w:val="single" w:color="auto" w:sz="4" w:space="0"/>
              <w:left w:val="single" w:color="auto" w:sz="4" w:space="0"/>
              <w:right w:val="single" w:color="auto" w:sz="4" w:space="0"/>
            </w:tcBorders>
            <w:noWrap w:val="0"/>
            <w:tcMar>
              <w:top w:w="0" w:type="dxa"/>
              <w:left w:w="0" w:type="dxa"/>
              <w:bottom w:w="0" w:type="dxa"/>
              <w:right w:w="0" w:type="dxa"/>
            </w:tcMar>
            <w:vAlign w:val="center"/>
          </w:tcPr>
          <w:p w14:paraId="62DC7702">
            <w:pPr>
              <w:widowControl/>
              <w:spacing w:line="220" w:lineRule="exact"/>
              <w:textAlignment w:val="center"/>
              <w:rPr>
                <w:rFonts w:hint="eastAsia" w:ascii="宋体" w:hAnsi="宋体" w:eastAsia="宋体" w:cs="宋体"/>
                <w:b w:val="0"/>
                <w:bCs w:val="0"/>
                <w:kern w:val="0"/>
                <w:sz w:val="18"/>
                <w:szCs w:val="18"/>
                <w:lang w:bidi="ar"/>
              </w:rPr>
            </w:pPr>
            <w:r>
              <w:rPr>
                <w:rFonts w:hint="eastAsia" w:ascii="宋体" w:hAnsi="宋体" w:eastAsia="宋体" w:cs="宋体"/>
                <w:b w:val="0"/>
                <w:bCs w:val="0"/>
                <w:kern w:val="0"/>
                <w:sz w:val="18"/>
                <w:szCs w:val="18"/>
                <w:lang w:bidi="ar"/>
              </w:rPr>
              <w:t>《中华人民共和国水法》第六十六条 有下列行为之一，且防洪法未作规定的，由县级以上人民政府水行政主管部门或者流域管理机构依据职权，责令停止违法行为，限期清除障碍或者采取其他补救措施，处一万元以上五万元以下的罚款：</w:t>
            </w:r>
          </w:p>
          <w:p w14:paraId="2E97D9C1">
            <w:pPr>
              <w:widowControl/>
              <w:spacing w:line="220" w:lineRule="exact"/>
              <w:textAlignment w:val="center"/>
              <w:rPr>
                <w:rFonts w:hint="eastAsia" w:ascii="宋体" w:hAnsi="宋体" w:eastAsia="宋体" w:cs="宋体"/>
                <w:b w:val="0"/>
                <w:bCs w:val="0"/>
                <w:kern w:val="0"/>
                <w:sz w:val="18"/>
                <w:szCs w:val="18"/>
                <w:lang w:bidi="ar"/>
              </w:rPr>
            </w:pPr>
            <w:r>
              <w:rPr>
                <w:rFonts w:hint="eastAsia" w:ascii="宋体" w:hAnsi="宋体" w:eastAsia="宋体" w:cs="宋体"/>
                <w:b w:val="0"/>
                <w:bCs w:val="0"/>
                <w:kern w:val="0"/>
                <w:sz w:val="18"/>
                <w:szCs w:val="18"/>
                <w:lang w:bidi="ar"/>
              </w:rPr>
              <w:t>（一）在江河、湖泊、水库、运河、渠道内弃置、堆放阻碍行洪的物体和种植阻碍行洪的林木及高秆作物的；</w:t>
            </w:r>
          </w:p>
          <w:p w14:paraId="2DBF9F49">
            <w:pPr>
              <w:widowControl/>
              <w:spacing w:line="220" w:lineRule="exact"/>
              <w:textAlignment w:val="center"/>
              <w:rPr>
                <w:rFonts w:hint="eastAsia" w:ascii="宋体" w:hAnsi="宋体" w:eastAsia="宋体" w:cs="宋体"/>
                <w:b w:val="0"/>
                <w:bCs w:val="0"/>
                <w:kern w:val="0"/>
                <w:sz w:val="18"/>
                <w:szCs w:val="18"/>
                <w:lang w:bidi="ar"/>
              </w:rPr>
            </w:pPr>
            <w:r>
              <w:rPr>
                <w:rFonts w:hint="eastAsia" w:ascii="宋体" w:hAnsi="宋体" w:eastAsia="宋体" w:cs="宋体"/>
                <w:b w:val="0"/>
                <w:bCs w:val="0"/>
                <w:kern w:val="0"/>
                <w:sz w:val="18"/>
                <w:szCs w:val="18"/>
                <w:lang w:bidi="ar"/>
              </w:rPr>
              <w:t>（二）围湖造地或者未经批准围垦河道的。</w:t>
            </w:r>
          </w:p>
          <w:p w14:paraId="2ABAE992">
            <w:pPr>
              <w:widowControl/>
              <w:spacing w:line="220" w:lineRule="exact"/>
              <w:textAlignment w:val="center"/>
              <w:rPr>
                <w:rFonts w:hint="eastAsia" w:ascii="宋体" w:hAnsi="宋体" w:eastAsia="宋体" w:cs="宋体"/>
                <w:b w:val="0"/>
                <w:bCs w:val="0"/>
                <w:kern w:val="0"/>
                <w:sz w:val="18"/>
                <w:szCs w:val="18"/>
                <w:lang w:bidi="ar"/>
              </w:rPr>
            </w:pPr>
            <w:r>
              <w:rPr>
                <w:rFonts w:hint="eastAsia" w:ascii="宋体" w:hAnsi="宋体" w:eastAsia="宋体" w:cs="宋体"/>
                <w:b w:val="0"/>
                <w:bCs w:val="0"/>
                <w:kern w:val="0"/>
                <w:sz w:val="18"/>
                <w:szCs w:val="18"/>
                <w:lang w:bidi="ar"/>
              </w:rPr>
              <w:t>《中华人民共和国防洪法》第五十五条 违反本法第二十二条第二款、第三款规定，有下列行为之一的，责令停止违法行为，排除阻碍或者采取其他补救措施，可以处五万元以下的罚款：</w:t>
            </w:r>
          </w:p>
          <w:p w14:paraId="0F4BBB74">
            <w:pPr>
              <w:widowControl/>
              <w:spacing w:line="220" w:lineRule="exact"/>
              <w:textAlignment w:val="center"/>
              <w:rPr>
                <w:rFonts w:hint="eastAsia" w:ascii="宋体" w:hAnsi="宋体" w:eastAsia="宋体" w:cs="宋体"/>
                <w:b w:val="0"/>
                <w:bCs w:val="0"/>
                <w:kern w:val="0"/>
                <w:sz w:val="18"/>
                <w:szCs w:val="18"/>
                <w:lang w:bidi="ar"/>
              </w:rPr>
            </w:pPr>
            <w:r>
              <w:rPr>
                <w:rFonts w:hint="eastAsia" w:ascii="宋体" w:hAnsi="宋体" w:eastAsia="宋体" w:cs="宋体"/>
                <w:b w:val="0"/>
                <w:bCs w:val="0"/>
                <w:kern w:val="0"/>
                <w:sz w:val="18"/>
                <w:szCs w:val="18"/>
                <w:lang w:bidi="ar"/>
              </w:rPr>
              <w:t>（二）在河道、湖泊管理范围内倾倒垃圾、渣土，从事影响河势稳定、危害河岸堤防安全和其他妨碍河道行洪的活动的；</w:t>
            </w:r>
          </w:p>
          <w:p w14:paraId="2C2778F4">
            <w:pPr>
              <w:widowControl/>
              <w:spacing w:line="220" w:lineRule="exact"/>
              <w:textAlignment w:val="center"/>
              <w:rPr>
                <w:rFonts w:hint="eastAsia" w:ascii="宋体" w:hAnsi="宋体" w:eastAsia="宋体" w:cs="宋体"/>
                <w:b w:val="0"/>
                <w:bCs w:val="0"/>
                <w:kern w:val="0"/>
                <w:sz w:val="18"/>
                <w:szCs w:val="18"/>
                <w:lang w:bidi="ar"/>
              </w:rPr>
            </w:pPr>
            <w:r>
              <w:rPr>
                <w:rFonts w:hint="eastAsia" w:ascii="宋体" w:hAnsi="宋体" w:eastAsia="宋体" w:cs="宋体"/>
                <w:b w:val="0"/>
                <w:bCs w:val="0"/>
                <w:kern w:val="0"/>
                <w:sz w:val="18"/>
                <w:szCs w:val="18"/>
                <w:lang w:bidi="ar"/>
              </w:rPr>
              <w:t>（三）在行洪河道内种植阻碍行洪的林木和高秆作物的。</w:t>
            </w:r>
          </w:p>
          <w:p w14:paraId="7FA1A48F">
            <w:pPr>
              <w:widowControl/>
              <w:spacing w:line="220" w:lineRule="exact"/>
              <w:textAlignment w:val="center"/>
              <w:rPr>
                <w:rFonts w:hint="eastAsia" w:ascii="宋体" w:hAnsi="宋体" w:eastAsia="宋体" w:cs="宋体"/>
                <w:b w:val="0"/>
                <w:bCs w:val="0"/>
                <w:kern w:val="0"/>
                <w:sz w:val="18"/>
                <w:szCs w:val="18"/>
                <w:lang w:bidi="ar"/>
              </w:rPr>
            </w:pPr>
            <w:r>
              <w:rPr>
                <w:rFonts w:hint="eastAsia" w:ascii="宋体" w:hAnsi="宋体" w:eastAsia="宋体" w:cs="宋体"/>
                <w:b w:val="0"/>
                <w:bCs w:val="0"/>
                <w:kern w:val="0"/>
                <w:sz w:val="18"/>
                <w:szCs w:val="18"/>
                <w:lang w:bidi="ar"/>
              </w:rPr>
              <w:t>第五十六条 违反本法第十五条第二款、第二十三条规定，围海造地、围湖造地、围垦河道的，责令停止违法行为，恢复原状或者采取其他补救措施，可以处五万元以下的罚款；既不恢复原状也不采取其他补救措施的，代为恢复原状或者采取其他补救措施，所需费用由违法者承担。</w:t>
            </w:r>
          </w:p>
          <w:p w14:paraId="2C45029E">
            <w:pPr>
              <w:widowControl/>
              <w:spacing w:line="220" w:lineRule="exact"/>
              <w:textAlignment w:val="center"/>
              <w:rPr>
                <w:rFonts w:hint="eastAsia" w:ascii="宋体" w:hAnsi="宋体" w:eastAsia="宋体" w:cs="宋体"/>
                <w:b w:val="0"/>
                <w:bCs w:val="0"/>
                <w:kern w:val="0"/>
                <w:sz w:val="18"/>
                <w:szCs w:val="18"/>
                <w:lang w:bidi="ar"/>
              </w:rPr>
            </w:pPr>
            <w:r>
              <w:rPr>
                <w:rFonts w:hint="eastAsia" w:ascii="宋体" w:hAnsi="宋体" w:eastAsia="宋体" w:cs="宋体"/>
                <w:b w:val="0"/>
                <w:bCs w:val="0"/>
                <w:kern w:val="0"/>
                <w:sz w:val="18"/>
                <w:szCs w:val="18"/>
                <w:lang w:bidi="ar"/>
              </w:rPr>
              <w:t>《中华人民共和国河道管理条例》第四十四条 违反本条例规定，有下列行为之一的，县级以上地方人民政府河道主管机关除责令其纠正违法行为、采取补救措施外，可以并处警告、罚款、没收非法所得；对有关责任人员，由其所在单位或者上级主管机关给予行政处分；构成犯罪的，依法追究刑事责任：</w:t>
            </w:r>
          </w:p>
          <w:p w14:paraId="3EF4D9EC">
            <w:pPr>
              <w:widowControl/>
              <w:spacing w:line="220" w:lineRule="exact"/>
              <w:textAlignment w:val="center"/>
              <w:rPr>
                <w:rFonts w:hint="eastAsia" w:ascii="宋体" w:hAnsi="宋体" w:eastAsia="宋体" w:cs="宋体"/>
                <w:b w:val="0"/>
                <w:bCs w:val="0"/>
                <w:kern w:val="0"/>
                <w:sz w:val="18"/>
                <w:szCs w:val="18"/>
                <w:lang w:bidi="ar"/>
              </w:rPr>
            </w:pPr>
            <w:r>
              <w:rPr>
                <w:rFonts w:hint="eastAsia" w:ascii="宋体" w:hAnsi="宋体" w:eastAsia="宋体" w:cs="宋体"/>
                <w:b w:val="0"/>
                <w:bCs w:val="0"/>
                <w:kern w:val="0"/>
                <w:sz w:val="18"/>
                <w:szCs w:val="18"/>
                <w:lang w:bidi="ar"/>
              </w:rPr>
              <w:t>（一）在河道管理范围内弃置、堆放阻碍行洪物体的；种植阻碍行洪的林木或者高杆植物的；修建围堤、阻水渠道、阻水道路的；</w:t>
            </w:r>
          </w:p>
          <w:p w14:paraId="54B5B70D">
            <w:pPr>
              <w:widowControl/>
              <w:spacing w:line="220" w:lineRule="exact"/>
              <w:textAlignment w:val="center"/>
              <w:rPr>
                <w:rFonts w:hint="eastAsia" w:ascii="宋体" w:hAnsi="宋体" w:eastAsia="宋体" w:cs="宋体"/>
                <w:b w:val="0"/>
                <w:bCs w:val="0"/>
                <w:kern w:val="0"/>
                <w:sz w:val="18"/>
                <w:szCs w:val="18"/>
                <w:lang w:bidi="ar"/>
              </w:rPr>
            </w:pPr>
            <w:r>
              <w:rPr>
                <w:rFonts w:hint="eastAsia" w:ascii="宋体" w:hAnsi="宋体" w:eastAsia="宋体" w:cs="宋体"/>
                <w:b w:val="0"/>
                <w:bCs w:val="0"/>
                <w:kern w:val="0"/>
                <w:sz w:val="18"/>
                <w:szCs w:val="18"/>
                <w:lang w:bidi="ar"/>
              </w:rPr>
              <w:t>（五）未经批准在河道滩地存放物料、修建厂房或者其他建筑设施，以及开采地下资源或者进行考古发掘的；</w:t>
            </w:r>
          </w:p>
          <w:p w14:paraId="7C19C101">
            <w:pPr>
              <w:widowControl/>
              <w:spacing w:line="220" w:lineRule="exact"/>
              <w:textAlignment w:val="center"/>
              <w:rPr>
                <w:rFonts w:hint="eastAsia" w:ascii="宋体" w:hAnsi="宋体" w:eastAsia="宋体" w:cs="宋体"/>
                <w:b w:val="0"/>
                <w:bCs w:val="0"/>
                <w:kern w:val="0"/>
                <w:sz w:val="18"/>
                <w:szCs w:val="18"/>
                <w:lang w:bidi="ar"/>
              </w:rPr>
            </w:pPr>
            <w:r>
              <w:rPr>
                <w:rFonts w:hint="eastAsia" w:ascii="宋体" w:hAnsi="宋体" w:eastAsia="宋体" w:cs="宋体"/>
                <w:b w:val="0"/>
                <w:bCs w:val="0"/>
                <w:kern w:val="0"/>
                <w:sz w:val="18"/>
                <w:szCs w:val="18"/>
                <w:lang w:bidi="ar"/>
              </w:rPr>
              <w:t>（六）违反本条例第二十七条的规定，围垦湖泊、河流的；</w:t>
            </w:r>
          </w:p>
          <w:p w14:paraId="3AAE8FF2">
            <w:pPr>
              <w:widowControl/>
              <w:spacing w:line="220" w:lineRule="exact"/>
              <w:textAlignment w:val="center"/>
              <w:rPr>
                <w:rFonts w:hint="eastAsia" w:ascii="宋体" w:hAnsi="宋体" w:eastAsia="宋体" w:cs="宋体"/>
                <w:b w:val="0"/>
                <w:bCs w:val="0"/>
                <w:kern w:val="0"/>
                <w:sz w:val="18"/>
                <w:szCs w:val="18"/>
                <w:lang w:bidi="ar"/>
              </w:rPr>
            </w:pPr>
            <w:r>
              <w:rPr>
                <w:rFonts w:hint="eastAsia" w:ascii="宋体" w:hAnsi="宋体" w:eastAsia="宋体" w:cs="宋体"/>
                <w:b w:val="0"/>
                <w:bCs w:val="0"/>
                <w:kern w:val="0"/>
                <w:sz w:val="18"/>
                <w:szCs w:val="18"/>
                <w:lang w:bidi="ar"/>
              </w:rPr>
              <w:t>《河北省水利工程管理条例》第二十六条 为维护水利工程效能，禁止下列行为：</w:t>
            </w:r>
          </w:p>
          <w:p w14:paraId="093DA136">
            <w:pPr>
              <w:widowControl/>
              <w:spacing w:line="220" w:lineRule="exact"/>
              <w:textAlignment w:val="center"/>
              <w:rPr>
                <w:rFonts w:hint="eastAsia" w:ascii="宋体" w:hAnsi="宋体" w:eastAsia="宋体" w:cs="宋体"/>
                <w:b w:val="0"/>
                <w:bCs w:val="0"/>
                <w:kern w:val="0"/>
                <w:sz w:val="18"/>
                <w:szCs w:val="18"/>
                <w:lang w:bidi="ar"/>
              </w:rPr>
            </w:pPr>
            <w:r>
              <w:rPr>
                <w:rFonts w:hint="eastAsia" w:ascii="宋体" w:hAnsi="宋体" w:eastAsia="宋体" w:cs="宋体"/>
                <w:b w:val="0"/>
                <w:bCs w:val="0"/>
                <w:kern w:val="0"/>
                <w:sz w:val="18"/>
                <w:szCs w:val="18"/>
                <w:lang w:bidi="ar"/>
              </w:rPr>
              <w:t>（一）在河道、渠道内修建碍航、阻水及有危害的导流、挑流工程和种植高秆作物或者林木；</w:t>
            </w:r>
          </w:p>
          <w:p w14:paraId="5E2145CA">
            <w:pPr>
              <w:widowControl/>
              <w:spacing w:line="220" w:lineRule="exact"/>
              <w:textAlignment w:val="center"/>
              <w:rPr>
                <w:rFonts w:hint="eastAsia" w:ascii="宋体" w:hAnsi="宋体" w:eastAsia="宋体" w:cs="宋体"/>
                <w:b w:val="0"/>
                <w:bCs w:val="0"/>
                <w:kern w:val="0"/>
                <w:sz w:val="18"/>
                <w:szCs w:val="18"/>
                <w:lang w:bidi="ar"/>
              </w:rPr>
            </w:pPr>
            <w:r>
              <w:rPr>
                <w:rFonts w:hint="eastAsia" w:ascii="宋体" w:hAnsi="宋体" w:eastAsia="宋体" w:cs="宋体"/>
                <w:b w:val="0"/>
                <w:bCs w:val="0"/>
                <w:kern w:val="0"/>
                <w:sz w:val="18"/>
                <w:szCs w:val="18"/>
                <w:lang w:bidi="ar"/>
              </w:rPr>
              <w:t>（二）在河滩、行洪区、淀泊、蓄滞洪区、水库库区及河流入海口任意围垦和修建阻水建筑物；</w:t>
            </w:r>
          </w:p>
          <w:p w14:paraId="6B34A55D">
            <w:pPr>
              <w:widowControl/>
              <w:spacing w:line="220" w:lineRule="exact"/>
              <w:textAlignment w:val="center"/>
              <w:rPr>
                <w:rFonts w:hint="eastAsia" w:ascii="宋体" w:hAnsi="宋体" w:eastAsia="宋体" w:cs="宋体"/>
                <w:b w:val="0"/>
                <w:bCs w:val="0"/>
                <w:kern w:val="0"/>
                <w:sz w:val="18"/>
                <w:szCs w:val="18"/>
                <w:lang w:bidi="ar"/>
              </w:rPr>
            </w:pPr>
            <w:r>
              <w:rPr>
                <w:rFonts w:hint="eastAsia" w:ascii="宋体" w:hAnsi="宋体" w:eastAsia="宋体" w:cs="宋体"/>
                <w:b w:val="0"/>
                <w:bCs w:val="0"/>
                <w:kern w:val="0"/>
                <w:sz w:val="18"/>
                <w:szCs w:val="18"/>
                <w:lang w:bidi="ar"/>
              </w:rPr>
              <w:t>（三）在水库、河道、渠道、淀泊内倾倒垃圾、废渣。</w:t>
            </w:r>
          </w:p>
          <w:p w14:paraId="44252137">
            <w:pPr>
              <w:widowControl/>
              <w:spacing w:line="220" w:lineRule="exact"/>
              <w:textAlignment w:val="center"/>
              <w:rPr>
                <w:rFonts w:hint="eastAsia" w:ascii="宋体" w:hAnsi="宋体" w:eastAsia="宋体" w:cs="宋体"/>
                <w:b w:val="0"/>
                <w:bCs w:val="0"/>
                <w:kern w:val="0"/>
                <w:sz w:val="18"/>
                <w:szCs w:val="18"/>
                <w:lang w:bidi="ar"/>
              </w:rPr>
            </w:pPr>
            <w:r>
              <w:rPr>
                <w:rFonts w:hint="eastAsia" w:ascii="宋体" w:hAnsi="宋体" w:eastAsia="宋体" w:cs="宋体"/>
                <w:b w:val="0"/>
                <w:bCs w:val="0"/>
                <w:kern w:val="0"/>
                <w:sz w:val="18"/>
                <w:szCs w:val="18"/>
                <w:lang w:bidi="ar"/>
              </w:rPr>
              <w:t>第四十六条　违反本条例第二十六条规定的，责令其纠正违法行为，采取补救措施，可以并处五百元以上五万元以下的罚款；严重影响防洪的，限期拆除，逾期不拆除的强行拆除，所需费用由违法者承担；对直接负责的主管人员和其他直接责任人员给予处分。</w:t>
            </w:r>
          </w:p>
        </w:tc>
        <w:tc>
          <w:tcPr>
            <w:tcW w:w="1849" w:type="dxa"/>
            <w:vMerge w:val="restart"/>
            <w:tcBorders>
              <w:top w:val="single" w:color="auto" w:sz="4" w:space="0"/>
              <w:left w:val="single" w:color="auto" w:sz="4" w:space="0"/>
              <w:right w:val="single" w:color="auto" w:sz="4" w:space="0"/>
            </w:tcBorders>
            <w:noWrap w:val="0"/>
            <w:tcMar>
              <w:top w:w="0" w:type="dxa"/>
              <w:left w:w="0" w:type="dxa"/>
              <w:bottom w:w="0" w:type="dxa"/>
              <w:right w:w="0" w:type="dxa"/>
            </w:tcMar>
            <w:vAlign w:val="center"/>
          </w:tcPr>
          <w:p w14:paraId="1F49ED2F">
            <w:pPr>
              <w:spacing w:line="240" w:lineRule="exact"/>
              <w:jc w:val="both"/>
              <w:rPr>
                <w:rFonts w:hint="eastAsia" w:ascii="宋体" w:hAnsi="宋体" w:eastAsia="宋体" w:cs="宋体"/>
                <w:b w:val="0"/>
                <w:bCs w:val="0"/>
                <w:sz w:val="18"/>
                <w:szCs w:val="18"/>
              </w:rPr>
            </w:pPr>
            <w:r>
              <w:rPr>
                <w:rFonts w:hint="eastAsia" w:ascii="宋体" w:hAnsi="宋体" w:eastAsia="宋体" w:cs="宋体"/>
                <w:b w:val="0"/>
                <w:bCs w:val="0"/>
                <w:kern w:val="0"/>
                <w:sz w:val="18"/>
                <w:szCs w:val="18"/>
                <w:highlight w:val="none"/>
                <w:lang w:bidi="ar"/>
              </w:rPr>
              <w:t>在江河、湖泊、水库、淀泊、运河、渠道内弃置、堆放阻碍行洪的物体和种植阻碍行洪的林木及高秆作物的</w:t>
            </w:r>
          </w:p>
        </w:tc>
        <w:tc>
          <w:tcPr>
            <w:tcW w:w="51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1DF30B8">
            <w:pPr>
              <w:spacing w:line="240" w:lineRule="exact"/>
              <w:jc w:val="center"/>
              <w:rPr>
                <w:rFonts w:hint="eastAsia" w:ascii="宋体" w:hAnsi="宋体" w:eastAsia="宋体" w:cs="宋体"/>
                <w:b w:val="0"/>
                <w:bCs w:val="0"/>
                <w:sz w:val="18"/>
                <w:szCs w:val="18"/>
              </w:rPr>
            </w:pPr>
            <w:r>
              <w:rPr>
                <w:rFonts w:hint="eastAsia" w:ascii="宋体" w:hAnsi="宋体" w:eastAsia="宋体" w:cs="宋体"/>
                <w:b w:val="0"/>
                <w:bCs w:val="0"/>
                <w:sz w:val="18"/>
                <w:szCs w:val="18"/>
              </w:rPr>
              <w:t>轻微</w:t>
            </w:r>
          </w:p>
        </w:tc>
        <w:tc>
          <w:tcPr>
            <w:tcW w:w="242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3037D83">
            <w:pPr>
              <w:pStyle w:val="2"/>
              <w:spacing w:line="240" w:lineRule="exact"/>
              <w:rPr>
                <w:rStyle w:val="21"/>
                <w:rFonts w:hint="eastAsia" w:ascii="宋体" w:hAnsi="宋体" w:eastAsia="宋体" w:cs="宋体"/>
                <w:b w:val="0"/>
                <w:bCs w:val="0"/>
                <w:sz w:val="18"/>
                <w:szCs w:val="18"/>
                <w:lang w:val="en-US" w:eastAsia="zh-CN" w:bidi="ar"/>
              </w:rPr>
            </w:pPr>
            <w:r>
              <w:rPr>
                <w:rStyle w:val="21"/>
                <w:rFonts w:hint="eastAsia" w:ascii="宋体" w:hAnsi="宋体" w:eastAsia="宋体" w:cs="宋体"/>
                <w:b w:val="0"/>
                <w:bCs w:val="0"/>
                <w:sz w:val="18"/>
                <w:szCs w:val="18"/>
                <w:lang w:val="en-US" w:eastAsia="zh-CN" w:bidi="ar"/>
              </w:rPr>
              <w:t>1.初次违法；</w:t>
            </w:r>
          </w:p>
          <w:p w14:paraId="4B320D8B">
            <w:pPr>
              <w:pStyle w:val="2"/>
              <w:spacing w:line="240" w:lineRule="exact"/>
              <w:rPr>
                <w:rStyle w:val="21"/>
                <w:rFonts w:hint="eastAsia" w:ascii="宋体" w:hAnsi="宋体" w:eastAsia="宋体" w:cs="宋体"/>
                <w:b w:val="0"/>
                <w:bCs w:val="0"/>
                <w:sz w:val="18"/>
                <w:szCs w:val="18"/>
                <w:lang w:val="en-US" w:eastAsia="zh-CN" w:bidi="ar"/>
              </w:rPr>
            </w:pPr>
            <w:r>
              <w:rPr>
                <w:rStyle w:val="21"/>
                <w:rFonts w:hint="eastAsia" w:ascii="宋体" w:hAnsi="宋体" w:eastAsia="宋体" w:cs="宋体"/>
                <w:b w:val="0"/>
                <w:bCs w:val="0"/>
                <w:sz w:val="18"/>
                <w:szCs w:val="18"/>
                <w:lang w:val="en-US" w:eastAsia="zh-CN" w:bidi="ar"/>
              </w:rPr>
              <w:t>2.立即停止违法行为，未造成危害后果，签署承诺书保证不再违反同类规定；</w:t>
            </w:r>
          </w:p>
          <w:p w14:paraId="01F4BEAA">
            <w:pPr>
              <w:pStyle w:val="2"/>
              <w:spacing w:line="240" w:lineRule="exact"/>
              <w:rPr>
                <w:rStyle w:val="21"/>
                <w:rFonts w:hint="eastAsia" w:ascii="宋体" w:hAnsi="宋体" w:eastAsia="宋体" w:cs="宋体"/>
                <w:b w:val="0"/>
                <w:bCs w:val="0"/>
                <w:sz w:val="18"/>
                <w:szCs w:val="18"/>
                <w:lang w:val="en-US" w:eastAsia="zh-CN" w:bidi="ar"/>
              </w:rPr>
            </w:pPr>
            <w:r>
              <w:rPr>
                <w:rStyle w:val="21"/>
                <w:rFonts w:hint="eastAsia" w:ascii="宋体" w:hAnsi="宋体" w:eastAsia="宋体" w:cs="宋体"/>
                <w:b w:val="0"/>
                <w:bCs w:val="0"/>
                <w:sz w:val="18"/>
                <w:szCs w:val="18"/>
                <w:lang w:val="en-US" w:eastAsia="zh-CN" w:bidi="ar"/>
              </w:rPr>
              <w:t>3.1个月内采取补救措施；</w:t>
            </w:r>
          </w:p>
          <w:p w14:paraId="60B505B7">
            <w:pPr>
              <w:pStyle w:val="2"/>
              <w:spacing w:line="240" w:lineRule="exact"/>
              <w:rPr>
                <w:rStyle w:val="21"/>
                <w:rFonts w:hint="eastAsia" w:ascii="宋体" w:hAnsi="宋体" w:eastAsia="宋体" w:cs="宋体"/>
                <w:b w:val="0"/>
                <w:bCs w:val="0"/>
                <w:sz w:val="18"/>
                <w:szCs w:val="18"/>
                <w:lang w:val="en-US" w:eastAsia="zh-CN" w:bidi="ar"/>
              </w:rPr>
            </w:pPr>
            <w:r>
              <w:rPr>
                <w:rStyle w:val="21"/>
                <w:rFonts w:hint="eastAsia" w:ascii="宋体" w:hAnsi="宋体" w:eastAsia="宋体" w:cs="宋体"/>
                <w:b w:val="0"/>
                <w:bCs w:val="0"/>
                <w:sz w:val="18"/>
                <w:szCs w:val="18"/>
                <w:lang w:val="en-US" w:eastAsia="zh-CN" w:bidi="ar"/>
              </w:rPr>
              <w:t>（注：符合上述所有情形的，不予处罚，应将本次违法情况进行登记备案，以后再发生类似问题的将不再适用本条件）</w:t>
            </w:r>
          </w:p>
        </w:tc>
        <w:tc>
          <w:tcPr>
            <w:tcW w:w="1628"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F1BDB09">
            <w:pPr>
              <w:spacing w:line="240" w:lineRule="exact"/>
              <w:rPr>
                <w:rStyle w:val="21"/>
                <w:rFonts w:hint="eastAsia" w:ascii="宋体" w:hAnsi="宋体" w:eastAsia="宋体" w:cs="宋体"/>
                <w:b w:val="0"/>
                <w:bCs w:val="0"/>
                <w:color w:val="auto"/>
                <w:sz w:val="18"/>
                <w:szCs w:val="18"/>
                <w:lang w:val="en-US" w:eastAsia="zh-CN" w:bidi="ar"/>
              </w:rPr>
            </w:pPr>
            <w:r>
              <w:rPr>
                <w:rStyle w:val="21"/>
                <w:rFonts w:hint="eastAsia" w:ascii="宋体" w:hAnsi="宋体" w:eastAsia="宋体" w:cs="宋体"/>
                <w:b w:val="0"/>
                <w:bCs w:val="0"/>
                <w:color w:val="auto"/>
                <w:sz w:val="18"/>
                <w:szCs w:val="18"/>
                <w:lang w:val="en-US" w:eastAsia="zh-CN" w:bidi="ar"/>
              </w:rPr>
              <w:t>不予处罚</w:t>
            </w:r>
          </w:p>
        </w:tc>
        <w:tc>
          <w:tcPr>
            <w:tcW w:w="739" w:type="dxa"/>
            <w:vMerge w:val="restart"/>
            <w:tcBorders>
              <w:top w:val="single" w:color="auto" w:sz="4" w:space="0"/>
              <w:left w:val="single" w:color="auto" w:sz="4" w:space="0"/>
              <w:right w:val="single" w:color="auto" w:sz="4" w:space="0"/>
            </w:tcBorders>
            <w:noWrap w:val="0"/>
            <w:tcMar>
              <w:top w:w="0" w:type="dxa"/>
              <w:left w:w="0" w:type="dxa"/>
              <w:bottom w:w="0" w:type="dxa"/>
              <w:right w:w="0" w:type="dxa"/>
            </w:tcMar>
            <w:vAlign w:val="center"/>
          </w:tcPr>
          <w:p w14:paraId="7CF05434">
            <w:pPr>
              <w:spacing w:line="240" w:lineRule="exact"/>
              <w:jc w:val="center"/>
              <w:rPr>
                <w:rStyle w:val="21"/>
                <w:rFonts w:hint="eastAsia" w:ascii="宋体" w:hAnsi="宋体" w:eastAsia="宋体" w:cs="宋体"/>
                <w:b w:val="0"/>
                <w:bCs w:val="0"/>
                <w:color w:val="auto"/>
                <w:sz w:val="18"/>
                <w:szCs w:val="18"/>
                <w:lang w:bidi="ar"/>
              </w:rPr>
            </w:pPr>
          </w:p>
        </w:tc>
      </w:tr>
      <w:tr w14:paraId="6A1133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atLeast"/>
          <w:jc w:val="center"/>
        </w:trPr>
        <w:tc>
          <w:tcPr>
            <w:tcW w:w="474" w:type="dxa"/>
            <w:vMerge w:val="continue"/>
            <w:tcBorders>
              <w:left w:val="single" w:color="auto" w:sz="4" w:space="0"/>
              <w:right w:val="single" w:color="auto" w:sz="4" w:space="0"/>
            </w:tcBorders>
            <w:noWrap w:val="0"/>
            <w:tcMar>
              <w:top w:w="0" w:type="dxa"/>
              <w:left w:w="0" w:type="dxa"/>
              <w:bottom w:w="0" w:type="dxa"/>
              <w:right w:w="0" w:type="dxa"/>
            </w:tcMar>
            <w:vAlign w:val="center"/>
          </w:tcPr>
          <w:p w14:paraId="3D099843">
            <w:pPr>
              <w:spacing w:line="240" w:lineRule="exact"/>
              <w:jc w:val="center"/>
              <w:rPr>
                <w:rFonts w:hint="eastAsia" w:ascii="宋体" w:hAnsi="宋体" w:eastAsia="宋体" w:cs="宋体"/>
                <w:b w:val="0"/>
                <w:bCs w:val="0"/>
                <w:sz w:val="18"/>
                <w:szCs w:val="18"/>
              </w:rPr>
            </w:pPr>
          </w:p>
        </w:tc>
        <w:tc>
          <w:tcPr>
            <w:tcW w:w="1236" w:type="dxa"/>
            <w:vMerge w:val="continue"/>
            <w:tcBorders>
              <w:left w:val="single" w:color="auto" w:sz="4" w:space="0"/>
              <w:right w:val="single" w:color="auto" w:sz="4" w:space="0"/>
            </w:tcBorders>
            <w:noWrap w:val="0"/>
            <w:tcMar>
              <w:top w:w="0" w:type="dxa"/>
              <w:left w:w="0" w:type="dxa"/>
              <w:bottom w:w="0" w:type="dxa"/>
              <w:right w:w="0" w:type="dxa"/>
            </w:tcMar>
            <w:vAlign w:val="center"/>
          </w:tcPr>
          <w:p w14:paraId="09FB96FF">
            <w:pPr>
              <w:widowControl/>
              <w:spacing w:line="240" w:lineRule="exact"/>
              <w:textAlignment w:val="center"/>
              <w:rPr>
                <w:rFonts w:hint="eastAsia" w:ascii="宋体" w:hAnsi="宋体" w:eastAsia="宋体" w:cs="宋体"/>
                <w:b w:val="0"/>
                <w:bCs w:val="0"/>
                <w:kern w:val="0"/>
                <w:sz w:val="18"/>
                <w:szCs w:val="18"/>
                <w:lang w:bidi="ar"/>
              </w:rPr>
            </w:pPr>
          </w:p>
        </w:tc>
        <w:tc>
          <w:tcPr>
            <w:tcW w:w="6027" w:type="dxa"/>
            <w:vMerge w:val="continue"/>
            <w:tcBorders>
              <w:left w:val="single" w:color="auto" w:sz="4" w:space="0"/>
              <w:right w:val="single" w:color="auto" w:sz="4" w:space="0"/>
            </w:tcBorders>
            <w:noWrap w:val="0"/>
            <w:tcMar>
              <w:top w:w="0" w:type="dxa"/>
              <w:left w:w="0" w:type="dxa"/>
              <w:bottom w:w="0" w:type="dxa"/>
              <w:right w:w="0" w:type="dxa"/>
            </w:tcMar>
            <w:vAlign w:val="center"/>
          </w:tcPr>
          <w:p w14:paraId="4DC8E3A7">
            <w:pPr>
              <w:widowControl/>
              <w:spacing w:line="240" w:lineRule="exact"/>
              <w:ind w:firstLine="360" w:firstLineChars="200"/>
              <w:textAlignment w:val="center"/>
              <w:rPr>
                <w:rFonts w:hint="eastAsia" w:ascii="宋体" w:hAnsi="宋体" w:eastAsia="宋体" w:cs="宋体"/>
                <w:b w:val="0"/>
                <w:bCs w:val="0"/>
                <w:kern w:val="0"/>
                <w:sz w:val="18"/>
                <w:szCs w:val="18"/>
                <w:lang w:bidi="ar"/>
              </w:rPr>
            </w:pPr>
          </w:p>
        </w:tc>
        <w:tc>
          <w:tcPr>
            <w:tcW w:w="1849" w:type="dxa"/>
            <w:vMerge w:val="continue"/>
            <w:tcBorders>
              <w:left w:val="single" w:color="auto" w:sz="4" w:space="0"/>
              <w:right w:val="single" w:color="auto" w:sz="4" w:space="0"/>
            </w:tcBorders>
            <w:noWrap w:val="0"/>
            <w:tcMar>
              <w:top w:w="0" w:type="dxa"/>
              <w:left w:w="0" w:type="dxa"/>
              <w:bottom w:w="0" w:type="dxa"/>
              <w:right w:w="0" w:type="dxa"/>
            </w:tcMar>
            <w:vAlign w:val="center"/>
          </w:tcPr>
          <w:p w14:paraId="0562E731">
            <w:pPr>
              <w:spacing w:line="240" w:lineRule="exact"/>
              <w:jc w:val="both"/>
              <w:rPr>
                <w:rFonts w:hint="eastAsia" w:ascii="宋体" w:hAnsi="宋体" w:eastAsia="宋体" w:cs="宋体"/>
                <w:b w:val="0"/>
                <w:bCs w:val="0"/>
                <w:sz w:val="18"/>
                <w:szCs w:val="18"/>
              </w:rPr>
            </w:pPr>
          </w:p>
        </w:tc>
        <w:tc>
          <w:tcPr>
            <w:tcW w:w="51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4EA203C">
            <w:pPr>
              <w:spacing w:line="240" w:lineRule="exact"/>
              <w:jc w:val="center"/>
              <w:rPr>
                <w:rFonts w:hint="eastAsia" w:ascii="宋体" w:hAnsi="宋体" w:eastAsia="宋体" w:cs="宋体"/>
                <w:b w:val="0"/>
                <w:bCs w:val="0"/>
                <w:sz w:val="18"/>
                <w:szCs w:val="18"/>
              </w:rPr>
            </w:pPr>
            <w:r>
              <w:rPr>
                <w:rFonts w:hint="eastAsia" w:ascii="宋体" w:hAnsi="宋体" w:eastAsia="宋体" w:cs="宋体"/>
                <w:b w:val="0"/>
                <w:bCs w:val="0"/>
                <w:sz w:val="18"/>
                <w:szCs w:val="18"/>
              </w:rPr>
              <w:t>较轻</w:t>
            </w:r>
          </w:p>
        </w:tc>
        <w:tc>
          <w:tcPr>
            <w:tcW w:w="242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F1FB1BF">
            <w:pPr>
              <w:pStyle w:val="2"/>
              <w:spacing w:line="240" w:lineRule="exact"/>
              <w:rPr>
                <w:rStyle w:val="21"/>
                <w:rFonts w:hint="eastAsia" w:ascii="宋体" w:hAnsi="宋体" w:eastAsia="宋体" w:cs="宋体"/>
                <w:b w:val="0"/>
                <w:bCs w:val="0"/>
                <w:sz w:val="18"/>
                <w:szCs w:val="18"/>
                <w:lang w:val="en-US" w:eastAsia="zh-CN" w:bidi="ar"/>
              </w:rPr>
            </w:pPr>
            <w:r>
              <w:rPr>
                <w:rStyle w:val="21"/>
                <w:rFonts w:hint="eastAsia" w:ascii="宋体" w:hAnsi="宋体" w:eastAsia="宋体" w:cs="宋体"/>
                <w:b w:val="0"/>
                <w:bCs w:val="0"/>
                <w:sz w:val="18"/>
                <w:szCs w:val="18"/>
                <w:lang w:val="en-US" w:eastAsia="zh-CN" w:bidi="ar"/>
              </w:rPr>
              <w:t>阻碍行洪的物体总体积小于5立方米，或种植面积在100平方米以下的</w:t>
            </w:r>
          </w:p>
        </w:tc>
        <w:tc>
          <w:tcPr>
            <w:tcW w:w="1628"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1667828">
            <w:pPr>
              <w:spacing w:line="240" w:lineRule="exact"/>
              <w:rPr>
                <w:rFonts w:hint="eastAsia" w:ascii="宋体" w:hAnsi="宋体" w:eastAsia="宋体" w:cs="宋体"/>
                <w:b w:val="0"/>
                <w:bCs w:val="0"/>
                <w:sz w:val="18"/>
                <w:szCs w:val="18"/>
                <w:lang w:bidi="ar"/>
              </w:rPr>
            </w:pPr>
            <w:r>
              <w:rPr>
                <w:rStyle w:val="21"/>
                <w:rFonts w:hint="eastAsia" w:ascii="宋体" w:hAnsi="宋体" w:eastAsia="宋体" w:cs="宋体"/>
                <w:b w:val="0"/>
                <w:bCs w:val="0"/>
                <w:color w:val="auto"/>
                <w:sz w:val="18"/>
                <w:szCs w:val="18"/>
                <w:lang w:bidi="ar"/>
              </w:rPr>
              <w:t>处</w:t>
            </w:r>
            <w:r>
              <w:rPr>
                <w:rStyle w:val="21"/>
                <w:rFonts w:hint="eastAsia" w:ascii="宋体" w:hAnsi="宋体" w:eastAsia="宋体" w:cs="宋体"/>
                <w:b w:val="0"/>
                <w:bCs w:val="0"/>
                <w:color w:val="auto"/>
                <w:sz w:val="18"/>
                <w:szCs w:val="18"/>
                <w:lang w:val="en-US" w:eastAsia="zh-CN" w:bidi="ar"/>
              </w:rPr>
              <w:t>1</w:t>
            </w:r>
            <w:r>
              <w:rPr>
                <w:rStyle w:val="21"/>
                <w:rFonts w:hint="eastAsia" w:ascii="宋体" w:hAnsi="宋体" w:eastAsia="宋体" w:cs="宋体"/>
                <w:b w:val="0"/>
                <w:bCs w:val="0"/>
                <w:color w:val="auto"/>
                <w:sz w:val="18"/>
                <w:szCs w:val="18"/>
                <w:lang w:bidi="ar"/>
              </w:rPr>
              <w:t>万元罚款</w:t>
            </w:r>
          </w:p>
        </w:tc>
        <w:tc>
          <w:tcPr>
            <w:tcW w:w="739" w:type="dxa"/>
            <w:vMerge w:val="continue"/>
            <w:tcBorders>
              <w:left w:val="single" w:color="auto" w:sz="4" w:space="0"/>
              <w:right w:val="single" w:color="auto" w:sz="4" w:space="0"/>
            </w:tcBorders>
            <w:noWrap w:val="0"/>
            <w:tcMar>
              <w:top w:w="0" w:type="dxa"/>
              <w:left w:w="0" w:type="dxa"/>
              <w:bottom w:w="0" w:type="dxa"/>
              <w:right w:w="0" w:type="dxa"/>
            </w:tcMar>
            <w:vAlign w:val="center"/>
          </w:tcPr>
          <w:p w14:paraId="04F494F3">
            <w:pPr>
              <w:spacing w:line="240" w:lineRule="exact"/>
              <w:jc w:val="center"/>
              <w:rPr>
                <w:rStyle w:val="21"/>
                <w:rFonts w:hint="eastAsia" w:ascii="宋体" w:hAnsi="宋体" w:eastAsia="宋体" w:cs="宋体"/>
                <w:b w:val="0"/>
                <w:bCs w:val="0"/>
                <w:color w:val="auto"/>
                <w:sz w:val="18"/>
                <w:szCs w:val="18"/>
                <w:lang w:bidi="ar"/>
              </w:rPr>
            </w:pPr>
          </w:p>
        </w:tc>
      </w:tr>
      <w:tr w14:paraId="0C897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8" w:hRule="atLeast"/>
          <w:jc w:val="center"/>
        </w:trPr>
        <w:tc>
          <w:tcPr>
            <w:tcW w:w="474" w:type="dxa"/>
            <w:vMerge w:val="continue"/>
            <w:tcBorders>
              <w:left w:val="single" w:color="auto" w:sz="4" w:space="0"/>
              <w:right w:val="single" w:color="auto" w:sz="4" w:space="0"/>
            </w:tcBorders>
            <w:noWrap w:val="0"/>
            <w:tcMar>
              <w:top w:w="0" w:type="dxa"/>
              <w:left w:w="0" w:type="dxa"/>
              <w:bottom w:w="0" w:type="dxa"/>
              <w:right w:w="0" w:type="dxa"/>
            </w:tcMar>
            <w:vAlign w:val="center"/>
          </w:tcPr>
          <w:p w14:paraId="1A475429">
            <w:pPr>
              <w:spacing w:line="240" w:lineRule="exact"/>
              <w:jc w:val="center"/>
              <w:rPr>
                <w:rFonts w:hint="eastAsia" w:ascii="宋体" w:hAnsi="宋体" w:eastAsia="宋体" w:cs="宋体"/>
                <w:b w:val="0"/>
                <w:bCs w:val="0"/>
                <w:sz w:val="18"/>
                <w:szCs w:val="18"/>
              </w:rPr>
            </w:pPr>
          </w:p>
        </w:tc>
        <w:tc>
          <w:tcPr>
            <w:tcW w:w="1236" w:type="dxa"/>
            <w:vMerge w:val="continue"/>
            <w:tcBorders>
              <w:left w:val="single" w:color="auto" w:sz="4" w:space="0"/>
              <w:right w:val="single" w:color="auto" w:sz="4" w:space="0"/>
            </w:tcBorders>
            <w:noWrap w:val="0"/>
            <w:tcMar>
              <w:top w:w="0" w:type="dxa"/>
              <w:left w:w="0" w:type="dxa"/>
              <w:bottom w:w="0" w:type="dxa"/>
              <w:right w:w="0" w:type="dxa"/>
            </w:tcMar>
            <w:vAlign w:val="center"/>
          </w:tcPr>
          <w:p w14:paraId="607D2A22">
            <w:pPr>
              <w:widowControl/>
              <w:spacing w:line="240" w:lineRule="exact"/>
              <w:textAlignment w:val="center"/>
              <w:rPr>
                <w:rFonts w:hint="eastAsia" w:ascii="宋体" w:hAnsi="宋体" w:eastAsia="宋体" w:cs="宋体"/>
                <w:b w:val="0"/>
                <w:bCs w:val="0"/>
                <w:kern w:val="0"/>
                <w:sz w:val="18"/>
                <w:szCs w:val="18"/>
                <w:lang w:bidi="ar"/>
              </w:rPr>
            </w:pPr>
          </w:p>
        </w:tc>
        <w:tc>
          <w:tcPr>
            <w:tcW w:w="6027" w:type="dxa"/>
            <w:vMerge w:val="continue"/>
            <w:tcBorders>
              <w:left w:val="single" w:color="auto" w:sz="4" w:space="0"/>
              <w:right w:val="single" w:color="auto" w:sz="4" w:space="0"/>
            </w:tcBorders>
            <w:noWrap w:val="0"/>
            <w:tcMar>
              <w:top w:w="0" w:type="dxa"/>
              <w:left w:w="0" w:type="dxa"/>
              <w:bottom w:w="0" w:type="dxa"/>
              <w:right w:w="0" w:type="dxa"/>
            </w:tcMar>
            <w:vAlign w:val="center"/>
          </w:tcPr>
          <w:p w14:paraId="409C46AB">
            <w:pPr>
              <w:widowControl/>
              <w:spacing w:line="240" w:lineRule="exact"/>
              <w:ind w:firstLine="360" w:firstLineChars="200"/>
              <w:textAlignment w:val="center"/>
              <w:rPr>
                <w:rFonts w:hint="eastAsia" w:ascii="宋体" w:hAnsi="宋体" w:eastAsia="宋体" w:cs="宋体"/>
                <w:b w:val="0"/>
                <w:bCs w:val="0"/>
                <w:kern w:val="0"/>
                <w:sz w:val="18"/>
                <w:szCs w:val="18"/>
                <w:lang w:bidi="ar"/>
              </w:rPr>
            </w:pPr>
          </w:p>
        </w:tc>
        <w:tc>
          <w:tcPr>
            <w:tcW w:w="1849" w:type="dxa"/>
            <w:vMerge w:val="continue"/>
            <w:tcBorders>
              <w:left w:val="single" w:color="auto" w:sz="4" w:space="0"/>
              <w:right w:val="single" w:color="auto" w:sz="4" w:space="0"/>
            </w:tcBorders>
            <w:noWrap w:val="0"/>
            <w:tcMar>
              <w:top w:w="0" w:type="dxa"/>
              <w:left w:w="0" w:type="dxa"/>
              <w:bottom w:w="0" w:type="dxa"/>
              <w:right w:w="0" w:type="dxa"/>
            </w:tcMar>
            <w:vAlign w:val="center"/>
          </w:tcPr>
          <w:p w14:paraId="1721D2ED">
            <w:pPr>
              <w:spacing w:line="240" w:lineRule="exact"/>
              <w:jc w:val="both"/>
              <w:rPr>
                <w:rFonts w:hint="eastAsia" w:ascii="宋体" w:hAnsi="宋体" w:eastAsia="宋体" w:cs="宋体"/>
                <w:b w:val="0"/>
                <w:bCs w:val="0"/>
                <w:sz w:val="18"/>
                <w:szCs w:val="18"/>
              </w:rPr>
            </w:pPr>
          </w:p>
        </w:tc>
        <w:tc>
          <w:tcPr>
            <w:tcW w:w="51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894CD4A">
            <w:pPr>
              <w:spacing w:line="240" w:lineRule="exact"/>
              <w:jc w:val="center"/>
              <w:rPr>
                <w:rFonts w:hint="eastAsia" w:ascii="宋体" w:hAnsi="宋体" w:eastAsia="宋体" w:cs="宋体"/>
                <w:b w:val="0"/>
                <w:bCs w:val="0"/>
                <w:sz w:val="18"/>
                <w:szCs w:val="18"/>
              </w:rPr>
            </w:pPr>
            <w:r>
              <w:rPr>
                <w:rFonts w:hint="eastAsia" w:ascii="宋体" w:hAnsi="宋体" w:eastAsia="宋体" w:cs="宋体"/>
                <w:b w:val="0"/>
                <w:bCs w:val="0"/>
                <w:sz w:val="18"/>
                <w:szCs w:val="18"/>
              </w:rPr>
              <w:t>一般</w:t>
            </w:r>
          </w:p>
        </w:tc>
        <w:tc>
          <w:tcPr>
            <w:tcW w:w="242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A0DC03E">
            <w:pPr>
              <w:pStyle w:val="2"/>
              <w:spacing w:line="240" w:lineRule="exact"/>
              <w:rPr>
                <w:rStyle w:val="21"/>
                <w:rFonts w:hint="eastAsia" w:ascii="宋体" w:hAnsi="宋体" w:eastAsia="宋体" w:cs="宋体"/>
                <w:b w:val="0"/>
                <w:bCs w:val="0"/>
                <w:sz w:val="18"/>
                <w:szCs w:val="18"/>
                <w:lang w:val="en-US" w:eastAsia="zh-CN" w:bidi="ar"/>
              </w:rPr>
            </w:pPr>
            <w:r>
              <w:rPr>
                <w:rStyle w:val="21"/>
                <w:rFonts w:hint="eastAsia" w:ascii="宋体" w:hAnsi="宋体" w:eastAsia="宋体" w:cs="宋体"/>
                <w:b w:val="0"/>
                <w:bCs w:val="0"/>
                <w:sz w:val="18"/>
                <w:szCs w:val="18"/>
                <w:lang w:val="en-US" w:eastAsia="zh-CN" w:bidi="ar"/>
              </w:rPr>
              <w:t>阻碍行洪的物体总体积大于5立方米小于30立方米，或种植面积在100平方米以上300平方米以下的</w:t>
            </w:r>
          </w:p>
        </w:tc>
        <w:tc>
          <w:tcPr>
            <w:tcW w:w="1628"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7E04B03">
            <w:pPr>
              <w:spacing w:line="240" w:lineRule="exact"/>
              <w:rPr>
                <w:rFonts w:hint="eastAsia" w:ascii="宋体" w:hAnsi="宋体" w:eastAsia="宋体" w:cs="宋体"/>
                <w:b w:val="0"/>
                <w:bCs w:val="0"/>
                <w:sz w:val="18"/>
                <w:szCs w:val="18"/>
                <w:lang w:bidi="ar"/>
              </w:rPr>
            </w:pPr>
            <w:r>
              <w:rPr>
                <w:rStyle w:val="21"/>
                <w:rFonts w:hint="eastAsia" w:ascii="宋体" w:hAnsi="宋体" w:eastAsia="宋体" w:cs="宋体"/>
                <w:b w:val="0"/>
                <w:bCs w:val="0"/>
                <w:color w:val="auto"/>
                <w:sz w:val="18"/>
                <w:szCs w:val="18"/>
                <w:lang w:bidi="ar"/>
              </w:rPr>
              <w:t>处</w:t>
            </w:r>
            <w:r>
              <w:rPr>
                <w:rStyle w:val="21"/>
                <w:rFonts w:hint="eastAsia" w:ascii="宋体" w:hAnsi="宋体" w:eastAsia="宋体" w:cs="宋体"/>
                <w:b w:val="0"/>
                <w:bCs w:val="0"/>
                <w:color w:val="auto"/>
                <w:sz w:val="18"/>
                <w:szCs w:val="18"/>
                <w:lang w:val="en-US" w:eastAsia="zh-CN" w:bidi="ar"/>
              </w:rPr>
              <w:t>1</w:t>
            </w:r>
            <w:r>
              <w:rPr>
                <w:rStyle w:val="21"/>
                <w:rFonts w:hint="eastAsia" w:ascii="宋体" w:hAnsi="宋体" w:eastAsia="宋体" w:cs="宋体"/>
                <w:b w:val="0"/>
                <w:bCs w:val="0"/>
                <w:color w:val="auto"/>
                <w:sz w:val="18"/>
                <w:szCs w:val="18"/>
                <w:lang w:bidi="ar"/>
              </w:rPr>
              <w:t>万元以上</w:t>
            </w:r>
            <w:r>
              <w:rPr>
                <w:rStyle w:val="21"/>
                <w:rFonts w:hint="eastAsia" w:ascii="宋体" w:hAnsi="宋体" w:eastAsia="宋体" w:cs="宋体"/>
                <w:b w:val="0"/>
                <w:bCs w:val="0"/>
                <w:color w:val="auto"/>
                <w:sz w:val="18"/>
                <w:szCs w:val="18"/>
                <w:lang w:val="en-US" w:eastAsia="zh-CN" w:bidi="ar"/>
              </w:rPr>
              <w:t>3</w:t>
            </w:r>
            <w:r>
              <w:rPr>
                <w:rStyle w:val="21"/>
                <w:rFonts w:hint="eastAsia" w:ascii="宋体" w:hAnsi="宋体" w:eastAsia="宋体" w:cs="宋体"/>
                <w:b w:val="0"/>
                <w:bCs w:val="0"/>
                <w:color w:val="auto"/>
                <w:sz w:val="18"/>
                <w:szCs w:val="18"/>
                <w:lang w:bidi="ar"/>
              </w:rPr>
              <w:t>万元以下罚款</w:t>
            </w:r>
          </w:p>
        </w:tc>
        <w:tc>
          <w:tcPr>
            <w:tcW w:w="739" w:type="dxa"/>
            <w:vMerge w:val="continue"/>
            <w:tcBorders>
              <w:left w:val="single" w:color="auto" w:sz="4" w:space="0"/>
              <w:right w:val="single" w:color="auto" w:sz="4" w:space="0"/>
            </w:tcBorders>
            <w:noWrap w:val="0"/>
            <w:tcMar>
              <w:top w:w="0" w:type="dxa"/>
              <w:left w:w="0" w:type="dxa"/>
              <w:bottom w:w="0" w:type="dxa"/>
              <w:right w:w="0" w:type="dxa"/>
            </w:tcMar>
            <w:vAlign w:val="center"/>
          </w:tcPr>
          <w:p w14:paraId="7541AE04">
            <w:pPr>
              <w:spacing w:line="240" w:lineRule="exact"/>
              <w:jc w:val="center"/>
              <w:rPr>
                <w:rStyle w:val="21"/>
                <w:rFonts w:hint="eastAsia" w:ascii="宋体" w:hAnsi="宋体" w:eastAsia="宋体" w:cs="宋体"/>
                <w:b w:val="0"/>
                <w:bCs w:val="0"/>
                <w:color w:val="auto"/>
                <w:sz w:val="18"/>
                <w:szCs w:val="18"/>
                <w:lang w:bidi="ar"/>
              </w:rPr>
            </w:pPr>
          </w:p>
        </w:tc>
      </w:tr>
      <w:tr w14:paraId="454F21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jc w:val="center"/>
        </w:trPr>
        <w:tc>
          <w:tcPr>
            <w:tcW w:w="474" w:type="dxa"/>
            <w:vMerge w:val="continue"/>
            <w:tcBorders>
              <w:left w:val="single" w:color="auto" w:sz="4" w:space="0"/>
              <w:right w:val="single" w:color="auto" w:sz="4" w:space="0"/>
            </w:tcBorders>
            <w:noWrap w:val="0"/>
            <w:tcMar>
              <w:top w:w="0" w:type="dxa"/>
              <w:left w:w="0" w:type="dxa"/>
              <w:bottom w:w="0" w:type="dxa"/>
              <w:right w:w="0" w:type="dxa"/>
            </w:tcMar>
            <w:vAlign w:val="center"/>
          </w:tcPr>
          <w:p w14:paraId="3B37D97F">
            <w:pPr>
              <w:spacing w:line="240" w:lineRule="exact"/>
              <w:jc w:val="center"/>
              <w:rPr>
                <w:rFonts w:hint="eastAsia" w:ascii="宋体" w:hAnsi="宋体" w:eastAsia="宋体" w:cs="宋体"/>
                <w:b w:val="0"/>
                <w:bCs w:val="0"/>
                <w:sz w:val="18"/>
                <w:szCs w:val="18"/>
              </w:rPr>
            </w:pPr>
          </w:p>
        </w:tc>
        <w:tc>
          <w:tcPr>
            <w:tcW w:w="1236" w:type="dxa"/>
            <w:vMerge w:val="continue"/>
            <w:tcBorders>
              <w:left w:val="single" w:color="auto" w:sz="4" w:space="0"/>
              <w:right w:val="single" w:color="auto" w:sz="4" w:space="0"/>
            </w:tcBorders>
            <w:noWrap w:val="0"/>
            <w:tcMar>
              <w:top w:w="0" w:type="dxa"/>
              <w:left w:w="0" w:type="dxa"/>
              <w:bottom w:w="0" w:type="dxa"/>
              <w:right w:w="0" w:type="dxa"/>
            </w:tcMar>
            <w:vAlign w:val="center"/>
          </w:tcPr>
          <w:p w14:paraId="56A2C1E5">
            <w:pPr>
              <w:widowControl/>
              <w:spacing w:line="240" w:lineRule="exact"/>
              <w:textAlignment w:val="center"/>
              <w:rPr>
                <w:rFonts w:hint="eastAsia" w:ascii="宋体" w:hAnsi="宋体" w:eastAsia="宋体" w:cs="宋体"/>
                <w:b w:val="0"/>
                <w:bCs w:val="0"/>
                <w:kern w:val="0"/>
                <w:sz w:val="18"/>
                <w:szCs w:val="18"/>
                <w:lang w:bidi="ar"/>
              </w:rPr>
            </w:pPr>
          </w:p>
        </w:tc>
        <w:tc>
          <w:tcPr>
            <w:tcW w:w="6027" w:type="dxa"/>
            <w:vMerge w:val="continue"/>
            <w:tcBorders>
              <w:left w:val="single" w:color="auto" w:sz="4" w:space="0"/>
              <w:right w:val="single" w:color="auto" w:sz="4" w:space="0"/>
            </w:tcBorders>
            <w:noWrap w:val="0"/>
            <w:tcMar>
              <w:top w:w="0" w:type="dxa"/>
              <w:left w:w="0" w:type="dxa"/>
              <w:bottom w:w="0" w:type="dxa"/>
              <w:right w:w="0" w:type="dxa"/>
            </w:tcMar>
            <w:vAlign w:val="center"/>
          </w:tcPr>
          <w:p w14:paraId="546F2A17">
            <w:pPr>
              <w:widowControl/>
              <w:spacing w:line="240" w:lineRule="exact"/>
              <w:ind w:firstLine="360" w:firstLineChars="200"/>
              <w:textAlignment w:val="center"/>
              <w:rPr>
                <w:rFonts w:hint="eastAsia" w:ascii="宋体" w:hAnsi="宋体" w:eastAsia="宋体" w:cs="宋体"/>
                <w:b w:val="0"/>
                <w:bCs w:val="0"/>
                <w:kern w:val="0"/>
                <w:sz w:val="18"/>
                <w:szCs w:val="18"/>
                <w:lang w:bidi="ar"/>
              </w:rPr>
            </w:pPr>
          </w:p>
        </w:tc>
        <w:tc>
          <w:tcPr>
            <w:tcW w:w="1849" w:type="dxa"/>
            <w:vMerge w:val="continue"/>
            <w:tcBorders>
              <w:left w:val="single" w:color="auto" w:sz="4" w:space="0"/>
              <w:right w:val="single" w:color="auto" w:sz="4" w:space="0"/>
            </w:tcBorders>
            <w:noWrap w:val="0"/>
            <w:tcMar>
              <w:top w:w="0" w:type="dxa"/>
              <w:left w:w="0" w:type="dxa"/>
              <w:bottom w:w="0" w:type="dxa"/>
              <w:right w:w="0" w:type="dxa"/>
            </w:tcMar>
            <w:vAlign w:val="center"/>
          </w:tcPr>
          <w:p w14:paraId="564CF39F">
            <w:pPr>
              <w:spacing w:line="240" w:lineRule="exact"/>
              <w:jc w:val="both"/>
              <w:rPr>
                <w:rFonts w:hint="eastAsia" w:ascii="宋体" w:hAnsi="宋体" w:eastAsia="宋体" w:cs="宋体"/>
                <w:b w:val="0"/>
                <w:bCs w:val="0"/>
                <w:sz w:val="18"/>
                <w:szCs w:val="18"/>
              </w:rPr>
            </w:pPr>
          </w:p>
        </w:tc>
        <w:tc>
          <w:tcPr>
            <w:tcW w:w="51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5B5AC82">
            <w:pPr>
              <w:spacing w:line="240" w:lineRule="exact"/>
              <w:jc w:val="center"/>
              <w:rPr>
                <w:rFonts w:hint="eastAsia" w:ascii="宋体" w:hAnsi="宋体" w:eastAsia="宋体" w:cs="宋体"/>
                <w:b w:val="0"/>
                <w:bCs w:val="0"/>
                <w:sz w:val="18"/>
                <w:szCs w:val="18"/>
                <w:lang w:eastAsia="zh-CN"/>
              </w:rPr>
            </w:pPr>
            <w:r>
              <w:rPr>
                <w:rFonts w:hint="eastAsia" w:ascii="宋体" w:hAnsi="宋体" w:eastAsia="宋体" w:cs="宋体"/>
                <w:b w:val="0"/>
                <w:bCs w:val="0"/>
                <w:sz w:val="18"/>
                <w:szCs w:val="18"/>
                <w:lang w:eastAsia="zh-CN"/>
              </w:rPr>
              <w:t>较重</w:t>
            </w:r>
          </w:p>
        </w:tc>
        <w:tc>
          <w:tcPr>
            <w:tcW w:w="242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0E8D967">
            <w:pPr>
              <w:pStyle w:val="2"/>
              <w:spacing w:line="240" w:lineRule="exact"/>
              <w:rPr>
                <w:rStyle w:val="21"/>
                <w:rFonts w:hint="eastAsia" w:ascii="宋体" w:hAnsi="宋体" w:eastAsia="宋体" w:cs="宋体"/>
                <w:b w:val="0"/>
                <w:bCs w:val="0"/>
                <w:sz w:val="18"/>
                <w:szCs w:val="18"/>
                <w:lang w:val="en-US" w:eastAsia="zh-CN" w:bidi="ar"/>
              </w:rPr>
            </w:pPr>
            <w:r>
              <w:rPr>
                <w:rStyle w:val="21"/>
                <w:rFonts w:hint="eastAsia" w:ascii="宋体" w:hAnsi="宋体" w:eastAsia="宋体" w:cs="宋体"/>
                <w:b w:val="0"/>
                <w:bCs w:val="0"/>
                <w:sz w:val="18"/>
                <w:szCs w:val="18"/>
                <w:lang w:val="en-US" w:eastAsia="zh-CN" w:bidi="ar"/>
              </w:rPr>
              <w:t>阻碍行洪的物体总体积大于30立方米，或种植面积在300平方米以上的</w:t>
            </w:r>
          </w:p>
        </w:tc>
        <w:tc>
          <w:tcPr>
            <w:tcW w:w="1628"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8328BFC">
            <w:pPr>
              <w:spacing w:line="240" w:lineRule="exact"/>
              <w:rPr>
                <w:rFonts w:hint="eastAsia" w:ascii="宋体" w:hAnsi="宋体" w:eastAsia="宋体" w:cs="宋体"/>
                <w:b w:val="0"/>
                <w:bCs w:val="0"/>
                <w:sz w:val="18"/>
                <w:szCs w:val="18"/>
                <w:lang w:bidi="ar"/>
              </w:rPr>
            </w:pPr>
            <w:r>
              <w:rPr>
                <w:rStyle w:val="21"/>
                <w:rFonts w:hint="eastAsia" w:ascii="宋体" w:hAnsi="宋体" w:eastAsia="宋体" w:cs="宋体"/>
                <w:b w:val="0"/>
                <w:bCs w:val="0"/>
                <w:color w:val="auto"/>
                <w:sz w:val="18"/>
                <w:szCs w:val="18"/>
                <w:lang w:bidi="ar"/>
              </w:rPr>
              <w:t>处</w:t>
            </w:r>
            <w:r>
              <w:rPr>
                <w:rStyle w:val="21"/>
                <w:rFonts w:hint="eastAsia" w:ascii="宋体" w:hAnsi="宋体" w:eastAsia="宋体" w:cs="宋体"/>
                <w:b w:val="0"/>
                <w:bCs w:val="0"/>
                <w:color w:val="auto"/>
                <w:sz w:val="18"/>
                <w:szCs w:val="18"/>
                <w:lang w:val="en-US" w:eastAsia="zh-CN" w:bidi="ar"/>
              </w:rPr>
              <w:t>3</w:t>
            </w:r>
            <w:r>
              <w:rPr>
                <w:rStyle w:val="21"/>
                <w:rFonts w:hint="eastAsia" w:ascii="宋体" w:hAnsi="宋体" w:eastAsia="宋体" w:cs="宋体"/>
                <w:b w:val="0"/>
                <w:bCs w:val="0"/>
                <w:color w:val="auto"/>
                <w:sz w:val="18"/>
                <w:szCs w:val="18"/>
                <w:lang w:bidi="ar"/>
              </w:rPr>
              <w:t>万元以上</w:t>
            </w:r>
            <w:r>
              <w:rPr>
                <w:rStyle w:val="21"/>
                <w:rFonts w:hint="eastAsia" w:ascii="宋体" w:hAnsi="宋体" w:eastAsia="宋体" w:cs="宋体"/>
                <w:b w:val="0"/>
                <w:bCs w:val="0"/>
                <w:color w:val="auto"/>
                <w:sz w:val="18"/>
                <w:szCs w:val="18"/>
                <w:lang w:val="en-US" w:eastAsia="zh-CN" w:bidi="ar"/>
              </w:rPr>
              <w:t>5</w:t>
            </w:r>
            <w:r>
              <w:rPr>
                <w:rStyle w:val="21"/>
                <w:rFonts w:hint="eastAsia" w:ascii="宋体" w:hAnsi="宋体" w:eastAsia="宋体" w:cs="宋体"/>
                <w:b w:val="0"/>
                <w:bCs w:val="0"/>
                <w:color w:val="auto"/>
                <w:sz w:val="18"/>
                <w:szCs w:val="18"/>
                <w:lang w:bidi="ar"/>
              </w:rPr>
              <w:t>万元以下的罚款</w:t>
            </w:r>
          </w:p>
        </w:tc>
        <w:tc>
          <w:tcPr>
            <w:tcW w:w="739" w:type="dxa"/>
            <w:vMerge w:val="continue"/>
            <w:tcBorders>
              <w:left w:val="single" w:color="auto" w:sz="4" w:space="0"/>
              <w:right w:val="single" w:color="auto" w:sz="4" w:space="0"/>
            </w:tcBorders>
            <w:noWrap w:val="0"/>
            <w:tcMar>
              <w:top w:w="0" w:type="dxa"/>
              <w:left w:w="0" w:type="dxa"/>
              <w:bottom w:w="0" w:type="dxa"/>
              <w:right w:w="0" w:type="dxa"/>
            </w:tcMar>
            <w:vAlign w:val="center"/>
          </w:tcPr>
          <w:p w14:paraId="34D40A6B">
            <w:pPr>
              <w:spacing w:line="240" w:lineRule="exact"/>
              <w:jc w:val="center"/>
              <w:rPr>
                <w:rStyle w:val="21"/>
                <w:rFonts w:hint="eastAsia" w:ascii="宋体" w:hAnsi="宋体" w:eastAsia="宋体" w:cs="宋体"/>
                <w:b w:val="0"/>
                <w:bCs w:val="0"/>
                <w:color w:val="auto"/>
                <w:sz w:val="18"/>
                <w:szCs w:val="18"/>
                <w:lang w:bidi="ar"/>
              </w:rPr>
            </w:pPr>
          </w:p>
        </w:tc>
      </w:tr>
      <w:tr w14:paraId="53741A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74" w:type="dxa"/>
            <w:vMerge w:val="continue"/>
            <w:tcBorders>
              <w:left w:val="single" w:color="auto" w:sz="4" w:space="0"/>
              <w:right w:val="single" w:color="auto" w:sz="4" w:space="0"/>
            </w:tcBorders>
            <w:noWrap w:val="0"/>
            <w:tcMar>
              <w:top w:w="0" w:type="dxa"/>
              <w:left w:w="0" w:type="dxa"/>
              <w:bottom w:w="0" w:type="dxa"/>
              <w:right w:w="0" w:type="dxa"/>
            </w:tcMar>
            <w:vAlign w:val="center"/>
          </w:tcPr>
          <w:p w14:paraId="413A753F">
            <w:pPr>
              <w:spacing w:line="240" w:lineRule="exact"/>
              <w:jc w:val="center"/>
              <w:rPr>
                <w:rFonts w:hint="eastAsia" w:ascii="宋体" w:hAnsi="宋体" w:eastAsia="宋体" w:cs="宋体"/>
                <w:b w:val="0"/>
                <w:bCs w:val="0"/>
                <w:sz w:val="18"/>
                <w:szCs w:val="18"/>
              </w:rPr>
            </w:pPr>
          </w:p>
        </w:tc>
        <w:tc>
          <w:tcPr>
            <w:tcW w:w="1236" w:type="dxa"/>
            <w:vMerge w:val="continue"/>
            <w:tcBorders>
              <w:left w:val="single" w:color="auto" w:sz="4" w:space="0"/>
              <w:right w:val="single" w:color="auto" w:sz="4" w:space="0"/>
            </w:tcBorders>
            <w:noWrap w:val="0"/>
            <w:tcMar>
              <w:top w:w="0" w:type="dxa"/>
              <w:left w:w="0" w:type="dxa"/>
              <w:bottom w:w="0" w:type="dxa"/>
              <w:right w:w="0" w:type="dxa"/>
            </w:tcMar>
            <w:vAlign w:val="center"/>
          </w:tcPr>
          <w:p w14:paraId="47E6CF22">
            <w:pPr>
              <w:widowControl/>
              <w:spacing w:line="240" w:lineRule="exact"/>
              <w:textAlignment w:val="center"/>
              <w:rPr>
                <w:rFonts w:hint="eastAsia" w:ascii="宋体" w:hAnsi="宋体" w:eastAsia="宋体" w:cs="宋体"/>
                <w:b w:val="0"/>
                <w:bCs w:val="0"/>
                <w:kern w:val="0"/>
                <w:sz w:val="18"/>
                <w:szCs w:val="18"/>
                <w:lang w:bidi="ar"/>
              </w:rPr>
            </w:pPr>
          </w:p>
        </w:tc>
        <w:tc>
          <w:tcPr>
            <w:tcW w:w="6027" w:type="dxa"/>
            <w:vMerge w:val="continue"/>
            <w:tcBorders>
              <w:left w:val="single" w:color="auto" w:sz="4" w:space="0"/>
              <w:right w:val="single" w:color="auto" w:sz="4" w:space="0"/>
            </w:tcBorders>
            <w:noWrap w:val="0"/>
            <w:tcMar>
              <w:top w:w="0" w:type="dxa"/>
              <w:left w:w="0" w:type="dxa"/>
              <w:bottom w:w="0" w:type="dxa"/>
              <w:right w:w="0" w:type="dxa"/>
            </w:tcMar>
            <w:vAlign w:val="center"/>
          </w:tcPr>
          <w:p w14:paraId="225CE74D">
            <w:pPr>
              <w:widowControl/>
              <w:spacing w:line="240" w:lineRule="exact"/>
              <w:ind w:firstLine="360" w:firstLineChars="200"/>
              <w:textAlignment w:val="center"/>
              <w:rPr>
                <w:rFonts w:hint="eastAsia" w:ascii="宋体" w:hAnsi="宋体" w:eastAsia="宋体" w:cs="宋体"/>
                <w:b w:val="0"/>
                <w:bCs w:val="0"/>
                <w:kern w:val="0"/>
                <w:sz w:val="18"/>
                <w:szCs w:val="18"/>
                <w:lang w:bidi="ar"/>
              </w:rPr>
            </w:pPr>
          </w:p>
        </w:tc>
        <w:tc>
          <w:tcPr>
            <w:tcW w:w="1849" w:type="dxa"/>
            <w:vMerge w:val="continue"/>
            <w:tcBorders>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89C985D">
            <w:pPr>
              <w:spacing w:line="240" w:lineRule="exact"/>
              <w:jc w:val="both"/>
              <w:rPr>
                <w:rFonts w:hint="eastAsia" w:ascii="宋体" w:hAnsi="宋体" w:eastAsia="宋体" w:cs="宋体"/>
                <w:b w:val="0"/>
                <w:bCs w:val="0"/>
                <w:sz w:val="18"/>
                <w:szCs w:val="18"/>
              </w:rPr>
            </w:pPr>
          </w:p>
        </w:tc>
        <w:tc>
          <w:tcPr>
            <w:tcW w:w="51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86139A0">
            <w:pPr>
              <w:spacing w:line="240" w:lineRule="exact"/>
              <w:jc w:val="center"/>
              <w:rPr>
                <w:rFonts w:hint="eastAsia" w:ascii="宋体" w:hAnsi="宋体" w:eastAsia="宋体" w:cs="宋体"/>
                <w:b w:val="0"/>
                <w:bCs w:val="0"/>
                <w:sz w:val="18"/>
                <w:szCs w:val="18"/>
              </w:rPr>
            </w:pPr>
            <w:r>
              <w:rPr>
                <w:rFonts w:hint="eastAsia" w:ascii="宋体" w:hAnsi="宋体" w:eastAsia="宋体" w:cs="宋体"/>
                <w:b w:val="0"/>
                <w:bCs w:val="0"/>
                <w:sz w:val="18"/>
                <w:szCs w:val="18"/>
              </w:rPr>
              <w:t>严重</w:t>
            </w:r>
          </w:p>
        </w:tc>
        <w:tc>
          <w:tcPr>
            <w:tcW w:w="242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F076C48">
            <w:pPr>
              <w:spacing w:line="240" w:lineRule="exact"/>
              <w:rPr>
                <w:rFonts w:hint="eastAsia" w:ascii="宋体" w:hAnsi="宋体" w:eastAsia="宋体" w:cs="宋体"/>
                <w:b w:val="0"/>
                <w:bCs w:val="0"/>
                <w:sz w:val="18"/>
                <w:szCs w:val="18"/>
                <w:lang w:bidi="ar"/>
              </w:rPr>
            </w:pPr>
            <w:r>
              <w:rPr>
                <w:rStyle w:val="21"/>
                <w:rFonts w:hint="eastAsia" w:ascii="宋体" w:hAnsi="宋体" w:eastAsia="宋体" w:cs="宋体"/>
                <w:b w:val="0"/>
                <w:bCs w:val="0"/>
                <w:color w:val="auto"/>
                <w:sz w:val="18"/>
                <w:szCs w:val="18"/>
                <w:lang w:bidi="ar"/>
              </w:rPr>
              <w:t>拒不停止违法行为，不排除阻碍，不采取其它补救措施的</w:t>
            </w:r>
          </w:p>
        </w:tc>
        <w:tc>
          <w:tcPr>
            <w:tcW w:w="1628"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BD219D3">
            <w:pPr>
              <w:spacing w:line="240" w:lineRule="exact"/>
              <w:rPr>
                <w:rFonts w:hint="eastAsia" w:ascii="宋体" w:hAnsi="宋体" w:eastAsia="宋体" w:cs="宋体"/>
                <w:b w:val="0"/>
                <w:bCs w:val="0"/>
                <w:sz w:val="18"/>
                <w:szCs w:val="18"/>
                <w:lang w:bidi="ar"/>
              </w:rPr>
            </w:pPr>
            <w:r>
              <w:rPr>
                <w:rStyle w:val="21"/>
                <w:rFonts w:hint="eastAsia" w:ascii="宋体" w:hAnsi="宋体" w:eastAsia="宋体" w:cs="宋体"/>
                <w:b w:val="0"/>
                <w:bCs w:val="0"/>
                <w:color w:val="auto"/>
                <w:sz w:val="18"/>
                <w:szCs w:val="18"/>
                <w:lang w:bidi="ar"/>
              </w:rPr>
              <w:t>处</w:t>
            </w:r>
            <w:r>
              <w:rPr>
                <w:rStyle w:val="21"/>
                <w:rFonts w:hint="eastAsia" w:ascii="宋体" w:hAnsi="宋体" w:eastAsia="宋体" w:cs="宋体"/>
                <w:b w:val="0"/>
                <w:bCs w:val="0"/>
                <w:color w:val="auto"/>
                <w:sz w:val="18"/>
                <w:szCs w:val="18"/>
                <w:lang w:val="en-US" w:eastAsia="zh-CN" w:bidi="ar"/>
              </w:rPr>
              <w:t>5</w:t>
            </w:r>
            <w:r>
              <w:rPr>
                <w:rStyle w:val="21"/>
                <w:rFonts w:hint="eastAsia" w:ascii="宋体" w:hAnsi="宋体" w:eastAsia="宋体" w:cs="宋体"/>
                <w:b w:val="0"/>
                <w:bCs w:val="0"/>
                <w:color w:val="auto"/>
                <w:sz w:val="18"/>
                <w:szCs w:val="18"/>
                <w:lang w:bidi="ar"/>
              </w:rPr>
              <w:t>万元罚款</w:t>
            </w:r>
          </w:p>
        </w:tc>
        <w:tc>
          <w:tcPr>
            <w:tcW w:w="739" w:type="dxa"/>
            <w:vMerge w:val="continue"/>
            <w:tcBorders>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E7516AF">
            <w:pPr>
              <w:spacing w:line="240" w:lineRule="exact"/>
              <w:jc w:val="center"/>
              <w:rPr>
                <w:rStyle w:val="21"/>
                <w:rFonts w:hint="eastAsia" w:ascii="宋体" w:hAnsi="宋体" w:eastAsia="宋体" w:cs="宋体"/>
                <w:b w:val="0"/>
                <w:bCs w:val="0"/>
                <w:color w:val="auto"/>
                <w:sz w:val="18"/>
                <w:szCs w:val="18"/>
                <w:lang w:bidi="ar"/>
              </w:rPr>
            </w:pPr>
          </w:p>
        </w:tc>
      </w:tr>
      <w:tr w14:paraId="56A277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4" w:type="dxa"/>
            <w:vMerge w:val="continue"/>
            <w:tcBorders>
              <w:left w:val="single" w:color="auto" w:sz="4" w:space="0"/>
              <w:right w:val="single" w:color="auto" w:sz="4" w:space="0"/>
            </w:tcBorders>
            <w:noWrap w:val="0"/>
            <w:tcMar>
              <w:top w:w="0" w:type="dxa"/>
              <w:left w:w="0" w:type="dxa"/>
              <w:bottom w:w="0" w:type="dxa"/>
              <w:right w:w="0" w:type="dxa"/>
            </w:tcMar>
            <w:vAlign w:val="center"/>
          </w:tcPr>
          <w:p w14:paraId="7836945B">
            <w:pPr>
              <w:spacing w:line="240" w:lineRule="exact"/>
              <w:jc w:val="center"/>
              <w:rPr>
                <w:rFonts w:hint="eastAsia" w:ascii="宋体" w:hAnsi="宋体" w:eastAsia="宋体" w:cs="宋体"/>
                <w:b w:val="0"/>
                <w:bCs w:val="0"/>
                <w:sz w:val="18"/>
                <w:szCs w:val="18"/>
              </w:rPr>
            </w:pPr>
          </w:p>
        </w:tc>
        <w:tc>
          <w:tcPr>
            <w:tcW w:w="1236" w:type="dxa"/>
            <w:vMerge w:val="continue"/>
            <w:tcBorders>
              <w:left w:val="single" w:color="auto" w:sz="4" w:space="0"/>
              <w:right w:val="single" w:color="auto" w:sz="4" w:space="0"/>
            </w:tcBorders>
            <w:noWrap w:val="0"/>
            <w:tcMar>
              <w:top w:w="0" w:type="dxa"/>
              <w:left w:w="0" w:type="dxa"/>
              <w:bottom w:w="0" w:type="dxa"/>
              <w:right w:w="0" w:type="dxa"/>
            </w:tcMar>
            <w:vAlign w:val="center"/>
          </w:tcPr>
          <w:p w14:paraId="0245216A">
            <w:pPr>
              <w:widowControl/>
              <w:spacing w:line="240" w:lineRule="exact"/>
              <w:textAlignment w:val="center"/>
              <w:rPr>
                <w:rFonts w:hint="eastAsia" w:ascii="宋体" w:hAnsi="宋体" w:eastAsia="宋体" w:cs="宋体"/>
                <w:b w:val="0"/>
                <w:bCs w:val="0"/>
                <w:kern w:val="0"/>
                <w:sz w:val="18"/>
                <w:szCs w:val="18"/>
                <w:lang w:bidi="ar"/>
              </w:rPr>
            </w:pPr>
          </w:p>
        </w:tc>
        <w:tc>
          <w:tcPr>
            <w:tcW w:w="6027" w:type="dxa"/>
            <w:vMerge w:val="continue"/>
            <w:tcBorders>
              <w:left w:val="single" w:color="auto" w:sz="4" w:space="0"/>
              <w:right w:val="single" w:color="auto" w:sz="4" w:space="0"/>
            </w:tcBorders>
            <w:noWrap w:val="0"/>
            <w:tcMar>
              <w:top w:w="0" w:type="dxa"/>
              <w:left w:w="0" w:type="dxa"/>
              <w:bottom w:w="0" w:type="dxa"/>
              <w:right w:w="0" w:type="dxa"/>
            </w:tcMar>
            <w:vAlign w:val="center"/>
          </w:tcPr>
          <w:p w14:paraId="36454C24">
            <w:pPr>
              <w:widowControl/>
              <w:spacing w:line="240" w:lineRule="exact"/>
              <w:ind w:firstLine="360" w:firstLineChars="200"/>
              <w:textAlignment w:val="center"/>
              <w:rPr>
                <w:rFonts w:hint="eastAsia" w:ascii="宋体" w:hAnsi="宋体" w:eastAsia="宋体" w:cs="宋体"/>
                <w:b w:val="0"/>
                <w:bCs w:val="0"/>
                <w:kern w:val="0"/>
                <w:sz w:val="18"/>
                <w:szCs w:val="18"/>
                <w:lang w:bidi="ar"/>
              </w:rPr>
            </w:pPr>
          </w:p>
        </w:tc>
        <w:tc>
          <w:tcPr>
            <w:tcW w:w="1849" w:type="dxa"/>
            <w:vMerge w:val="restart"/>
            <w:tcBorders>
              <w:left w:val="single" w:color="auto" w:sz="4" w:space="0"/>
              <w:right w:val="single" w:color="auto" w:sz="4" w:space="0"/>
            </w:tcBorders>
            <w:noWrap w:val="0"/>
            <w:tcMar>
              <w:top w:w="0" w:type="dxa"/>
              <w:left w:w="0" w:type="dxa"/>
              <w:bottom w:w="0" w:type="dxa"/>
              <w:right w:w="0" w:type="dxa"/>
            </w:tcMar>
            <w:vAlign w:val="center"/>
          </w:tcPr>
          <w:p w14:paraId="59E03663">
            <w:pPr>
              <w:spacing w:line="240" w:lineRule="exact"/>
              <w:jc w:val="both"/>
              <w:rPr>
                <w:rFonts w:hint="eastAsia" w:ascii="宋体" w:hAnsi="宋体" w:eastAsia="宋体" w:cs="宋体"/>
                <w:b w:val="0"/>
                <w:bCs w:val="0"/>
                <w:sz w:val="18"/>
                <w:szCs w:val="18"/>
              </w:rPr>
            </w:pPr>
            <w:r>
              <w:rPr>
                <w:rFonts w:hint="eastAsia" w:ascii="宋体" w:hAnsi="宋体" w:eastAsia="宋体" w:cs="宋体"/>
                <w:b w:val="0"/>
                <w:bCs w:val="0"/>
                <w:kern w:val="0"/>
                <w:sz w:val="18"/>
                <w:szCs w:val="18"/>
                <w:lang w:bidi="ar"/>
              </w:rPr>
              <w:t>围湖造地、围垦河道、库区的</w:t>
            </w:r>
          </w:p>
        </w:tc>
        <w:tc>
          <w:tcPr>
            <w:tcW w:w="51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F9E2854">
            <w:pPr>
              <w:spacing w:line="240" w:lineRule="exact"/>
              <w:jc w:val="center"/>
              <w:rPr>
                <w:rFonts w:hint="eastAsia" w:ascii="宋体" w:hAnsi="宋体" w:eastAsia="宋体" w:cs="宋体"/>
                <w:b w:val="0"/>
                <w:bCs w:val="0"/>
                <w:sz w:val="18"/>
                <w:szCs w:val="18"/>
              </w:rPr>
            </w:pPr>
            <w:r>
              <w:rPr>
                <w:rFonts w:hint="eastAsia" w:ascii="宋体" w:hAnsi="宋体" w:eastAsia="宋体" w:cs="宋体"/>
                <w:b w:val="0"/>
                <w:bCs w:val="0"/>
                <w:sz w:val="18"/>
                <w:szCs w:val="18"/>
              </w:rPr>
              <w:t>轻微</w:t>
            </w:r>
          </w:p>
        </w:tc>
        <w:tc>
          <w:tcPr>
            <w:tcW w:w="242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48B42047">
            <w:pPr>
              <w:snapToGrid w:val="0"/>
              <w:spacing w:line="240" w:lineRule="exact"/>
              <mc:AlternateContent>
                <mc:Choice Requires="wpsCustomData">
                  <wpsCustomData:diagonalParaType/>
                </mc:Choice>
              </mc:AlternateContent>
              <w:rPr>
                <w:rStyle w:val="21"/>
                <w:rFonts w:hint="eastAsia" w:ascii="宋体" w:hAnsi="宋体" w:eastAsia="宋体" w:cs="宋体"/>
                <w:b w:val="0"/>
                <w:bCs w:val="0"/>
                <w:color w:val="auto"/>
                <w:sz w:val="18"/>
                <w:szCs w:val="18"/>
                <w:lang w:bidi="ar"/>
              </w:rPr>
            </w:pPr>
          </w:p>
          <w:p w14:paraId="35C6E50B">
            <w:pPr>
              <w:spacing w:line="240" w:lineRule="exact"/>
              <w:rPr>
                <w:rStyle w:val="21"/>
                <w:rFonts w:hint="eastAsia" w:ascii="宋体" w:hAnsi="宋体" w:eastAsia="宋体" w:cs="宋体"/>
                <w:b w:val="0"/>
                <w:bCs w:val="0"/>
                <w:color w:val="auto"/>
                <w:sz w:val="18"/>
                <w:szCs w:val="18"/>
                <w:lang w:bidi="ar"/>
              </w:rPr>
            </w:pPr>
          </w:p>
        </w:tc>
        <w:tc>
          <w:tcPr>
            <w:tcW w:w="1628"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321F0CEF">
            <w:pPr>
              <w:snapToGrid w:val="0"/>
              <w:spacing w:line="240" w:lineRule="exact"/>
              <mc:AlternateContent>
                <mc:Choice Requires="wpsCustomData">
                  <wpsCustomData:diagonalParaType/>
                </mc:Choice>
              </mc:AlternateContent>
              <w:rPr>
                <w:rStyle w:val="21"/>
                <w:rFonts w:hint="eastAsia" w:ascii="宋体" w:hAnsi="宋体" w:eastAsia="宋体" w:cs="宋体"/>
                <w:b w:val="0"/>
                <w:bCs w:val="0"/>
                <w:color w:val="auto"/>
                <w:sz w:val="18"/>
                <w:szCs w:val="18"/>
                <w:lang w:bidi="ar"/>
              </w:rPr>
            </w:pPr>
          </w:p>
          <w:p w14:paraId="6EF74158">
            <w:pPr>
              <w:spacing w:line="240" w:lineRule="exact"/>
              <w:rPr>
                <w:rStyle w:val="21"/>
                <w:rFonts w:hint="eastAsia" w:ascii="宋体" w:hAnsi="宋体" w:eastAsia="宋体" w:cs="宋体"/>
                <w:b w:val="0"/>
                <w:bCs w:val="0"/>
                <w:color w:val="auto"/>
                <w:sz w:val="18"/>
                <w:szCs w:val="18"/>
                <w:lang w:bidi="ar"/>
              </w:rPr>
            </w:pPr>
          </w:p>
        </w:tc>
        <w:tc>
          <w:tcPr>
            <w:tcW w:w="739" w:type="dxa"/>
            <w:vMerge w:val="restart"/>
            <w:tcBorders>
              <w:top w:val="single" w:color="auto" w:sz="4" w:space="0"/>
              <w:left w:val="single" w:color="auto" w:sz="4" w:space="0"/>
              <w:right w:val="single" w:color="auto" w:sz="4" w:space="0"/>
            </w:tcBorders>
            <w:noWrap w:val="0"/>
            <w:tcMar>
              <w:top w:w="0" w:type="dxa"/>
              <w:left w:w="0" w:type="dxa"/>
              <w:bottom w:w="0" w:type="dxa"/>
              <w:right w:w="0" w:type="dxa"/>
            </w:tcMar>
            <w:vAlign w:val="center"/>
          </w:tcPr>
          <w:p w14:paraId="241A362A">
            <w:pPr>
              <w:spacing w:line="240" w:lineRule="exact"/>
              <w:jc w:val="center"/>
              <w:rPr>
                <w:rStyle w:val="21"/>
                <w:rFonts w:hint="eastAsia" w:ascii="宋体" w:hAnsi="宋体" w:eastAsia="宋体" w:cs="宋体"/>
                <w:b w:val="0"/>
                <w:bCs w:val="0"/>
                <w:color w:val="auto"/>
                <w:sz w:val="18"/>
                <w:szCs w:val="18"/>
                <w:lang w:bidi="ar"/>
              </w:rPr>
            </w:pPr>
          </w:p>
        </w:tc>
      </w:tr>
      <w:tr w14:paraId="376121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jc w:val="center"/>
        </w:trPr>
        <w:tc>
          <w:tcPr>
            <w:tcW w:w="474" w:type="dxa"/>
            <w:vMerge w:val="continue"/>
            <w:tcBorders>
              <w:left w:val="single" w:color="auto" w:sz="4" w:space="0"/>
              <w:right w:val="single" w:color="auto" w:sz="4" w:space="0"/>
            </w:tcBorders>
            <w:noWrap w:val="0"/>
            <w:tcMar>
              <w:top w:w="0" w:type="dxa"/>
              <w:left w:w="0" w:type="dxa"/>
              <w:bottom w:w="0" w:type="dxa"/>
              <w:right w:w="0" w:type="dxa"/>
            </w:tcMar>
            <w:vAlign w:val="center"/>
          </w:tcPr>
          <w:p w14:paraId="0F015B2E">
            <w:pPr>
              <w:spacing w:line="240" w:lineRule="exact"/>
              <w:jc w:val="center"/>
              <w:rPr>
                <w:rFonts w:hint="eastAsia" w:ascii="宋体" w:hAnsi="宋体" w:eastAsia="宋体" w:cs="宋体"/>
                <w:b w:val="0"/>
                <w:bCs w:val="0"/>
                <w:sz w:val="18"/>
                <w:szCs w:val="18"/>
              </w:rPr>
            </w:pPr>
          </w:p>
        </w:tc>
        <w:tc>
          <w:tcPr>
            <w:tcW w:w="1236" w:type="dxa"/>
            <w:vMerge w:val="continue"/>
            <w:tcBorders>
              <w:left w:val="single" w:color="auto" w:sz="4" w:space="0"/>
              <w:right w:val="single" w:color="auto" w:sz="4" w:space="0"/>
            </w:tcBorders>
            <w:noWrap w:val="0"/>
            <w:tcMar>
              <w:top w:w="0" w:type="dxa"/>
              <w:left w:w="0" w:type="dxa"/>
              <w:bottom w:w="0" w:type="dxa"/>
              <w:right w:w="0" w:type="dxa"/>
            </w:tcMar>
            <w:vAlign w:val="center"/>
          </w:tcPr>
          <w:p w14:paraId="2947A989">
            <w:pPr>
              <w:widowControl/>
              <w:spacing w:line="240" w:lineRule="exact"/>
              <w:textAlignment w:val="center"/>
              <w:rPr>
                <w:rFonts w:hint="eastAsia" w:ascii="宋体" w:hAnsi="宋体" w:eastAsia="宋体" w:cs="宋体"/>
                <w:b w:val="0"/>
                <w:bCs w:val="0"/>
                <w:kern w:val="0"/>
                <w:sz w:val="18"/>
                <w:szCs w:val="18"/>
                <w:lang w:bidi="ar"/>
              </w:rPr>
            </w:pPr>
          </w:p>
        </w:tc>
        <w:tc>
          <w:tcPr>
            <w:tcW w:w="6027" w:type="dxa"/>
            <w:vMerge w:val="continue"/>
            <w:tcBorders>
              <w:left w:val="single" w:color="auto" w:sz="4" w:space="0"/>
              <w:right w:val="single" w:color="auto" w:sz="4" w:space="0"/>
            </w:tcBorders>
            <w:noWrap w:val="0"/>
            <w:tcMar>
              <w:top w:w="0" w:type="dxa"/>
              <w:left w:w="0" w:type="dxa"/>
              <w:bottom w:w="0" w:type="dxa"/>
              <w:right w:w="0" w:type="dxa"/>
            </w:tcMar>
            <w:vAlign w:val="center"/>
          </w:tcPr>
          <w:p w14:paraId="37489AB7">
            <w:pPr>
              <w:widowControl/>
              <w:spacing w:line="240" w:lineRule="exact"/>
              <w:ind w:firstLine="360" w:firstLineChars="200"/>
              <w:textAlignment w:val="center"/>
              <w:rPr>
                <w:rFonts w:hint="eastAsia" w:ascii="宋体" w:hAnsi="宋体" w:eastAsia="宋体" w:cs="宋体"/>
                <w:b w:val="0"/>
                <w:bCs w:val="0"/>
                <w:kern w:val="0"/>
                <w:sz w:val="18"/>
                <w:szCs w:val="18"/>
                <w:lang w:bidi="ar"/>
              </w:rPr>
            </w:pPr>
          </w:p>
        </w:tc>
        <w:tc>
          <w:tcPr>
            <w:tcW w:w="1849" w:type="dxa"/>
            <w:vMerge w:val="continue"/>
            <w:tcBorders>
              <w:left w:val="single" w:color="auto" w:sz="4" w:space="0"/>
              <w:right w:val="single" w:color="auto" w:sz="4" w:space="0"/>
            </w:tcBorders>
            <w:noWrap w:val="0"/>
            <w:tcMar>
              <w:top w:w="0" w:type="dxa"/>
              <w:left w:w="0" w:type="dxa"/>
              <w:bottom w:w="0" w:type="dxa"/>
              <w:right w:w="0" w:type="dxa"/>
            </w:tcMar>
            <w:vAlign w:val="center"/>
          </w:tcPr>
          <w:p w14:paraId="0B71C002">
            <w:pPr>
              <w:spacing w:line="240" w:lineRule="exact"/>
              <w:jc w:val="both"/>
              <w:rPr>
                <w:rFonts w:hint="eastAsia" w:ascii="宋体" w:hAnsi="宋体" w:eastAsia="宋体" w:cs="宋体"/>
                <w:b w:val="0"/>
                <w:bCs w:val="0"/>
                <w:sz w:val="18"/>
                <w:szCs w:val="18"/>
              </w:rPr>
            </w:pPr>
          </w:p>
        </w:tc>
        <w:tc>
          <w:tcPr>
            <w:tcW w:w="51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C4D3A6E">
            <w:pPr>
              <w:spacing w:line="240" w:lineRule="exact"/>
              <w:jc w:val="center"/>
              <w:rPr>
                <w:rFonts w:hint="eastAsia" w:ascii="宋体" w:hAnsi="宋体" w:eastAsia="宋体" w:cs="宋体"/>
                <w:b w:val="0"/>
                <w:bCs w:val="0"/>
                <w:sz w:val="18"/>
                <w:szCs w:val="18"/>
              </w:rPr>
            </w:pPr>
            <w:r>
              <w:rPr>
                <w:rFonts w:hint="eastAsia" w:ascii="宋体" w:hAnsi="宋体" w:eastAsia="宋体" w:cs="宋体"/>
                <w:b w:val="0"/>
                <w:bCs w:val="0"/>
                <w:sz w:val="18"/>
                <w:szCs w:val="18"/>
              </w:rPr>
              <w:t>较轻</w:t>
            </w:r>
          </w:p>
        </w:tc>
        <w:tc>
          <w:tcPr>
            <w:tcW w:w="242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779C789">
            <w:pPr>
              <w:spacing w:line="240" w:lineRule="exact"/>
              <w:rPr>
                <w:rFonts w:hint="eastAsia" w:ascii="宋体" w:hAnsi="宋体" w:eastAsia="宋体" w:cs="宋体"/>
                <w:b w:val="0"/>
                <w:bCs w:val="0"/>
                <w:sz w:val="18"/>
                <w:szCs w:val="18"/>
                <w:lang w:bidi="ar"/>
              </w:rPr>
            </w:pPr>
            <w:r>
              <w:rPr>
                <w:rStyle w:val="21"/>
                <w:rFonts w:hint="eastAsia" w:ascii="宋体" w:hAnsi="宋体" w:eastAsia="宋体" w:cs="宋体"/>
                <w:b w:val="0"/>
                <w:bCs w:val="0"/>
                <w:color w:val="auto"/>
                <w:sz w:val="18"/>
                <w:szCs w:val="18"/>
                <w:lang w:bidi="ar"/>
              </w:rPr>
              <w:t>围湖造地或者围垦河道面积在</w:t>
            </w:r>
            <w:r>
              <w:rPr>
                <w:rStyle w:val="21"/>
                <w:rFonts w:hint="eastAsia" w:ascii="宋体" w:hAnsi="宋体" w:eastAsia="宋体" w:cs="宋体"/>
                <w:b w:val="0"/>
                <w:bCs w:val="0"/>
                <w:color w:val="auto"/>
                <w:sz w:val="18"/>
                <w:szCs w:val="18"/>
                <w:lang w:val="en-US" w:eastAsia="zh-CN" w:bidi="ar"/>
              </w:rPr>
              <w:t>100</w:t>
            </w:r>
            <w:r>
              <w:rPr>
                <w:rStyle w:val="21"/>
                <w:rFonts w:hint="eastAsia" w:ascii="宋体" w:hAnsi="宋体" w:eastAsia="宋体" w:cs="宋体"/>
                <w:b w:val="0"/>
                <w:bCs w:val="0"/>
                <w:color w:val="auto"/>
                <w:sz w:val="18"/>
                <w:szCs w:val="18"/>
                <w:lang w:bidi="ar"/>
              </w:rPr>
              <w:t>平方米以下的</w:t>
            </w:r>
          </w:p>
        </w:tc>
        <w:tc>
          <w:tcPr>
            <w:tcW w:w="1628"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36F37B1">
            <w:pPr>
              <w:spacing w:line="240" w:lineRule="exact"/>
              <w:rPr>
                <w:rFonts w:hint="eastAsia" w:ascii="宋体" w:hAnsi="宋体" w:eastAsia="宋体" w:cs="宋体"/>
                <w:b w:val="0"/>
                <w:bCs w:val="0"/>
                <w:sz w:val="18"/>
                <w:szCs w:val="18"/>
                <w:lang w:bidi="ar"/>
              </w:rPr>
            </w:pPr>
            <w:r>
              <w:rPr>
                <w:rStyle w:val="21"/>
                <w:rFonts w:hint="eastAsia" w:ascii="宋体" w:hAnsi="宋体" w:eastAsia="宋体" w:cs="宋体"/>
                <w:b w:val="0"/>
                <w:bCs w:val="0"/>
                <w:color w:val="auto"/>
                <w:sz w:val="18"/>
                <w:szCs w:val="18"/>
                <w:lang w:bidi="ar"/>
              </w:rPr>
              <w:t>处</w:t>
            </w:r>
            <w:r>
              <w:rPr>
                <w:rStyle w:val="21"/>
                <w:rFonts w:hint="eastAsia" w:ascii="宋体" w:hAnsi="宋体" w:eastAsia="宋体" w:cs="宋体"/>
                <w:b w:val="0"/>
                <w:bCs w:val="0"/>
                <w:color w:val="auto"/>
                <w:sz w:val="18"/>
                <w:szCs w:val="18"/>
                <w:lang w:val="en-US" w:eastAsia="zh-CN" w:bidi="ar"/>
              </w:rPr>
              <w:t>1</w:t>
            </w:r>
            <w:r>
              <w:rPr>
                <w:rStyle w:val="21"/>
                <w:rFonts w:hint="eastAsia" w:ascii="宋体" w:hAnsi="宋体" w:eastAsia="宋体" w:cs="宋体"/>
                <w:b w:val="0"/>
                <w:bCs w:val="0"/>
                <w:color w:val="auto"/>
                <w:sz w:val="18"/>
                <w:szCs w:val="18"/>
                <w:lang w:bidi="ar"/>
              </w:rPr>
              <w:t>万元罚款</w:t>
            </w:r>
          </w:p>
        </w:tc>
        <w:tc>
          <w:tcPr>
            <w:tcW w:w="739" w:type="dxa"/>
            <w:vMerge w:val="continue"/>
            <w:tcBorders>
              <w:left w:val="single" w:color="auto" w:sz="4" w:space="0"/>
              <w:right w:val="single" w:color="auto" w:sz="4" w:space="0"/>
            </w:tcBorders>
            <w:noWrap w:val="0"/>
            <w:tcMar>
              <w:top w:w="0" w:type="dxa"/>
              <w:left w:w="0" w:type="dxa"/>
              <w:bottom w:w="0" w:type="dxa"/>
              <w:right w:w="0" w:type="dxa"/>
            </w:tcMar>
            <w:vAlign w:val="center"/>
          </w:tcPr>
          <w:p w14:paraId="29B904AA">
            <w:pPr>
              <w:spacing w:line="240" w:lineRule="exact"/>
              <w:jc w:val="center"/>
              <w:rPr>
                <w:rStyle w:val="21"/>
                <w:rFonts w:hint="eastAsia" w:ascii="宋体" w:hAnsi="宋体" w:eastAsia="宋体" w:cs="宋体"/>
                <w:b w:val="0"/>
                <w:bCs w:val="0"/>
                <w:color w:val="auto"/>
                <w:sz w:val="18"/>
                <w:szCs w:val="18"/>
                <w:lang w:bidi="ar"/>
              </w:rPr>
            </w:pPr>
          </w:p>
        </w:tc>
      </w:tr>
      <w:tr w14:paraId="4C0FB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74" w:type="dxa"/>
            <w:vMerge w:val="continue"/>
            <w:tcBorders>
              <w:left w:val="single" w:color="auto" w:sz="4" w:space="0"/>
              <w:right w:val="single" w:color="auto" w:sz="4" w:space="0"/>
            </w:tcBorders>
            <w:noWrap w:val="0"/>
            <w:tcMar>
              <w:top w:w="0" w:type="dxa"/>
              <w:left w:w="0" w:type="dxa"/>
              <w:bottom w:w="0" w:type="dxa"/>
              <w:right w:w="0" w:type="dxa"/>
            </w:tcMar>
            <w:vAlign w:val="center"/>
          </w:tcPr>
          <w:p w14:paraId="01328CFD">
            <w:pPr>
              <w:spacing w:line="240" w:lineRule="exact"/>
              <w:jc w:val="center"/>
              <w:rPr>
                <w:rFonts w:hint="eastAsia" w:ascii="宋体" w:hAnsi="宋体" w:eastAsia="宋体" w:cs="宋体"/>
                <w:b w:val="0"/>
                <w:bCs w:val="0"/>
                <w:sz w:val="18"/>
                <w:szCs w:val="18"/>
              </w:rPr>
            </w:pPr>
          </w:p>
        </w:tc>
        <w:tc>
          <w:tcPr>
            <w:tcW w:w="1236" w:type="dxa"/>
            <w:vMerge w:val="continue"/>
            <w:tcBorders>
              <w:left w:val="single" w:color="auto" w:sz="4" w:space="0"/>
              <w:right w:val="single" w:color="auto" w:sz="4" w:space="0"/>
            </w:tcBorders>
            <w:noWrap w:val="0"/>
            <w:tcMar>
              <w:top w:w="0" w:type="dxa"/>
              <w:left w:w="0" w:type="dxa"/>
              <w:bottom w:w="0" w:type="dxa"/>
              <w:right w:w="0" w:type="dxa"/>
            </w:tcMar>
            <w:vAlign w:val="center"/>
          </w:tcPr>
          <w:p w14:paraId="39AC35A1">
            <w:pPr>
              <w:widowControl/>
              <w:spacing w:line="240" w:lineRule="exact"/>
              <w:textAlignment w:val="center"/>
              <w:rPr>
                <w:rFonts w:hint="eastAsia" w:ascii="宋体" w:hAnsi="宋体" w:eastAsia="宋体" w:cs="宋体"/>
                <w:b w:val="0"/>
                <w:bCs w:val="0"/>
                <w:kern w:val="0"/>
                <w:sz w:val="18"/>
                <w:szCs w:val="18"/>
                <w:lang w:bidi="ar"/>
              </w:rPr>
            </w:pPr>
          </w:p>
        </w:tc>
        <w:tc>
          <w:tcPr>
            <w:tcW w:w="6027" w:type="dxa"/>
            <w:vMerge w:val="continue"/>
            <w:tcBorders>
              <w:left w:val="single" w:color="auto" w:sz="4" w:space="0"/>
              <w:right w:val="single" w:color="auto" w:sz="4" w:space="0"/>
            </w:tcBorders>
            <w:noWrap w:val="0"/>
            <w:tcMar>
              <w:top w:w="0" w:type="dxa"/>
              <w:left w:w="0" w:type="dxa"/>
              <w:bottom w:w="0" w:type="dxa"/>
              <w:right w:w="0" w:type="dxa"/>
            </w:tcMar>
            <w:vAlign w:val="center"/>
          </w:tcPr>
          <w:p w14:paraId="3F9A1025">
            <w:pPr>
              <w:widowControl/>
              <w:spacing w:line="240" w:lineRule="exact"/>
              <w:ind w:firstLine="360" w:firstLineChars="200"/>
              <w:textAlignment w:val="center"/>
              <w:rPr>
                <w:rFonts w:hint="eastAsia" w:ascii="宋体" w:hAnsi="宋体" w:eastAsia="宋体" w:cs="宋体"/>
                <w:b w:val="0"/>
                <w:bCs w:val="0"/>
                <w:kern w:val="0"/>
                <w:sz w:val="18"/>
                <w:szCs w:val="18"/>
                <w:lang w:bidi="ar"/>
              </w:rPr>
            </w:pPr>
          </w:p>
        </w:tc>
        <w:tc>
          <w:tcPr>
            <w:tcW w:w="1849" w:type="dxa"/>
            <w:vMerge w:val="continue"/>
            <w:tcBorders>
              <w:left w:val="single" w:color="auto" w:sz="4" w:space="0"/>
              <w:right w:val="single" w:color="auto" w:sz="4" w:space="0"/>
            </w:tcBorders>
            <w:noWrap w:val="0"/>
            <w:tcMar>
              <w:top w:w="0" w:type="dxa"/>
              <w:left w:w="0" w:type="dxa"/>
              <w:bottom w:w="0" w:type="dxa"/>
              <w:right w:w="0" w:type="dxa"/>
            </w:tcMar>
            <w:vAlign w:val="center"/>
          </w:tcPr>
          <w:p w14:paraId="55565BAD">
            <w:pPr>
              <w:spacing w:line="240" w:lineRule="exact"/>
              <w:jc w:val="both"/>
              <w:rPr>
                <w:rFonts w:hint="eastAsia" w:ascii="宋体" w:hAnsi="宋体" w:eastAsia="宋体" w:cs="宋体"/>
                <w:b w:val="0"/>
                <w:bCs w:val="0"/>
                <w:sz w:val="18"/>
                <w:szCs w:val="18"/>
              </w:rPr>
            </w:pPr>
          </w:p>
        </w:tc>
        <w:tc>
          <w:tcPr>
            <w:tcW w:w="51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6FFCA73">
            <w:pPr>
              <w:spacing w:line="240" w:lineRule="exact"/>
              <w:jc w:val="center"/>
              <w:rPr>
                <w:rFonts w:hint="eastAsia" w:ascii="宋体" w:hAnsi="宋体" w:eastAsia="宋体" w:cs="宋体"/>
                <w:b w:val="0"/>
                <w:bCs w:val="0"/>
                <w:sz w:val="18"/>
                <w:szCs w:val="18"/>
              </w:rPr>
            </w:pPr>
            <w:r>
              <w:rPr>
                <w:rFonts w:hint="eastAsia" w:ascii="宋体" w:hAnsi="宋体" w:eastAsia="宋体" w:cs="宋体"/>
                <w:b w:val="0"/>
                <w:bCs w:val="0"/>
                <w:sz w:val="18"/>
                <w:szCs w:val="18"/>
              </w:rPr>
              <w:t>一般</w:t>
            </w:r>
          </w:p>
        </w:tc>
        <w:tc>
          <w:tcPr>
            <w:tcW w:w="242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6A5E355">
            <w:pPr>
              <w:spacing w:line="240" w:lineRule="exact"/>
              <w:rPr>
                <w:rFonts w:hint="eastAsia" w:ascii="宋体" w:hAnsi="宋体" w:eastAsia="宋体" w:cs="宋体"/>
                <w:b w:val="0"/>
                <w:bCs w:val="0"/>
                <w:sz w:val="18"/>
                <w:szCs w:val="18"/>
                <w:lang w:bidi="ar"/>
              </w:rPr>
            </w:pPr>
            <w:r>
              <w:rPr>
                <w:rStyle w:val="21"/>
                <w:rFonts w:hint="eastAsia" w:ascii="宋体" w:hAnsi="宋体" w:eastAsia="宋体" w:cs="宋体"/>
                <w:b w:val="0"/>
                <w:bCs w:val="0"/>
                <w:color w:val="auto"/>
                <w:sz w:val="18"/>
                <w:szCs w:val="18"/>
                <w:lang w:bidi="ar"/>
              </w:rPr>
              <w:t>围湖造地或者围垦河道面积在</w:t>
            </w:r>
            <w:r>
              <w:rPr>
                <w:rStyle w:val="21"/>
                <w:rFonts w:hint="eastAsia" w:ascii="宋体" w:hAnsi="宋体" w:eastAsia="宋体" w:cs="宋体"/>
                <w:b w:val="0"/>
                <w:bCs w:val="0"/>
                <w:color w:val="auto"/>
                <w:sz w:val="18"/>
                <w:szCs w:val="18"/>
                <w:lang w:val="en-US" w:eastAsia="zh-CN" w:bidi="ar"/>
              </w:rPr>
              <w:t>100</w:t>
            </w:r>
            <w:r>
              <w:rPr>
                <w:rStyle w:val="21"/>
                <w:rFonts w:hint="eastAsia" w:ascii="宋体" w:hAnsi="宋体" w:eastAsia="宋体" w:cs="宋体"/>
                <w:b w:val="0"/>
                <w:bCs w:val="0"/>
                <w:color w:val="auto"/>
                <w:sz w:val="18"/>
                <w:szCs w:val="18"/>
                <w:lang w:bidi="ar"/>
              </w:rPr>
              <w:t>平方米以上</w:t>
            </w:r>
            <w:r>
              <w:rPr>
                <w:rStyle w:val="21"/>
                <w:rFonts w:hint="eastAsia" w:ascii="宋体" w:hAnsi="宋体" w:eastAsia="宋体" w:cs="宋体"/>
                <w:b w:val="0"/>
                <w:bCs w:val="0"/>
                <w:color w:val="auto"/>
                <w:sz w:val="18"/>
                <w:szCs w:val="18"/>
                <w:lang w:val="en-US" w:eastAsia="zh-CN" w:bidi="ar"/>
              </w:rPr>
              <w:t>300</w:t>
            </w:r>
            <w:r>
              <w:rPr>
                <w:rStyle w:val="21"/>
                <w:rFonts w:hint="eastAsia" w:ascii="宋体" w:hAnsi="宋体" w:eastAsia="宋体" w:cs="宋体"/>
                <w:b w:val="0"/>
                <w:bCs w:val="0"/>
                <w:color w:val="auto"/>
                <w:sz w:val="18"/>
                <w:szCs w:val="18"/>
                <w:lang w:bidi="ar"/>
              </w:rPr>
              <w:t>平方米以下的</w:t>
            </w:r>
          </w:p>
        </w:tc>
        <w:tc>
          <w:tcPr>
            <w:tcW w:w="1628"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5C71E48">
            <w:pPr>
              <w:spacing w:line="240" w:lineRule="exact"/>
              <w:rPr>
                <w:rFonts w:hint="eastAsia" w:ascii="宋体" w:hAnsi="宋体" w:eastAsia="宋体" w:cs="宋体"/>
                <w:b w:val="0"/>
                <w:bCs w:val="0"/>
                <w:sz w:val="18"/>
                <w:szCs w:val="18"/>
                <w:lang w:bidi="ar"/>
              </w:rPr>
            </w:pPr>
            <w:r>
              <w:rPr>
                <w:rStyle w:val="21"/>
                <w:rFonts w:hint="eastAsia" w:ascii="宋体" w:hAnsi="宋体" w:eastAsia="宋体" w:cs="宋体"/>
                <w:b w:val="0"/>
                <w:bCs w:val="0"/>
                <w:color w:val="auto"/>
                <w:sz w:val="18"/>
                <w:szCs w:val="18"/>
                <w:lang w:bidi="ar"/>
              </w:rPr>
              <w:t>处</w:t>
            </w:r>
            <w:r>
              <w:rPr>
                <w:rStyle w:val="21"/>
                <w:rFonts w:hint="eastAsia" w:ascii="宋体" w:hAnsi="宋体" w:eastAsia="宋体" w:cs="宋体"/>
                <w:b w:val="0"/>
                <w:bCs w:val="0"/>
                <w:color w:val="auto"/>
                <w:sz w:val="18"/>
                <w:szCs w:val="18"/>
                <w:lang w:val="en-US" w:eastAsia="zh-CN" w:bidi="ar"/>
              </w:rPr>
              <w:t>1</w:t>
            </w:r>
            <w:r>
              <w:rPr>
                <w:rStyle w:val="21"/>
                <w:rFonts w:hint="eastAsia" w:ascii="宋体" w:hAnsi="宋体" w:eastAsia="宋体" w:cs="宋体"/>
                <w:b w:val="0"/>
                <w:bCs w:val="0"/>
                <w:color w:val="auto"/>
                <w:sz w:val="18"/>
                <w:szCs w:val="18"/>
                <w:lang w:bidi="ar"/>
              </w:rPr>
              <w:t>万元以上</w:t>
            </w:r>
            <w:r>
              <w:rPr>
                <w:rStyle w:val="21"/>
                <w:rFonts w:hint="eastAsia" w:ascii="宋体" w:hAnsi="宋体" w:eastAsia="宋体" w:cs="宋体"/>
                <w:b w:val="0"/>
                <w:bCs w:val="0"/>
                <w:color w:val="auto"/>
                <w:sz w:val="18"/>
                <w:szCs w:val="18"/>
                <w:lang w:val="en-US" w:eastAsia="zh-CN" w:bidi="ar"/>
              </w:rPr>
              <w:t>3</w:t>
            </w:r>
            <w:r>
              <w:rPr>
                <w:rStyle w:val="21"/>
                <w:rFonts w:hint="eastAsia" w:ascii="宋体" w:hAnsi="宋体" w:eastAsia="宋体" w:cs="宋体"/>
                <w:b w:val="0"/>
                <w:bCs w:val="0"/>
                <w:color w:val="auto"/>
                <w:sz w:val="18"/>
                <w:szCs w:val="18"/>
                <w:lang w:bidi="ar"/>
              </w:rPr>
              <w:t>万元以下罚款</w:t>
            </w:r>
          </w:p>
        </w:tc>
        <w:tc>
          <w:tcPr>
            <w:tcW w:w="739" w:type="dxa"/>
            <w:vMerge w:val="continue"/>
            <w:tcBorders>
              <w:left w:val="single" w:color="auto" w:sz="4" w:space="0"/>
              <w:right w:val="single" w:color="auto" w:sz="4" w:space="0"/>
            </w:tcBorders>
            <w:noWrap w:val="0"/>
            <w:tcMar>
              <w:top w:w="0" w:type="dxa"/>
              <w:left w:w="0" w:type="dxa"/>
              <w:bottom w:w="0" w:type="dxa"/>
              <w:right w:w="0" w:type="dxa"/>
            </w:tcMar>
            <w:vAlign w:val="center"/>
          </w:tcPr>
          <w:p w14:paraId="76DFE044">
            <w:pPr>
              <w:spacing w:line="240" w:lineRule="exact"/>
              <w:jc w:val="center"/>
              <w:rPr>
                <w:rStyle w:val="21"/>
                <w:rFonts w:hint="eastAsia" w:ascii="宋体" w:hAnsi="宋体" w:eastAsia="宋体" w:cs="宋体"/>
                <w:b w:val="0"/>
                <w:bCs w:val="0"/>
                <w:color w:val="auto"/>
                <w:sz w:val="18"/>
                <w:szCs w:val="18"/>
                <w:lang w:bidi="ar"/>
              </w:rPr>
            </w:pPr>
          </w:p>
        </w:tc>
      </w:tr>
      <w:tr w14:paraId="63D23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74" w:type="dxa"/>
            <w:vMerge w:val="continue"/>
            <w:tcBorders>
              <w:left w:val="single" w:color="auto" w:sz="4" w:space="0"/>
              <w:right w:val="single" w:color="auto" w:sz="4" w:space="0"/>
            </w:tcBorders>
            <w:noWrap w:val="0"/>
            <w:tcMar>
              <w:top w:w="0" w:type="dxa"/>
              <w:left w:w="0" w:type="dxa"/>
              <w:bottom w:w="0" w:type="dxa"/>
              <w:right w:w="0" w:type="dxa"/>
            </w:tcMar>
            <w:vAlign w:val="center"/>
          </w:tcPr>
          <w:p w14:paraId="307B084D">
            <w:pPr>
              <w:spacing w:line="240" w:lineRule="exact"/>
              <w:jc w:val="center"/>
              <w:rPr>
                <w:rFonts w:hint="eastAsia" w:ascii="宋体" w:hAnsi="宋体" w:eastAsia="宋体" w:cs="宋体"/>
                <w:b w:val="0"/>
                <w:bCs w:val="0"/>
                <w:sz w:val="18"/>
                <w:szCs w:val="18"/>
              </w:rPr>
            </w:pPr>
          </w:p>
        </w:tc>
        <w:tc>
          <w:tcPr>
            <w:tcW w:w="1236" w:type="dxa"/>
            <w:vMerge w:val="continue"/>
            <w:tcBorders>
              <w:left w:val="single" w:color="auto" w:sz="4" w:space="0"/>
              <w:right w:val="single" w:color="auto" w:sz="4" w:space="0"/>
            </w:tcBorders>
            <w:noWrap w:val="0"/>
            <w:tcMar>
              <w:top w:w="0" w:type="dxa"/>
              <w:left w:w="0" w:type="dxa"/>
              <w:bottom w:w="0" w:type="dxa"/>
              <w:right w:w="0" w:type="dxa"/>
            </w:tcMar>
            <w:vAlign w:val="center"/>
          </w:tcPr>
          <w:p w14:paraId="3B485788">
            <w:pPr>
              <w:widowControl/>
              <w:spacing w:line="240" w:lineRule="exact"/>
              <w:textAlignment w:val="center"/>
              <w:rPr>
                <w:rFonts w:hint="eastAsia" w:ascii="宋体" w:hAnsi="宋体" w:eastAsia="宋体" w:cs="宋体"/>
                <w:b w:val="0"/>
                <w:bCs w:val="0"/>
                <w:kern w:val="0"/>
                <w:sz w:val="18"/>
                <w:szCs w:val="18"/>
                <w:lang w:bidi="ar"/>
              </w:rPr>
            </w:pPr>
          </w:p>
        </w:tc>
        <w:tc>
          <w:tcPr>
            <w:tcW w:w="6027" w:type="dxa"/>
            <w:vMerge w:val="continue"/>
            <w:tcBorders>
              <w:left w:val="single" w:color="auto" w:sz="4" w:space="0"/>
              <w:right w:val="single" w:color="auto" w:sz="4" w:space="0"/>
            </w:tcBorders>
            <w:noWrap w:val="0"/>
            <w:tcMar>
              <w:top w:w="0" w:type="dxa"/>
              <w:left w:w="0" w:type="dxa"/>
              <w:bottom w:w="0" w:type="dxa"/>
              <w:right w:w="0" w:type="dxa"/>
            </w:tcMar>
            <w:vAlign w:val="center"/>
          </w:tcPr>
          <w:p w14:paraId="78693AB4">
            <w:pPr>
              <w:widowControl/>
              <w:spacing w:line="240" w:lineRule="exact"/>
              <w:ind w:firstLine="360" w:firstLineChars="200"/>
              <w:textAlignment w:val="center"/>
              <w:rPr>
                <w:rFonts w:hint="eastAsia" w:ascii="宋体" w:hAnsi="宋体" w:eastAsia="宋体" w:cs="宋体"/>
                <w:b w:val="0"/>
                <w:bCs w:val="0"/>
                <w:kern w:val="0"/>
                <w:sz w:val="18"/>
                <w:szCs w:val="18"/>
                <w:lang w:bidi="ar"/>
              </w:rPr>
            </w:pPr>
          </w:p>
        </w:tc>
        <w:tc>
          <w:tcPr>
            <w:tcW w:w="1849" w:type="dxa"/>
            <w:vMerge w:val="continue"/>
            <w:tcBorders>
              <w:left w:val="single" w:color="auto" w:sz="4" w:space="0"/>
              <w:right w:val="single" w:color="auto" w:sz="4" w:space="0"/>
            </w:tcBorders>
            <w:noWrap w:val="0"/>
            <w:tcMar>
              <w:top w:w="0" w:type="dxa"/>
              <w:left w:w="0" w:type="dxa"/>
              <w:bottom w:w="0" w:type="dxa"/>
              <w:right w:w="0" w:type="dxa"/>
            </w:tcMar>
            <w:vAlign w:val="center"/>
          </w:tcPr>
          <w:p w14:paraId="2D1058A9">
            <w:pPr>
              <w:spacing w:line="240" w:lineRule="exact"/>
              <w:jc w:val="both"/>
              <w:rPr>
                <w:rFonts w:hint="eastAsia" w:ascii="宋体" w:hAnsi="宋体" w:eastAsia="宋体" w:cs="宋体"/>
                <w:b w:val="0"/>
                <w:bCs w:val="0"/>
                <w:sz w:val="18"/>
                <w:szCs w:val="18"/>
              </w:rPr>
            </w:pPr>
          </w:p>
        </w:tc>
        <w:tc>
          <w:tcPr>
            <w:tcW w:w="51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A3661C5">
            <w:pPr>
              <w:spacing w:line="240" w:lineRule="exact"/>
              <w:jc w:val="center"/>
              <w:rPr>
                <w:rFonts w:hint="eastAsia" w:ascii="宋体" w:hAnsi="宋体" w:eastAsia="宋体" w:cs="宋体"/>
                <w:b w:val="0"/>
                <w:bCs w:val="0"/>
                <w:sz w:val="18"/>
                <w:szCs w:val="18"/>
                <w:lang w:eastAsia="zh-CN"/>
              </w:rPr>
            </w:pPr>
            <w:r>
              <w:rPr>
                <w:rFonts w:hint="eastAsia" w:ascii="宋体" w:hAnsi="宋体" w:eastAsia="宋体" w:cs="宋体"/>
                <w:b w:val="0"/>
                <w:bCs w:val="0"/>
                <w:sz w:val="18"/>
                <w:szCs w:val="18"/>
                <w:lang w:eastAsia="zh-CN"/>
              </w:rPr>
              <w:t>较重</w:t>
            </w:r>
          </w:p>
        </w:tc>
        <w:tc>
          <w:tcPr>
            <w:tcW w:w="242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9B1E9E5">
            <w:pPr>
              <w:spacing w:line="240" w:lineRule="exact"/>
              <w:rPr>
                <w:rFonts w:hint="eastAsia" w:ascii="宋体" w:hAnsi="宋体" w:eastAsia="宋体" w:cs="宋体"/>
                <w:b w:val="0"/>
                <w:bCs w:val="0"/>
                <w:sz w:val="18"/>
                <w:szCs w:val="18"/>
                <w:lang w:bidi="ar"/>
              </w:rPr>
            </w:pPr>
            <w:r>
              <w:rPr>
                <w:rStyle w:val="21"/>
                <w:rFonts w:hint="eastAsia" w:ascii="宋体" w:hAnsi="宋体" w:eastAsia="宋体" w:cs="宋体"/>
                <w:b w:val="0"/>
                <w:bCs w:val="0"/>
                <w:color w:val="auto"/>
                <w:sz w:val="18"/>
                <w:szCs w:val="18"/>
                <w:lang w:bidi="ar"/>
              </w:rPr>
              <w:t>围湖造地、围垦河道面积在</w:t>
            </w:r>
            <w:r>
              <w:rPr>
                <w:rStyle w:val="21"/>
                <w:rFonts w:hint="eastAsia" w:ascii="宋体" w:hAnsi="宋体" w:eastAsia="宋体" w:cs="宋体"/>
                <w:b w:val="0"/>
                <w:bCs w:val="0"/>
                <w:color w:val="auto"/>
                <w:sz w:val="18"/>
                <w:szCs w:val="18"/>
                <w:lang w:val="en-US" w:eastAsia="zh-CN" w:bidi="ar"/>
              </w:rPr>
              <w:t>300</w:t>
            </w:r>
            <w:r>
              <w:rPr>
                <w:rStyle w:val="21"/>
                <w:rFonts w:hint="eastAsia" w:ascii="宋体" w:hAnsi="宋体" w:eastAsia="宋体" w:cs="宋体"/>
                <w:b w:val="0"/>
                <w:bCs w:val="0"/>
                <w:color w:val="auto"/>
                <w:sz w:val="18"/>
                <w:szCs w:val="18"/>
                <w:lang w:bidi="ar"/>
              </w:rPr>
              <w:t>平方米以上的</w:t>
            </w:r>
          </w:p>
        </w:tc>
        <w:tc>
          <w:tcPr>
            <w:tcW w:w="1628"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EE04B55">
            <w:pPr>
              <w:spacing w:line="240" w:lineRule="exact"/>
              <w:rPr>
                <w:rFonts w:hint="eastAsia" w:ascii="宋体" w:hAnsi="宋体" w:eastAsia="宋体" w:cs="宋体"/>
                <w:b w:val="0"/>
                <w:bCs w:val="0"/>
                <w:sz w:val="18"/>
                <w:szCs w:val="18"/>
                <w:lang w:bidi="ar"/>
              </w:rPr>
            </w:pPr>
            <w:r>
              <w:rPr>
                <w:rStyle w:val="21"/>
                <w:rFonts w:hint="eastAsia" w:ascii="宋体" w:hAnsi="宋体" w:eastAsia="宋体" w:cs="宋体"/>
                <w:b w:val="0"/>
                <w:bCs w:val="0"/>
                <w:color w:val="auto"/>
                <w:sz w:val="18"/>
                <w:szCs w:val="18"/>
                <w:lang w:bidi="ar"/>
              </w:rPr>
              <w:t>处</w:t>
            </w:r>
            <w:r>
              <w:rPr>
                <w:rStyle w:val="21"/>
                <w:rFonts w:hint="eastAsia" w:ascii="宋体" w:hAnsi="宋体" w:eastAsia="宋体" w:cs="宋体"/>
                <w:b w:val="0"/>
                <w:bCs w:val="0"/>
                <w:color w:val="auto"/>
                <w:sz w:val="18"/>
                <w:szCs w:val="18"/>
                <w:lang w:val="en-US" w:eastAsia="zh-CN" w:bidi="ar"/>
              </w:rPr>
              <w:t>3</w:t>
            </w:r>
            <w:r>
              <w:rPr>
                <w:rStyle w:val="21"/>
                <w:rFonts w:hint="eastAsia" w:ascii="宋体" w:hAnsi="宋体" w:eastAsia="宋体" w:cs="宋体"/>
                <w:b w:val="0"/>
                <w:bCs w:val="0"/>
                <w:color w:val="auto"/>
                <w:sz w:val="18"/>
                <w:szCs w:val="18"/>
                <w:lang w:bidi="ar"/>
              </w:rPr>
              <w:t>万元以上</w:t>
            </w:r>
            <w:r>
              <w:rPr>
                <w:rStyle w:val="21"/>
                <w:rFonts w:hint="eastAsia" w:ascii="宋体" w:hAnsi="宋体" w:eastAsia="宋体" w:cs="宋体"/>
                <w:b w:val="0"/>
                <w:bCs w:val="0"/>
                <w:color w:val="auto"/>
                <w:sz w:val="18"/>
                <w:szCs w:val="18"/>
                <w:lang w:val="en-US" w:eastAsia="zh-CN" w:bidi="ar"/>
              </w:rPr>
              <w:t>5</w:t>
            </w:r>
            <w:r>
              <w:rPr>
                <w:rStyle w:val="21"/>
                <w:rFonts w:hint="eastAsia" w:ascii="宋体" w:hAnsi="宋体" w:eastAsia="宋体" w:cs="宋体"/>
                <w:b w:val="0"/>
                <w:bCs w:val="0"/>
                <w:color w:val="auto"/>
                <w:sz w:val="18"/>
                <w:szCs w:val="18"/>
                <w:lang w:bidi="ar"/>
              </w:rPr>
              <w:t>万元以下罚款</w:t>
            </w:r>
          </w:p>
        </w:tc>
        <w:tc>
          <w:tcPr>
            <w:tcW w:w="739" w:type="dxa"/>
            <w:vMerge w:val="continue"/>
            <w:tcBorders>
              <w:left w:val="single" w:color="auto" w:sz="4" w:space="0"/>
              <w:right w:val="single" w:color="auto" w:sz="4" w:space="0"/>
            </w:tcBorders>
            <w:noWrap w:val="0"/>
            <w:tcMar>
              <w:top w:w="0" w:type="dxa"/>
              <w:left w:w="0" w:type="dxa"/>
              <w:bottom w:w="0" w:type="dxa"/>
              <w:right w:w="0" w:type="dxa"/>
            </w:tcMar>
            <w:vAlign w:val="center"/>
          </w:tcPr>
          <w:p w14:paraId="5145BF42">
            <w:pPr>
              <w:spacing w:line="240" w:lineRule="exact"/>
              <w:jc w:val="center"/>
              <w:rPr>
                <w:rStyle w:val="21"/>
                <w:rFonts w:hint="eastAsia" w:ascii="宋体" w:hAnsi="宋体" w:eastAsia="宋体" w:cs="宋体"/>
                <w:b w:val="0"/>
                <w:bCs w:val="0"/>
                <w:color w:val="auto"/>
                <w:sz w:val="18"/>
                <w:szCs w:val="18"/>
                <w:lang w:bidi="ar"/>
              </w:rPr>
            </w:pPr>
          </w:p>
        </w:tc>
      </w:tr>
      <w:tr w14:paraId="4458B4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474" w:type="dxa"/>
            <w:vMerge w:val="continue"/>
            <w:tcBorders>
              <w:left w:val="single" w:color="auto" w:sz="4" w:space="0"/>
              <w:right w:val="single" w:color="auto" w:sz="4" w:space="0"/>
            </w:tcBorders>
            <w:noWrap w:val="0"/>
            <w:tcMar>
              <w:top w:w="0" w:type="dxa"/>
              <w:left w:w="0" w:type="dxa"/>
              <w:bottom w:w="0" w:type="dxa"/>
              <w:right w:w="0" w:type="dxa"/>
            </w:tcMar>
            <w:vAlign w:val="center"/>
          </w:tcPr>
          <w:p w14:paraId="1D69C3FE">
            <w:pPr>
              <w:spacing w:line="240" w:lineRule="exact"/>
              <w:jc w:val="center"/>
              <w:rPr>
                <w:rFonts w:hint="eastAsia" w:ascii="宋体" w:hAnsi="宋体" w:eastAsia="宋体" w:cs="宋体"/>
                <w:b w:val="0"/>
                <w:bCs w:val="0"/>
                <w:sz w:val="18"/>
                <w:szCs w:val="18"/>
              </w:rPr>
            </w:pPr>
          </w:p>
        </w:tc>
        <w:tc>
          <w:tcPr>
            <w:tcW w:w="1236" w:type="dxa"/>
            <w:vMerge w:val="continue"/>
            <w:tcBorders>
              <w:left w:val="single" w:color="auto" w:sz="4" w:space="0"/>
              <w:right w:val="single" w:color="auto" w:sz="4" w:space="0"/>
            </w:tcBorders>
            <w:noWrap w:val="0"/>
            <w:tcMar>
              <w:top w:w="0" w:type="dxa"/>
              <w:left w:w="0" w:type="dxa"/>
              <w:bottom w:w="0" w:type="dxa"/>
              <w:right w:w="0" w:type="dxa"/>
            </w:tcMar>
            <w:vAlign w:val="center"/>
          </w:tcPr>
          <w:p w14:paraId="233813EF">
            <w:pPr>
              <w:widowControl/>
              <w:spacing w:line="240" w:lineRule="exact"/>
              <w:textAlignment w:val="center"/>
              <w:rPr>
                <w:rFonts w:hint="eastAsia" w:ascii="宋体" w:hAnsi="宋体" w:eastAsia="宋体" w:cs="宋体"/>
                <w:b w:val="0"/>
                <w:bCs w:val="0"/>
                <w:kern w:val="0"/>
                <w:sz w:val="18"/>
                <w:szCs w:val="18"/>
                <w:lang w:bidi="ar"/>
              </w:rPr>
            </w:pPr>
          </w:p>
        </w:tc>
        <w:tc>
          <w:tcPr>
            <w:tcW w:w="6027" w:type="dxa"/>
            <w:vMerge w:val="continue"/>
            <w:tcBorders>
              <w:left w:val="single" w:color="auto" w:sz="4" w:space="0"/>
              <w:right w:val="single" w:color="auto" w:sz="4" w:space="0"/>
            </w:tcBorders>
            <w:noWrap w:val="0"/>
            <w:tcMar>
              <w:top w:w="0" w:type="dxa"/>
              <w:left w:w="0" w:type="dxa"/>
              <w:bottom w:w="0" w:type="dxa"/>
              <w:right w:w="0" w:type="dxa"/>
            </w:tcMar>
            <w:vAlign w:val="center"/>
          </w:tcPr>
          <w:p w14:paraId="16C09E8E">
            <w:pPr>
              <w:widowControl/>
              <w:spacing w:line="240" w:lineRule="exact"/>
              <w:ind w:firstLine="360" w:firstLineChars="200"/>
              <w:textAlignment w:val="center"/>
              <w:rPr>
                <w:rFonts w:hint="eastAsia" w:ascii="宋体" w:hAnsi="宋体" w:eastAsia="宋体" w:cs="宋体"/>
                <w:b w:val="0"/>
                <w:bCs w:val="0"/>
                <w:kern w:val="0"/>
                <w:sz w:val="18"/>
                <w:szCs w:val="18"/>
                <w:lang w:bidi="ar"/>
              </w:rPr>
            </w:pPr>
          </w:p>
        </w:tc>
        <w:tc>
          <w:tcPr>
            <w:tcW w:w="1849" w:type="dxa"/>
            <w:vMerge w:val="continue"/>
            <w:tcBorders>
              <w:left w:val="single" w:color="auto" w:sz="4" w:space="0"/>
              <w:right w:val="single" w:color="auto" w:sz="4" w:space="0"/>
            </w:tcBorders>
            <w:noWrap w:val="0"/>
            <w:tcMar>
              <w:top w:w="0" w:type="dxa"/>
              <w:left w:w="0" w:type="dxa"/>
              <w:bottom w:w="0" w:type="dxa"/>
              <w:right w:w="0" w:type="dxa"/>
            </w:tcMar>
            <w:vAlign w:val="center"/>
          </w:tcPr>
          <w:p w14:paraId="3E2153B2">
            <w:pPr>
              <w:spacing w:line="240" w:lineRule="exact"/>
              <w:jc w:val="both"/>
              <w:rPr>
                <w:rFonts w:hint="eastAsia" w:ascii="宋体" w:hAnsi="宋体" w:eastAsia="宋体" w:cs="宋体"/>
                <w:b w:val="0"/>
                <w:bCs w:val="0"/>
                <w:sz w:val="18"/>
                <w:szCs w:val="18"/>
              </w:rPr>
            </w:pPr>
          </w:p>
        </w:tc>
        <w:tc>
          <w:tcPr>
            <w:tcW w:w="51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20DAB30">
            <w:pPr>
              <w:spacing w:line="240" w:lineRule="exact"/>
              <w:jc w:val="center"/>
              <w:rPr>
                <w:rFonts w:hint="eastAsia" w:ascii="宋体" w:hAnsi="宋体" w:eastAsia="宋体" w:cs="宋体"/>
                <w:b w:val="0"/>
                <w:bCs w:val="0"/>
                <w:sz w:val="18"/>
                <w:szCs w:val="18"/>
              </w:rPr>
            </w:pPr>
            <w:r>
              <w:rPr>
                <w:rFonts w:hint="eastAsia" w:ascii="宋体" w:hAnsi="宋体" w:eastAsia="宋体" w:cs="宋体"/>
                <w:b w:val="0"/>
                <w:bCs w:val="0"/>
                <w:sz w:val="18"/>
                <w:szCs w:val="18"/>
              </w:rPr>
              <w:t>严重</w:t>
            </w:r>
          </w:p>
        </w:tc>
        <w:tc>
          <w:tcPr>
            <w:tcW w:w="242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27757FC">
            <w:pPr>
              <w:spacing w:line="240" w:lineRule="exact"/>
              <w:rPr>
                <w:rFonts w:hint="eastAsia" w:ascii="宋体" w:hAnsi="宋体" w:eastAsia="宋体" w:cs="宋体"/>
                <w:b w:val="0"/>
                <w:bCs w:val="0"/>
                <w:sz w:val="18"/>
                <w:szCs w:val="18"/>
                <w:lang w:bidi="ar"/>
              </w:rPr>
            </w:pPr>
            <w:r>
              <w:rPr>
                <w:rStyle w:val="21"/>
                <w:rFonts w:hint="eastAsia" w:ascii="宋体" w:hAnsi="宋体" w:eastAsia="宋体" w:cs="宋体"/>
                <w:b w:val="0"/>
                <w:bCs w:val="0"/>
                <w:color w:val="auto"/>
                <w:sz w:val="18"/>
                <w:szCs w:val="18"/>
                <w:lang w:bidi="ar"/>
              </w:rPr>
              <w:t>拒不停止违法行为，不恢复原状，不采取其它补救措施的</w:t>
            </w:r>
          </w:p>
        </w:tc>
        <w:tc>
          <w:tcPr>
            <w:tcW w:w="1628"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739F9D2">
            <w:pPr>
              <w:spacing w:line="240" w:lineRule="exact"/>
              <w:rPr>
                <w:rFonts w:hint="eastAsia" w:ascii="宋体" w:hAnsi="宋体" w:eastAsia="宋体" w:cs="宋体"/>
                <w:b w:val="0"/>
                <w:bCs w:val="0"/>
                <w:sz w:val="18"/>
                <w:szCs w:val="18"/>
                <w:lang w:bidi="ar"/>
              </w:rPr>
            </w:pPr>
            <w:r>
              <w:rPr>
                <w:rStyle w:val="21"/>
                <w:rFonts w:hint="eastAsia" w:ascii="宋体" w:hAnsi="宋体" w:eastAsia="宋体" w:cs="宋体"/>
                <w:b w:val="0"/>
                <w:bCs w:val="0"/>
                <w:color w:val="auto"/>
                <w:sz w:val="18"/>
                <w:szCs w:val="18"/>
                <w:lang w:bidi="ar"/>
              </w:rPr>
              <w:t>处</w:t>
            </w:r>
            <w:r>
              <w:rPr>
                <w:rStyle w:val="21"/>
                <w:rFonts w:hint="eastAsia" w:ascii="宋体" w:hAnsi="宋体" w:eastAsia="宋体" w:cs="宋体"/>
                <w:b w:val="0"/>
                <w:bCs w:val="0"/>
                <w:color w:val="auto"/>
                <w:sz w:val="18"/>
                <w:szCs w:val="18"/>
                <w:lang w:val="en-US" w:eastAsia="zh-CN" w:bidi="ar"/>
              </w:rPr>
              <w:t>5</w:t>
            </w:r>
            <w:r>
              <w:rPr>
                <w:rStyle w:val="21"/>
                <w:rFonts w:hint="eastAsia" w:ascii="宋体" w:hAnsi="宋体" w:eastAsia="宋体" w:cs="宋体"/>
                <w:b w:val="0"/>
                <w:bCs w:val="0"/>
                <w:color w:val="auto"/>
                <w:sz w:val="18"/>
                <w:szCs w:val="18"/>
                <w:lang w:bidi="ar"/>
              </w:rPr>
              <w:t>万元罚款</w:t>
            </w:r>
          </w:p>
        </w:tc>
        <w:tc>
          <w:tcPr>
            <w:tcW w:w="739" w:type="dxa"/>
            <w:vMerge w:val="continue"/>
            <w:tcBorders>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BE68DE4">
            <w:pPr>
              <w:spacing w:line="240" w:lineRule="exact"/>
              <w:jc w:val="center"/>
              <w:rPr>
                <w:rStyle w:val="21"/>
                <w:rFonts w:hint="eastAsia" w:ascii="宋体" w:hAnsi="宋体" w:eastAsia="宋体" w:cs="宋体"/>
                <w:b w:val="0"/>
                <w:bCs w:val="0"/>
                <w:color w:val="auto"/>
                <w:sz w:val="18"/>
                <w:szCs w:val="18"/>
                <w:lang w:bidi="ar"/>
              </w:rPr>
            </w:pPr>
          </w:p>
        </w:tc>
      </w:tr>
      <w:tr w14:paraId="4338A3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74" w:type="dxa"/>
            <w:vMerge w:val="restart"/>
            <w:tcBorders>
              <w:left w:val="single" w:color="auto" w:sz="4" w:space="0"/>
              <w:right w:val="single" w:color="auto" w:sz="4" w:space="0"/>
            </w:tcBorders>
            <w:noWrap w:val="0"/>
            <w:tcMar>
              <w:top w:w="0" w:type="dxa"/>
              <w:left w:w="0" w:type="dxa"/>
              <w:bottom w:w="0" w:type="dxa"/>
              <w:right w:w="0" w:type="dxa"/>
            </w:tcMar>
            <w:vAlign w:val="center"/>
          </w:tcPr>
          <w:p w14:paraId="20A92575">
            <w:pPr>
              <w:widowControl/>
              <w:spacing w:line="240" w:lineRule="exact"/>
              <w:jc w:val="center"/>
              <w:textAlignment w:val="center"/>
              <w:rPr>
                <w:rFonts w:hint="eastAsia" w:ascii="宋体" w:hAnsi="宋体" w:eastAsia="宋体" w:cs="宋体"/>
                <w:b w:val="0"/>
                <w:bCs w:val="0"/>
                <w:sz w:val="18"/>
                <w:szCs w:val="18"/>
              </w:rPr>
            </w:pPr>
            <w:r>
              <w:rPr>
                <w:rFonts w:hint="eastAsia" w:ascii="宋体" w:hAnsi="宋体" w:eastAsia="宋体" w:cs="宋体"/>
                <w:b w:val="0"/>
                <w:bCs w:val="0"/>
                <w:kern w:val="0"/>
                <w:sz w:val="18"/>
                <w:szCs w:val="18"/>
                <w:lang w:bidi="ar"/>
              </w:rPr>
              <w:t>2</w:t>
            </w:r>
            <w:r>
              <w:rPr>
                <w:rFonts w:hint="eastAsia" w:ascii="宋体" w:hAnsi="宋体" w:eastAsia="宋体" w:cs="宋体"/>
                <w:b w:val="0"/>
                <w:bCs w:val="0"/>
                <w:kern w:val="0"/>
                <w:sz w:val="18"/>
                <w:szCs w:val="18"/>
                <w:lang w:val="en-US" w:eastAsia="zh-CN" w:bidi="ar"/>
              </w:rPr>
              <w:t>8</w:t>
            </w:r>
          </w:p>
        </w:tc>
        <w:tc>
          <w:tcPr>
            <w:tcW w:w="1236" w:type="dxa"/>
            <w:vMerge w:val="restart"/>
            <w:tcBorders>
              <w:left w:val="single" w:color="auto" w:sz="4" w:space="0"/>
              <w:right w:val="single" w:color="auto" w:sz="4" w:space="0"/>
            </w:tcBorders>
            <w:noWrap w:val="0"/>
            <w:tcMar>
              <w:top w:w="0" w:type="dxa"/>
              <w:left w:w="0" w:type="dxa"/>
              <w:bottom w:w="0" w:type="dxa"/>
              <w:right w:w="0" w:type="dxa"/>
            </w:tcMar>
            <w:vAlign w:val="center"/>
          </w:tcPr>
          <w:p w14:paraId="06481FA2">
            <w:pPr>
              <w:widowControl/>
              <w:spacing w:line="280" w:lineRule="exact"/>
              <w:jc w:val="both"/>
              <w:textAlignment w:val="center"/>
              <w:rPr>
                <w:rFonts w:hint="eastAsia" w:ascii="宋体" w:hAnsi="宋体" w:eastAsia="宋体" w:cs="宋体"/>
                <w:b w:val="0"/>
                <w:bCs w:val="0"/>
                <w:kern w:val="0"/>
                <w:sz w:val="18"/>
                <w:szCs w:val="18"/>
                <w:lang w:bidi="ar"/>
              </w:rPr>
            </w:pPr>
            <w:r>
              <w:rPr>
                <w:rFonts w:hint="eastAsia" w:ascii="宋体" w:hAnsi="宋体" w:eastAsia="宋体" w:cs="宋体"/>
                <w:b w:val="0"/>
                <w:bCs w:val="0"/>
                <w:kern w:val="0"/>
                <w:sz w:val="18"/>
                <w:szCs w:val="18"/>
                <w:lang w:bidi="ar"/>
              </w:rPr>
              <w:t>对未经批准或者不按照河道主管机关的规定在河道管理范围内采砂、取土、淘金、弃置砂石或者淤泥、爆破、钻探、挖筑鱼塘行为的行政处罚</w:t>
            </w:r>
          </w:p>
        </w:tc>
        <w:tc>
          <w:tcPr>
            <w:tcW w:w="6027" w:type="dxa"/>
            <w:vMerge w:val="restart"/>
            <w:tcBorders>
              <w:top w:val="single" w:color="auto" w:sz="4" w:space="0"/>
              <w:left w:val="single" w:color="auto" w:sz="4" w:space="0"/>
              <w:right w:val="single" w:color="auto" w:sz="4" w:space="0"/>
            </w:tcBorders>
            <w:noWrap w:val="0"/>
            <w:tcMar>
              <w:top w:w="0" w:type="dxa"/>
              <w:left w:w="0" w:type="dxa"/>
              <w:bottom w:w="0" w:type="dxa"/>
              <w:right w:w="0" w:type="dxa"/>
            </w:tcMar>
            <w:vAlign w:val="center"/>
          </w:tcPr>
          <w:p w14:paraId="313320FF">
            <w:pPr>
              <w:widowControl/>
              <w:spacing w:line="280" w:lineRule="exact"/>
              <w:textAlignment w:val="center"/>
              <w:rPr>
                <w:rFonts w:hint="eastAsia" w:ascii="宋体" w:hAnsi="宋体" w:eastAsia="宋体" w:cs="宋体"/>
                <w:b w:val="0"/>
                <w:bCs w:val="0"/>
                <w:kern w:val="0"/>
                <w:sz w:val="18"/>
                <w:szCs w:val="18"/>
                <w:lang w:bidi="ar"/>
              </w:rPr>
            </w:pPr>
            <w:r>
              <w:rPr>
                <w:rFonts w:hint="eastAsia" w:ascii="宋体" w:hAnsi="宋体" w:eastAsia="宋体" w:cs="宋体"/>
                <w:b w:val="0"/>
                <w:bCs w:val="0"/>
                <w:kern w:val="0"/>
                <w:sz w:val="18"/>
                <w:szCs w:val="18"/>
                <w:lang w:bidi="ar"/>
              </w:rPr>
              <w:t>《中华人民共和国河道管理条例》第四十四条 违反本条例规定，有下列行为之一的，县级以上地方人民政府河道主管机关除责令其纠正违法行为、采取补救措施外，可以并处警告、罚款、没收非法所得；对有关责任人员，由其所在单位或者上级主管机关给予行政处分；构成犯罪的，依法追究刑事责任：</w:t>
            </w:r>
          </w:p>
          <w:p w14:paraId="11D39EED">
            <w:pPr>
              <w:widowControl/>
              <w:spacing w:line="280" w:lineRule="exact"/>
              <w:textAlignment w:val="center"/>
              <w:rPr>
                <w:rFonts w:hint="eastAsia" w:ascii="宋体" w:hAnsi="宋体" w:eastAsia="宋体" w:cs="宋体"/>
                <w:b w:val="0"/>
                <w:bCs w:val="0"/>
                <w:kern w:val="0"/>
                <w:sz w:val="18"/>
                <w:szCs w:val="18"/>
                <w:lang w:bidi="ar"/>
              </w:rPr>
            </w:pPr>
            <w:r>
              <w:rPr>
                <w:rFonts w:hint="eastAsia" w:ascii="宋体" w:hAnsi="宋体" w:eastAsia="宋体" w:cs="宋体"/>
                <w:b w:val="0"/>
                <w:bCs w:val="0"/>
                <w:kern w:val="0"/>
                <w:sz w:val="18"/>
                <w:szCs w:val="18"/>
                <w:lang w:bidi="ar"/>
              </w:rPr>
              <w:t>（四）未经批准或者不按照河道主管机关的规定在河道管理范围内采砂、取土、淘金、弃置砂石或者淤泥、爆破、钻探、挖筑鱼塘的。</w:t>
            </w:r>
          </w:p>
          <w:p w14:paraId="69DA1574">
            <w:pPr>
              <w:widowControl/>
              <w:spacing w:line="280" w:lineRule="exact"/>
              <w:textAlignment w:val="center"/>
              <w:rPr>
                <w:rFonts w:hint="eastAsia" w:ascii="宋体" w:hAnsi="宋体" w:eastAsia="宋体" w:cs="宋体"/>
                <w:b w:val="0"/>
                <w:bCs w:val="0"/>
                <w:kern w:val="0"/>
                <w:sz w:val="18"/>
                <w:szCs w:val="18"/>
                <w:lang w:bidi="ar"/>
              </w:rPr>
            </w:pPr>
            <w:r>
              <w:rPr>
                <w:rFonts w:hint="eastAsia" w:ascii="宋体" w:hAnsi="宋体" w:eastAsia="宋体" w:cs="宋体"/>
                <w:b w:val="0"/>
                <w:bCs w:val="0"/>
                <w:kern w:val="0"/>
                <w:sz w:val="18"/>
                <w:szCs w:val="18"/>
                <w:lang w:bidi="ar"/>
              </w:rPr>
              <w:t>《河北省河湖保护和治理条例》第六十一条 违反本条例第三十四条规定，未经许可从事河道采砂活动的，由县级以上人民政府水行政主管部门责令停止违法行为，限期采取修复补救措施，没收违法所得，并处违法开采砂石价值二倍以上四倍以下的罚款；构成犯罪的，依法追究刑事责任。未按照许可规定从事河道采砂活动的，由县级以上人民政府水行政主管部门责令停止违法行为，限期采取修复补救措施，没收违法所得，并处违法开采砂石价值一倍以上三倍以下的罚款；逾期不采取修复补救措施的，由许可机关吊销河道采砂许可证。</w:t>
            </w:r>
          </w:p>
        </w:tc>
        <w:tc>
          <w:tcPr>
            <w:tcW w:w="1849" w:type="dxa"/>
            <w:vMerge w:val="restart"/>
            <w:tcBorders>
              <w:top w:val="single" w:color="auto" w:sz="4" w:space="0"/>
              <w:left w:val="single" w:color="auto" w:sz="4" w:space="0"/>
              <w:right w:val="single" w:color="auto" w:sz="4" w:space="0"/>
            </w:tcBorders>
            <w:noWrap w:val="0"/>
            <w:tcMar>
              <w:top w:w="0" w:type="dxa"/>
              <w:left w:w="0" w:type="dxa"/>
              <w:bottom w:w="0" w:type="dxa"/>
              <w:right w:w="0" w:type="dxa"/>
            </w:tcMar>
            <w:vAlign w:val="center"/>
          </w:tcPr>
          <w:p w14:paraId="78D8908E">
            <w:pPr>
              <w:spacing w:line="240" w:lineRule="exact"/>
              <w:jc w:val="both"/>
              <w:rPr>
                <w:rFonts w:hint="eastAsia" w:ascii="宋体" w:hAnsi="宋体" w:eastAsia="宋体" w:cs="宋体"/>
                <w:b w:val="0"/>
                <w:bCs w:val="0"/>
                <w:sz w:val="18"/>
                <w:szCs w:val="18"/>
              </w:rPr>
            </w:pPr>
            <w:r>
              <w:rPr>
                <w:rFonts w:hint="eastAsia" w:ascii="宋体" w:hAnsi="宋体" w:eastAsia="宋体" w:cs="宋体"/>
                <w:b w:val="0"/>
                <w:bCs w:val="0"/>
                <w:kern w:val="0"/>
                <w:sz w:val="18"/>
                <w:szCs w:val="18"/>
                <w:lang w:bidi="ar"/>
              </w:rPr>
              <w:t>未经许可从事河道采砂活动的</w:t>
            </w:r>
          </w:p>
        </w:tc>
        <w:tc>
          <w:tcPr>
            <w:tcW w:w="51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31D6C53">
            <w:pPr>
              <w:spacing w:line="240" w:lineRule="exact"/>
              <w:jc w:val="center"/>
              <w:rPr>
                <w:rFonts w:hint="eastAsia" w:ascii="宋体" w:hAnsi="宋体" w:eastAsia="宋体" w:cs="宋体"/>
                <w:b w:val="0"/>
                <w:bCs w:val="0"/>
                <w:sz w:val="18"/>
                <w:szCs w:val="18"/>
              </w:rPr>
            </w:pPr>
            <w:r>
              <w:rPr>
                <w:rFonts w:hint="eastAsia" w:ascii="宋体" w:hAnsi="宋体" w:eastAsia="宋体" w:cs="宋体"/>
                <w:b w:val="0"/>
                <w:bCs w:val="0"/>
                <w:sz w:val="18"/>
                <w:szCs w:val="18"/>
              </w:rPr>
              <w:t>轻微</w:t>
            </w:r>
          </w:p>
        </w:tc>
        <w:tc>
          <w:tcPr>
            <w:tcW w:w="242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185C7E48">
            <w:pPr>
              <w:snapToGrid w:val="0"/>
              <w:spacing w:line="240" w:lineRule="exact"/>
              <mc:AlternateContent>
                <mc:Choice Requires="wpsCustomData">
                  <wpsCustomData:diagonalParaType/>
                </mc:Choice>
              </mc:AlternateContent>
              <w:rPr>
                <w:rStyle w:val="21"/>
                <w:rFonts w:hint="eastAsia" w:ascii="宋体" w:hAnsi="宋体" w:eastAsia="宋体" w:cs="宋体"/>
                <w:b w:val="0"/>
                <w:bCs w:val="0"/>
                <w:color w:val="auto"/>
                <w:sz w:val="18"/>
                <w:szCs w:val="18"/>
                <w:lang w:bidi="ar"/>
              </w:rPr>
            </w:pPr>
          </w:p>
          <w:p w14:paraId="57D6F843">
            <w:pPr>
              <w:spacing w:line="240" w:lineRule="exact"/>
              <w:rPr>
                <w:rStyle w:val="21"/>
                <w:rFonts w:hint="eastAsia" w:ascii="宋体" w:hAnsi="宋体" w:eastAsia="宋体" w:cs="宋体"/>
                <w:b w:val="0"/>
                <w:bCs w:val="0"/>
                <w:color w:val="auto"/>
                <w:sz w:val="18"/>
                <w:szCs w:val="18"/>
                <w:lang w:bidi="ar"/>
              </w:rPr>
            </w:pPr>
          </w:p>
        </w:tc>
        <w:tc>
          <w:tcPr>
            <w:tcW w:w="1628"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51FD0DA8">
            <w:pPr>
              <w:snapToGrid w:val="0"/>
              <w:spacing w:line="240" w:lineRule="exact"/>
              <mc:AlternateContent>
                <mc:Choice Requires="wpsCustomData">
                  <wpsCustomData:diagonalParaType/>
                </mc:Choice>
              </mc:AlternateContent>
              <w:rPr>
                <w:rStyle w:val="21"/>
                <w:rFonts w:hint="eastAsia" w:ascii="宋体" w:hAnsi="宋体" w:eastAsia="宋体" w:cs="宋体"/>
                <w:b w:val="0"/>
                <w:bCs w:val="0"/>
                <w:color w:val="auto"/>
                <w:sz w:val="18"/>
                <w:szCs w:val="18"/>
                <w:lang w:bidi="ar"/>
              </w:rPr>
            </w:pPr>
          </w:p>
          <w:p w14:paraId="0C4A7821">
            <w:pPr>
              <w:spacing w:line="240" w:lineRule="exact"/>
              <w:rPr>
                <w:rStyle w:val="21"/>
                <w:rFonts w:hint="eastAsia" w:ascii="宋体" w:hAnsi="宋体" w:eastAsia="宋体" w:cs="宋体"/>
                <w:b w:val="0"/>
                <w:bCs w:val="0"/>
                <w:color w:val="auto"/>
                <w:sz w:val="18"/>
                <w:szCs w:val="18"/>
                <w:lang w:bidi="ar"/>
              </w:rPr>
            </w:pPr>
          </w:p>
        </w:tc>
        <w:tc>
          <w:tcPr>
            <w:tcW w:w="739" w:type="dxa"/>
            <w:vMerge w:val="restart"/>
            <w:tcBorders>
              <w:top w:val="single" w:color="auto" w:sz="4" w:space="0"/>
              <w:left w:val="single" w:color="auto" w:sz="4" w:space="0"/>
              <w:right w:val="single" w:color="auto" w:sz="4" w:space="0"/>
            </w:tcBorders>
            <w:noWrap w:val="0"/>
            <w:tcMar>
              <w:top w:w="0" w:type="dxa"/>
              <w:left w:w="0" w:type="dxa"/>
              <w:bottom w:w="0" w:type="dxa"/>
              <w:right w:w="0" w:type="dxa"/>
            </w:tcMar>
            <w:vAlign w:val="center"/>
          </w:tcPr>
          <w:p w14:paraId="52E5B3A4">
            <w:pPr>
              <w:spacing w:line="240" w:lineRule="exact"/>
              <w:jc w:val="center"/>
              <w:rPr>
                <w:rStyle w:val="21"/>
                <w:rFonts w:hint="eastAsia" w:ascii="宋体" w:hAnsi="宋体" w:eastAsia="宋体" w:cs="宋体"/>
                <w:b w:val="0"/>
                <w:bCs w:val="0"/>
                <w:color w:val="auto"/>
                <w:sz w:val="18"/>
                <w:szCs w:val="18"/>
                <w:lang w:bidi="ar"/>
              </w:rPr>
            </w:pPr>
          </w:p>
        </w:tc>
      </w:tr>
      <w:tr w14:paraId="27F711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74" w:type="dxa"/>
            <w:vMerge w:val="continue"/>
            <w:tcBorders>
              <w:left w:val="single" w:color="auto" w:sz="4" w:space="0"/>
              <w:right w:val="single" w:color="auto" w:sz="4" w:space="0"/>
            </w:tcBorders>
            <w:noWrap w:val="0"/>
            <w:tcMar>
              <w:top w:w="0" w:type="dxa"/>
              <w:left w:w="0" w:type="dxa"/>
              <w:bottom w:w="0" w:type="dxa"/>
              <w:right w:w="0" w:type="dxa"/>
            </w:tcMar>
            <w:vAlign w:val="center"/>
          </w:tcPr>
          <w:p w14:paraId="4337D765">
            <w:pPr>
              <w:widowControl/>
              <w:spacing w:line="240" w:lineRule="exact"/>
              <w:jc w:val="center"/>
              <w:textAlignment w:val="center"/>
              <w:rPr>
                <w:rFonts w:hint="eastAsia" w:ascii="宋体" w:hAnsi="宋体" w:eastAsia="宋体" w:cs="宋体"/>
                <w:b w:val="0"/>
                <w:bCs w:val="0"/>
                <w:sz w:val="18"/>
                <w:szCs w:val="18"/>
              </w:rPr>
            </w:pPr>
          </w:p>
        </w:tc>
        <w:tc>
          <w:tcPr>
            <w:tcW w:w="1236" w:type="dxa"/>
            <w:vMerge w:val="continue"/>
            <w:tcBorders>
              <w:left w:val="single" w:color="auto" w:sz="4" w:space="0"/>
              <w:right w:val="single" w:color="auto" w:sz="4" w:space="0"/>
            </w:tcBorders>
            <w:noWrap w:val="0"/>
            <w:tcMar>
              <w:top w:w="0" w:type="dxa"/>
              <w:left w:w="0" w:type="dxa"/>
              <w:bottom w:w="0" w:type="dxa"/>
              <w:right w:w="0" w:type="dxa"/>
            </w:tcMar>
            <w:vAlign w:val="center"/>
          </w:tcPr>
          <w:p w14:paraId="6024CB1B">
            <w:pPr>
              <w:widowControl/>
              <w:spacing w:line="240" w:lineRule="exact"/>
              <w:jc w:val="both"/>
              <w:textAlignment w:val="center"/>
              <w:rPr>
                <w:rFonts w:hint="eastAsia" w:ascii="宋体" w:hAnsi="宋体" w:eastAsia="宋体" w:cs="宋体"/>
                <w:b w:val="0"/>
                <w:bCs w:val="0"/>
                <w:kern w:val="0"/>
                <w:sz w:val="18"/>
                <w:szCs w:val="18"/>
                <w:lang w:bidi="ar"/>
              </w:rPr>
            </w:pPr>
          </w:p>
        </w:tc>
        <w:tc>
          <w:tcPr>
            <w:tcW w:w="6027" w:type="dxa"/>
            <w:vMerge w:val="continue"/>
            <w:tcBorders>
              <w:left w:val="single" w:color="auto" w:sz="4" w:space="0"/>
              <w:right w:val="single" w:color="auto" w:sz="4" w:space="0"/>
            </w:tcBorders>
            <w:noWrap w:val="0"/>
            <w:tcMar>
              <w:top w:w="0" w:type="dxa"/>
              <w:left w:w="0" w:type="dxa"/>
              <w:bottom w:w="0" w:type="dxa"/>
              <w:right w:w="0" w:type="dxa"/>
            </w:tcMar>
            <w:vAlign w:val="center"/>
          </w:tcPr>
          <w:p w14:paraId="0B0C941A">
            <w:pPr>
              <w:widowControl/>
              <w:spacing w:line="240" w:lineRule="exact"/>
              <w:textAlignment w:val="center"/>
              <w:rPr>
                <w:rFonts w:hint="eastAsia" w:ascii="宋体" w:hAnsi="宋体" w:eastAsia="宋体" w:cs="宋体"/>
                <w:b w:val="0"/>
                <w:bCs w:val="0"/>
                <w:kern w:val="0"/>
                <w:sz w:val="18"/>
                <w:szCs w:val="18"/>
                <w:lang w:bidi="ar"/>
              </w:rPr>
            </w:pPr>
          </w:p>
        </w:tc>
        <w:tc>
          <w:tcPr>
            <w:tcW w:w="1849" w:type="dxa"/>
            <w:vMerge w:val="continue"/>
            <w:tcBorders>
              <w:left w:val="single" w:color="auto" w:sz="4" w:space="0"/>
              <w:right w:val="single" w:color="auto" w:sz="4" w:space="0"/>
            </w:tcBorders>
            <w:noWrap w:val="0"/>
            <w:tcMar>
              <w:top w:w="0" w:type="dxa"/>
              <w:left w:w="0" w:type="dxa"/>
              <w:bottom w:w="0" w:type="dxa"/>
              <w:right w:w="0" w:type="dxa"/>
            </w:tcMar>
            <w:vAlign w:val="center"/>
          </w:tcPr>
          <w:p w14:paraId="14E91DA2">
            <w:pPr>
              <w:spacing w:line="240" w:lineRule="exact"/>
              <w:jc w:val="both"/>
              <w:rPr>
                <w:rFonts w:hint="eastAsia" w:ascii="宋体" w:hAnsi="宋体" w:eastAsia="宋体" w:cs="宋体"/>
                <w:b w:val="0"/>
                <w:bCs w:val="0"/>
                <w:sz w:val="18"/>
                <w:szCs w:val="18"/>
              </w:rPr>
            </w:pPr>
          </w:p>
        </w:tc>
        <w:tc>
          <w:tcPr>
            <w:tcW w:w="51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D50D79F">
            <w:pPr>
              <w:spacing w:line="240" w:lineRule="exact"/>
              <w:jc w:val="center"/>
              <w:rPr>
                <w:rFonts w:hint="eastAsia" w:ascii="宋体" w:hAnsi="宋体" w:eastAsia="宋体" w:cs="宋体"/>
                <w:b w:val="0"/>
                <w:bCs w:val="0"/>
                <w:sz w:val="18"/>
                <w:szCs w:val="18"/>
              </w:rPr>
            </w:pPr>
            <w:r>
              <w:rPr>
                <w:rFonts w:hint="eastAsia" w:ascii="宋体" w:hAnsi="宋体" w:eastAsia="宋体" w:cs="宋体"/>
                <w:b w:val="0"/>
                <w:bCs w:val="0"/>
                <w:sz w:val="18"/>
                <w:szCs w:val="18"/>
              </w:rPr>
              <w:t>较轻</w:t>
            </w:r>
          </w:p>
        </w:tc>
        <w:tc>
          <w:tcPr>
            <w:tcW w:w="242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5EFA08BC">
            <w:pPr>
              <w:snapToGrid w:val="0"/>
              <w:spacing w:line="240" w:lineRule="exact"/>
              <mc:AlternateContent>
                <mc:Choice Requires="wpsCustomData">
                  <wpsCustomData:diagonalParaType/>
                </mc:Choice>
              </mc:AlternateContent>
              <w:rPr>
                <w:rStyle w:val="21"/>
                <w:rFonts w:hint="eastAsia" w:ascii="宋体" w:hAnsi="宋体" w:eastAsia="宋体" w:cs="宋体"/>
                <w:b w:val="0"/>
                <w:bCs w:val="0"/>
                <w:color w:val="auto"/>
                <w:sz w:val="18"/>
                <w:szCs w:val="18"/>
                <w:lang w:bidi="ar"/>
              </w:rPr>
            </w:pPr>
          </w:p>
          <w:p w14:paraId="3F41221B">
            <w:pPr>
              <w:spacing w:line="240" w:lineRule="exact"/>
              <w:rPr>
                <w:rStyle w:val="21"/>
                <w:rFonts w:hint="eastAsia" w:ascii="宋体" w:hAnsi="宋体" w:eastAsia="宋体" w:cs="宋体"/>
                <w:b w:val="0"/>
                <w:bCs w:val="0"/>
                <w:color w:val="auto"/>
                <w:sz w:val="18"/>
                <w:szCs w:val="18"/>
                <w:lang w:bidi="ar"/>
              </w:rPr>
            </w:pPr>
          </w:p>
        </w:tc>
        <w:tc>
          <w:tcPr>
            <w:tcW w:w="1628"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4E3DDBA0">
            <w:pPr>
              <w:snapToGrid w:val="0"/>
              <w:spacing w:line="240" w:lineRule="exact"/>
              <mc:AlternateContent>
                <mc:Choice Requires="wpsCustomData">
                  <wpsCustomData:diagonalParaType/>
                </mc:Choice>
              </mc:AlternateContent>
              <w:rPr>
                <w:rStyle w:val="21"/>
                <w:rFonts w:hint="eastAsia" w:ascii="宋体" w:hAnsi="宋体" w:eastAsia="宋体" w:cs="宋体"/>
                <w:b w:val="0"/>
                <w:bCs w:val="0"/>
                <w:color w:val="auto"/>
                <w:sz w:val="18"/>
                <w:szCs w:val="18"/>
                <w:lang w:bidi="ar"/>
              </w:rPr>
            </w:pPr>
          </w:p>
          <w:p w14:paraId="18CF8AA7">
            <w:pPr>
              <w:spacing w:line="240" w:lineRule="exact"/>
              <w:rPr>
                <w:rStyle w:val="21"/>
                <w:rFonts w:hint="eastAsia" w:ascii="宋体" w:hAnsi="宋体" w:eastAsia="宋体" w:cs="宋体"/>
                <w:b w:val="0"/>
                <w:bCs w:val="0"/>
                <w:color w:val="auto"/>
                <w:sz w:val="18"/>
                <w:szCs w:val="18"/>
                <w:lang w:bidi="ar"/>
              </w:rPr>
            </w:pPr>
          </w:p>
        </w:tc>
        <w:tc>
          <w:tcPr>
            <w:tcW w:w="739" w:type="dxa"/>
            <w:vMerge w:val="continue"/>
            <w:tcBorders>
              <w:left w:val="single" w:color="auto" w:sz="4" w:space="0"/>
              <w:right w:val="single" w:color="auto" w:sz="4" w:space="0"/>
            </w:tcBorders>
            <w:noWrap w:val="0"/>
            <w:tcMar>
              <w:top w:w="0" w:type="dxa"/>
              <w:left w:w="0" w:type="dxa"/>
              <w:bottom w:w="0" w:type="dxa"/>
              <w:right w:w="0" w:type="dxa"/>
            </w:tcMar>
            <w:vAlign w:val="center"/>
          </w:tcPr>
          <w:p w14:paraId="2E48CB38">
            <w:pPr>
              <w:spacing w:line="240" w:lineRule="exact"/>
              <w:jc w:val="center"/>
              <w:rPr>
                <w:rStyle w:val="21"/>
                <w:rFonts w:hint="eastAsia" w:ascii="宋体" w:hAnsi="宋体" w:eastAsia="宋体" w:cs="宋体"/>
                <w:b w:val="0"/>
                <w:bCs w:val="0"/>
                <w:color w:val="auto"/>
                <w:sz w:val="18"/>
                <w:szCs w:val="18"/>
                <w:lang w:bidi="ar"/>
              </w:rPr>
            </w:pPr>
          </w:p>
        </w:tc>
      </w:tr>
      <w:tr w14:paraId="0252D7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2" w:hRule="atLeast"/>
          <w:jc w:val="center"/>
        </w:trPr>
        <w:tc>
          <w:tcPr>
            <w:tcW w:w="474" w:type="dxa"/>
            <w:vMerge w:val="continue"/>
            <w:tcBorders>
              <w:left w:val="single" w:color="auto" w:sz="4" w:space="0"/>
              <w:right w:val="single" w:color="auto" w:sz="4" w:space="0"/>
            </w:tcBorders>
            <w:noWrap w:val="0"/>
            <w:tcMar>
              <w:top w:w="0" w:type="dxa"/>
              <w:left w:w="0" w:type="dxa"/>
              <w:bottom w:w="0" w:type="dxa"/>
              <w:right w:w="0" w:type="dxa"/>
            </w:tcMar>
            <w:vAlign w:val="center"/>
          </w:tcPr>
          <w:p w14:paraId="6D422ED9">
            <w:pPr>
              <w:widowControl/>
              <w:spacing w:line="240" w:lineRule="exact"/>
              <w:jc w:val="center"/>
              <w:textAlignment w:val="center"/>
              <w:rPr>
                <w:rFonts w:hint="eastAsia" w:ascii="宋体" w:hAnsi="宋体" w:eastAsia="宋体" w:cs="宋体"/>
                <w:b w:val="0"/>
                <w:bCs w:val="0"/>
                <w:sz w:val="18"/>
                <w:szCs w:val="18"/>
              </w:rPr>
            </w:pPr>
          </w:p>
        </w:tc>
        <w:tc>
          <w:tcPr>
            <w:tcW w:w="1236" w:type="dxa"/>
            <w:vMerge w:val="continue"/>
            <w:tcBorders>
              <w:left w:val="single" w:color="auto" w:sz="4" w:space="0"/>
              <w:right w:val="single" w:color="auto" w:sz="4" w:space="0"/>
            </w:tcBorders>
            <w:noWrap w:val="0"/>
            <w:tcMar>
              <w:top w:w="0" w:type="dxa"/>
              <w:left w:w="0" w:type="dxa"/>
              <w:bottom w:w="0" w:type="dxa"/>
              <w:right w:w="0" w:type="dxa"/>
            </w:tcMar>
            <w:vAlign w:val="center"/>
          </w:tcPr>
          <w:p w14:paraId="0FCCBAD7">
            <w:pPr>
              <w:widowControl/>
              <w:spacing w:line="240" w:lineRule="exact"/>
              <w:jc w:val="both"/>
              <w:textAlignment w:val="center"/>
              <w:rPr>
                <w:rFonts w:hint="eastAsia" w:ascii="宋体" w:hAnsi="宋体" w:eastAsia="宋体" w:cs="宋体"/>
                <w:b w:val="0"/>
                <w:bCs w:val="0"/>
                <w:kern w:val="0"/>
                <w:sz w:val="18"/>
                <w:szCs w:val="18"/>
                <w:lang w:bidi="ar"/>
              </w:rPr>
            </w:pPr>
          </w:p>
        </w:tc>
        <w:tc>
          <w:tcPr>
            <w:tcW w:w="6027" w:type="dxa"/>
            <w:vMerge w:val="continue"/>
            <w:tcBorders>
              <w:left w:val="single" w:color="auto" w:sz="4" w:space="0"/>
              <w:right w:val="single" w:color="auto" w:sz="4" w:space="0"/>
            </w:tcBorders>
            <w:noWrap w:val="0"/>
            <w:tcMar>
              <w:top w:w="0" w:type="dxa"/>
              <w:left w:w="0" w:type="dxa"/>
              <w:bottom w:w="0" w:type="dxa"/>
              <w:right w:w="0" w:type="dxa"/>
            </w:tcMar>
            <w:vAlign w:val="center"/>
          </w:tcPr>
          <w:p w14:paraId="63156A85">
            <w:pPr>
              <w:widowControl/>
              <w:spacing w:line="240" w:lineRule="exact"/>
              <w:textAlignment w:val="center"/>
              <w:rPr>
                <w:rFonts w:hint="eastAsia" w:ascii="宋体" w:hAnsi="宋体" w:eastAsia="宋体" w:cs="宋体"/>
                <w:b w:val="0"/>
                <w:bCs w:val="0"/>
                <w:kern w:val="0"/>
                <w:sz w:val="18"/>
                <w:szCs w:val="18"/>
                <w:lang w:bidi="ar"/>
              </w:rPr>
            </w:pPr>
          </w:p>
        </w:tc>
        <w:tc>
          <w:tcPr>
            <w:tcW w:w="1849" w:type="dxa"/>
            <w:vMerge w:val="continue"/>
            <w:tcBorders>
              <w:left w:val="single" w:color="auto" w:sz="4" w:space="0"/>
              <w:right w:val="single" w:color="auto" w:sz="4" w:space="0"/>
            </w:tcBorders>
            <w:noWrap w:val="0"/>
            <w:tcMar>
              <w:top w:w="0" w:type="dxa"/>
              <w:left w:w="0" w:type="dxa"/>
              <w:bottom w:w="0" w:type="dxa"/>
              <w:right w:w="0" w:type="dxa"/>
            </w:tcMar>
            <w:vAlign w:val="center"/>
          </w:tcPr>
          <w:p w14:paraId="1BE3D214">
            <w:pPr>
              <w:spacing w:line="240" w:lineRule="exact"/>
              <w:jc w:val="both"/>
              <w:rPr>
                <w:rFonts w:hint="eastAsia" w:ascii="宋体" w:hAnsi="宋体" w:eastAsia="宋体" w:cs="宋体"/>
                <w:b w:val="0"/>
                <w:bCs w:val="0"/>
                <w:sz w:val="18"/>
                <w:szCs w:val="18"/>
              </w:rPr>
            </w:pPr>
          </w:p>
        </w:tc>
        <w:tc>
          <w:tcPr>
            <w:tcW w:w="51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2156570">
            <w:pPr>
              <w:spacing w:line="240" w:lineRule="exact"/>
              <w:jc w:val="center"/>
              <w:rPr>
                <w:rFonts w:hint="eastAsia" w:ascii="宋体" w:hAnsi="宋体" w:eastAsia="宋体" w:cs="宋体"/>
                <w:b w:val="0"/>
                <w:bCs w:val="0"/>
                <w:sz w:val="18"/>
                <w:szCs w:val="18"/>
              </w:rPr>
            </w:pPr>
            <w:r>
              <w:rPr>
                <w:rFonts w:hint="eastAsia" w:ascii="宋体" w:hAnsi="宋体" w:eastAsia="宋体" w:cs="宋体"/>
                <w:b w:val="0"/>
                <w:bCs w:val="0"/>
                <w:sz w:val="18"/>
                <w:szCs w:val="18"/>
              </w:rPr>
              <w:t>一般</w:t>
            </w:r>
          </w:p>
        </w:tc>
        <w:tc>
          <w:tcPr>
            <w:tcW w:w="242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D1CE54B">
            <w:pPr>
              <w:spacing w:line="280" w:lineRule="exact"/>
              <w:rPr>
                <w:rFonts w:hint="eastAsia" w:ascii="宋体" w:hAnsi="宋体" w:eastAsia="宋体" w:cs="宋体"/>
                <w:b w:val="0"/>
                <w:bCs w:val="0"/>
                <w:sz w:val="18"/>
                <w:szCs w:val="18"/>
                <w:lang w:val="en-US" w:eastAsia="zh-CN" w:bidi="ar"/>
              </w:rPr>
            </w:pPr>
            <w:r>
              <w:rPr>
                <w:rStyle w:val="21"/>
                <w:rFonts w:hint="eastAsia" w:ascii="宋体" w:hAnsi="宋体" w:eastAsia="宋体" w:cs="宋体"/>
                <w:b w:val="0"/>
                <w:bCs w:val="0"/>
                <w:color w:val="auto"/>
                <w:sz w:val="18"/>
                <w:szCs w:val="18"/>
                <w:lang w:bidi="ar"/>
              </w:rPr>
              <w:t>立即停止违法行为、</w:t>
            </w:r>
            <w:r>
              <w:rPr>
                <w:rFonts w:hint="eastAsia" w:ascii="宋体" w:hAnsi="宋体" w:eastAsia="宋体" w:cs="宋体"/>
                <w:b w:val="0"/>
                <w:bCs w:val="0"/>
                <w:kern w:val="0"/>
                <w:sz w:val="18"/>
                <w:szCs w:val="18"/>
                <w:lang w:bidi="ar"/>
              </w:rPr>
              <w:t>限期采取修复补救措施</w:t>
            </w:r>
            <w:r>
              <w:rPr>
                <w:rFonts w:hint="eastAsia" w:ascii="宋体" w:hAnsi="宋体" w:eastAsia="宋体" w:cs="宋体"/>
                <w:b w:val="0"/>
                <w:bCs w:val="0"/>
                <w:kern w:val="0"/>
                <w:sz w:val="18"/>
                <w:szCs w:val="18"/>
                <w:lang w:val="en-US" w:eastAsia="zh-CN" w:bidi="ar"/>
              </w:rPr>
              <w:t>的</w:t>
            </w:r>
          </w:p>
        </w:tc>
        <w:tc>
          <w:tcPr>
            <w:tcW w:w="1628"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2527C5F">
            <w:pPr>
              <w:spacing w:line="280" w:lineRule="exact"/>
              <w:rPr>
                <w:rFonts w:hint="eastAsia" w:ascii="宋体" w:hAnsi="宋体" w:eastAsia="宋体" w:cs="宋体"/>
                <w:b w:val="0"/>
                <w:bCs w:val="0"/>
                <w:sz w:val="18"/>
                <w:szCs w:val="18"/>
                <w:lang w:bidi="ar"/>
              </w:rPr>
            </w:pPr>
            <w:r>
              <w:rPr>
                <w:rFonts w:hint="eastAsia" w:ascii="宋体" w:hAnsi="宋体" w:eastAsia="宋体" w:cs="宋体"/>
                <w:b w:val="0"/>
                <w:bCs w:val="0"/>
                <w:kern w:val="0"/>
                <w:sz w:val="18"/>
                <w:szCs w:val="18"/>
                <w:lang w:bidi="ar"/>
              </w:rPr>
              <w:t>没收违法所得，</w:t>
            </w:r>
            <w:r>
              <w:rPr>
                <w:rStyle w:val="21"/>
                <w:rFonts w:hint="eastAsia" w:ascii="宋体" w:hAnsi="宋体" w:eastAsia="宋体" w:cs="宋体"/>
                <w:b w:val="0"/>
                <w:bCs w:val="0"/>
                <w:color w:val="auto"/>
                <w:sz w:val="18"/>
                <w:szCs w:val="18"/>
                <w:lang w:bidi="ar"/>
              </w:rPr>
              <w:t>处违法开采砂石价值的</w:t>
            </w:r>
            <w:r>
              <w:rPr>
                <w:rStyle w:val="21"/>
                <w:rFonts w:hint="eastAsia" w:ascii="宋体" w:hAnsi="宋体" w:eastAsia="宋体" w:cs="宋体"/>
                <w:b w:val="0"/>
                <w:bCs w:val="0"/>
                <w:color w:val="auto"/>
                <w:sz w:val="18"/>
                <w:szCs w:val="18"/>
                <w:lang w:val="en-US" w:eastAsia="zh-CN" w:bidi="ar"/>
              </w:rPr>
              <w:t>2</w:t>
            </w:r>
            <w:r>
              <w:rPr>
                <w:rStyle w:val="21"/>
                <w:rFonts w:hint="eastAsia" w:ascii="宋体" w:hAnsi="宋体" w:eastAsia="宋体" w:cs="宋体"/>
                <w:b w:val="0"/>
                <w:bCs w:val="0"/>
                <w:color w:val="auto"/>
                <w:sz w:val="18"/>
                <w:szCs w:val="18"/>
                <w:lang w:bidi="ar"/>
              </w:rPr>
              <w:t>倍的罚款</w:t>
            </w:r>
          </w:p>
        </w:tc>
        <w:tc>
          <w:tcPr>
            <w:tcW w:w="739" w:type="dxa"/>
            <w:vMerge w:val="continue"/>
            <w:tcBorders>
              <w:left w:val="single" w:color="auto" w:sz="4" w:space="0"/>
              <w:right w:val="single" w:color="auto" w:sz="4" w:space="0"/>
            </w:tcBorders>
            <w:noWrap w:val="0"/>
            <w:tcMar>
              <w:top w:w="0" w:type="dxa"/>
              <w:left w:w="0" w:type="dxa"/>
              <w:bottom w:w="0" w:type="dxa"/>
              <w:right w:w="0" w:type="dxa"/>
            </w:tcMar>
            <w:vAlign w:val="center"/>
          </w:tcPr>
          <w:p w14:paraId="099EE884">
            <w:pPr>
              <w:spacing w:line="240" w:lineRule="exact"/>
              <w:jc w:val="center"/>
              <w:rPr>
                <w:rFonts w:hint="eastAsia" w:ascii="宋体" w:hAnsi="宋体" w:eastAsia="宋体" w:cs="宋体"/>
                <w:b w:val="0"/>
                <w:bCs w:val="0"/>
                <w:kern w:val="0"/>
                <w:sz w:val="18"/>
                <w:szCs w:val="18"/>
                <w:lang w:bidi="ar"/>
              </w:rPr>
            </w:pPr>
          </w:p>
        </w:tc>
      </w:tr>
      <w:tr w14:paraId="535B9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2" w:hRule="atLeast"/>
          <w:jc w:val="center"/>
        </w:trPr>
        <w:tc>
          <w:tcPr>
            <w:tcW w:w="474" w:type="dxa"/>
            <w:vMerge w:val="continue"/>
            <w:tcBorders>
              <w:left w:val="single" w:color="auto" w:sz="4" w:space="0"/>
              <w:right w:val="single" w:color="auto" w:sz="4" w:space="0"/>
            </w:tcBorders>
            <w:noWrap w:val="0"/>
            <w:tcMar>
              <w:top w:w="0" w:type="dxa"/>
              <w:left w:w="0" w:type="dxa"/>
              <w:bottom w:w="0" w:type="dxa"/>
              <w:right w:w="0" w:type="dxa"/>
            </w:tcMar>
            <w:vAlign w:val="center"/>
          </w:tcPr>
          <w:p w14:paraId="1CEDD722">
            <w:pPr>
              <w:widowControl/>
              <w:spacing w:line="240" w:lineRule="exact"/>
              <w:jc w:val="center"/>
              <w:textAlignment w:val="center"/>
              <w:rPr>
                <w:rFonts w:hint="eastAsia" w:ascii="宋体" w:hAnsi="宋体" w:eastAsia="宋体" w:cs="宋体"/>
                <w:b w:val="0"/>
                <w:bCs w:val="0"/>
                <w:sz w:val="18"/>
                <w:szCs w:val="18"/>
              </w:rPr>
            </w:pPr>
          </w:p>
        </w:tc>
        <w:tc>
          <w:tcPr>
            <w:tcW w:w="1236" w:type="dxa"/>
            <w:vMerge w:val="continue"/>
            <w:tcBorders>
              <w:left w:val="single" w:color="auto" w:sz="4" w:space="0"/>
              <w:right w:val="single" w:color="auto" w:sz="4" w:space="0"/>
            </w:tcBorders>
            <w:noWrap w:val="0"/>
            <w:tcMar>
              <w:top w:w="0" w:type="dxa"/>
              <w:left w:w="0" w:type="dxa"/>
              <w:bottom w:w="0" w:type="dxa"/>
              <w:right w:w="0" w:type="dxa"/>
            </w:tcMar>
            <w:vAlign w:val="center"/>
          </w:tcPr>
          <w:p w14:paraId="07BAFD83">
            <w:pPr>
              <w:widowControl/>
              <w:spacing w:line="240" w:lineRule="exact"/>
              <w:jc w:val="both"/>
              <w:textAlignment w:val="center"/>
              <w:rPr>
                <w:rFonts w:hint="eastAsia" w:ascii="宋体" w:hAnsi="宋体" w:eastAsia="宋体" w:cs="宋体"/>
                <w:b w:val="0"/>
                <w:bCs w:val="0"/>
                <w:kern w:val="0"/>
                <w:sz w:val="18"/>
                <w:szCs w:val="18"/>
                <w:lang w:bidi="ar"/>
              </w:rPr>
            </w:pPr>
          </w:p>
        </w:tc>
        <w:tc>
          <w:tcPr>
            <w:tcW w:w="6027" w:type="dxa"/>
            <w:vMerge w:val="continue"/>
            <w:tcBorders>
              <w:left w:val="single" w:color="auto" w:sz="4" w:space="0"/>
              <w:right w:val="single" w:color="auto" w:sz="4" w:space="0"/>
            </w:tcBorders>
            <w:noWrap w:val="0"/>
            <w:tcMar>
              <w:top w:w="0" w:type="dxa"/>
              <w:left w:w="0" w:type="dxa"/>
              <w:bottom w:w="0" w:type="dxa"/>
              <w:right w:w="0" w:type="dxa"/>
            </w:tcMar>
            <w:vAlign w:val="center"/>
          </w:tcPr>
          <w:p w14:paraId="207CD0D4">
            <w:pPr>
              <w:widowControl/>
              <w:spacing w:line="240" w:lineRule="exact"/>
              <w:textAlignment w:val="center"/>
              <w:rPr>
                <w:rFonts w:hint="eastAsia" w:ascii="宋体" w:hAnsi="宋体" w:eastAsia="宋体" w:cs="宋体"/>
                <w:b w:val="0"/>
                <w:bCs w:val="0"/>
                <w:kern w:val="0"/>
                <w:sz w:val="18"/>
                <w:szCs w:val="18"/>
                <w:lang w:bidi="ar"/>
              </w:rPr>
            </w:pPr>
          </w:p>
        </w:tc>
        <w:tc>
          <w:tcPr>
            <w:tcW w:w="1849" w:type="dxa"/>
            <w:vMerge w:val="continue"/>
            <w:tcBorders>
              <w:left w:val="single" w:color="auto" w:sz="4" w:space="0"/>
              <w:right w:val="single" w:color="auto" w:sz="4" w:space="0"/>
            </w:tcBorders>
            <w:noWrap w:val="0"/>
            <w:tcMar>
              <w:top w:w="0" w:type="dxa"/>
              <w:left w:w="0" w:type="dxa"/>
              <w:bottom w:w="0" w:type="dxa"/>
              <w:right w:w="0" w:type="dxa"/>
            </w:tcMar>
            <w:vAlign w:val="center"/>
          </w:tcPr>
          <w:p w14:paraId="2255BC46">
            <w:pPr>
              <w:spacing w:line="240" w:lineRule="exact"/>
              <w:jc w:val="both"/>
              <w:rPr>
                <w:rFonts w:hint="eastAsia" w:ascii="宋体" w:hAnsi="宋体" w:eastAsia="宋体" w:cs="宋体"/>
                <w:b w:val="0"/>
                <w:bCs w:val="0"/>
                <w:sz w:val="18"/>
                <w:szCs w:val="18"/>
              </w:rPr>
            </w:pPr>
          </w:p>
        </w:tc>
        <w:tc>
          <w:tcPr>
            <w:tcW w:w="51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4EE876D">
            <w:pPr>
              <w:spacing w:line="240" w:lineRule="exact"/>
              <w:jc w:val="center"/>
              <w:rPr>
                <w:rFonts w:hint="eastAsia" w:ascii="宋体" w:hAnsi="宋体" w:eastAsia="宋体" w:cs="宋体"/>
                <w:b w:val="0"/>
                <w:bCs w:val="0"/>
                <w:sz w:val="18"/>
                <w:szCs w:val="18"/>
                <w:lang w:eastAsia="zh-CN"/>
              </w:rPr>
            </w:pPr>
            <w:r>
              <w:rPr>
                <w:rFonts w:hint="eastAsia" w:ascii="宋体" w:hAnsi="宋体" w:eastAsia="宋体" w:cs="宋体"/>
                <w:b w:val="0"/>
                <w:bCs w:val="0"/>
                <w:sz w:val="18"/>
                <w:szCs w:val="18"/>
                <w:lang w:eastAsia="zh-CN"/>
              </w:rPr>
              <w:t>较重</w:t>
            </w:r>
          </w:p>
        </w:tc>
        <w:tc>
          <w:tcPr>
            <w:tcW w:w="242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876250D">
            <w:pPr>
              <w:spacing w:line="280" w:lineRule="exact"/>
              <w:rPr>
                <w:rFonts w:hint="eastAsia" w:ascii="宋体" w:hAnsi="宋体" w:eastAsia="宋体" w:cs="宋体"/>
                <w:b w:val="0"/>
                <w:bCs w:val="0"/>
                <w:sz w:val="18"/>
                <w:szCs w:val="18"/>
                <w:lang w:eastAsia="zh-CN" w:bidi="ar"/>
              </w:rPr>
            </w:pPr>
            <w:r>
              <w:rPr>
                <w:rStyle w:val="21"/>
                <w:rFonts w:hint="eastAsia" w:ascii="宋体" w:hAnsi="宋体" w:eastAsia="宋体" w:cs="宋体"/>
                <w:b w:val="0"/>
                <w:bCs w:val="0"/>
                <w:color w:val="auto"/>
                <w:sz w:val="18"/>
                <w:szCs w:val="18"/>
                <w:lang w:bidi="ar"/>
              </w:rPr>
              <w:t>立即停止违法行为，但未在</w:t>
            </w:r>
            <w:r>
              <w:rPr>
                <w:rFonts w:hint="eastAsia" w:ascii="宋体" w:hAnsi="宋体" w:eastAsia="宋体" w:cs="宋体"/>
                <w:b w:val="0"/>
                <w:bCs w:val="0"/>
                <w:kern w:val="0"/>
                <w:sz w:val="18"/>
                <w:szCs w:val="18"/>
                <w:lang w:bidi="ar"/>
              </w:rPr>
              <w:t>限期采取修复补救措施</w:t>
            </w:r>
            <w:r>
              <w:rPr>
                <w:rFonts w:hint="eastAsia" w:ascii="宋体" w:hAnsi="宋体" w:eastAsia="宋体" w:cs="宋体"/>
                <w:b w:val="0"/>
                <w:bCs w:val="0"/>
                <w:kern w:val="0"/>
                <w:sz w:val="18"/>
                <w:szCs w:val="18"/>
                <w:lang w:eastAsia="zh-CN" w:bidi="ar"/>
              </w:rPr>
              <w:t>的</w:t>
            </w:r>
          </w:p>
        </w:tc>
        <w:tc>
          <w:tcPr>
            <w:tcW w:w="1628"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B1EEA51">
            <w:pPr>
              <w:spacing w:line="280" w:lineRule="exact"/>
              <w:rPr>
                <w:rFonts w:hint="eastAsia" w:ascii="宋体" w:hAnsi="宋体" w:eastAsia="宋体" w:cs="宋体"/>
                <w:b w:val="0"/>
                <w:bCs w:val="0"/>
                <w:sz w:val="18"/>
                <w:szCs w:val="18"/>
                <w:lang w:bidi="ar"/>
              </w:rPr>
            </w:pPr>
            <w:r>
              <w:rPr>
                <w:rFonts w:hint="eastAsia" w:ascii="宋体" w:hAnsi="宋体" w:eastAsia="宋体" w:cs="宋体"/>
                <w:b w:val="0"/>
                <w:bCs w:val="0"/>
                <w:kern w:val="0"/>
                <w:sz w:val="18"/>
                <w:szCs w:val="18"/>
                <w:lang w:bidi="ar"/>
              </w:rPr>
              <w:t>没收违法所得，</w:t>
            </w:r>
            <w:r>
              <w:rPr>
                <w:rStyle w:val="21"/>
                <w:rFonts w:hint="eastAsia" w:ascii="宋体" w:hAnsi="宋体" w:eastAsia="宋体" w:cs="宋体"/>
                <w:b w:val="0"/>
                <w:bCs w:val="0"/>
                <w:color w:val="auto"/>
                <w:sz w:val="18"/>
                <w:szCs w:val="18"/>
                <w:lang w:bidi="ar"/>
              </w:rPr>
              <w:t>处违法开采砂石价值的</w:t>
            </w:r>
            <w:r>
              <w:rPr>
                <w:rStyle w:val="21"/>
                <w:rFonts w:hint="eastAsia" w:ascii="宋体" w:hAnsi="宋体" w:eastAsia="宋体" w:cs="宋体"/>
                <w:b w:val="0"/>
                <w:bCs w:val="0"/>
                <w:color w:val="auto"/>
                <w:sz w:val="18"/>
                <w:szCs w:val="18"/>
                <w:lang w:val="en-US" w:eastAsia="zh-CN" w:bidi="ar"/>
              </w:rPr>
              <w:t>3</w:t>
            </w:r>
            <w:r>
              <w:rPr>
                <w:rStyle w:val="21"/>
                <w:rFonts w:hint="eastAsia" w:ascii="宋体" w:hAnsi="宋体" w:eastAsia="宋体" w:cs="宋体"/>
                <w:b w:val="0"/>
                <w:bCs w:val="0"/>
                <w:color w:val="auto"/>
                <w:sz w:val="18"/>
                <w:szCs w:val="18"/>
                <w:lang w:bidi="ar"/>
              </w:rPr>
              <w:t>倍罚款</w:t>
            </w:r>
          </w:p>
        </w:tc>
        <w:tc>
          <w:tcPr>
            <w:tcW w:w="739" w:type="dxa"/>
            <w:vMerge w:val="continue"/>
            <w:tcBorders>
              <w:left w:val="single" w:color="auto" w:sz="4" w:space="0"/>
              <w:right w:val="single" w:color="auto" w:sz="4" w:space="0"/>
            </w:tcBorders>
            <w:noWrap w:val="0"/>
            <w:tcMar>
              <w:top w:w="0" w:type="dxa"/>
              <w:left w:w="0" w:type="dxa"/>
              <w:bottom w:w="0" w:type="dxa"/>
              <w:right w:w="0" w:type="dxa"/>
            </w:tcMar>
            <w:vAlign w:val="center"/>
          </w:tcPr>
          <w:p w14:paraId="241B7CEF">
            <w:pPr>
              <w:spacing w:line="240" w:lineRule="exact"/>
              <w:jc w:val="center"/>
              <w:rPr>
                <w:rFonts w:hint="eastAsia" w:ascii="宋体" w:hAnsi="宋体" w:eastAsia="宋体" w:cs="宋体"/>
                <w:b w:val="0"/>
                <w:bCs w:val="0"/>
                <w:kern w:val="0"/>
                <w:sz w:val="18"/>
                <w:szCs w:val="18"/>
                <w:lang w:bidi="ar"/>
              </w:rPr>
            </w:pPr>
          </w:p>
        </w:tc>
      </w:tr>
      <w:tr w14:paraId="0C04EF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5" w:hRule="atLeast"/>
          <w:jc w:val="center"/>
        </w:trPr>
        <w:tc>
          <w:tcPr>
            <w:tcW w:w="474" w:type="dxa"/>
            <w:vMerge w:val="continue"/>
            <w:tcBorders>
              <w:left w:val="single" w:color="auto" w:sz="4" w:space="0"/>
              <w:right w:val="single" w:color="auto" w:sz="4" w:space="0"/>
            </w:tcBorders>
            <w:noWrap w:val="0"/>
            <w:tcMar>
              <w:top w:w="0" w:type="dxa"/>
              <w:left w:w="0" w:type="dxa"/>
              <w:bottom w:w="0" w:type="dxa"/>
              <w:right w:w="0" w:type="dxa"/>
            </w:tcMar>
            <w:vAlign w:val="center"/>
          </w:tcPr>
          <w:p w14:paraId="3034A605">
            <w:pPr>
              <w:widowControl/>
              <w:spacing w:line="240" w:lineRule="exact"/>
              <w:jc w:val="center"/>
              <w:textAlignment w:val="center"/>
              <w:rPr>
                <w:rFonts w:hint="eastAsia" w:ascii="宋体" w:hAnsi="宋体" w:eastAsia="宋体" w:cs="宋体"/>
                <w:b w:val="0"/>
                <w:bCs w:val="0"/>
                <w:sz w:val="18"/>
                <w:szCs w:val="18"/>
              </w:rPr>
            </w:pPr>
          </w:p>
        </w:tc>
        <w:tc>
          <w:tcPr>
            <w:tcW w:w="1236" w:type="dxa"/>
            <w:vMerge w:val="continue"/>
            <w:tcBorders>
              <w:left w:val="single" w:color="auto" w:sz="4" w:space="0"/>
              <w:right w:val="single" w:color="auto" w:sz="4" w:space="0"/>
            </w:tcBorders>
            <w:noWrap w:val="0"/>
            <w:tcMar>
              <w:top w:w="0" w:type="dxa"/>
              <w:left w:w="0" w:type="dxa"/>
              <w:bottom w:w="0" w:type="dxa"/>
              <w:right w:w="0" w:type="dxa"/>
            </w:tcMar>
            <w:vAlign w:val="center"/>
          </w:tcPr>
          <w:p w14:paraId="25D283C9">
            <w:pPr>
              <w:widowControl/>
              <w:spacing w:line="240" w:lineRule="exact"/>
              <w:jc w:val="both"/>
              <w:textAlignment w:val="center"/>
              <w:rPr>
                <w:rFonts w:hint="eastAsia" w:ascii="宋体" w:hAnsi="宋体" w:eastAsia="宋体" w:cs="宋体"/>
                <w:b w:val="0"/>
                <w:bCs w:val="0"/>
                <w:kern w:val="0"/>
                <w:sz w:val="18"/>
                <w:szCs w:val="18"/>
                <w:lang w:bidi="ar"/>
              </w:rPr>
            </w:pPr>
          </w:p>
        </w:tc>
        <w:tc>
          <w:tcPr>
            <w:tcW w:w="6027" w:type="dxa"/>
            <w:vMerge w:val="continue"/>
            <w:tcBorders>
              <w:left w:val="single" w:color="auto" w:sz="4" w:space="0"/>
              <w:right w:val="single" w:color="auto" w:sz="4" w:space="0"/>
            </w:tcBorders>
            <w:noWrap w:val="0"/>
            <w:tcMar>
              <w:top w:w="0" w:type="dxa"/>
              <w:left w:w="0" w:type="dxa"/>
              <w:bottom w:w="0" w:type="dxa"/>
              <w:right w:w="0" w:type="dxa"/>
            </w:tcMar>
            <w:vAlign w:val="center"/>
          </w:tcPr>
          <w:p w14:paraId="2542070B">
            <w:pPr>
              <w:widowControl/>
              <w:spacing w:line="240" w:lineRule="exact"/>
              <w:textAlignment w:val="center"/>
              <w:rPr>
                <w:rFonts w:hint="eastAsia" w:ascii="宋体" w:hAnsi="宋体" w:eastAsia="宋体" w:cs="宋体"/>
                <w:b w:val="0"/>
                <w:bCs w:val="0"/>
                <w:kern w:val="0"/>
                <w:sz w:val="18"/>
                <w:szCs w:val="18"/>
                <w:lang w:bidi="ar"/>
              </w:rPr>
            </w:pPr>
          </w:p>
        </w:tc>
        <w:tc>
          <w:tcPr>
            <w:tcW w:w="1849" w:type="dxa"/>
            <w:vMerge w:val="continue"/>
            <w:tcBorders>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238B0DE">
            <w:pPr>
              <w:spacing w:line="240" w:lineRule="exact"/>
              <w:jc w:val="both"/>
              <w:rPr>
                <w:rFonts w:hint="eastAsia" w:ascii="宋体" w:hAnsi="宋体" w:eastAsia="宋体" w:cs="宋体"/>
                <w:b w:val="0"/>
                <w:bCs w:val="0"/>
                <w:sz w:val="18"/>
                <w:szCs w:val="18"/>
              </w:rPr>
            </w:pPr>
          </w:p>
        </w:tc>
        <w:tc>
          <w:tcPr>
            <w:tcW w:w="51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7F01CB3">
            <w:pPr>
              <w:spacing w:line="240" w:lineRule="exact"/>
              <w:jc w:val="center"/>
              <w:rPr>
                <w:rFonts w:hint="eastAsia" w:ascii="宋体" w:hAnsi="宋体" w:eastAsia="宋体" w:cs="宋体"/>
                <w:b w:val="0"/>
                <w:bCs w:val="0"/>
                <w:sz w:val="18"/>
                <w:szCs w:val="18"/>
              </w:rPr>
            </w:pPr>
            <w:r>
              <w:rPr>
                <w:rFonts w:hint="eastAsia" w:ascii="宋体" w:hAnsi="宋体" w:eastAsia="宋体" w:cs="宋体"/>
                <w:b w:val="0"/>
                <w:bCs w:val="0"/>
                <w:sz w:val="18"/>
                <w:szCs w:val="18"/>
              </w:rPr>
              <w:t>严重</w:t>
            </w:r>
          </w:p>
        </w:tc>
        <w:tc>
          <w:tcPr>
            <w:tcW w:w="242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57D1ECE">
            <w:pPr>
              <w:spacing w:line="280" w:lineRule="exact"/>
              <w:rPr>
                <w:rFonts w:hint="eastAsia" w:ascii="宋体" w:hAnsi="宋体" w:eastAsia="宋体" w:cs="宋体"/>
                <w:b w:val="0"/>
                <w:bCs w:val="0"/>
                <w:sz w:val="18"/>
                <w:szCs w:val="18"/>
                <w:lang w:bidi="ar"/>
              </w:rPr>
            </w:pPr>
            <w:r>
              <w:rPr>
                <w:rStyle w:val="21"/>
                <w:rFonts w:hint="eastAsia" w:ascii="宋体" w:hAnsi="宋体" w:eastAsia="宋体" w:cs="宋体"/>
                <w:b w:val="0"/>
                <w:bCs w:val="0"/>
                <w:color w:val="auto"/>
                <w:sz w:val="18"/>
                <w:szCs w:val="18"/>
                <w:lang w:bidi="ar"/>
              </w:rPr>
              <w:t>拒不停止违法行为、恢复原状的，或者在禁采区、禁采期从事河道采砂活动的</w:t>
            </w:r>
          </w:p>
        </w:tc>
        <w:tc>
          <w:tcPr>
            <w:tcW w:w="1628"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698CFAA">
            <w:pPr>
              <w:spacing w:line="280" w:lineRule="exact"/>
              <w:rPr>
                <w:rFonts w:hint="eastAsia" w:ascii="宋体" w:hAnsi="宋体" w:eastAsia="宋体" w:cs="宋体"/>
                <w:b w:val="0"/>
                <w:bCs w:val="0"/>
                <w:sz w:val="18"/>
                <w:szCs w:val="18"/>
                <w:lang w:bidi="ar"/>
              </w:rPr>
            </w:pPr>
            <w:r>
              <w:rPr>
                <w:rFonts w:hint="eastAsia" w:ascii="宋体" w:hAnsi="宋体" w:eastAsia="宋体" w:cs="宋体"/>
                <w:b w:val="0"/>
                <w:bCs w:val="0"/>
                <w:kern w:val="0"/>
                <w:sz w:val="18"/>
                <w:szCs w:val="18"/>
                <w:lang w:bidi="ar"/>
              </w:rPr>
              <w:t>没收违法所得，</w:t>
            </w:r>
            <w:r>
              <w:rPr>
                <w:rStyle w:val="21"/>
                <w:rFonts w:hint="eastAsia" w:ascii="宋体" w:hAnsi="宋体" w:eastAsia="宋体" w:cs="宋体"/>
                <w:b w:val="0"/>
                <w:bCs w:val="0"/>
                <w:color w:val="auto"/>
                <w:sz w:val="18"/>
                <w:szCs w:val="18"/>
                <w:lang w:bidi="ar"/>
              </w:rPr>
              <w:t>处违法开采砂石价值的</w:t>
            </w:r>
            <w:r>
              <w:rPr>
                <w:rStyle w:val="21"/>
                <w:rFonts w:hint="eastAsia" w:ascii="宋体" w:hAnsi="宋体" w:eastAsia="宋体" w:cs="宋体"/>
                <w:b w:val="0"/>
                <w:bCs w:val="0"/>
                <w:color w:val="auto"/>
                <w:sz w:val="18"/>
                <w:szCs w:val="18"/>
                <w:lang w:val="en-US" w:eastAsia="zh-CN" w:bidi="ar"/>
              </w:rPr>
              <w:t>4</w:t>
            </w:r>
            <w:r>
              <w:rPr>
                <w:rStyle w:val="21"/>
                <w:rFonts w:hint="eastAsia" w:ascii="宋体" w:hAnsi="宋体" w:eastAsia="宋体" w:cs="宋体"/>
                <w:b w:val="0"/>
                <w:bCs w:val="0"/>
                <w:color w:val="auto"/>
                <w:sz w:val="18"/>
                <w:szCs w:val="18"/>
                <w:lang w:bidi="ar"/>
              </w:rPr>
              <w:t>倍罚款</w:t>
            </w:r>
          </w:p>
        </w:tc>
        <w:tc>
          <w:tcPr>
            <w:tcW w:w="739" w:type="dxa"/>
            <w:vMerge w:val="continue"/>
            <w:tcBorders>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4F31E2B">
            <w:pPr>
              <w:spacing w:line="240" w:lineRule="exact"/>
              <w:jc w:val="center"/>
              <w:rPr>
                <w:rFonts w:hint="eastAsia" w:ascii="宋体" w:hAnsi="宋体" w:eastAsia="宋体" w:cs="宋体"/>
                <w:b w:val="0"/>
                <w:bCs w:val="0"/>
                <w:kern w:val="0"/>
                <w:sz w:val="18"/>
                <w:szCs w:val="18"/>
                <w:lang w:bidi="ar"/>
              </w:rPr>
            </w:pPr>
          </w:p>
        </w:tc>
      </w:tr>
      <w:tr w14:paraId="3A70C3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74" w:type="dxa"/>
            <w:vMerge w:val="continue"/>
            <w:tcBorders>
              <w:left w:val="single" w:color="auto" w:sz="4" w:space="0"/>
              <w:right w:val="single" w:color="auto" w:sz="4" w:space="0"/>
            </w:tcBorders>
            <w:noWrap w:val="0"/>
            <w:tcMar>
              <w:top w:w="0" w:type="dxa"/>
              <w:left w:w="0" w:type="dxa"/>
              <w:bottom w:w="0" w:type="dxa"/>
              <w:right w:w="0" w:type="dxa"/>
            </w:tcMar>
            <w:vAlign w:val="center"/>
          </w:tcPr>
          <w:p w14:paraId="2DAEC9C7">
            <w:pPr>
              <w:widowControl/>
              <w:spacing w:line="240" w:lineRule="exact"/>
              <w:jc w:val="center"/>
              <w:textAlignment w:val="center"/>
              <w:rPr>
                <w:rFonts w:hint="eastAsia" w:ascii="宋体" w:hAnsi="宋体" w:eastAsia="宋体" w:cs="宋体"/>
                <w:b w:val="0"/>
                <w:bCs w:val="0"/>
                <w:sz w:val="18"/>
                <w:szCs w:val="18"/>
              </w:rPr>
            </w:pPr>
          </w:p>
        </w:tc>
        <w:tc>
          <w:tcPr>
            <w:tcW w:w="1236" w:type="dxa"/>
            <w:vMerge w:val="continue"/>
            <w:tcBorders>
              <w:left w:val="single" w:color="auto" w:sz="4" w:space="0"/>
              <w:right w:val="single" w:color="auto" w:sz="4" w:space="0"/>
            </w:tcBorders>
            <w:noWrap w:val="0"/>
            <w:tcMar>
              <w:top w:w="0" w:type="dxa"/>
              <w:left w:w="0" w:type="dxa"/>
              <w:bottom w:w="0" w:type="dxa"/>
              <w:right w:w="0" w:type="dxa"/>
            </w:tcMar>
            <w:vAlign w:val="center"/>
          </w:tcPr>
          <w:p w14:paraId="5D3FC5CB">
            <w:pPr>
              <w:widowControl/>
              <w:spacing w:line="240" w:lineRule="exact"/>
              <w:jc w:val="both"/>
              <w:textAlignment w:val="center"/>
              <w:rPr>
                <w:rFonts w:hint="eastAsia" w:ascii="宋体" w:hAnsi="宋体" w:eastAsia="宋体" w:cs="宋体"/>
                <w:b w:val="0"/>
                <w:bCs w:val="0"/>
                <w:kern w:val="0"/>
                <w:sz w:val="18"/>
                <w:szCs w:val="18"/>
                <w:lang w:bidi="ar"/>
              </w:rPr>
            </w:pPr>
          </w:p>
        </w:tc>
        <w:tc>
          <w:tcPr>
            <w:tcW w:w="6027" w:type="dxa"/>
            <w:vMerge w:val="continue"/>
            <w:tcBorders>
              <w:left w:val="single" w:color="auto" w:sz="4" w:space="0"/>
              <w:right w:val="single" w:color="auto" w:sz="4" w:space="0"/>
            </w:tcBorders>
            <w:noWrap w:val="0"/>
            <w:tcMar>
              <w:top w:w="0" w:type="dxa"/>
              <w:left w:w="0" w:type="dxa"/>
              <w:bottom w:w="0" w:type="dxa"/>
              <w:right w:w="0" w:type="dxa"/>
            </w:tcMar>
            <w:vAlign w:val="center"/>
          </w:tcPr>
          <w:p w14:paraId="7D0CAC5B">
            <w:pPr>
              <w:widowControl/>
              <w:spacing w:line="240" w:lineRule="exact"/>
              <w:textAlignment w:val="center"/>
              <w:rPr>
                <w:rFonts w:hint="eastAsia" w:ascii="宋体" w:hAnsi="宋体" w:eastAsia="宋体" w:cs="宋体"/>
                <w:b w:val="0"/>
                <w:bCs w:val="0"/>
                <w:kern w:val="0"/>
                <w:sz w:val="18"/>
                <w:szCs w:val="18"/>
                <w:lang w:bidi="ar"/>
              </w:rPr>
            </w:pPr>
          </w:p>
        </w:tc>
        <w:tc>
          <w:tcPr>
            <w:tcW w:w="1849" w:type="dxa"/>
            <w:vMerge w:val="restart"/>
            <w:tcBorders>
              <w:top w:val="single" w:color="auto" w:sz="4" w:space="0"/>
              <w:left w:val="single" w:color="auto" w:sz="4" w:space="0"/>
              <w:right w:val="single" w:color="auto" w:sz="4" w:space="0"/>
            </w:tcBorders>
            <w:noWrap w:val="0"/>
            <w:tcMar>
              <w:top w:w="0" w:type="dxa"/>
              <w:left w:w="0" w:type="dxa"/>
              <w:bottom w:w="0" w:type="dxa"/>
              <w:right w:w="0" w:type="dxa"/>
            </w:tcMar>
            <w:vAlign w:val="center"/>
          </w:tcPr>
          <w:p w14:paraId="49F05009">
            <w:pPr>
              <w:spacing w:line="240" w:lineRule="exact"/>
              <w:jc w:val="both"/>
              <w:rPr>
                <w:rFonts w:hint="eastAsia" w:ascii="宋体" w:hAnsi="宋体" w:eastAsia="宋体" w:cs="宋体"/>
                <w:b w:val="0"/>
                <w:bCs w:val="0"/>
                <w:sz w:val="18"/>
                <w:szCs w:val="18"/>
              </w:rPr>
            </w:pPr>
            <w:r>
              <w:rPr>
                <w:rFonts w:hint="eastAsia" w:ascii="宋体" w:hAnsi="宋体" w:eastAsia="宋体" w:cs="宋体"/>
                <w:b w:val="0"/>
                <w:bCs w:val="0"/>
                <w:spacing w:val="-4"/>
                <w:kern w:val="0"/>
                <w:sz w:val="18"/>
                <w:szCs w:val="18"/>
                <w:lang w:bidi="ar"/>
              </w:rPr>
              <w:t>未按照许可规定从事河道采砂活动的</w:t>
            </w:r>
          </w:p>
        </w:tc>
        <w:tc>
          <w:tcPr>
            <w:tcW w:w="51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B0FFB2C">
            <w:pPr>
              <w:spacing w:line="240" w:lineRule="exact"/>
              <w:jc w:val="center"/>
              <w:rPr>
                <w:rFonts w:hint="eastAsia" w:ascii="宋体" w:hAnsi="宋体" w:eastAsia="宋体" w:cs="宋体"/>
                <w:b w:val="0"/>
                <w:bCs w:val="0"/>
                <w:sz w:val="18"/>
                <w:szCs w:val="18"/>
              </w:rPr>
            </w:pPr>
            <w:r>
              <w:rPr>
                <w:rFonts w:hint="eastAsia" w:ascii="宋体" w:hAnsi="宋体" w:eastAsia="宋体" w:cs="宋体"/>
                <w:b w:val="0"/>
                <w:bCs w:val="0"/>
                <w:sz w:val="18"/>
                <w:szCs w:val="18"/>
              </w:rPr>
              <w:t>轻微</w:t>
            </w:r>
          </w:p>
        </w:tc>
        <w:tc>
          <w:tcPr>
            <w:tcW w:w="242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53BFB699">
            <w:pPr>
              <w:snapToGrid w:val="0"/>
              <w:spacing w:line="240" w:lineRule="exact"/>
              <mc:AlternateContent>
                <mc:Choice Requires="wpsCustomData">
                  <wpsCustomData:diagonalParaType/>
                </mc:Choice>
              </mc:AlternateContent>
              <w:rPr>
                <w:rStyle w:val="21"/>
                <w:rFonts w:hint="eastAsia" w:ascii="宋体" w:hAnsi="宋体" w:eastAsia="宋体" w:cs="宋体"/>
                <w:b w:val="0"/>
                <w:bCs w:val="0"/>
                <w:color w:val="auto"/>
                <w:sz w:val="18"/>
                <w:szCs w:val="18"/>
                <w:lang w:bidi="ar"/>
              </w:rPr>
            </w:pPr>
          </w:p>
          <w:p w14:paraId="2F18EC43">
            <w:pPr>
              <w:spacing w:line="240" w:lineRule="exact"/>
              <w:rPr>
                <w:rStyle w:val="21"/>
                <w:rFonts w:hint="eastAsia" w:ascii="宋体" w:hAnsi="宋体" w:eastAsia="宋体" w:cs="宋体"/>
                <w:b w:val="0"/>
                <w:bCs w:val="0"/>
                <w:color w:val="auto"/>
                <w:sz w:val="18"/>
                <w:szCs w:val="18"/>
                <w:lang w:bidi="ar"/>
              </w:rPr>
            </w:pPr>
          </w:p>
        </w:tc>
        <w:tc>
          <w:tcPr>
            <w:tcW w:w="1628"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1E08C498">
            <w:pPr>
              <w:snapToGrid w:val="0"/>
              <w:spacing w:line="240" w:lineRule="exact"/>
              <mc:AlternateContent>
                <mc:Choice Requires="wpsCustomData">
                  <wpsCustomData:diagonalParaType/>
                </mc:Choice>
              </mc:AlternateContent>
              <w:rPr>
                <w:rStyle w:val="21"/>
                <w:rFonts w:hint="eastAsia" w:ascii="宋体" w:hAnsi="宋体" w:eastAsia="宋体" w:cs="宋体"/>
                <w:b w:val="0"/>
                <w:bCs w:val="0"/>
                <w:color w:val="auto"/>
                <w:sz w:val="18"/>
                <w:szCs w:val="18"/>
                <w:lang w:bidi="ar"/>
              </w:rPr>
            </w:pPr>
          </w:p>
          <w:p w14:paraId="3A042BAD">
            <w:pPr>
              <w:spacing w:line="240" w:lineRule="exact"/>
              <w:rPr>
                <w:rStyle w:val="21"/>
                <w:rFonts w:hint="eastAsia" w:ascii="宋体" w:hAnsi="宋体" w:eastAsia="宋体" w:cs="宋体"/>
                <w:b w:val="0"/>
                <w:bCs w:val="0"/>
                <w:color w:val="auto"/>
                <w:sz w:val="18"/>
                <w:szCs w:val="18"/>
                <w:lang w:bidi="ar"/>
              </w:rPr>
            </w:pPr>
          </w:p>
        </w:tc>
        <w:tc>
          <w:tcPr>
            <w:tcW w:w="739" w:type="dxa"/>
            <w:vMerge w:val="restart"/>
            <w:tcBorders>
              <w:top w:val="single" w:color="auto" w:sz="4" w:space="0"/>
              <w:left w:val="single" w:color="auto" w:sz="4" w:space="0"/>
              <w:right w:val="single" w:color="auto" w:sz="4" w:space="0"/>
            </w:tcBorders>
            <w:noWrap w:val="0"/>
            <w:tcMar>
              <w:top w:w="0" w:type="dxa"/>
              <w:left w:w="0" w:type="dxa"/>
              <w:bottom w:w="0" w:type="dxa"/>
              <w:right w:w="0" w:type="dxa"/>
            </w:tcMar>
            <w:vAlign w:val="center"/>
          </w:tcPr>
          <w:p w14:paraId="4589DE30">
            <w:pPr>
              <w:spacing w:line="240" w:lineRule="exact"/>
              <w:jc w:val="center"/>
              <w:rPr>
                <w:rStyle w:val="21"/>
                <w:rFonts w:hint="eastAsia" w:ascii="宋体" w:hAnsi="宋体" w:eastAsia="宋体" w:cs="宋体"/>
                <w:b w:val="0"/>
                <w:bCs w:val="0"/>
                <w:color w:val="auto"/>
                <w:sz w:val="18"/>
                <w:szCs w:val="18"/>
                <w:lang w:bidi="ar"/>
              </w:rPr>
            </w:pPr>
          </w:p>
        </w:tc>
      </w:tr>
      <w:tr w14:paraId="7AA94C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74" w:type="dxa"/>
            <w:vMerge w:val="continue"/>
            <w:tcBorders>
              <w:left w:val="single" w:color="auto" w:sz="4" w:space="0"/>
              <w:right w:val="single" w:color="auto" w:sz="4" w:space="0"/>
            </w:tcBorders>
            <w:noWrap w:val="0"/>
            <w:tcMar>
              <w:top w:w="0" w:type="dxa"/>
              <w:left w:w="0" w:type="dxa"/>
              <w:bottom w:w="0" w:type="dxa"/>
              <w:right w:w="0" w:type="dxa"/>
            </w:tcMar>
            <w:vAlign w:val="center"/>
          </w:tcPr>
          <w:p w14:paraId="48026FBF">
            <w:pPr>
              <w:spacing w:line="240" w:lineRule="exact"/>
              <w:jc w:val="center"/>
              <w:rPr>
                <w:rFonts w:hint="eastAsia" w:ascii="宋体" w:hAnsi="宋体" w:eastAsia="宋体" w:cs="宋体"/>
                <w:b w:val="0"/>
                <w:bCs w:val="0"/>
                <w:sz w:val="18"/>
                <w:szCs w:val="18"/>
              </w:rPr>
            </w:pPr>
          </w:p>
        </w:tc>
        <w:tc>
          <w:tcPr>
            <w:tcW w:w="1236" w:type="dxa"/>
            <w:vMerge w:val="continue"/>
            <w:tcBorders>
              <w:left w:val="single" w:color="auto" w:sz="4" w:space="0"/>
              <w:right w:val="single" w:color="auto" w:sz="4" w:space="0"/>
            </w:tcBorders>
            <w:noWrap w:val="0"/>
            <w:tcMar>
              <w:top w:w="0" w:type="dxa"/>
              <w:left w:w="0" w:type="dxa"/>
              <w:bottom w:w="0" w:type="dxa"/>
              <w:right w:w="0" w:type="dxa"/>
            </w:tcMar>
            <w:vAlign w:val="center"/>
          </w:tcPr>
          <w:p w14:paraId="33C153F9">
            <w:pPr>
              <w:widowControl/>
              <w:spacing w:line="240" w:lineRule="exact"/>
              <w:textAlignment w:val="center"/>
              <w:rPr>
                <w:rFonts w:hint="eastAsia" w:ascii="宋体" w:hAnsi="宋体" w:eastAsia="宋体" w:cs="宋体"/>
                <w:b w:val="0"/>
                <w:bCs w:val="0"/>
                <w:kern w:val="0"/>
                <w:sz w:val="18"/>
                <w:szCs w:val="18"/>
                <w:lang w:bidi="ar"/>
              </w:rPr>
            </w:pPr>
          </w:p>
        </w:tc>
        <w:tc>
          <w:tcPr>
            <w:tcW w:w="6027" w:type="dxa"/>
            <w:vMerge w:val="continue"/>
            <w:tcBorders>
              <w:left w:val="single" w:color="auto" w:sz="4" w:space="0"/>
              <w:right w:val="single" w:color="auto" w:sz="4" w:space="0"/>
            </w:tcBorders>
            <w:noWrap w:val="0"/>
            <w:tcMar>
              <w:top w:w="0" w:type="dxa"/>
              <w:left w:w="0" w:type="dxa"/>
              <w:bottom w:w="0" w:type="dxa"/>
              <w:right w:w="0" w:type="dxa"/>
            </w:tcMar>
            <w:vAlign w:val="center"/>
          </w:tcPr>
          <w:p w14:paraId="2618D2AD">
            <w:pPr>
              <w:widowControl/>
              <w:spacing w:line="240" w:lineRule="exact"/>
              <w:ind w:firstLine="360" w:firstLineChars="200"/>
              <w:textAlignment w:val="center"/>
              <w:rPr>
                <w:rFonts w:hint="eastAsia" w:ascii="宋体" w:hAnsi="宋体" w:eastAsia="宋体" w:cs="宋体"/>
                <w:b w:val="0"/>
                <w:bCs w:val="0"/>
                <w:kern w:val="0"/>
                <w:sz w:val="18"/>
                <w:szCs w:val="18"/>
                <w:lang w:bidi="ar"/>
              </w:rPr>
            </w:pPr>
          </w:p>
        </w:tc>
        <w:tc>
          <w:tcPr>
            <w:tcW w:w="1849" w:type="dxa"/>
            <w:vMerge w:val="continue"/>
            <w:tcBorders>
              <w:left w:val="single" w:color="auto" w:sz="4" w:space="0"/>
              <w:right w:val="single" w:color="auto" w:sz="4" w:space="0"/>
            </w:tcBorders>
            <w:noWrap w:val="0"/>
            <w:tcMar>
              <w:top w:w="0" w:type="dxa"/>
              <w:left w:w="0" w:type="dxa"/>
              <w:bottom w:w="0" w:type="dxa"/>
              <w:right w:w="0" w:type="dxa"/>
            </w:tcMar>
            <w:vAlign w:val="center"/>
          </w:tcPr>
          <w:p w14:paraId="41267C45">
            <w:pPr>
              <w:spacing w:line="240" w:lineRule="exact"/>
              <w:jc w:val="both"/>
              <w:rPr>
                <w:rFonts w:hint="eastAsia" w:ascii="宋体" w:hAnsi="宋体" w:eastAsia="宋体" w:cs="宋体"/>
                <w:b w:val="0"/>
                <w:bCs w:val="0"/>
                <w:sz w:val="18"/>
                <w:szCs w:val="18"/>
              </w:rPr>
            </w:pPr>
          </w:p>
        </w:tc>
        <w:tc>
          <w:tcPr>
            <w:tcW w:w="51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AFA9C99">
            <w:pPr>
              <w:spacing w:line="240" w:lineRule="exact"/>
              <w:jc w:val="center"/>
              <w:rPr>
                <w:rFonts w:hint="eastAsia" w:ascii="宋体" w:hAnsi="宋体" w:eastAsia="宋体" w:cs="宋体"/>
                <w:b w:val="0"/>
                <w:bCs w:val="0"/>
                <w:sz w:val="18"/>
                <w:szCs w:val="18"/>
              </w:rPr>
            </w:pPr>
            <w:r>
              <w:rPr>
                <w:rFonts w:hint="eastAsia" w:ascii="宋体" w:hAnsi="宋体" w:eastAsia="宋体" w:cs="宋体"/>
                <w:b w:val="0"/>
                <w:bCs w:val="0"/>
                <w:sz w:val="18"/>
                <w:szCs w:val="18"/>
              </w:rPr>
              <w:t>较轻</w:t>
            </w:r>
          </w:p>
        </w:tc>
        <w:tc>
          <w:tcPr>
            <w:tcW w:w="242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081FF662">
            <w:pPr>
              <w:snapToGrid w:val="0"/>
              <w:spacing w:line="240" w:lineRule="exact"/>
              <mc:AlternateContent>
                <mc:Choice Requires="wpsCustomData">
                  <wpsCustomData:diagonalParaType/>
                </mc:Choice>
              </mc:AlternateContent>
              <w:rPr>
                <w:rStyle w:val="21"/>
                <w:rFonts w:hint="eastAsia" w:ascii="宋体" w:hAnsi="宋体" w:eastAsia="宋体" w:cs="宋体"/>
                <w:b w:val="0"/>
                <w:bCs w:val="0"/>
                <w:color w:val="auto"/>
                <w:sz w:val="18"/>
                <w:szCs w:val="18"/>
                <w:lang w:bidi="ar"/>
              </w:rPr>
            </w:pPr>
          </w:p>
          <w:p w14:paraId="2467390E">
            <w:pPr>
              <w:spacing w:line="240" w:lineRule="exact"/>
              <w:rPr>
                <w:rStyle w:val="21"/>
                <w:rFonts w:hint="eastAsia" w:ascii="宋体" w:hAnsi="宋体" w:eastAsia="宋体" w:cs="宋体"/>
                <w:b w:val="0"/>
                <w:bCs w:val="0"/>
                <w:color w:val="auto"/>
                <w:sz w:val="18"/>
                <w:szCs w:val="18"/>
                <w:lang w:bidi="ar"/>
              </w:rPr>
            </w:pPr>
          </w:p>
        </w:tc>
        <w:tc>
          <w:tcPr>
            <w:tcW w:w="1628"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6B34DE7A">
            <w:pPr>
              <w:snapToGrid w:val="0"/>
              <w:spacing w:line="240" w:lineRule="exact"/>
              <mc:AlternateContent>
                <mc:Choice Requires="wpsCustomData">
                  <wpsCustomData:diagonalParaType/>
                </mc:Choice>
              </mc:AlternateContent>
              <w:rPr>
                <w:rStyle w:val="21"/>
                <w:rFonts w:hint="eastAsia" w:ascii="宋体" w:hAnsi="宋体" w:eastAsia="宋体" w:cs="宋体"/>
                <w:b w:val="0"/>
                <w:bCs w:val="0"/>
                <w:color w:val="auto"/>
                <w:sz w:val="18"/>
                <w:szCs w:val="18"/>
                <w:lang w:bidi="ar"/>
              </w:rPr>
            </w:pPr>
          </w:p>
          <w:p w14:paraId="17F6C75B">
            <w:pPr>
              <w:spacing w:line="240" w:lineRule="exact"/>
              <w:rPr>
                <w:rStyle w:val="21"/>
                <w:rFonts w:hint="eastAsia" w:ascii="宋体" w:hAnsi="宋体" w:eastAsia="宋体" w:cs="宋体"/>
                <w:b w:val="0"/>
                <w:bCs w:val="0"/>
                <w:color w:val="auto"/>
                <w:sz w:val="18"/>
                <w:szCs w:val="18"/>
                <w:lang w:bidi="ar"/>
              </w:rPr>
            </w:pPr>
          </w:p>
        </w:tc>
        <w:tc>
          <w:tcPr>
            <w:tcW w:w="739" w:type="dxa"/>
            <w:vMerge w:val="continue"/>
            <w:tcBorders>
              <w:left w:val="single" w:color="auto" w:sz="4" w:space="0"/>
              <w:right w:val="single" w:color="auto" w:sz="4" w:space="0"/>
            </w:tcBorders>
            <w:noWrap w:val="0"/>
            <w:tcMar>
              <w:top w:w="0" w:type="dxa"/>
              <w:left w:w="0" w:type="dxa"/>
              <w:bottom w:w="0" w:type="dxa"/>
              <w:right w:w="0" w:type="dxa"/>
            </w:tcMar>
            <w:vAlign w:val="center"/>
          </w:tcPr>
          <w:p w14:paraId="5189CFBB">
            <w:pPr>
              <w:spacing w:line="240" w:lineRule="exact"/>
              <w:jc w:val="center"/>
              <w:rPr>
                <w:rStyle w:val="21"/>
                <w:rFonts w:hint="eastAsia" w:ascii="宋体" w:hAnsi="宋体" w:eastAsia="宋体" w:cs="宋体"/>
                <w:b w:val="0"/>
                <w:bCs w:val="0"/>
                <w:color w:val="auto"/>
                <w:sz w:val="18"/>
                <w:szCs w:val="18"/>
                <w:lang w:bidi="ar"/>
              </w:rPr>
            </w:pPr>
          </w:p>
        </w:tc>
      </w:tr>
      <w:tr w14:paraId="61CC6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6" w:hRule="atLeast"/>
          <w:jc w:val="center"/>
        </w:trPr>
        <w:tc>
          <w:tcPr>
            <w:tcW w:w="474" w:type="dxa"/>
            <w:vMerge w:val="continue"/>
            <w:tcBorders>
              <w:left w:val="single" w:color="auto" w:sz="4" w:space="0"/>
              <w:right w:val="single" w:color="auto" w:sz="4" w:space="0"/>
            </w:tcBorders>
            <w:noWrap w:val="0"/>
            <w:tcMar>
              <w:top w:w="0" w:type="dxa"/>
              <w:left w:w="0" w:type="dxa"/>
              <w:bottom w:w="0" w:type="dxa"/>
              <w:right w:w="0" w:type="dxa"/>
            </w:tcMar>
            <w:vAlign w:val="center"/>
          </w:tcPr>
          <w:p w14:paraId="53244859">
            <w:pPr>
              <w:spacing w:line="240" w:lineRule="exact"/>
              <w:jc w:val="center"/>
              <w:rPr>
                <w:rFonts w:hint="eastAsia" w:ascii="宋体" w:hAnsi="宋体" w:eastAsia="宋体" w:cs="宋体"/>
                <w:b w:val="0"/>
                <w:bCs w:val="0"/>
                <w:sz w:val="18"/>
                <w:szCs w:val="18"/>
              </w:rPr>
            </w:pPr>
          </w:p>
        </w:tc>
        <w:tc>
          <w:tcPr>
            <w:tcW w:w="1236" w:type="dxa"/>
            <w:vMerge w:val="continue"/>
            <w:tcBorders>
              <w:left w:val="single" w:color="auto" w:sz="4" w:space="0"/>
              <w:right w:val="single" w:color="auto" w:sz="4" w:space="0"/>
            </w:tcBorders>
            <w:noWrap w:val="0"/>
            <w:tcMar>
              <w:top w:w="0" w:type="dxa"/>
              <w:left w:w="0" w:type="dxa"/>
              <w:bottom w:w="0" w:type="dxa"/>
              <w:right w:w="0" w:type="dxa"/>
            </w:tcMar>
            <w:vAlign w:val="center"/>
          </w:tcPr>
          <w:p w14:paraId="7C7C9C81">
            <w:pPr>
              <w:widowControl/>
              <w:spacing w:line="240" w:lineRule="exact"/>
              <w:textAlignment w:val="center"/>
              <w:rPr>
                <w:rFonts w:hint="eastAsia" w:ascii="宋体" w:hAnsi="宋体" w:eastAsia="宋体" w:cs="宋体"/>
                <w:b w:val="0"/>
                <w:bCs w:val="0"/>
                <w:kern w:val="0"/>
                <w:sz w:val="18"/>
                <w:szCs w:val="18"/>
                <w:lang w:bidi="ar"/>
              </w:rPr>
            </w:pPr>
          </w:p>
        </w:tc>
        <w:tc>
          <w:tcPr>
            <w:tcW w:w="6027" w:type="dxa"/>
            <w:vMerge w:val="continue"/>
            <w:tcBorders>
              <w:left w:val="single" w:color="auto" w:sz="4" w:space="0"/>
              <w:right w:val="single" w:color="auto" w:sz="4" w:space="0"/>
            </w:tcBorders>
            <w:noWrap w:val="0"/>
            <w:tcMar>
              <w:top w:w="0" w:type="dxa"/>
              <w:left w:w="0" w:type="dxa"/>
              <w:bottom w:w="0" w:type="dxa"/>
              <w:right w:w="0" w:type="dxa"/>
            </w:tcMar>
            <w:vAlign w:val="center"/>
          </w:tcPr>
          <w:p w14:paraId="5117A3D7">
            <w:pPr>
              <w:widowControl/>
              <w:spacing w:line="240" w:lineRule="exact"/>
              <w:ind w:firstLine="360" w:firstLineChars="200"/>
              <w:textAlignment w:val="center"/>
              <w:rPr>
                <w:rFonts w:hint="eastAsia" w:ascii="宋体" w:hAnsi="宋体" w:eastAsia="宋体" w:cs="宋体"/>
                <w:b w:val="0"/>
                <w:bCs w:val="0"/>
                <w:kern w:val="0"/>
                <w:sz w:val="18"/>
                <w:szCs w:val="18"/>
                <w:lang w:bidi="ar"/>
              </w:rPr>
            </w:pPr>
          </w:p>
        </w:tc>
        <w:tc>
          <w:tcPr>
            <w:tcW w:w="1849" w:type="dxa"/>
            <w:vMerge w:val="continue"/>
            <w:tcBorders>
              <w:left w:val="single" w:color="auto" w:sz="4" w:space="0"/>
              <w:right w:val="single" w:color="auto" w:sz="4" w:space="0"/>
            </w:tcBorders>
            <w:noWrap w:val="0"/>
            <w:tcMar>
              <w:top w:w="0" w:type="dxa"/>
              <w:left w:w="0" w:type="dxa"/>
              <w:bottom w:w="0" w:type="dxa"/>
              <w:right w:w="0" w:type="dxa"/>
            </w:tcMar>
            <w:vAlign w:val="center"/>
          </w:tcPr>
          <w:p w14:paraId="7624E592">
            <w:pPr>
              <w:spacing w:line="240" w:lineRule="exact"/>
              <w:jc w:val="both"/>
              <w:rPr>
                <w:rFonts w:hint="eastAsia" w:ascii="宋体" w:hAnsi="宋体" w:eastAsia="宋体" w:cs="宋体"/>
                <w:b w:val="0"/>
                <w:bCs w:val="0"/>
                <w:sz w:val="18"/>
                <w:szCs w:val="18"/>
              </w:rPr>
            </w:pPr>
          </w:p>
        </w:tc>
        <w:tc>
          <w:tcPr>
            <w:tcW w:w="51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599F909">
            <w:pPr>
              <w:spacing w:line="240" w:lineRule="exact"/>
              <w:jc w:val="center"/>
              <w:rPr>
                <w:rFonts w:hint="eastAsia" w:ascii="宋体" w:hAnsi="宋体" w:eastAsia="宋体" w:cs="宋体"/>
                <w:b w:val="0"/>
                <w:bCs w:val="0"/>
                <w:sz w:val="18"/>
                <w:szCs w:val="18"/>
              </w:rPr>
            </w:pPr>
            <w:r>
              <w:rPr>
                <w:rFonts w:hint="eastAsia" w:ascii="宋体" w:hAnsi="宋体" w:eastAsia="宋体" w:cs="宋体"/>
                <w:b w:val="0"/>
                <w:bCs w:val="0"/>
                <w:sz w:val="18"/>
                <w:szCs w:val="18"/>
              </w:rPr>
              <w:t>一般</w:t>
            </w:r>
          </w:p>
        </w:tc>
        <w:tc>
          <w:tcPr>
            <w:tcW w:w="242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B1416A5">
            <w:pPr>
              <w:spacing w:line="280" w:lineRule="exact"/>
              <w:rPr>
                <w:rFonts w:hint="eastAsia" w:ascii="宋体" w:hAnsi="宋体" w:eastAsia="宋体" w:cs="宋体"/>
                <w:b w:val="0"/>
                <w:bCs w:val="0"/>
                <w:sz w:val="18"/>
                <w:szCs w:val="18"/>
                <w:lang w:bidi="ar"/>
              </w:rPr>
            </w:pPr>
            <w:r>
              <w:rPr>
                <w:rStyle w:val="21"/>
                <w:rFonts w:hint="eastAsia" w:ascii="宋体" w:hAnsi="宋体" w:eastAsia="宋体" w:cs="宋体"/>
                <w:b w:val="0"/>
                <w:bCs w:val="0"/>
                <w:color w:val="auto"/>
                <w:sz w:val="18"/>
                <w:szCs w:val="18"/>
                <w:lang w:bidi="ar"/>
              </w:rPr>
              <w:t>立即停止违法行为的、在期限内采取补救措施的</w:t>
            </w:r>
          </w:p>
        </w:tc>
        <w:tc>
          <w:tcPr>
            <w:tcW w:w="1628"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34CCDA1">
            <w:pPr>
              <w:spacing w:line="280" w:lineRule="exact"/>
              <w:rPr>
                <w:rFonts w:hint="eastAsia" w:ascii="宋体" w:hAnsi="宋体" w:eastAsia="宋体" w:cs="宋体"/>
                <w:b w:val="0"/>
                <w:bCs w:val="0"/>
                <w:sz w:val="18"/>
                <w:szCs w:val="18"/>
                <w:lang w:bidi="ar"/>
              </w:rPr>
            </w:pPr>
            <w:r>
              <w:rPr>
                <w:rFonts w:hint="eastAsia" w:ascii="宋体" w:hAnsi="宋体" w:eastAsia="宋体" w:cs="宋体"/>
                <w:b w:val="0"/>
                <w:bCs w:val="0"/>
                <w:kern w:val="0"/>
                <w:sz w:val="18"/>
                <w:szCs w:val="18"/>
                <w:lang w:bidi="ar"/>
              </w:rPr>
              <w:t>没收违法所得，</w:t>
            </w:r>
            <w:r>
              <w:rPr>
                <w:rStyle w:val="21"/>
                <w:rFonts w:hint="eastAsia" w:ascii="宋体" w:hAnsi="宋体" w:eastAsia="宋体" w:cs="宋体"/>
                <w:b w:val="0"/>
                <w:bCs w:val="0"/>
                <w:color w:val="auto"/>
                <w:sz w:val="18"/>
                <w:szCs w:val="18"/>
                <w:lang w:bidi="ar"/>
              </w:rPr>
              <w:t>处开采砂石价值的</w:t>
            </w:r>
            <w:r>
              <w:rPr>
                <w:rStyle w:val="21"/>
                <w:rFonts w:hint="eastAsia" w:ascii="宋体" w:hAnsi="宋体" w:eastAsia="宋体" w:cs="宋体"/>
                <w:b w:val="0"/>
                <w:bCs w:val="0"/>
                <w:color w:val="auto"/>
                <w:sz w:val="18"/>
                <w:szCs w:val="18"/>
                <w:lang w:val="en-US" w:eastAsia="zh-CN" w:bidi="ar"/>
              </w:rPr>
              <w:t>1</w:t>
            </w:r>
            <w:r>
              <w:rPr>
                <w:rStyle w:val="21"/>
                <w:rFonts w:hint="eastAsia" w:ascii="宋体" w:hAnsi="宋体" w:eastAsia="宋体" w:cs="宋体"/>
                <w:b w:val="0"/>
                <w:bCs w:val="0"/>
                <w:color w:val="auto"/>
                <w:sz w:val="18"/>
                <w:szCs w:val="18"/>
                <w:lang w:bidi="ar"/>
              </w:rPr>
              <w:t>倍罚款</w:t>
            </w:r>
          </w:p>
        </w:tc>
        <w:tc>
          <w:tcPr>
            <w:tcW w:w="739" w:type="dxa"/>
            <w:vMerge w:val="continue"/>
            <w:tcBorders>
              <w:left w:val="single" w:color="auto" w:sz="4" w:space="0"/>
              <w:right w:val="single" w:color="auto" w:sz="4" w:space="0"/>
            </w:tcBorders>
            <w:noWrap w:val="0"/>
            <w:tcMar>
              <w:top w:w="0" w:type="dxa"/>
              <w:left w:w="0" w:type="dxa"/>
              <w:bottom w:w="0" w:type="dxa"/>
              <w:right w:w="0" w:type="dxa"/>
            </w:tcMar>
            <w:vAlign w:val="center"/>
          </w:tcPr>
          <w:p w14:paraId="13E8A694">
            <w:pPr>
              <w:spacing w:line="240" w:lineRule="exact"/>
              <w:jc w:val="center"/>
              <w:rPr>
                <w:rFonts w:hint="eastAsia" w:ascii="宋体" w:hAnsi="宋体" w:eastAsia="宋体" w:cs="宋体"/>
                <w:b w:val="0"/>
                <w:bCs w:val="0"/>
                <w:kern w:val="0"/>
                <w:sz w:val="18"/>
                <w:szCs w:val="18"/>
                <w:lang w:bidi="ar"/>
              </w:rPr>
            </w:pPr>
          </w:p>
        </w:tc>
      </w:tr>
      <w:tr w14:paraId="1BA0CF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9" w:hRule="atLeast"/>
          <w:jc w:val="center"/>
        </w:trPr>
        <w:tc>
          <w:tcPr>
            <w:tcW w:w="474" w:type="dxa"/>
            <w:vMerge w:val="continue"/>
            <w:tcBorders>
              <w:left w:val="single" w:color="auto" w:sz="4" w:space="0"/>
              <w:right w:val="single" w:color="auto" w:sz="4" w:space="0"/>
            </w:tcBorders>
            <w:noWrap w:val="0"/>
            <w:tcMar>
              <w:top w:w="0" w:type="dxa"/>
              <w:left w:w="0" w:type="dxa"/>
              <w:bottom w:w="0" w:type="dxa"/>
              <w:right w:w="0" w:type="dxa"/>
            </w:tcMar>
            <w:vAlign w:val="center"/>
          </w:tcPr>
          <w:p w14:paraId="7B510AF8">
            <w:pPr>
              <w:spacing w:line="240" w:lineRule="exact"/>
              <w:jc w:val="center"/>
              <w:rPr>
                <w:rFonts w:hint="eastAsia" w:ascii="宋体" w:hAnsi="宋体" w:eastAsia="宋体" w:cs="宋体"/>
                <w:b w:val="0"/>
                <w:bCs w:val="0"/>
                <w:sz w:val="18"/>
                <w:szCs w:val="18"/>
              </w:rPr>
            </w:pPr>
          </w:p>
        </w:tc>
        <w:tc>
          <w:tcPr>
            <w:tcW w:w="1236" w:type="dxa"/>
            <w:vMerge w:val="continue"/>
            <w:tcBorders>
              <w:left w:val="single" w:color="auto" w:sz="4" w:space="0"/>
              <w:right w:val="single" w:color="auto" w:sz="4" w:space="0"/>
            </w:tcBorders>
            <w:noWrap w:val="0"/>
            <w:tcMar>
              <w:top w:w="0" w:type="dxa"/>
              <w:left w:w="0" w:type="dxa"/>
              <w:bottom w:w="0" w:type="dxa"/>
              <w:right w:w="0" w:type="dxa"/>
            </w:tcMar>
            <w:vAlign w:val="center"/>
          </w:tcPr>
          <w:p w14:paraId="0F480D6B">
            <w:pPr>
              <w:widowControl/>
              <w:spacing w:line="240" w:lineRule="exact"/>
              <w:textAlignment w:val="center"/>
              <w:rPr>
                <w:rFonts w:hint="eastAsia" w:ascii="宋体" w:hAnsi="宋体" w:eastAsia="宋体" w:cs="宋体"/>
                <w:b w:val="0"/>
                <w:bCs w:val="0"/>
                <w:kern w:val="0"/>
                <w:sz w:val="18"/>
                <w:szCs w:val="18"/>
                <w:lang w:bidi="ar"/>
              </w:rPr>
            </w:pPr>
          </w:p>
        </w:tc>
        <w:tc>
          <w:tcPr>
            <w:tcW w:w="6027" w:type="dxa"/>
            <w:vMerge w:val="continue"/>
            <w:tcBorders>
              <w:left w:val="single" w:color="auto" w:sz="4" w:space="0"/>
              <w:right w:val="single" w:color="auto" w:sz="4" w:space="0"/>
            </w:tcBorders>
            <w:noWrap w:val="0"/>
            <w:tcMar>
              <w:top w:w="0" w:type="dxa"/>
              <w:left w:w="0" w:type="dxa"/>
              <w:bottom w:w="0" w:type="dxa"/>
              <w:right w:w="0" w:type="dxa"/>
            </w:tcMar>
            <w:vAlign w:val="center"/>
          </w:tcPr>
          <w:p w14:paraId="6C8A942C">
            <w:pPr>
              <w:widowControl/>
              <w:spacing w:line="240" w:lineRule="exact"/>
              <w:ind w:firstLine="360" w:firstLineChars="200"/>
              <w:textAlignment w:val="center"/>
              <w:rPr>
                <w:rFonts w:hint="eastAsia" w:ascii="宋体" w:hAnsi="宋体" w:eastAsia="宋体" w:cs="宋体"/>
                <w:b w:val="0"/>
                <w:bCs w:val="0"/>
                <w:kern w:val="0"/>
                <w:sz w:val="18"/>
                <w:szCs w:val="18"/>
                <w:lang w:bidi="ar"/>
              </w:rPr>
            </w:pPr>
          </w:p>
        </w:tc>
        <w:tc>
          <w:tcPr>
            <w:tcW w:w="1849" w:type="dxa"/>
            <w:vMerge w:val="continue"/>
            <w:tcBorders>
              <w:left w:val="single" w:color="auto" w:sz="4" w:space="0"/>
              <w:right w:val="single" w:color="auto" w:sz="4" w:space="0"/>
            </w:tcBorders>
            <w:noWrap w:val="0"/>
            <w:tcMar>
              <w:top w:w="0" w:type="dxa"/>
              <w:left w:w="0" w:type="dxa"/>
              <w:bottom w:w="0" w:type="dxa"/>
              <w:right w:w="0" w:type="dxa"/>
            </w:tcMar>
            <w:vAlign w:val="center"/>
          </w:tcPr>
          <w:p w14:paraId="78BE2D06">
            <w:pPr>
              <w:spacing w:line="240" w:lineRule="exact"/>
              <w:jc w:val="both"/>
              <w:rPr>
                <w:rFonts w:hint="eastAsia" w:ascii="宋体" w:hAnsi="宋体" w:eastAsia="宋体" w:cs="宋体"/>
                <w:b w:val="0"/>
                <w:bCs w:val="0"/>
                <w:sz w:val="18"/>
                <w:szCs w:val="18"/>
              </w:rPr>
            </w:pPr>
          </w:p>
        </w:tc>
        <w:tc>
          <w:tcPr>
            <w:tcW w:w="51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9AC81B5">
            <w:pPr>
              <w:spacing w:line="240" w:lineRule="exact"/>
              <w:jc w:val="center"/>
              <w:rPr>
                <w:rFonts w:hint="eastAsia" w:ascii="宋体" w:hAnsi="宋体" w:eastAsia="宋体" w:cs="宋体"/>
                <w:b w:val="0"/>
                <w:bCs w:val="0"/>
                <w:sz w:val="18"/>
                <w:szCs w:val="18"/>
                <w:lang w:eastAsia="zh-CN"/>
              </w:rPr>
            </w:pPr>
            <w:r>
              <w:rPr>
                <w:rFonts w:hint="eastAsia" w:ascii="宋体" w:hAnsi="宋体" w:eastAsia="宋体" w:cs="宋体"/>
                <w:b w:val="0"/>
                <w:bCs w:val="0"/>
                <w:sz w:val="18"/>
                <w:szCs w:val="18"/>
                <w:lang w:eastAsia="zh-CN"/>
              </w:rPr>
              <w:t>较重</w:t>
            </w:r>
          </w:p>
        </w:tc>
        <w:tc>
          <w:tcPr>
            <w:tcW w:w="242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E4C36E7">
            <w:pPr>
              <w:spacing w:line="280" w:lineRule="exact"/>
              <w:rPr>
                <w:rFonts w:hint="eastAsia" w:ascii="宋体" w:hAnsi="宋体" w:eastAsia="宋体" w:cs="宋体"/>
                <w:b w:val="0"/>
                <w:bCs w:val="0"/>
                <w:sz w:val="18"/>
                <w:szCs w:val="18"/>
                <w:lang w:bidi="ar"/>
              </w:rPr>
            </w:pPr>
            <w:r>
              <w:rPr>
                <w:rStyle w:val="21"/>
                <w:rFonts w:hint="eastAsia" w:ascii="宋体" w:hAnsi="宋体" w:eastAsia="宋体" w:cs="宋体"/>
                <w:b w:val="0"/>
                <w:bCs w:val="0"/>
                <w:color w:val="auto"/>
                <w:sz w:val="18"/>
                <w:szCs w:val="18"/>
                <w:lang w:bidi="ar"/>
              </w:rPr>
              <w:t>未立即停止违法行为</w:t>
            </w:r>
            <w:r>
              <w:rPr>
                <w:rStyle w:val="21"/>
                <w:rFonts w:hint="eastAsia" w:ascii="宋体" w:hAnsi="宋体" w:eastAsia="宋体" w:cs="宋体"/>
                <w:b w:val="0"/>
                <w:bCs w:val="0"/>
                <w:color w:val="auto"/>
                <w:sz w:val="18"/>
                <w:szCs w:val="18"/>
                <w:lang w:eastAsia="zh-CN" w:bidi="ar"/>
              </w:rPr>
              <w:t>、</w:t>
            </w:r>
            <w:r>
              <w:rPr>
                <w:rStyle w:val="21"/>
                <w:rFonts w:hint="eastAsia" w:ascii="宋体" w:hAnsi="宋体" w:eastAsia="宋体" w:cs="宋体"/>
                <w:b w:val="0"/>
                <w:bCs w:val="0"/>
                <w:color w:val="auto"/>
                <w:sz w:val="18"/>
                <w:szCs w:val="18"/>
                <w:lang w:bidi="ar"/>
              </w:rPr>
              <w:t>在期限内采取补救措施的</w:t>
            </w:r>
          </w:p>
        </w:tc>
        <w:tc>
          <w:tcPr>
            <w:tcW w:w="1628"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28BBFCB">
            <w:pPr>
              <w:spacing w:line="280" w:lineRule="exact"/>
              <w:rPr>
                <w:rFonts w:hint="eastAsia" w:ascii="宋体" w:hAnsi="宋体" w:eastAsia="宋体" w:cs="宋体"/>
                <w:b w:val="0"/>
                <w:bCs w:val="0"/>
                <w:sz w:val="18"/>
                <w:szCs w:val="18"/>
                <w:lang w:bidi="ar"/>
              </w:rPr>
            </w:pPr>
            <w:r>
              <w:rPr>
                <w:rFonts w:hint="eastAsia" w:ascii="宋体" w:hAnsi="宋体" w:eastAsia="宋体" w:cs="宋体"/>
                <w:b w:val="0"/>
                <w:bCs w:val="0"/>
                <w:kern w:val="0"/>
                <w:sz w:val="18"/>
                <w:szCs w:val="18"/>
                <w:lang w:bidi="ar"/>
              </w:rPr>
              <w:t>没收违法所得，</w:t>
            </w:r>
            <w:r>
              <w:rPr>
                <w:rStyle w:val="21"/>
                <w:rFonts w:hint="eastAsia" w:ascii="宋体" w:hAnsi="宋体" w:eastAsia="宋体" w:cs="宋体"/>
                <w:b w:val="0"/>
                <w:bCs w:val="0"/>
                <w:color w:val="auto"/>
                <w:sz w:val="18"/>
                <w:szCs w:val="18"/>
                <w:lang w:bidi="ar"/>
              </w:rPr>
              <w:t>处开采砂石价值的</w:t>
            </w:r>
            <w:r>
              <w:rPr>
                <w:rStyle w:val="21"/>
                <w:rFonts w:hint="eastAsia" w:ascii="宋体" w:hAnsi="宋体" w:eastAsia="宋体" w:cs="宋体"/>
                <w:b w:val="0"/>
                <w:bCs w:val="0"/>
                <w:color w:val="auto"/>
                <w:sz w:val="18"/>
                <w:szCs w:val="18"/>
                <w:lang w:val="en-US" w:eastAsia="zh-CN" w:bidi="ar"/>
              </w:rPr>
              <w:t>2</w:t>
            </w:r>
            <w:r>
              <w:rPr>
                <w:rStyle w:val="21"/>
                <w:rFonts w:hint="eastAsia" w:ascii="宋体" w:hAnsi="宋体" w:eastAsia="宋体" w:cs="宋体"/>
                <w:b w:val="0"/>
                <w:bCs w:val="0"/>
                <w:color w:val="auto"/>
                <w:sz w:val="18"/>
                <w:szCs w:val="18"/>
                <w:lang w:bidi="ar"/>
              </w:rPr>
              <w:t>倍罚款</w:t>
            </w:r>
          </w:p>
        </w:tc>
        <w:tc>
          <w:tcPr>
            <w:tcW w:w="739" w:type="dxa"/>
            <w:vMerge w:val="continue"/>
            <w:tcBorders>
              <w:left w:val="single" w:color="auto" w:sz="4" w:space="0"/>
              <w:right w:val="single" w:color="auto" w:sz="4" w:space="0"/>
            </w:tcBorders>
            <w:noWrap w:val="0"/>
            <w:tcMar>
              <w:top w:w="0" w:type="dxa"/>
              <w:left w:w="0" w:type="dxa"/>
              <w:bottom w:w="0" w:type="dxa"/>
              <w:right w:w="0" w:type="dxa"/>
            </w:tcMar>
            <w:vAlign w:val="center"/>
          </w:tcPr>
          <w:p w14:paraId="07FA2322">
            <w:pPr>
              <w:spacing w:line="240" w:lineRule="exact"/>
              <w:jc w:val="center"/>
              <w:rPr>
                <w:rFonts w:hint="eastAsia" w:ascii="宋体" w:hAnsi="宋体" w:eastAsia="宋体" w:cs="宋体"/>
                <w:b w:val="0"/>
                <w:bCs w:val="0"/>
                <w:kern w:val="0"/>
                <w:sz w:val="18"/>
                <w:szCs w:val="18"/>
                <w:lang w:bidi="ar"/>
              </w:rPr>
            </w:pPr>
          </w:p>
        </w:tc>
      </w:tr>
      <w:tr w14:paraId="071EB6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1" w:hRule="atLeast"/>
          <w:jc w:val="center"/>
        </w:trPr>
        <w:tc>
          <w:tcPr>
            <w:tcW w:w="474" w:type="dxa"/>
            <w:vMerge w:val="continue"/>
            <w:tcBorders>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21775E8">
            <w:pPr>
              <w:spacing w:line="240" w:lineRule="exact"/>
              <w:jc w:val="center"/>
              <w:rPr>
                <w:rFonts w:hint="eastAsia" w:ascii="宋体" w:hAnsi="宋体" w:eastAsia="宋体" w:cs="宋体"/>
                <w:b w:val="0"/>
                <w:bCs w:val="0"/>
                <w:sz w:val="18"/>
                <w:szCs w:val="18"/>
              </w:rPr>
            </w:pPr>
          </w:p>
        </w:tc>
        <w:tc>
          <w:tcPr>
            <w:tcW w:w="1236" w:type="dxa"/>
            <w:vMerge w:val="continue"/>
            <w:tcBorders>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0331FE3">
            <w:pPr>
              <w:widowControl/>
              <w:spacing w:line="240" w:lineRule="exact"/>
              <w:textAlignment w:val="center"/>
              <w:rPr>
                <w:rFonts w:hint="eastAsia" w:ascii="宋体" w:hAnsi="宋体" w:eastAsia="宋体" w:cs="宋体"/>
                <w:b w:val="0"/>
                <w:bCs w:val="0"/>
                <w:kern w:val="0"/>
                <w:sz w:val="18"/>
                <w:szCs w:val="18"/>
                <w:lang w:bidi="ar"/>
              </w:rPr>
            </w:pPr>
          </w:p>
        </w:tc>
        <w:tc>
          <w:tcPr>
            <w:tcW w:w="6027" w:type="dxa"/>
            <w:vMerge w:val="continue"/>
            <w:tcBorders>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20631AC">
            <w:pPr>
              <w:widowControl/>
              <w:spacing w:line="240" w:lineRule="exact"/>
              <w:ind w:firstLine="360" w:firstLineChars="200"/>
              <w:textAlignment w:val="center"/>
              <w:rPr>
                <w:rFonts w:hint="eastAsia" w:ascii="宋体" w:hAnsi="宋体" w:eastAsia="宋体" w:cs="宋体"/>
                <w:b w:val="0"/>
                <w:bCs w:val="0"/>
                <w:kern w:val="0"/>
                <w:sz w:val="18"/>
                <w:szCs w:val="18"/>
                <w:lang w:bidi="ar"/>
              </w:rPr>
            </w:pPr>
          </w:p>
        </w:tc>
        <w:tc>
          <w:tcPr>
            <w:tcW w:w="1849" w:type="dxa"/>
            <w:vMerge w:val="continue"/>
            <w:tcBorders>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2B96CE5">
            <w:pPr>
              <w:spacing w:line="240" w:lineRule="exact"/>
              <w:jc w:val="both"/>
              <w:rPr>
                <w:rFonts w:hint="eastAsia" w:ascii="宋体" w:hAnsi="宋体" w:eastAsia="宋体" w:cs="宋体"/>
                <w:b w:val="0"/>
                <w:bCs w:val="0"/>
                <w:sz w:val="18"/>
                <w:szCs w:val="18"/>
              </w:rPr>
            </w:pPr>
          </w:p>
        </w:tc>
        <w:tc>
          <w:tcPr>
            <w:tcW w:w="51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E3B0492">
            <w:pPr>
              <w:spacing w:line="240" w:lineRule="exact"/>
              <w:jc w:val="center"/>
              <w:rPr>
                <w:rFonts w:hint="eastAsia" w:ascii="宋体" w:hAnsi="宋体" w:eastAsia="宋体" w:cs="宋体"/>
                <w:b w:val="0"/>
                <w:bCs w:val="0"/>
                <w:sz w:val="18"/>
                <w:szCs w:val="18"/>
              </w:rPr>
            </w:pPr>
            <w:r>
              <w:rPr>
                <w:rFonts w:hint="eastAsia" w:ascii="宋体" w:hAnsi="宋体" w:eastAsia="宋体" w:cs="宋体"/>
                <w:b w:val="0"/>
                <w:bCs w:val="0"/>
                <w:sz w:val="18"/>
                <w:szCs w:val="18"/>
              </w:rPr>
              <w:t>严重</w:t>
            </w:r>
          </w:p>
        </w:tc>
        <w:tc>
          <w:tcPr>
            <w:tcW w:w="242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503C356">
            <w:pPr>
              <w:spacing w:line="280" w:lineRule="exact"/>
              <w:rPr>
                <w:rFonts w:hint="eastAsia" w:ascii="宋体" w:hAnsi="宋体" w:eastAsia="宋体" w:cs="宋体"/>
                <w:b w:val="0"/>
                <w:bCs w:val="0"/>
                <w:sz w:val="18"/>
                <w:szCs w:val="18"/>
                <w:lang w:bidi="ar"/>
              </w:rPr>
            </w:pPr>
            <w:r>
              <w:rPr>
                <w:rStyle w:val="21"/>
                <w:rFonts w:hint="eastAsia" w:ascii="宋体" w:hAnsi="宋体" w:eastAsia="宋体" w:cs="宋体"/>
                <w:b w:val="0"/>
                <w:bCs w:val="0"/>
                <w:color w:val="auto"/>
                <w:sz w:val="18"/>
                <w:szCs w:val="18"/>
                <w:lang w:bidi="ar"/>
              </w:rPr>
              <w:t>逾期不采取修复补救措施的</w:t>
            </w:r>
          </w:p>
        </w:tc>
        <w:tc>
          <w:tcPr>
            <w:tcW w:w="1628"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00B9346">
            <w:pPr>
              <w:spacing w:line="280" w:lineRule="exact"/>
              <w:rPr>
                <w:rFonts w:hint="eastAsia" w:ascii="宋体" w:hAnsi="宋体" w:eastAsia="宋体" w:cs="宋体"/>
                <w:b w:val="0"/>
                <w:bCs w:val="0"/>
                <w:sz w:val="18"/>
                <w:szCs w:val="18"/>
                <w:lang w:bidi="ar"/>
              </w:rPr>
            </w:pPr>
            <w:r>
              <w:rPr>
                <w:rFonts w:hint="eastAsia" w:ascii="宋体" w:hAnsi="宋体" w:eastAsia="宋体" w:cs="宋体"/>
                <w:b w:val="0"/>
                <w:bCs w:val="0"/>
                <w:kern w:val="0"/>
                <w:sz w:val="18"/>
                <w:szCs w:val="18"/>
                <w:lang w:bidi="ar"/>
              </w:rPr>
              <w:t>没收违法所得，</w:t>
            </w:r>
            <w:r>
              <w:rPr>
                <w:rStyle w:val="21"/>
                <w:rFonts w:hint="eastAsia" w:ascii="宋体" w:hAnsi="宋体" w:eastAsia="宋体" w:cs="宋体"/>
                <w:b w:val="0"/>
                <w:bCs w:val="0"/>
                <w:color w:val="auto"/>
                <w:sz w:val="18"/>
                <w:szCs w:val="18"/>
                <w:lang w:bidi="ar"/>
              </w:rPr>
              <w:t>处开采砂石价值的</w:t>
            </w:r>
            <w:r>
              <w:rPr>
                <w:rStyle w:val="21"/>
                <w:rFonts w:hint="eastAsia" w:ascii="宋体" w:hAnsi="宋体" w:eastAsia="宋体" w:cs="宋体"/>
                <w:b w:val="0"/>
                <w:bCs w:val="0"/>
                <w:color w:val="auto"/>
                <w:sz w:val="18"/>
                <w:szCs w:val="18"/>
                <w:lang w:val="en-US" w:eastAsia="zh-CN" w:bidi="ar"/>
              </w:rPr>
              <w:t>3</w:t>
            </w:r>
            <w:r>
              <w:rPr>
                <w:rStyle w:val="21"/>
                <w:rFonts w:hint="eastAsia" w:ascii="宋体" w:hAnsi="宋体" w:eastAsia="宋体" w:cs="宋体"/>
                <w:b w:val="0"/>
                <w:bCs w:val="0"/>
                <w:color w:val="auto"/>
                <w:sz w:val="18"/>
                <w:szCs w:val="18"/>
                <w:lang w:bidi="ar"/>
              </w:rPr>
              <w:t>倍罚款，吊销河道采砂许可证</w:t>
            </w:r>
          </w:p>
        </w:tc>
        <w:tc>
          <w:tcPr>
            <w:tcW w:w="739" w:type="dxa"/>
            <w:vMerge w:val="continue"/>
            <w:tcBorders>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6FF0822">
            <w:pPr>
              <w:spacing w:line="240" w:lineRule="exact"/>
              <w:jc w:val="center"/>
              <w:rPr>
                <w:rFonts w:hint="eastAsia" w:ascii="宋体" w:hAnsi="宋体" w:eastAsia="宋体" w:cs="宋体"/>
                <w:b w:val="0"/>
                <w:bCs w:val="0"/>
                <w:kern w:val="0"/>
                <w:sz w:val="18"/>
                <w:szCs w:val="18"/>
                <w:lang w:bidi="ar"/>
              </w:rPr>
            </w:pPr>
          </w:p>
        </w:tc>
      </w:tr>
      <w:tr w14:paraId="4072A3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4" w:type="dxa"/>
            <w:vMerge w:val="restart"/>
            <w:tcBorders>
              <w:left w:val="single" w:color="auto" w:sz="4" w:space="0"/>
              <w:right w:val="single" w:color="auto" w:sz="4" w:space="0"/>
            </w:tcBorders>
            <w:noWrap w:val="0"/>
            <w:tcMar>
              <w:top w:w="0" w:type="dxa"/>
              <w:left w:w="0" w:type="dxa"/>
              <w:bottom w:w="0" w:type="dxa"/>
              <w:right w:w="0" w:type="dxa"/>
            </w:tcMar>
            <w:vAlign w:val="center"/>
          </w:tcPr>
          <w:p w14:paraId="45EE9BA7">
            <w:pPr>
              <w:widowControl/>
              <w:spacing w:line="240" w:lineRule="exact"/>
              <w:jc w:val="center"/>
              <w:textAlignment w:val="center"/>
              <w:rPr>
                <w:rFonts w:hint="eastAsia" w:ascii="宋体" w:hAnsi="宋体" w:eastAsia="宋体" w:cs="宋体"/>
                <w:b w:val="0"/>
                <w:bCs w:val="0"/>
                <w:sz w:val="18"/>
                <w:szCs w:val="18"/>
                <w:lang w:val="en-US" w:eastAsia="zh-CN"/>
              </w:rPr>
            </w:pPr>
            <w:r>
              <w:rPr>
                <w:rFonts w:hint="eastAsia" w:ascii="宋体" w:hAnsi="宋体" w:eastAsia="宋体" w:cs="宋体"/>
                <w:b w:val="0"/>
                <w:bCs w:val="0"/>
                <w:kern w:val="0"/>
                <w:sz w:val="18"/>
                <w:szCs w:val="18"/>
                <w:lang w:val="en-US" w:eastAsia="zh-CN" w:bidi="ar"/>
              </w:rPr>
              <w:t>29</w:t>
            </w:r>
          </w:p>
        </w:tc>
        <w:tc>
          <w:tcPr>
            <w:tcW w:w="1236" w:type="dxa"/>
            <w:vMerge w:val="restart"/>
            <w:tcBorders>
              <w:left w:val="single" w:color="auto" w:sz="4" w:space="0"/>
              <w:right w:val="single" w:color="auto" w:sz="4" w:space="0"/>
            </w:tcBorders>
            <w:noWrap w:val="0"/>
            <w:tcMar>
              <w:top w:w="0" w:type="dxa"/>
              <w:left w:w="0" w:type="dxa"/>
              <w:bottom w:w="0" w:type="dxa"/>
              <w:right w:w="0" w:type="dxa"/>
            </w:tcMar>
            <w:vAlign w:val="center"/>
          </w:tcPr>
          <w:p w14:paraId="3B8B4235">
            <w:pPr>
              <w:widowControl/>
              <w:spacing w:line="240" w:lineRule="exact"/>
              <w:jc w:val="both"/>
              <w:textAlignment w:val="center"/>
              <w:rPr>
                <w:rFonts w:hint="eastAsia" w:ascii="宋体" w:hAnsi="宋体" w:eastAsia="宋体" w:cs="宋体"/>
                <w:b w:val="0"/>
                <w:bCs w:val="0"/>
                <w:kern w:val="0"/>
                <w:sz w:val="18"/>
                <w:szCs w:val="18"/>
                <w:lang w:bidi="ar"/>
              </w:rPr>
            </w:pPr>
            <w:r>
              <w:rPr>
                <w:rFonts w:hint="eastAsia" w:ascii="宋体" w:hAnsi="宋体" w:eastAsia="宋体" w:cs="宋体"/>
                <w:b w:val="0"/>
                <w:bCs w:val="0"/>
                <w:kern w:val="0"/>
                <w:sz w:val="18"/>
                <w:szCs w:val="18"/>
                <w:lang w:bidi="ar"/>
              </w:rPr>
              <w:t>对未按照规划治导线整治河道和修建控制引导河水流向、保护堤岸等工程而影响防洪行为的行政处罚</w:t>
            </w:r>
          </w:p>
        </w:tc>
        <w:tc>
          <w:tcPr>
            <w:tcW w:w="6027" w:type="dxa"/>
            <w:vMerge w:val="restart"/>
            <w:tcBorders>
              <w:top w:val="single" w:color="auto" w:sz="4" w:space="0"/>
              <w:left w:val="single" w:color="auto" w:sz="4" w:space="0"/>
              <w:right w:val="single" w:color="auto" w:sz="4" w:space="0"/>
            </w:tcBorders>
            <w:noWrap w:val="0"/>
            <w:tcMar>
              <w:top w:w="0" w:type="dxa"/>
              <w:left w:w="0" w:type="dxa"/>
              <w:bottom w:w="0" w:type="dxa"/>
              <w:right w:w="0" w:type="dxa"/>
            </w:tcMar>
            <w:vAlign w:val="center"/>
          </w:tcPr>
          <w:p w14:paraId="5D465DA6">
            <w:pPr>
              <w:widowControl/>
              <w:spacing w:line="240" w:lineRule="exact"/>
              <w:textAlignment w:val="center"/>
              <w:rPr>
                <w:rFonts w:hint="eastAsia" w:ascii="宋体" w:hAnsi="宋体" w:eastAsia="宋体" w:cs="宋体"/>
                <w:b w:val="0"/>
                <w:bCs w:val="0"/>
                <w:kern w:val="0"/>
                <w:sz w:val="18"/>
                <w:szCs w:val="18"/>
                <w:lang w:bidi="ar"/>
              </w:rPr>
            </w:pPr>
            <w:r>
              <w:rPr>
                <w:rFonts w:hint="eastAsia" w:ascii="宋体" w:hAnsi="宋体" w:eastAsia="宋体" w:cs="宋体"/>
                <w:b w:val="0"/>
                <w:bCs w:val="0"/>
                <w:kern w:val="0"/>
                <w:sz w:val="18"/>
                <w:szCs w:val="18"/>
                <w:lang w:bidi="ar"/>
              </w:rPr>
              <w:t>《中华人民共和国防洪法》 第五十四条 违反本法第十九条规定，未按照规划治导线整治河道和修建控制引导河水流向、保护堤岸等工程，影响防洪的，责令停止违法行为，恢复原状或者采取其他补救措施，可以处一万元以上十万元以下的罚款。</w:t>
            </w:r>
          </w:p>
        </w:tc>
        <w:tc>
          <w:tcPr>
            <w:tcW w:w="1849" w:type="dxa"/>
            <w:vMerge w:val="restart"/>
            <w:tcBorders>
              <w:top w:val="single" w:color="auto" w:sz="4" w:space="0"/>
              <w:left w:val="single" w:color="auto" w:sz="4" w:space="0"/>
              <w:right w:val="single" w:color="auto" w:sz="4" w:space="0"/>
            </w:tcBorders>
            <w:noWrap w:val="0"/>
            <w:tcMar>
              <w:top w:w="0" w:type="dxa"/>
              <w:left w:w="0" w:type="dxa"/>
              <w:bottom w:w="0" w:type="dxa"/>
              <w:right w:w="0" w:type="dxa"/>
            </w:tcMar>
            <w:vAlign w:val="center"/>
          </w:tcPr>
          <w:p w14:paraId="533D1066">
            <w:pPr>
              <w:spacing w:line="240" w:lineRule="exact"/>
              <w:jc w:val="both"/>
              <w:rPr>
                <w:rFonts w:hint="eastAsia" w:ascii="宋体" w:hAnsi="宋体" w:eastAsia="宋体" w:cs="宋体"/>
                <w:b w:val="0"/>
                <w:bCs w:val="0"/>
                <w:sz w:val="18"/>
                <w:szCs w:val="18"/>
              </w:rPr>
            </w:pPr>
            <w:r>
              <w:rPr>
                <w:rFonts w:hint="eastAsia" w:ascii="宋体" w:hAnsi="宋体" w:eastAsia="宋体" w:cs="宋体"/>
                <w:b w:val="0"/>
                <w:bCs w:val="0"/>
                <w:kern w:val="0"/>
                <w:sz w:val="18"/>
                <w:szCs w:val="18"/>
                <w:lang w:bidi="ar"/>
              </w:rPr>
              <w:t>未按照规划治导线整治河道和修建控制引导河水流向、保护堤岸等工程，影响防洪的</w:t>
            </w:r>
          </w:p>
        </w:tc>
        <w:tc>
          <w:tcPr>
            <w:tcW w:w="51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DB4BF97">
            <w:pPr>
              <w:spacing w:line="240" w:lineRule="exact"/>
              <w:jc w:val="center"/>
              <w:rPr>
                <w:rFonts w:hint="eastAsia" w:ascii="宋体" w:hAnsi="宋体" w:eastAsia="宋体" w:cs="宋体"/>
                <w:b w:val="0"/>
                <w:bCs w:val="0"/>
                <w:sz w:val="18"/>
                <w:szCs w:val="18"/>
              </w:rPr>
            </w:pPr>
            <w:r>
              <w:rPr>
                <w:rFonts w:hint="eastAsia" w:ascii="宋体" w:hAnsi="宋体" w:eastAsia="宋体" w:cs="宋体"/>
                <w:b w:val="0"/>
                <w:bCs w:val="0"/>
                <w:sz w:val="18"/>
                <w:szCs w:val="18"/>
              </w:rPr>
              <w:t>轻微</w:t>
            </w:r>
          </w:p>
        </w:tc>
        <w:tc>
          <w:tcPr>
            <w:tcW w:w="242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4ABC83EF">
            <w:pPr>
              <w:snapToGrid w:val="0"/>
              <w:spacing w:line="240" w:lineRule="exact"/>
              <mc:AlternateContent>
                <mc:Choice Requires="wpsCustomData">
                  <wpsCustomData:diagonalParaType/>
                </mc:Choice>
              </mc:AlternateContent>
              <w:rPr>
                <w:rStyle w:val="21"/>
                <w:rFonts w:hint="eastAsia" w:ascii="宋体" w:hAnsi="宋体" w:eastAsia="宋体" w:cs="宋体"/>
                <w:b w:val="0"/>
                <w:bCs w:val="0"/>
                <w:color w:val="auto"/>
                <w:sz w:val="18"/>
                <w:szCs w:val="18"/>
                <w:lang w:bidi="ar"/>
              </w:rPr>
            </w:pPr>
          </w:p>
          <w:p w14:paraId="6A7ECFE0">
            <w:pPr>
              <w:spacing w:line="240" w:lineRule="exact"/>
              <w:rPr>
                <w:rStyle w:val="21"/>
                <w:rFonts w:hint="eastAsia" w:ascii="宋体" w:hAnsi="宋体" w:eastAsia="宋体" w:cs="宋体"/>
                <w:b w:val="0"/>
                <w:bCs w:val="0"/>
                <w:color w:val="auto"/>
                <w:sz w:val="18"/>
                <w:szCs w:val="18"/>
                <w:lang w:bidi="ar"/>
              </w:rPr>
            </w:pPr>
          </w:p>
        </w:tc>
        <w:tc>
          <w:tcPr>
            <w:tcW w:w="1628"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2BC220A3">
            <w:pPr>
              <w:snapToGrid w:val="0"/>
              <w:spacing w:line="240" w:lineRule="exact"/>
              <mc:AlternateContent>
                <mc:Choice Requires="wpsCustomData">
                  <wpsCustomData:diagonalParaType/>
                </mc:Choice>
              </mc:AlternateContent>
              <w:rPr>
                <w:rStyle w:val="21"/>
                <w:rFonts w:hint="eastAsia" w:ascii="宋体" w:hAnsi="宋体" w:eastAsia="宋体" w:cs="宋体"/>
                <w:b w:val="0"/>
                <w:bCs w:val="0"/>
                <w:color w:val="auto"/>
                <w:sz w:val="18"/>
                <w:szCs w:val="18"/>
                <w:lang w:bidi="ar"/>
              </w:rPr>
            </w:pPr>
          </w:p>
          <w:p w14:paraId="2301C2BD">
            <w:pPr>
              <w:spacing w:line="240" w:lineRule="exact"/>
              <w:rPr>
                <w:rStyle w:val="21"/>
                <w:rFonts w:hint="eastAsia" w:ascii="宋体" w:hAnsi="宋体" w:eastAsia="宋体" w:cs="宋体"/>
                <w:b w:val="0"/>
                <w:bCs w:val="0"/>
                <w:color w:val="auto"/>
                <w:sz w:val="18"/>
                <w:szCs w:val="18"/>
                <w:lang w:bidi="ar"/>
              </w:rPr>
            </w:pPr>
          </w:p>
        </w:tc>
        <w:tc>
          <w:tcPr>
            <w:tcW w:w="739" w:type="dxa"/>
            <w:vMerge w:val="restart"/>
            <w:tcBorders>
              <w:top w:val="single" w:color="auto" w:sz="4" w:space="0"/>
              <w:left w:val="single" w:color="auto" w:sz="4" w:space="0"/>
              <w:right w:val="single" w:color="auto" w:sz="4" w:space="0"/>
            </w:tcBorders>
            <w:noWrap w:val="0"/>
            <w:tcMar>
              <w:top w:w="0" w:type="dxa"/>
              <w:left w:w="0" w:type="dxa"/>
              <w:bottom w:w="0" w:type="dxa"/>
              <w:right w:w="0" w:type="dxa"/>
            </w:tcMar>
            <w:vAlign w:val="center"/>
          </w:tcPr>
          <w:p w14:paraId="6090FC68">
            <w:pPr>
              <w:spacing w:line="240" w:lineRule="exact"/>
              <w:jc w:val="center"/>
              <w:rPr>
                <w:rFonts w:hint="eastAsia" w:ascii="宋体" w:hAnsi="宋体" w:eastAsia="宋体" w:cs="宋体"/>
                <w:b w:val="0"/>
                <w:bCs w:val="0"/>
                <w:sz w:val="18"/>
                <w:szCs w:val="18"/>
                <w:lang w:bidi="ar"/>
              </w:rPr>
            </w:pPr>
          </w:p>
        </w:tc>
      </w:tr>
      <w:tr w14:paraId="4BDE7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4" w:type="dxa"/>
            <w:vMerge w:val="continue"/>
            <w:tcBorders>
              <w:left w:val="single" w:color="auto" w:sz="4" w:space="0"/>
              <w:right w:val="single" w:color="auto" w:sz="4" w:space="0"/>
            </w:tcBorders>
            <w:noWrap w:val="0"/>
            <w:tcMar>
              <w:top w:w="0" w:type="dxa"/>
              <w:left w:w="0" w:type="dxa"/>
              <w:bottom w:w="0" w:type="dxa"/>
              <w:right w:w="0" w:type="dxa"/>
            </w:tcMar>
            <w:vAlign w:val="center"/>
          </w:tcPr>
          <w:p w14:paraId="4D91FDD3">
            <w:pPr>
              <w:spacing w:line="240" w:lineRule="exact"/>
              <w:jc w:val="center"/>
              <w:rPr>
                <w:rFonts w:hint="eastAsia" w:ascii="宋体" w:hAnsi="宋体" w:eastAsia="宋体" w:cs="宋体"/>
                <w:b w:val="0"/>
                <w:bCs w:val="0"/>
                <w:sz w:val="18"/>
                <w:szCs w:val="18"/>
              </w:rPr>
            </w:pPr>
          </w:p>
        </w:tc>
        <w:tc>
          <w:tcPr>
            <w:tcW w:w="1236" w:type="dxa"/>
            <w:vMerge w:val="continue"/>
            <w:tcBorders>
              <w:left w:val="single" w:color="auto" w:sz="4" w:space="0"/>
              <w:right w:val="single" w:color="auto" w:sz="4" w:space="0"/>
            </w:tcBorders>
            <w:noWrap w:val="0"/>
            <w:tcMar>
              <w:top w:w="0" w:type="dxa"/>
              <w:left w:w="0" w:type="dxa"/>
              <w:bottom w:w="0" w:type="dxa"/>
              <w:right w:w="0" w:type="dxa"/>
            </w:tcMar>
            <w:vAlign w:val="center"/>
          </w:tcPr>
          <w:p w14:paraId="280E3E65">
            <w:pPr>
              <w:widowControl/>
              <w:spacing w:line="240" w:lineRule="exact"/>
              <w:textAlignment w:val="center"/>
              <w:rPr>
                <w:rFonts w:hint="eastAsia" w:ascii="宋体" w:hAnsi="宋体" w:eastAsia="宋体" w:cs="宋体"/>
                <w:b w:val="0"/>
                <w:bCs w:val="0"/>
                <w:kern w:val="0"/>
                <w:sz w:val="18"/>
                <w:szCs w:val="18"/>
                <w:lang w:bidi="ar"/>
              </w:rPr>
            </w:pPr>
          </w:p>
        </w:tc>
        <w:tc>
          <w:tcPr>
            <w:tcW w:w="6027" w:type="dxa"/>
            <w:vMerge w:val="continue"/>
            <w:tcBorders>
              <w:left w:val="single" w:color="auto" w:sz="4" w:space="0"/>
              <w:right w:val="single" w:color="auto" w:sz="4" w:space="0"/>
            </w:tcBorders>
            <w:noWrap w:val="0"/>
            <w:tcMar>
              <w:top w:w="0" w:type="dxa"/>
              <w:left w:w="0" w:type="dxa"/>
              <w:bottom w:w="0" w:type="dxa"/>
              <w:right w:w="0" w:type="dxa"/>
            </w:tcMar>
            <w:vAlign w:val="center"/>
          </w:tcPr>
          <w:p w14:paraId="3CBBECA2">
            <w:pPr>
              <w:widowControl/>
              <w:spacing w:line="240" w:lineRule="exact"/>
              <w:ind w:firstLine="360" w:firstLineChars="200"/>
              <w:textAlignment w:val="center"/>
              <w:rPr>
                <w:rFonts w:hint="eastAsia" w:ascii="宋体" w:hAnsi="宋体" w:eastAsia="宋体" w:cs="宋体"/>
                <w:b w:val="0"/>
                <w:bCs w:val="0"/>
                <w:kern w:val="0"/>
                <w:sz w:val="18"/>
                <w:szCs w:val="18"/>
                <w:lang w:bidi="ar"/>
              </w:rPr>
            </w:pPr>
          </w:p>
        </w:tc>
        <w:tc>
          <w:tcPr>
            <w:tcW w:w="1849" w:type="dxa"/>
            <w:vMerge w:val="continue"/>
            <w:tcBorders>
              <w:left w:val="single" w:color="auto" w:sz="4" w:space="0"/>
              <w:right w:val="single" w:color="auto" w:sz="4" w:space="0"/>
            </w:tcBorders>
            <w:noWrap w:val="0"/>
            <w:tcMar>
              <w:top w:w="0" w:type="dxa"/>
              <w:left w:w="0" w:type="dxa"/>
              <w:bottom w:w="0" w:type="dxa"/>
              <w:right w:w="0" w:type="dxa"/>
            </w:tcMar>
            <w:vAlign w:val="center"/>
          </w:tcPr>
          <w:p w14:paraId="5C36EF52">
            <w:pPr>
              <w:spacing w:line="240" w:lineRule="exact"/>
              <w:jc w:val="both"/>
              <w:rPr>
                <w:rFonts w:hint="eastAsia" w:ascii="宋体" w:hAnsi="宋体" w:eastAsia="宋体" w:cs="宋体"/>
                <w:b w:val="0"/>
                <w:bCs w:val="0"/>
                <w:sz w:val="18"/>
                <w:szCs w:val="18"/>
              </w:rPr>
            </w:pPr>
          </w:p>
        </w:tc>
        <w:tc>
          <w:tcPr>
            <w:tcW w:w="51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FF3D9E2">
            <w:pPr>
              <w:spacing w:line="240" w:lineRule="exact"/>
              <w:jc w:val="center"/>
              <w:rPr>
                <w:rFonts w:hint="eastAsia" w:ascii="宋体" w:hAnsi="宋体" w:eastAsia="宋体" w:cs="宋体"/>
                <w:b w:val="0"/>
                <w:bCs w:val="0"/>
                <w:sz w:val="18"/>
                <w:szCs w:val="18"/>
              </w:rPr>
            </w:pPr>
            <w:r>
              <w:rPr>
                <w:rFonts w:hint="eastAsia" w:ascii="宋体" w:hAnsi="宋体" w:eastAsia="宋体" w:cs="宋体"/>
                <w:b w:val="0"/>
                <w:bCs w:val="0"/>
                <w:sz w:val="18"/>
                <w:szCs w:val="18"/>
              </w:rPr>
              <w:t>较轻</w:t>
            </w:r>
          </w:p>
        </w:tc>
        <w:tc>
          <w:tcPr>
            <w:tcW w:w="242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43E0BD30">
            <w:pPr>
              <w:snapToGrid w:val="0"/>
              <w:spacing w:line="240" w:lineRule="exact"/>
              <mc:AlternateContent>
                <mc:Choice Requires="wpsCustomData">
                  <wpsCustomData:diagonalParaType/>
                </mc:Choice>
              </mc:AlternateContent>
              <w:rPr>
                <w:rStyle w:val="21"/>
                <w:rFonts w:hint="eastAsia" w:ascii="宋体" w:hAnsi="宋体" w:eastAsia="宋体" w:cs="宋体"/>
                <w:b w:val="0"/>
                <w:bCs w:val="0"/>
                <w:color w:val="auto"/>
                <w:sz w:val="18"/>
                <w:szCs w:val="18"/>
                <w:lang w:bidi="ar"/>
              </w:rPr>
            </w:pPr>
          </w:p>
          <w:p w14:paraId="57ED6219">
            <w:pPr>
              <w:spacing w:line="240" w:lineRule="exact"/>
              <w:rPr>
                <w:rStyle w:val="21"/>
                <w:rFonts w:hint="eastAsia" w:ascii="宋体" w:hAnsi="宋体" w:eastAsia="宋体" w:cs="宋体"/>
                <w:b w:val="0"/>
                <w:bCs w:val="0"/>
                <w:color w:val="auto"/>
                <w:sz w:val="18"/>
                <w:szCs w:val="18"/>
                <w:lang w:bidi="ar"/>
              </w:rPr>
            </w:pPr>
          </w:p>
        </w:tc>
        <w:tc>
          <w:tcPr>
            <w:tcW w:w="1628"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5D33E65E">
            <w:pPr>
              <w:snapToGrid w:val="0"/>
              <w:spacing w:line="240" w:lineRule="exact"/>
              <mc:AlternateContent>
                <mc:Choice Requires="wpsCustomData">
                  <wpsCustomData:diagonalParaType/>
                </mc:Choice>
              </mc:AlternateContent>
              <w:rPr>
                <w:rStyle w:val="21"/>
                <w:rFonts w:hint="eastAsia" w:ascii="宋体" w:hAnsi="宋体" w:eastAsia="宋体" w:cs="宋体"/>
                <w:b w:val="0"/>
                <w:bCs w:val="0"/>
                <w:color w:val="auto"/>
                <w:sz w:val="18"/>
                <w:szCs w:val="18"/>
                <w:lang w:bidi="ar"/>
              </w:rPr>
            </w:pPr>
          </w:p>
          <w:p w14:paraId="2C4836A5">
            <w:pPr>
              <w:spacing w:line="240" w:lineRule="exact"/>
              <w:rPr>
                <w:rStyle w:val="21"/>
                <w:rFonts w:hint="eastAsia" w:ascii="宋体" w:hAnsi="宋体" w:eastAsia="宋体" w:cs="宋体"/>
                <w:b w:val="0"/>
                <w:bCs w:val="0"/>
                <w:color w:val="auto"/>
                <w:sz w:val="18"/>
                <w:szCs w:val="18"/>
                <w:lang w:bidi="ar"/>
              </w:rPr>
            </w:pPr>
          </w:p>
        </w:tc>
        <w:tc>
          <w:tcPr>
            <w:tcW w:w="739" w:type="dxa"/>
            <w:vMerge w:val="continue"/>
            <w:tcBorders>
              <w:left w:val="single" w:color="auto" w:sz="4" w:space="0"/>
              <w:right w:val="single" w:color="auto" w:sz="4" w:space="0"/>
            </w:tcBorders>
            <w:noWrap w:val="0"/>
            <w:tcMar>
              <w:top w:w="0" w:type="dxa"/>
              <w:left w:w="0" w:type="dxa"/>
              <w:bottom w:w="0" w:type="dxa"/>
              <w:right w:w="0" w:type="dxa"/>
            </w:tcMar>
            <w:vAlign w:val="center"/>
          </w:tcPr>
          <w:p w14:paraId="08EBA104">
            <w:pPr>
              <w:spacing w:line="240" w:lineRule="exact"/>
              <w:jc w:val="center"/>
              <w:rPr>
                <w:rStyle w:val="21"/>
                <w:rFonts w:hint="eastAsia" w:ascii="宋体" w:hAnsi="宋体" w:eastAsia="宋体" w:cs="宋体"/>
                <w:b w:val="0"/>
                <w:bCs w:val="0"/>
                <w:color w:val="auto"/>
                <w:sz w:val="18"/>
                <w:szCs w:val="18"/>
                <w:lang w:bidi="ar"/>
              </w:rPr>
            </w:pPr>
          </w:p>
        </w:tc>
      </w:tr>
      <w:tr w14:paraId="3FFC99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74" w:type="dxa"/>
            <w:vMerge w:val="continue"/>
            <w:tcBorders>
              <w:left w:val="single" w:color="auto" w:sz="4" w:space="0"/>
              <w:right w:val="single" w:color="auto" w:sz="4" w:space="0"/>
            </w:tcBorders>
            <w:noWrap w:val="0"/>
            <w:tcMar>
              <w:top w:w="0" w:type="dxa"/>
              <w:left w:w="0" w:type="dxa"/>
              <w:bottom w:w="0" w:type="dxa"/>
              <w:right w:w="0" w:type="dxa"/>
            </w:tcMar>
            <w:vAlign w:val="center"/>
          </w:tcPr>
          <w:p w14:paraId="102ED9BA">
            <w:pPr>
              <w:spacing w:line="240" w:lineRule="exact"/>
              <w:jc w:val="center"/>
              <w:rPr>
                <w:rFonts w:hint="eastAsia" w:ascii="宋体" w:hAnsi="宋体" w:eastAsia="宋体" w:cs="宋体"/>
                <w:b w:val="0"/>
                <w:bCs w:val="0"/>
                <w:sz w:val="18"/>
                <w:szCs w:val="18"/>
              </w:rPr>
            </w:pPr>
          </w:p>
        </w:tc>
        <w:tc>
          <w:tcPr>
            <w:tcW w:w="1236" w:type="dxa"/>
            <w:vMerge w:val="continue"/>
            <w:tcBorders>
              <w:left w:val="single" w:color="auto" w:sz="4" w:space="0"/>
              <w:right w:val="single" w:color="auto" w:sz="4" w:space="0"/>
            </w:tcBorders>
            <w:noWrap w:val="0"/>
            <w:tcMar>
              <w:top w:w="0" w:type="dxa"/>
              <w:left w:w="0" w:type="dxa"/>
              <w:bottom w:w="0" w:type="dxa"/>
              <w:right w:w="0" w:type="dxa"/>
            </w:tcMar>
            <w:vAlign w:val="center"/>
          </w:tcPr>
          <w:p w14:paraId="727FDF92">
            <w:pPr>
              <w:widowControl/>
              <w:spacing w:line="240" w:lineRule="exact"/>
              <w:textAlignment w:val="center"/>
              <w:rPr>
                <w:rFonts w:hint="eastAsia" w:ascii="宋体" w:hAnsi="宋体" w:eastAsia="宋体" w:cs="宋体"/>
                <w:b w:val="0"/>
                <w:bCs w:val="0"/>
                <w:kern w:val="0"/>
                <w:sz w:val="18"/>
                <w:szCs w:val="18"/>
                <w:lang w:bidi="ar"/>
              </w:rPr>
            </w:pPr>
          </w:p>
        </w:tc>
        <w:tc>
          <w:tcPr>
            <w:tcW w:w="6027" w:type="dxa"/>
            <w:vMerge w:val="continue"/>
            <w:tcBorders>
              <w:left w:val="single" w:color="auto" w:sz="4" w:space="0"/>
              <w:right w:val="single" w:color="auto" w:sz="4" w:space="0"/>
            </w:tcBorders>
            <w:noWrap w:val="0"/>
            <w:tcMar>
              <w:top w:w="0" w:type="dxa"/>
              <w:left w:w="0" w:type="dxa"/>
              <w:bottom w:w="0" w:type="dxa"/>
              <w:right w:w="0" w:type="dxa"/>
            </w:tcMar>
            <w:vAlign w:val="center"/>
          </w:tcPr>
          <w:p w14:paraId="7F728445">
            <w:pPr>
              <w:widowControl/>
              <w:spacing w:line="240" w:lineRule="exact"/>
              <w:ind w:firstLine="360" w:firstLineChars="200"/>
              <w:textAlignment w:val="center"/>
              <w:rPr>
                <w:rFonts w:hint="eastAsia" w:ascii="宋体" w:hAnsi="宋体" w:eastAsia="宋体" w:cs="宋体"/>
                <w:b w:val="0"/>
                <w:bCs w:val="0"/>
                <w:kern w:val="0"/>
                <w:sz w:val="18"/>
                <w:szCs w:val="18"/>
                <w:lang w:bidi="ar"/>
              </w:rPr>
            </w:pPr>
          </w:p>
        </w:tc>
        <w:tc>
          <w:tcPr>
            <w:tcW w:w="1849" w:type="dxa"/>
            <w:vMerge w:val="continue"/>
            <w:tcBorders>
              <w:left w:val="single" w:color="auto" w:sz="4" w:space="0"/>
              <w:right w:val="single" w:color="auto" w:sz="4" w:space="0"/>
            </w:tcBorders>
            <w:noWrap w:val="0"/>
            <w:tcMar>
              <w:top w:w="0" w:type="dxa"/>
              <w:left w:w="0" w:type="dxa"/>
              <w:bottom w:w="0" w:type="dxa"/>
              <w:right w:w="0" w:type="dxa"/>
            </w:tcMar>
            <w:vAlign w:val="center"/>
          </w:tcPr>
          <w:p w14:paraId="758C247E">
            <w:pPr>
              <w:spacing w:line="240" w:lineRule="exact"/>
              <w:jc w:val="both"/>
              <w:rPr>
                <w:rFonts w:hint="eastAsia" w:ascii="宋体" w:hAnsi="宋体" w:eastAsia="宋体" w:cs="宋体"/>
                <w:b w:val="0"/>
                <w:bCs w:val="0"/>
                <w:sz w:val="18"/>
                <w:szCs w:val="18"/>
              </w:rPr>
            </w:pPr>
          </w:p>
        </w:tc>
        <w:tc>
          <w:tcPr>
            <w:tcW w:w="51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E8C1EB0">
            <w:pPr>
              <w:spacing w:line="240" w:lineRule="exact"/>
              <w:jc w:val="center"/>
              <w:rPr>
                <w:rFonts w:hint="eastAsia" w:ascii="宋体" w:hAnsi="宋体" w:eastAsia="宋体" w:cs="宋体"/>
                <w:b w:val="0"/>
                <w:bCs w:val="0"/>
                <w:sz w:val="18"/>
                <w:szCs w:val="18"/>
              </w:rPr>
            </w:pPr>
            <w:r>
              <w:rPr>
                <w:rFonts w:hint="eastAsia" w:ascii="宋体" w:hAnsi="宋体" w:eastAsia="宋体" w:cs="宋体"/>
                <w:b w:val="0"/>
                <w:bCs w:val="0"/>
                <w:sz w:val="18"/>
                <w:szCs w:val="18"/>
              </w:rPr>
              <w:t>一般</w:t>
            </w:r>
          </w:p>
        </w:tc>
        <w:tc>
          <w:tcPr>
            <w:tcW w:w="242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663E1E3">
            <w:pPr>
              <w:spacing w:line="240" w:lineRule="exact"/>
              <w:rPr>
                <w:rFonts w:hint="eastAsia" w:ascii="宋体" w:hAnsi="宋体" w:eastAsia="宋体" w:cs="宋体"/>
                <w:b w:val="0"/>
                <w:bCs w:val="0"/>
                <w:sz w:val="18"/>
                <w:szCs w:val="18"/>
                <w:lang w:bidi="ar"/>
              </w:rPr>
            </w:pPr>
            <w:r>
              <w:rPr>
                <w:rStyle w:val="21"/>
                <w:rFonts w:hint="eastAsia" w:ascii="宋体" w:hAnsi="宋体" w:eastAsia="宋体" w:cs="宋体"/>
                <w:b w:val="0"/>
                <w:bCs w:val="0"/>
                <w:color w:val="auto"/>
                <w:sz w:val="18"/>
                <w:szCs w:val="18"/>
                <w:lang w:bidi="ar"/>
              </w:rPr>
              <w:t>立即停止违法行为，恢复原状或者采取其他补救措施的</w:t>
            </w:r>
          </w:p>
        </w:tc>
        <w:tc>
          <w:tcPr>
            <w:tcW w:w="1628"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53A3CDC">
            <w:pPr>
              <w:spacing w:line="240" w:lineRule="exact"/>
              <w:rPr>
                <w:rFonts w:hint="eastAsia" w:ascii="宋体" w:hAnsi="宋体" w:eastAsia="宋体" w:cs="宋体"/>
                <w:b w:val="0"/>
                <w:bCs w:val="0"/>
                <w:sz w:val="18"/>
                <w:szCs w:val="18"/>
                <w:lang w:bidi="ar"/>
              </w:rPr>
            </w:pPr>
            <w:r>
              <w:rPr>
                <w:rStyle w:val="21"/>
                <w:rFonts w:hint="eastAsia" w:ascii="宋体" w:hAnsi="宋体" w:eastAsia="宋体" w:cs="宋体"/>
                <w:b w:val="0"/>
                <w:bCs w:val="0"/>
                <w:color w:val="auto"/>
                <w:sz w:val="18"/>
                <w:szCs w:val="18"/>
                <w:lang w:bidi="ar"/>
              </w:rPr>
              <w:t>处</w:t>
            </w:r>
            <w:r>
              <w:rPr>
                <w:rStyle w:val="21"/>
                <w:rFonts w:hint="eastAsia" w:ascii="宋体" w:hAnsi="宋体" w:eastAsia="宋体" w:cs="宋体"/>
                <w:b w:val="0"/>
                <w:bCs w:val="0"/>
                <w:color w:val="auto"/>
                <w:sz w:val="18"/>
                <w:szCs w:val="18"/>
                <w:lang w:val="en-US" w:eastAsia="zh-CN" w:bidi="ar"/>
              </w:rPr>
              <w:t>1</w:t>
            </w:r>
            <w:r>
              <w:rPr>
                <w:rStyle w:val="21"/>
                <w:rFonts w:hint="eastAsia" w:ascii="宋体" w:hAnsi="宋体" w:eastAsia="宋体" w:cs="宋体"/>
                <w:b w:val="0"/>
                <w:bCs w:val="0"/>
                <w:color w:val="auto"/>
                <w:sz w:val="18"/>
                <w:szCs w:val="18"/>
                <w:lang w:bidi="ar"/>
              </w:rPr>
              <w:t>万元以上</w:t>
            </w:r>
            <w:r>
              <w:rPr>
                <w:rStyle w:val="21"/>
                <w:rFonts w:hint="eastAsia" w:ascii="宋体" w:hAnsi="宋体" w:eastAsia="宋体" w:cs="宋体"/>
                <w:b w:val="0"/>
                <w:bCs w:val="0"/>
                <w:color w:val="auto"/>
                <w:sz w:val="18"/>
                <w:szCs w:val="18"/>
                <w:lang w:val="en-US" w:eastAsia="zh-CN" w:bidi="ar"/>
              </w:rPr>
              <w:t>5</w:t>
            </w:r>
            <w:r>
              <w:rPr>
                <w:rStyle w:val="21"/>
                <w:rFonts w:hint="eastAsia" w:ascii="宋体" w:hAnsi="宋体" w:eastAsia="宋体" w:cs="宋体"/>
                <w:b w:val="0"/>
                <w:bCs w:val="0"/>
                <w:color w:val="auto"/>
                <w:sz w:val="18"/>
                <w:szCs w:val="18"/>
                <w:lang w:bidi="ar"/>
              </w:rPr>
              <w:t>万元以下的罚款</w:t>
            </w:r>
          </w:p>
        </w:tc>
        <w:tc>
          <w:tcPr>
            <w:tcW w:w="739" w:type="dxa"/>
            <w:vMerge w:val="continue"/>
            <w:tcBorders>
              <w:left w:val="single" w:color="auto" w:sz="4" w:space="0"/>
              <w:right w:val="single" w:color="auto" w:sz="4" w:space="0"/>
            </w:tcBorders>
            <w:noWrap w:val="0"/>
            <w:tcMar>
              <w:top w:w="0" w:type="dxa"/>
              <w:left w:w="0" w:type="dxa"/>
              <w:bottom w:w="0" w:type="dxa"/>
              <w:right w:w="0" w:type="dxa"/>
            </w:tcMar>
            <w:vAlign w:val="center"/>
          </w:tcPr>
          <w:p w14:paraId="6DA6A212">
            <w:pPr>
              <w:spacing w:line="240" w:lineRule="exact"/>
              <w:jc w:val="center"/>
              <w:rPr>
                <w:rStyle w:val="21"/>
                <w:rFonts w:hint="eastAsia" w:ascii="宋体" w:hAnsi="宋体" w:eastAsia="宋体" w:cs="宋体"/>
                <w:b w:val="0"/>
                <w:bCs w:val="0"/>
                <w:color w:val="auto"/>
                <w:sz w:val="18"/>
                <w:szCs w:val="18"/>
                <w:lang w:bidi="ar"/>
              </w:rPr>
            </w:pPr>
          </w:p>
        </w:tc>
      </w:tr>
      <w:tr w14:paraId="20DD70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74" w:type="dxa"/>
            <w:vMerge w:val="continue"/>
            <w:tcBorders>
              <w:left w:val="single" w:color="auto" w:sz="4" w:space="0"/>
              <w:right w:val="single" w:color="auto" w:sz="4" w:space="0"/>
            </w:tcBorders>
            <w:noWrap w:val="0"/>
            <w:tcMar>
              <w:top w:w="0" w:type="dxa"/>
              <w:left w:w="0" w:type="dxa"/>
              <w:bottom w:w="0" w:type="dxa"/>
              <w:right w:w="0" w:type="dxa"/>
            </w:tcMar>
            <w:vAlign w:val="center"/>
          </w:tcPr>
          <w:p w14:paraId="7BB3AD2C">
            <w:pPr>
              <w:spacing w:line="240" w:lineRule="exact"/>
              <w:jc w:val="center"/>
              <w:rPr>
                <w:rFonts w:hint="eastAsia" w:ascii="宋体" w:hAnsi="宋体" w:eastAsia="宋体" w:cs="宋体"/>
                <w:b w:val="0"/>
                <w:bCs w:val="0"/>
                <w:sz w:val="18"/>
                <w:szCs w:val="18"/>
              </w:rPr>
            </w:pPr>
          </w:p>
        </w:tc>
        <w:tc>
          <w:tcPr>
            <w:tcW w:w="1236" w:type="dxa"/>
            <w:vMerge w:val="continue"/>
            <w:tcBorders>
              <w:left w:val="single" w:color="auto" w:sz="4" w:space="0"/>
              <w:right w:val="single" w:color="auto" w:sz="4" w:space="0"/>
            </w:tcBorders>
            <w:noWrap w:val="0"/>
            <w:tcMar>
              <w:top w:w="0" w:type="dxa"/>
              <w:left w:w="0" w:type="dxa"/>
              <w:bottom w:w="0" w:type="dxa"/>
              <w:right w:w="0" w:type="dxa"/>
            </w:tcMar>
            <w:vAlign w:val="center"/>
          </w:tcPr>
          <w:p w14:paraId="5A9EBB64">
            <w:pPr>
              <w:widowControl/>
              <w:spacing w:line="240" w:lineRule="exact"/>
              <w:textAlignment w:val="center"/>
              <w:rPr>
                <w:rFonts w:hint="eastAsia" w:ascii="宋体" w:hAnsi="宋体" w:eastAsia="宋体" w:cs="宋体"/>
                <w:b w:val="0"/>
                <w:bCs w:val="0"/>
                <w:kern w:val="0"/>
                <w:sz w:val="18"/>
                <w:szCs w:val="18"/>
                <w:lang w:bidi="ar"/>
              </w:rPr>
            </w:pPr>
          </w:p>
        </w:tc>
        <w:tc>
          <w:tcPr>
            <w:tcW w:w="6027" w:type="dxa"/>
            <w:vMerge w:val="continue"/>
            <w:tcBorders>
              <w:left w:val="single" w:color="auto" w:sz="4" w:space="0"/>
              <w:right w:val="single" w:color="auto" w:sz="4" w:space="0"/>
            </w:tcBorders>
            <w:noWrap w:val="0"/>
            <w:tcMar>
              <w:top w:w="0" w:type="dxa"/>
              <w:left w:w="0" w:type="dxa"/>
              <w:bottom w:w="0" w:type="dxa"/>
              <w:right w:w="0" w:type="dxa"/>
            </w:tcMar>
            <w:vAlign w:val="center"/>
          </w:tcPr>
          <w:p w14:paraId="147AF0E2">
            <w:pPr>
              <w:widowControl/>
              <w:spacing w:line="240" w:lineRule="exact"/>
              <w:ind w:firstLine="360" w:firstLineChars="200"/>
              <w:textAlignment w:val="center"/>
              <w:rPr>
                <w:rFonts w:hint="eastAsia" w:ascii="宋体" w:hAnsi="宋体" w:eastAsia="宋体" w:cs="宋体"/>
                <w:b w:val="0"/>
                <w:bCs w:val="0"/>
                <w:kern w:val="0"/>
                <w:sz w:val="18"/>
                <w:szCs w:val="18"/>
                <w:lang w:bidi="ar"/>
              </w:rPr>
            </w:pPr>
          </w:p>
        </w:tc>
        <w:tc>
          <w:tcPr>
            <w:tcW w:w="1849" w:type="dxa"/>
            <w:vMerge w:val="continue"/>
            <w:tcBorders>
              <w:left w:val="single" w:color="auto" w:sz="4" w:space="0"/>
              <w:right w:val="single" w:color="auto" w:sz="4" w:space="0"/>
            </w:tcBorders>
            <w:noWrap w:val="0"/>
            <w:tcMar>
              <w:top w:w="0" w:type="dxa"/>
              <w:left w:w="0" w:type="dxa"/>
              <w:bottom w:w="0" w:type="dxa"/>
              <w:right w:w="0" w:type="dxa"/>
            </w:tcMar>
            <w:vAlign w:val="center"/>
          </w:tcPr>
          <w:p w14:paraId="07446748">
            <w:pPr>
              <w:spacing w:line="240" w:lineRule="exact"/>
              <w:jc w:val="both"/>
              <w:rPr>
                <w:rFonts w:hint="eastAsia" w:ascii="宋体" w:hAnsi="宋体" w:eastAsia="宋体" w:cs="宋体"/>
                <w:b w:val="0"/>
                <w:bCs w:val="0"/>
                <w:sz w:val="18"/>
                <w:szCs w:val="18"/>
              </w:rPr>
            </w:pPr>
          </w:p>
        </w:tc>
        <w:tc>
          <w:tcPr>
            <w:tcW w:w="51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7A61FA3">
            <w:pPr>
              <w:spacing w:line="240" w:lineRule="exact"/>
              <w:jc w:val="center"/>
              <w:rPr>
                <w:rFonts w:hint="eastAsia" w:ascii="宋体" w:hAnsi="宋体" w:eastAsia="宋体" w:cs="宋体"/>
                <w:b w:val="0"/>
                <w:bCs w:val="0"/>
                <w:sz w:val="18"/>
                <w:szCs w:val="18"/>
                <w:lang w:eastAsia="zh-CN"/>
              </w:rPr>
            </w:pPr>
            <w:r>
              <w:rPr>
                <w:rFonts w:hint="eastAsia" w:ascii="宋体" w:hAnsi="宋体" w:eastAsia="宋体" w:cs="宋体"/>
                <w:b w:val="0"/>
                <w:bCs w:val="0"/>
                <w:sz w:val="18"/>
                <w:szCs w:val="18"/>
                <w:lang w:eastAsia="zh-CN"/>
              </w:rPr>
              <w:t>较重</w:t>
            </w:r>
          </w:p>
        </w:tc>
        <w:tc>
          <w:tcPr>
            <w:tcW w:w="242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A53963A">
            <w:pPr>
              <w:spacing w:line="240" w:lineRule="exact"/>
              <w:rPr>
                <w:rFonts w:hint="eastAsia" w:ascii="宋体" w:hAnsi="宋体" w:eastAsia="宋体" w:cs="宋体"/>
                <w:b w:val="0"/>
                <w:bCs w:val="0"/>
                <w:sz w:val="18"/>
                <w:szCs w:val="18"/>
                <w:lang w:bidi="ar"/>
              </w:rPr>
            </w:pPr>
            <w:r>
              <w:rPr>
                <w:rStyle w:val="21"/>
                <w:rFonts w:hint="eastAsia" w:ascii="宋体" w:hAnsi="宋体" w:eastAsia="宋体" w:cs="宋体"/>
                <w:b w:val="0"/>
                <w:bCs w:val="0"/>
                <w:color w:val="auto"/>
                <w:spacing w:val="-6"/>
                <w:sz w:val="18"/>
                <w:szCs w:val="18"/>
                <w:lang w:bidi="ar"/>
              </w:rPr>
              <w:t>立即停止违法行为，但未恢复原状，也未采取其它补救措施的</w:t>
            </w:r>
          </w:p>
        </w:tc>
        <w:tc>
          <w:tcPr>
            <w:tcW w:w="1628"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03383A5">
            <w:pPr>
              <w:spacing w:line="240" w:lineRule="exact"/>
              <w:rPr>
                <w:rFonts w:hint="eastAsia" w:ascii="宋体" w:hAnsi="宋体" w:eastAsia="宋体" w:cs="宋体"/>
                <w:b w:val="0"/>
                <w:bCs w:val="0"/>
                <w:sz w:val="18"/>
                <w:szCs w:val="18"/>
                <w:lang w:bidi="ar"/>
              </w:rPr>
            </w:pPr>
            <w:r>
              <w:rPr>
                <w:rStyle w:val="21"/>
                <w:rFonts w:hint="eastAsia" w:ascii="宋体" w:hAnsi="宋体" w:eastAsia="宋体" w:cs="宋体"/>
                <w:b w:val="0"/>
                <w:bCs w:val="0"/>
                <w:color w:val="auto"/>
                <w:sz w:val="18"/>
                <w:szCs w:val="18"/>
                <w:lang w:bidi="ar"/>
              </w:rPr>
              <w:t>处</w:t>
            </w:r>
            <w:r>
              <w:rPr>
                <w:rStyle w:val="21"/>
                <w:rFonts w:hint="eastAsia" w:ascii="宋体" w:hAnsi="宋体" w:eastAsia="宋体" w:cs="宋体"/>
                <w:b w:val="0"/>
                <w:bCs w:val="0"/>
                <w:color w:val="auto"/>
                <w:sz w:val="18"/>
                <w:szCs w:val="18"/>
                <w:lang w:val="en-US" w:eastAsia="zh-CN" w:bidi="ar"/>
              </w:rPr>
              <w:t>5</w:t>
            </w:r>
            <w:r>
              <w:rPr>
                <w:rStyle w:val="21"/>
                <w:rFonts w:hint="eastAsia" w:ascii="宋体" w:hAnsi="宋体" w:eastAsia="宋体" w:cs="宋体"/>
                <w:b w:val="0"/>
                <w:bCs w:val="0"/>
                <w:color w:val="auto"/>
                <w:sz w:val="18"/>
                <w:szCs w:val="18"/>
                <w:lang w:bidi="ar"/>
              </w:rPr>
              <w:t>万元以上</w:t>
            </w:r>
            <w:r>
              <w:rPr>
                <w:rStyle w:val="21"/>
                <w:rFonts w:hint="eastAsia" w:ascii="宋体" w:hAnsi="宋体" w:eastAsia="宋体" w:cs="宋体"/>
                <w:b w:val="0"/>
                <w:bCs w:val="0"/>
                <w:color w:val="auto"/>
                <w:sz w:val="18"/>
                <w:szCs w:val="18"/>
                <w:lang w:val="en-US" w:eastAsia="zh-CN" w:bidi="ar"/>
              </w:rPr>
              <w:t>8</w:t>
            </w:r>
            <w:r>
              <w:rPr>
                <w:rStyle w:val="21"/>
                <w:rFonts w:hint="eastAsia" w:ascii="宋体" w:hAnsi="宋体" w:eastAsia="宋体" w:cs="宋体"/>
                <w:b w:val="0"/>
                <w:bCs w:val="0"/>
                <w:color w:val="auto"/>
                <w:sz w:val="18"/>
                <w:szCs w:val="18"/>
                <w:lang w:bidi="ar"/>
              </w:rPr>
              <w:t>万元以下的罚款</w:t>
            </w:r>
          </w:p>
        </w:tc>
        <w:tc>
          <w:tcPr>
            <w:tcW w:w="739" w:type="dxa"/>
            <w:vMerge w:val="continue"/>
            <w:tcBorders>
              <w:left w:val="single" w:color="auto" w:sz="4" w:space="0"/>
              <w:right w:val="single" w:color="auto" w:sz="4" w:space="0"/>
            </w:tcBorders>
            <w:noWrap w:val="0"/>
            <w:tcMar>
              <w:top w:w="0" w:type="dxa"/>
              <w:left w:w="0" w:type="dxa"/>
              <w:bottom w:w="0" w:type="dxa"/>
              <w:right w:w="0" w:type="dxa"/>
            </w:tcMar>
            <w:vAlign w:val="center"/>
          </w:tcPr>
          <w:p w14:paraId="3F3FF059">
            <w:pPr>
              <w:spacing w:line="240" w:lineRule="exact"/>
              <w:jc w:val="center"/>
              <w:rPr>
                <w:rStyle w:val="21"/>
                <w:rFonts w:hint="eastAsia" w:ascii="宋体" w:hAnsi="宋体" w:eastAsia="宋体" w:cs="宋体"/>
                <w:b w:val="0"/>
                <w:bCs w:val="0"/>
                <w:color w:val="auto"/>
                <w:sz w:val="18"/>
                <w:szCs w:val="18"/>
                <w:lang w:bidi="ar"/>
              </w:rPr>
            </w:pPr>
          </w:p>
        </w:tc>
      </w:tr>
      <w:tr w14:paraId="35D09E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74" w:type="dxa"/>
            <w:vMerge w:val="continue"/>
            <w:tcBorders>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2254A2B">
            <w:pPr>
              <w:spacing w:line="240" w:lineRule="exact"/>
              <w:jc w:val="center"/>
              <w:rPr>
                <w:rFonts w:hint="eastAsia" w:ascii="宋体" w:hAnsi="宋体" w:eastAsia="宋体" w:cs="宋体"/>
                <w:b w:val="0"/>
                <w:bCs w:val="0"/>
                <w:sz w:val="18"/>
                <w:szCs w:val="18"/>
              </w:rPr>
            </w:pPr>
          </w:p>
        </w:tc>
        <w:tc>
          <w:tcPr>
            <w:tcW w:w="1236" w:type="dxa"/>
            <w:vMerge w:val="continue"/>
            <w:tcBorders>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3E5E01E">
            <w:pPr>
              <w:widowControl/>
              <w:spacing w:line="240" w:lineRule="exact"/>
              <w:textAlignment w:val="center"/>
              <w:rPr>
                <w:rFonts w:hint="eastAsia" w:ascii="宋体" w:hAnsi="宋体" w:eastAsia="宋体" w:cs="宋体"/>
                <w:b w:val="0"/>
                <w:bCs w:val="0"/>
                <w:kern w:val="0"/>
                <w:sz w:val="18"/>
                <w:szCs w:val="18"/>
                <w:lang w:bidi="ar"/>
              </w:rPr>
            </w:pPr>
          </w:p>
        </w:tc>
        <w:tc>
          <w:tcPr>
            <w:tcW w:w="6027" w:type="dxa"/>
            <w:vMerge w:val="continue"/>
            <w:tcBorders>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72BCA60">
            <w:pPr>
              <w:widowControl/>
              <w:spacing w:line="240" w:lineRule="exact"/>
              <w:ind w:firstLine="360" w:firstLineChars="200"/>
              <w:textAlignment w:val="center"/>
              <w:rPr>
                <w:rFonts w:hint="eastAsia" w:ascii="宋体" w:hAnsi="宋体" w:eastAsia="宋体" w:cs="宋体"/>
                <w:b w:val="0"/>
                <w:bCs w:val="0"/>
                <w:kern w:val="0"/>
                <w:sz w:val="18"/>
                <w:szCs w:val="18"/>
                <w:lang w:bidi="ar"/>
              </w:rPr>
            </w:pPr>
          </w:p>
        </w:tc>
        <w:tc>
          <w:tcPr>
            <w:tcW w:w="1849" w:type="dxa"/>
            <w:vMerge w:val="continue"/>
            <w:tcBorders>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9A62E9B">
            <w:pPr>
              <w:spacing w:line="240" w:lineRule="exact"/>
              <w:jc w:val="both"/>
              <w:rPr>
                <w:rFonts w:hint="eastAsia" w:ascii="宋体" w:hAnsi="宋体" w:eastAsia="宋体" w:cs="宋体"/>
                <w:b w:val="0"/>
                <w:bCs w:val="0"/>
                <w:sz w:val="18"/>
                <w:szCs w:val="18"/>
              </w:rPr>
            </w:pPr>
          </w:p>
        </w:tc>
        <w:tc>
          <w:tcPr>
            <w:tcW w:w="51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AC7B418">
            <w:pPr>
              <w:spacing w:line="240" w:lineRule="exact"/>
              <w:jc w:val="center"/>
              <w:rPr>
                <w:rFonts w:hint="eastAsia" w:ascii="宋体" w:hAnsi="宋体" w:eastAsia="宋体" w:cs="宋体"/>
                <w:b w:val="0"/>
                <w:bCs w:val="0"/>
                <w:sz w:val="18"/>
                <w:szCs w:val="18"/>
              </w:rPr>
            </w:pPr>
            <w:r>
              <w:rPr>
                <w:rFonts w:hint="eastAsia" w:ascii="宋体" w:hAnsi="宋体" w:eastAsia="宋体" w:cs="宋体"/>
                <w:b w:val="0"/>
                <w:bCs w:val="0"/>
                <w:sz w:val="18"/>
                <w:szCs w:val="18"/>
              </w:rPr>
              <w:t>严重</w:t>
            </w:r>
          </w:p>
        </w:tc>
        <w:tc>
          <w:tcPr>
            <w:tcW w:w="242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2D92460">
            <w:pPr>
              <w:spacing w:line="240" w:lineRule="exact"/>
              <w:rPr>
                <w:rFonts w:hint="eastAsia" w:ascii="宋体" w:hAnsi="宋体" w:eastAsia="宋体" w:cs="宋体"/>
                <w:b w:val="0"/>
                <w:bCs w:val="0"/>
                <w:sz w:val="18"/>
                <w:szCs w:val="18"/>
                <w:lang w:bidi="ar"/>
              </w:rPr>
            </w:pPr>
            <w:r>
              <w:rPr>
                <w:rStyle w:val="21"/>
                <w:rFonts w:hint="eastAsia" w:ascii="宋体" w:hAnsi="宋体" w:eastAsia="宋体" w:cs="宋体"/>
                <w:b w:val="0"/>
                <w:bCs w:val="0"/>
                <w:color w:val="auto"/>
                <w:sz w:val="18"/>
                <w:szCs w:val="18"/>
                <w:lang w:bidi="ar"/>
              </w:rPr>
              <w:t>拒不停止违法行为、不恢复原状、不采取其它补救措施的</w:t>
            </w:r>
          </w:p>
        </w:tc>
        <w:tc>
          <w:tcPr>
            <w:tcW w:w="1628"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22038B7">
            <w:pPr>
              <w:spacing w:line="240" w:lineRule="exact"/>
              <w:rPr>
                <w:rFonts w:hint="eastAsia" w:ascii="宋体" w:hAnsi="宋体" w:eastAsia="宋体" w:cs="宋体"/>
                <w:b w:val="0"/>
                <w:bCs w:val="0"/>
                <w:sz w:val="18"/>
                <w:szCs w:val="18"/>
                <w:lang w:bidi="ar"/>
              </w:rPr>
            </w:pPr>
            <w:r>
              <w:rPr>
                <w:rStyle w:val="21"/>
                <w:rFonts w:hint="eastAsia" w:ascii="宋体" w:hAnsi="宋体" w:eastAsia="宋体" w:cs="宋体"/>
                <w:b w:val="0"/>
                <w:bCs w:val="0"/>
                <w:color w:val="auto"/>
                <w:sz w:val="18"/>
                <w:szCs w:val="18"/>
                <w:lang w:bidi="ar"/>
              </w:rPr>
              <w:t>处</w:t>
            </w:r>
            <w:r>
              <w:rPr>
                <w:rStyle w:val="21"/>
                <w:rFonts w:hint="eastAsia" w:ascii="宋体" w:hAnsi="宋体" w:eastAsia="宋体" w:cs="宋体"/>
                <w:b w:val="0"/>
                <w:bCs w:val="0"/>
                <w:color w:val="auto"/>
                <w:sz w:val="18"/>
                <w:szCs w:val="18"/>
                <w:lang w:val="en-US" w:eastAsia="zh-CN" w:bidi="ar"/>
              </w:rPr>
              <w:t>8</w:t>
            </w:r>
            <w:r>
              <w:rPr>
                <w:rStyle w:val="21"/>
                <w:rFonts w:hint="eastAsia" w:ascii="宋体" w:hAnsi="宋体" w:eastAsia="宋体" w:cs="宋体"/>
                <w:b w:val="0"/>
                <w:bCs w:val="0"/>
                <w:color w:val="auto"/>
                <w:sz w:val="18"/>
                <w:szCs w:val="18"/>
                <w:lang w:bidi="ar"/>
              </w:rPr>
              <w:t>万元以上</w:t>
            </w:r>
            <w:r>
              <w:rPr>
                <w:rStyle w:val="21"/>
                <w:rFonts w:hint="eastAsia" w:ascii="宋体" w:hAnsi="宋体" w:eastAsia="宋体" w:cs="宋体"/>
                <w:b w:val="0"/>
                <w:bCs w:val="0"/>
                <w:color w:val="auto"/>
                <w:sz w:val="18"/>
                <w:szCs w:val="18"/>
                <w:lang w:val="en-US" w:eastAsia="zh-CN" w:bidi="ar"/>
              </w:rPr>
              <w:t>10</w:t>
            </w:r>
            <w:r>
              <w:rPr>
                <w:rStyle w:val="21"/>
                <w:rFonts w:hint="eastAsia" w:ascii="宋体" w:hAnsi="宋体" w:eastAsia="宋体" w:cs="宋体"/>
                <w:b w:val="0"/>
                <w:bCs w:val="0"/>
                <w:color w:val="auto"/>
                <w:sz w:val="18"/>
                <w:szCs w:val="18"/>
                <w:lang w:bidi="ar"/>
              </w:rPr>
              <w:t>万元以下的罚款</w:t>
            </w:r>
          </w:p>
        </w:tc>
        <w:tc>
          <w:tcPr>
            <w:tcW w:w="739" w:type="dxa"/>
            <w:vMerge w:val="continue"/>
            <w:tcBorders>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D7D3092">
            <w:pPr>
              <w:spacing w:line="240" w:lineRule="exact"/>
              <w:jc w:val="center"/>
              <w:rPr>
                <w:rStyle w:val="21"/>
                <w:rFonts w:hint="eastAsia" w:ascii="宋体" w:hAnsi="宋体" w:eastAsia="宋体" w:cs="宋体"/>
                <w:b w:val="0"/>
                <w:bCs w:val="0"/>
                <w:color w:val="auto"/>
                <w:sz w:val="18"/>
                <w:szCs w:val="18"/>
                <w:lang w:bidi="ar"/>
              </w:rPr>
            </w:pPr>
          </w:p>
        </w:tc>
      </w:tr>
      <w:tr w14:paraId="52A2FD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74" w:type="dxa"/>
            <w:vMerge w:val="restart"/>
            <w:tcBorders>
              <w:left w:val="single" w:color="auto" w:sz="4" w:space="0"/>
              <w:right w:val="single" w:color="auto" w:sz="4" w:space="0"/>
            </w:tcBorders>
            <w:noWrap w:val="0"/>
            <w:tcMar>
              <w:top w:w="0" w:type="dxa"/>
              <w:left w:w="0" w:type="dxa"/>
              <w:bottom w:w="0" w:type="dxa"/>
              <w:right w:w="0" w:type="dxa"/>
            </w:tcMar>
            <w:vAlign w:val="center"/>
          </w:tcPr>
          <w:p w14:paraId="1F4AAB79">
            <w:pPr>
              <w:widowControl/>
              <w:spacing w:line="240" w:lineRule="exact"/>
              <w:jc w:val="center"/>
              <w:textAlignment w:val="center"/>
              <w:rPr>
                <w:rFonts w:hint="eastAsia" w:ascii="宋体" w:hAnsi="宋体" w:eastAsia="宋体" w:cs="宋体"/>
                <w:b w:val="0"/>
                <w:bCs w:val="0"/>
                <w:sz w:val="18"/>
                <w:szCs w:val="18"/>
                <w:lang w:eastAsia="zh-CN"/>
              </w:rPr>
            </w:pPr>
            <w:r>
              <w:rPr>
                <w:rFonts w:hint="eastAsia" w:ascii="宋体" w:hAnsi="宋体" w:eastAsia="宋体" w:cs="宋体"/>
                <w:b w:val="0"/>
                <w:bCs w:val="0"/>
                <w:kern w:val="0"/>
                <w:sz w:val="18"/>
                <w:szCs w:val="18"/>
                <w:lang w:bidi="ar"/>
              </w:rPr>
              <w:t>3</w:t>
            </w:r>
            <w:r>
              <w:rPr>
                <w:rFonts w:hint="eastAsia" w:ascii="宋体" w:hAnsi="宋体" w:eastAsia="宋体" w:cs="宋体"/>
                <w:b w:val="0"/>
                <w:bCs w:val="0"/>
                <w:kern w:val="0"/>
                <w:sz w:val="18"/>
                <w:szCs w:val="18"/>
                <w:lang w:val="en-US" w:eastAsia="zh-CN" w:bidi="ar"/>
              </w:rPr>
              <w:t>0</w:t>
            </w:r>
          </w:p>
        </w:tc>
        <w:tc>
          <w:tcPr>
            <w:tcW w:w="1236" w:type="dxa"/>
            <w:vMerge w:val="restart"/>
            <w:tcBorders>
              <w:left w:val="single" w:color="auto" w:sz="4" w:space="0"/>
              <w:right w:val="single" w:color="auto" w:sz="4" w:space="0"/>
            </w:tcBorders>
            <w:noWrap w:val="0"/>
            <w:tcMar>
              <w:top w:w="0" w:type="dxa"/>
              <w:left w:w="0" w:type="dxa"/>
              <w:bottom w:w="0" w:type="dxa"/>
              <w:right w:w="0" w:type="dxa"/>
            </w:tcMar>
            <w:vAlign w:val="center"/>
          </w:tcPr>
          <w:p w14:paraId="7FA495E9">
            <w:pPr>
              <w:widowControl/>
              <w:spacing w:line="240" w:lineRule="exact"/>
              <w:jc w:val="both"/>
              <w:textAlignment w:val="center"/>
              <w:rPr>
                <w:rFonts w:hint="eastAsia" w:ascii="宋体" w:hAnsi="宋体" w:eastAsia="宋体" w:cs="宋体"/>
                <w:b w:val="0"/>
                <w:bCs w:val="0"/>
                <w:kern w:val="0"/>
                <w:sz w:val="18"/>
                <w:szCs w:val="18"/>
                <w:highlight w:val="none"/>
                <w:lang w:bidi="ar"/>
              </w:rPr>
            </w:pPr>
            <w:r>
              <w:rPr>
                <w:rStyle w:val="21"/>
                <w:rFonts w:hint="eastAsia" w:ascii="宋体" w:hAnsi="宋体" w:eastAsia="宋体" w:cs="宋体"/>
                <w:b w:val="0"/>
                <w:bCs w:val="0"/>
                <w:color w:val="auto"/>
                <w:sz w:val="18"/>
                <w:szCs w:val="18"/>
                <w:highlight w:val="none"/>
                <w:lang w:bidi="ar"/>
              </w:rPr>
              <w:t>对侵占、毁坏水工程及堤防、护岸等有关设施，毁坏防汛、水文监测、水文地质监测设施，在水工程保护范围内从事影响水工程运行和危害水工程安全的活动等行为的行政处罚</w:t>
            </w:r>
          </w:p>
        </w:tc>
        <w:tc>
          <w:tcPr>
            <w:tcW w:w="6027" w:type="dxa"/>
            <w:vMerge w:val="restart"/>
            <w:tcBorders>
              <w:top w:val="single" w:color="auto" w:sz="4" w:space="0"/>
              <w:left w:val="single" w:color="auto" w:sz="4" w:space="0"/>
              <w:right w:val="single" w:color="auto" w:sz="4" w:space="0"/>
            </w:tcBorders>
            <w:noWrap w:val="0"/>
            <w:tcMar>
              <w:top w:w="0" w:type="dxa"/>
              <w:left w:w="0" w:type="dxa"/>
              <w:bottom w:w="0" w:type="dxa"/>
              <w:right w:w="0" w:type="dxa"/>
            </w:tcMar>
            <w:vAlign w:val="center"/>
          </w:tcPr>
          <w:p w14:paraId="287023F4">
            <w:pPr>
              <w:widowControl/>
              <w:spacing w:line="240" w:lineRule="exact"/>
              <w:textAlignment w:val="center"/>
              <w:rPr>
                <w:rFonts w:hint="eastAsia" w:ascii="宋体" w:hAnsi="宋体" w:eastAsia="宋体" w:cs="宋体"/>
                <w:b w:val="0"/>
                <w:bCs w:val="0"/>
                <w:kern w:val="0"/>
                <w:sz w:val="18"/>
                <w:szCs w:val="18"/>
                <w:highlight w:val="none"/>
                <w:lang w:bidi="ar"/>
              </w:rPr>
            </w:pPr>
            <w:r>
              <w:rPr>
                <w:rFonts w:hint="eastAsia" w:ascii="宋体" w:hAnsi="宋体" w:eastAsia="宋体" w:cs="宋体"/>
                <w:b w:val="0"/>
                <w:bCs w:val="0"/>
                <w:kern w:val="0"/>
                <w:sz w:val="18"/>
                <w:szCs w:val="18"/>
                <w:highlight w:val="none"/>
                <w:lang w:bidi="ar"/>
              </w:rPr>
              <w:t>《中华人民共和国水法》第七十二条 有下列行为之一，构成犯罪的，依照刑法的有关规定追究刑事责任；尚不够刑事处罚，且防洪法未作规定的，由县级以上地方人民政府水行政主管部门或者流域管理机构依据职权，责令停止违法行为，采取补救措施，处一万元以上五万元以下的罚款；违反治安管理处罚法的，由公安机关依法给予治安管理处罚；给他人造成损失的，依法承担赔偿责任：</w:t>
            </w:r>
          </w:p>
          <w:p w14:paraId="5B333E56">
            <w:pPr>
              <w:widowControl/>
              <w:spacing w:line="240" w:lineRule="exact"/>
              <w:textAlignment w:val="center"/>
              <w:rPr>
                <w:rFonts w:hint="eastAsia" w:ascii="宋体" w:hAnsi="宋体" w:eastAsia="宋体" w:cs="宋体"/>
                <w:b w:val="0"/>
                <w:bCs w:val="0"/>
                <w:kern w:val="0"/>
                <w:sz w:val="18"/>
                <w:szCs w:val="18"/>
                <w:highlight w:val="none"/>
                <w:lang w:bidi="ar"/>
              </w:rPr>
            </w:pPr>
            <w:r>
              <w:rPr>
                <w:rFonts w:hint="eastAsia" w:ascii="宋体" w:hAnsi="宋体" w:eastAsia="宋体" w:cs="宋体"/>
                <w:b w:val="0"/>
                <w:bCs w:val="0"/>
                <w:kern w:val="0"/>
                <w:sz w:val="18"/>
                <w:szCs w:val="18"/>
                <w:highlight w:val="none"/>
                <w:lang w:bidi="ar"/>
              </w:rPr>
              <w:t>（一）侵占、毁坏水工程及堤防、护岸等有关设施，毁坏防汛、水文监测、水文地质监测设施的。</w:t>
            </w:r>
          </w:p>
          <w:p w14:paraId="4FCA30BC">
            <w:pPr>
              <w:widowControl/>
              <w:spacing w:line="240" w:lineRule="exact"/>
              <w:textAlignment w:val="center"/>
              <w:rPr>
                <w:rFonts w:hint="eastAsia" w:ascii="宋体" w:hAnsi="宋体" w:eastAsia="宋体" w:cs="宋体"/>
                <w:b w:val="0"/>
                <w:bCs w:val="0"/>
                <w:kern w:val="0"/>
                <w:sz w:val="18"/>
                <w:szCs w:val="18"/>
                <w:highlight w:val="none"/>
                <w:lang w:bidi="ar"/>
              </w:rPr>
            </w:pPr>
            <w:r>
              <w:rPr>
                <w:rFonts w:hint="eastAsia" w:ascii="宋体" w:hAnsi="宋体" w:eastAsia="宋体" w:cs="宋体"/>
                <w:b w:val="0"/>
                <w:bCs w:val="0"/>
                <w:kern w:val="0"/>
                <w:sz w:val="18"/>
                <w:szCs w:val="18"/>
                <w:highlight w:val="none"/>
                <w:lang w:bidi="ar"/>
              </w:rPr>
              <w:t>（二）在水工程保护范围内，从事影响水工程运行和危害水工程安全的爆破、打井、采石、取土等活动的。</w:t>
            </w:r>
          </w:p>
          <w:p w14:paraId="3802AA41">
            <w:pPr>
              <w:widowControl/>
              <w:spacing w:line="240" w:lineRule="exact"/>
              <w:textAlignment w:val="center"/>
              <w:rPr>
                <w:rFonts w:hint="eastAsia" w:ascii="宋体" w:hAnsi="宋体" w:eastAsia="宋体" w:cs="宋体"/>
                <w:b w:val="0"/>
                <w:bCs w:val="0"/>
                <w:kern w:val="0"/>
                <w:sz w:val="18"/>
                <w:szCs w:val="18"/>
                <w:highlight w:val="none"/>
                <w:lang w:bidi="ar"/>
              </w:rPr>
            </w:pPr>
            <w:r>
              <w:rPr>
                <w:rFonts w:hint="eastAsia" w:ascii="宋体" w:hAnsi="宋体" w:eastAsia="宋体" w:cs="宋体"/>
                <w:b w:val="0"/>
                <w:bCs w:val="0"/>
                <w:kern w:val="0"/>
                <w:sz w:val="18"/>
                <w:szCs w:val="18"/>
                <w:highlight w:val="none"/>
                <w:lang w:bidi="ar"/>
              </w:rPr>
              <w:t>《中华人民共和国防洪法》第六十条  违反本法规定，破坏、侵占、毁损堤防、水闸、护岸、抽水站、排水渠系等防洪工程和水文、通信设施以及防汛备用的器材、物料的，责令停止违法行为，采取补救措施，可以处五万元以下的罚款；造成损坏的，依法承担民事责任；应当给予治安管理处罚的，依照治安管理处罚法的规定处罚；构成犯罪的，依法追究刑事责任。</w:t>
            </w:r>
          </w:p>
          <w:p w14:paraId="1D3C36B3">
            <w:pPr>
              <w:widowControl/>
              <w:spacing w:line="240" w:lineRule="exact"/>
              <w:textAlignment w:val="center"/>
              <w:rPr>
                <w:rFonts w:hint="eastAsia" w:ascii="宋体" w:hAnsi="宋体" w:eastAsia="宋体" w:cs="宋体"/>
                <w:b w:val="0"/>
                <w:bCs w:val="0"/>
                <w:kern w:val="0"/>
                <w:sz w:val="18"/>
                <w:szCs w:val="18"/>
                <w:highlight w:val="none"/>
                <w:lang w:bidi="ar"/>
              </w:rPr>
            </w:pPr>
            <w:r>
              <w:rPr>
                <w:rFonts w:hint="eastAsia" w:ascii="宋体" w:hAnsi="宋体" w:eastAsia="宋体" w:cs="宋体"/>
                <w:b w:val="0"/>
                <w:bCs w:val="0"/>
                <w:kern w:val="0"/>
                <w:sz w:val="18"/>
                <w:szCs w:val="18"/>
                <w:highlight w:val="none"/>
                <w:lang w:bidi="ar"/>
              </w:rPr>
              <w:t>《中华人民共和国河道管理条例》第四十四条 违反本条例规定，有下列行为之一的，县级以上地方人民政府河道主管机关除责令其纠正违法行为、采取补救措施外，可以并处警告、罚款、没收非法所得；对有关责任人员，由其所在单位或者上级主管机关给予行政处分；构成犯罪的，依法追究刑事责任：</w:t>
            </w:r>
          </w:p>
          <w:p w14:paraId="3F8CD2BB">
            <w:pPr>
              <w:widowControl/>
              <w:spacing w:line="240" w:lineRule="exact"/>
              <w:textAlignment w:val="center"/>
              <w:rPr>
                <w:rFonts w:hint="eastAsia" w:ascii="宋体" w:hAnsi="宋体" w:eastAsia="宋体" w:cs="宋体"/>
                <w:b w:val="0"/>
                <w:bCs w:val="0"/>
                <w:kern w:val="0"/>
                <w:sz w:val="18"/>
                <w:szCs w:val="18"/>
                <w:highlight w:val="none"/>
                <w:lang w:bidi="ar"/>
              </w:rPr>
            </w:pPr>
            <w:r>
              <w:rPr>
                <w:rFonts w:hint="eastAsia" w:ascii="宋体" w:hAnsi="宋体" w:eastAsia="宋体" w:cs="宋体"/>
                <w:b w:val="0"/>
                <w:bCs w:val="0"/>
                <w:kern w:val="0"/>
                <w:sz w:val="18"/>
                <w:szCs w:val="18"/>
                <w:highlight w:val="none"/>
                <w:lang w:bidi="ar"/>
              </w:rPr>
              <w:t>（二）在堤防、护堤地建房、放牧、开渠、打井、挖窖、葬坟、晒粮、存放物料、开采地下资源、进行考古发掘以及开展集市贸易活动的；</w:t>
            </w:r>
          </w:p>
          <w:p w14:paraId="7AF2EF17">
            <w:pPr>
              <w:widowControl/>
              <w:spacing w:line="240" w:lineRule="exact"/>
              <w:textAlignment w:val="center"/>
              <w:rPr>
                <w:rFonts w:hint="eastAsia" w:ascii="宋体" w:hAnsi="宋体" w:eastAsia="宋体" w:cs="宋体"/>
                <w:b w:val="0"/>
                <w:bCs w:val="0"/>
                <w:kern w:val="0"/>
                <w:sz w:val="18"/>
                <w:szCs w:val="18"/>
                <w:highlight w:val="none"/>
                <w:lang w:bidi="ar"/>
              </w:rPr>
            </w:pPr>
            <w:r>
              <w:rPr>
                <w:rFonts w:hint="eastAsia" w:ascii="宋体" w:hAnsi="宋体" w:eastAsia="宋体" w:cs="宋体"/>
                <w:b w:val="0"/>
                <w:bCs w:val="0"/>
                <w:kern w:val="0"/>
                <w:sz w:val="18"/>
                <w:szCs w:val="18"/>
                <w:highlight w:val="none"/>
                <w:lang w:bidi="ar"/>
              </w:rPr>
              <w:t>第四十五条 违反本条例规定，有下列行为之一的，县级以上地方人民政府河道主管机关除责令其纠正违法行为、赔偿损失、采取补救措施外，可以并处警告、罚款；应当给予治安管理处罚的，按照《中华人民共和国治安管理处罚法》的规定处罚；构成犯罪的，依法追究刑事责任：</w:t>
            </w:r>
          </w:p>
          <w:p w14:paraId="1FBEDE8A">
            <w:pPr>
              <w:widowControl/>
              <w:spacing w:line="240" w:lineRule="exact"/>
              <w:textAlignment w:val="center"/>
              <w:rPr>
                <w:rFonts w:hint="eastAsia" w:ascii="宋体" w:hAnsi="宋体" w:eastAsia="宋体" w:cs="宋体"/>
                <w:b w:val="0"/>
                <w:bCs w:val="0"/>
                <w:kern w:val="0"/>
                <w:sz w:val="18"/>
                <w:szCs w:val="18"/>
                <w:highlight w:val="none"/>
                <w:lang w:bidi="ar"/>
              </w:rPr>
            </w:pPr>
            <w:r>
              <w:rPr>
                <w:rFonts w:hint="eastAsia" w:ascii="宋体" w:hAnsi="宋体" w:eastAsia="宋体" w:cs="宋体"/>
                <w:b w:val="0"/>
                <w:bCs w:val="0"/>
                <w:kern w:val="0"/>
                <w:sz w:val="18"/>
                <w:szCs w:val="18"/>
                <w:highlight w:val="none"/>
                <w:lang w:bidi="ar"/>
              </w:rPr>
              <w:t>（一）损毁堤防、护岸、闸坝、水工程建筑物，损毁防汛设施、水文监测和测量设施、河岸地质监测设施以及通信照明等设施；</w:t>
            </w:r>
          </w:p>
          <w:p w14:paraId="39055FF1">
            <w:pPr>
              <w:widowControl/>
              <w:spacing w:line="240" w:lineRule="exact"/>
              <w:textAlignment w:val="center"/>
              <w:rPr>
                <w:rFonts w:hint="eastAsia" w:ascii="宋体" w:hAnsi="宋体" w:eastAsia="宋体" w:cs="宋体"/>
                <w:b w:val="0"/>
                <w:bCs w:val="0"/>
                <w:kern w:val="0"/>
                <w:sz w:val="18"/>
                <w:szCs w:val="18"/>
                <w:highlight w:val="none"/>
                <w:lang w:bidi="ar"/>
              </w:rPr>
            </w:pPr>
            <w:r>
              <w:rPr>
                <w:rFonts w:hint="eastAsia" w:ascii="宋体" w:hAnsi="宋体" w:eastAsia="宋体" w:cs="宋体"/>
                <w:b w:val="0"/>
                <w:bCs w:val="0"/>
                <w:kern w:val="0"/>
                <w:sz w:val="18"/>
                <w:szCs w:val="18"/>
                <w:highlight w:val="none"/>
                <w:lang w:bidi="ar"/>
              </w:rPr>
              <w:t>（二）在堤防安全保护区内进行打井、钻探、爆破、挖筑鱼塘、采石、取土等危害堤防安全的活动的；</w:t>
            </w:r>
          </w:p>
          <w:p w14:paraId="57B8C7F5">
            <w:pPr>
              <w:widowControl/>
              <w:spacing w:line="240" w:lineRule="exact"/>
              <w:textAlignment w:val="center"/>
              <w:rPr>
                <w:rFonts w:hint="eastAsia" w:ascii="宋体" w:hAnsi="宋体" w:eastAsia="宋体" w:cs="宋体"/>
                <w:b w:val="0"/>
                <w:bCs w:val="0"/>
                <w:kern w:val="0"/>
                <w:sz w:val="18"/>
                <w:szCs w:val="18"/>
                <w:highlight w:val="none"/>
                <w:lang w:bidi="ar"/>
              </w:rPr>
            </w:pPr>
            <w:r>
              <w:rPr>
                <w:rFonts w:hint="eastAsia" w:ascii="宋体" w:hAnsi="宋体" w:eastAsia="宋体" w:cs="宋体"/>
                <w:b w:val="0"/>
                <w:bCs w:val="0"/>
                <w:kern w:val="0"/>
                <w:sz w:val="18"/>
                <w:szCs w:val="18"/>
                <w:highlight w:val="none"/>
                <w:lang w:bidi="ar"/>
              </w:rPr>
              <w:t>（三）非管理人员操作河道上的涵闸闸门或者干扰河道管理单位正常工作的。</w:t>
            </w:r>
          </w:p>
          <w:p w14:paraId="1BC938BD">
            <w:pPr>
              <w:widowControl/>
              <w:spacing w:line="240" w:lineRule="exact"/>
              <w:textAlignment w:val="center"/>
              <w:rPr>
                <w:rFonts w:hint="eastAsia" w:ascii="宋体" w:hAnsi="宋体" w:eastAsia="宋体" w:cs="宋体"/>
                <w:b w:val="0"/>
                <w:bCs w:val="0"/>
                <w:kern w:val="0"/>
                <w:sz w:val="18"/>
                <w:szCs w:val="18"/>
                <w:highlight w:val="none"/>
                <w:lang w:bidi="ar"/>
              </w:rPr>
            </w:pPr>
            <w:r>
              <w:rPr>
                <w:rFonts w:hint="eastAsia" w:ascii="宋体" w:hAnsi="宋体" w:eastAsia="宋体" w:cs="宋体"/>
                <w:b w:val="0"/>
                <w:bCs w:val="0"/>
                <w:kern w:val="0"/>
                <w:sz w:val="18"/>
                <w:szCs w:val="18"/>
                <w:highlight w:val="none"/>
                <w:lang w:bidi="ar"/>
              </w:rPr>
              <w:t>《河北省水利工程管理条例》第十五条 为维护水利工程的管理秩序，禁止下列行为：</w:t>
            </w:r>
          </w:p>
          <w:p w14:paraId="12E6B351">
            <w:pPr>
              <w:widowControl/>
              <w:spacing w:line="240" w:lineRule="exact"/>
              <w:textAlignment w:val="center"/>
              <w:rPr>
                <w:rFonts w:hint="eastAsia" w:ascii="宋体" w:hAnsi="宋体" w:eastAsia="宋体" w:cs="宋体"/>
                <w:b w:val="0"/>
                <w:bCs w:val="0"/>
                <w:kern w:val="0"/>
                <w:sz w:val="18"/>
                <w:szCs w:val="18"/>
                <w:highlight w:val="none"/>
                <w:lang w:bidi="ar"/>
              </w:rPr>
            </w:pPr>
            <w:r>
              <w:rPr>
                <w:rFonts w:hint="eastAsia" w:ascii="宋体" w:hAnsi="宋体" w:eastAsia="宋体" w:cs="宋体"/>
                <w:b w:val="0"/>
                <w:bCs w:val="0"/>
                <w:kern w:val="0"/>
                <w:sz w:val="18"/>
                <w:szCs w:val="18"/>
                <w:highlight w:val="none"/>
                <w:lang w:bidi="ar"/>
              </w:rPr>
              <w:t>（一）干预和阻挠工程管理人员履行职责；</w:t>
            </w:r>
          </w:p>
          <w:p w14:paraId="5C0D66F4">
            <w:pPr>
              <w:widowControl/>
              <w:spacing w:line="240" w:lineRule="exact"/>
              <w:textAlignment w:val="center"/>
              <w:rPr>
                <w:rFonts w:hint="eastAsia" w:ascii="宋体" w:hAnsi="宋体" w:eastAsia="宋体" w:cs="宋体"/>
                <w:b w:val="0"/>
                <w:bCs w:val="0"/>
                <w:kern w:val="0"/>
                <w:sz w:val="18"/>
                <w:szCs w:val="18"/>
                <w:highlight w:val="none"/>
                <w:lang w:bidi="ar"/>
              </w:rPr>
            </w:pPr>
            <w:r>
              <w:rPr>
                <w:rFonts w:hint="eastAsia" w:ascii="宋体" w:hAnsi="宋体" w:eastAsia="宋体" w:cs="宋体"/>
                <w:b w:val="0"/>
                <w:bCs w:val="0"/>
                <w:kern w:val="0"/>
                <w:sz w:val="18"/>
                <w:szCs w:val="18"/>
                <w:highlight w:val="none"/>
                <w:lang w:bidi="ar"/>
              </w:rPr>
              <w:t>（三）非工程管理人员操作闸门及各项设备。</w:t>
            </w:r>
          </w:p>
          <w:p w14:paraId="1D812C8E">
            <w:pPr>
              <w:widowControl/>
              <w:spacing w:line="240" w:lineRule="exact"/>
              <w:textAlignment w:val="center"/>
              <w:rPr>
                <w:rFonts w:hint="eastAsia" w:ascii="宋体" w:hAnsi="宋体" w:eastAsia="宋体" w:cs="宋体"/>
                <w:b w:val="0"/>
                <w:bCs w:val="0"/>
                <w:kern w:val="0"/>
                <w:sz w:val="18"/>
                <w:szCs w:val="18"/>
                <w:highlight w:val="none"/>
                <w:lang w:bidi="ar"/>
              </w:rPr>
            </w:pPr>
            <w:r>
              <w:rPr>
                <w:rFonts w:hint="eastAsia" w:ascii="宋体" w:hAnsi="宋体" w:eastAsia="宋体" w:cs="宋体"/>
                <w:b w:val="0"/>
                <w:bCs w:val="0"/>
                <w:kern w:val="0"/>
                <w:sz w:val="18"/>
                <w:szCs w:val="18"/>
                <w:highlight w:val="none"/>
                <w:lang w:bidi="ar"/>
              </w:rPr>
              <w:t>第二十七条 禁止在堤顶、坝顶、闸桥行驶超过工程承载能力的车辆、履带拖拉机及雨后泥泞行车。</w:t>
            </w:r>
          </w:p>
          <w:p w14:paraId="21F47E10">
            <w:pPr>
              <w:widowControl/>
              <w:spacing w:line="240" w:lineRule="exact"/>
              <w:textAlignment w:val="center"/>
              <w:rPr>
                <w:rFonts w:hint="eastAsia" w:ascii="宋体" w:hAnsi="宋体" w:eastAsia="宋体" w:cs="宋体"/>
                <w:b w:val="0"/>
                <w:bCs w:val="0"/>
                <w:kern w:val="0"/>
                <w:sz w:val="18"/>
                <w:szCs w:val="18"/>
                <w:highlight w:val="none"/>
                <w:lang w:bidi="ar"/>
              </w:rPr>
            </w:pPr>
            <w:r>
              <w:rPr>
                <w:rFonts w:hint="eastAsia" w:ascii="宋体" w:hAnsi="宋体" w:eastAsia="宋体" w:cs="宋体"/>
                <w:b w:val="0"/>
                <w:bCs w:val="0"/>
                <w:kern w:val="0"/>
                <w:sz w:val="18"/>
                <w:szCs w:val="18"/>
                <w:highlight w:val="none"/>
                <w:lang w:bidi="ar"/>
              </w:rPr>
              <w:t>第四十一条 违反本条例第十五条、第二十七条规定的，责令其停止违法行为，可以并处五十元以上五百元以下的罚款；造成工程设施损害的，应当赔偿损失。</w:t>
            </w:r>
          </w:p>
          <w:p w14:paraId="2B0111FB">
            <w:pPr>
              <w:widowControl/>
              <w:spacing w:line="240" w:lineRule="exact"/>
              <w:textAlignment w:val="center"/>
              <w:rPr>
                <w:rFonts w:hint="eastAsia" w:ascii="宋体" w:hAnsi="宋体" w:eastAsia="宋体" w:cs="宋体"/>
                <w:b w:val="0"/>
                <w:bCs w:val="0"/>
                <w:kern w:val="0"/>
                <w:sz w:val="18"/>
                <w:szCs w:val="18"/>
                <w:highlight w:val="none"/>
                <w:lang w:bidi="ar"/>
              </w:rPr>
            </w:pPr>
            <w:r>
              <w:rPr>
                <w:rFonts w:hint="eastAsia" w:ascii="宋体" w:hAnsi="宋体" w:eastAsia="宋体" w:cs="宋体"/>
                <w:b w:val="0"/>
                <w:bCs w:val="0"/>
                <w:kern w:val="0"/>
                <w:sz w:val="18"/>
                <w:szCs w:val="18"/>
                <w:highlight w:val="none"/>
                <w:lang w:bidi="ar"/>
              </w:rPr>
              <w:t>第二十五条 为保护水利工程及其附属设施的安全完整，禁止下列行为：</w:t>
            </w:r>
          </w:p>
          <w:p w14:paraId="67859BA8">
            <w:pPr>
              <w:widowControl/>
              <w:spacing w:line="240" w:lineRule="exact"/>
              <w:textAlignment w:val="center"/>
              <w:rPr>
                <w:rFonts w:hint="eastAsia" w:ascii="宋体" w:hAnsi="宋体" w:eastAsia="宋体" w:cs="宋体"/>
                <w:b w:val="0"/>
                <w:bCs w:val="0"/>
                <w:kern w:val="0"/>
                <w:sz w:val="18"/>
                <w:szCs w:val="18"/>
                <w:highlight w:val="none"/>
                <w:lang w:bidi="ar"/>
              </w:rPr>
            </w:pPr>
            <w:r>
              <w:rPr>
                <w:rFonts w:hint="eastAsia" w:ascii="宋体" w:hAnsi="宋体" w:eastAsia="宋体" w:cs="宋体"/>
                <w:b w:val="0"/>
                <w:bCs w:val="0"/>
                <w:kern w:val="0"/>
                <w:sz w:val="18"/>
                <w:szCs w:val="18"/>
                <w:highlight w:val="none"/>
                <w:lang w:bidi="ar"/>
              </w:rPr>
              <w:t>（一）毁坏堤、坝、水电站、渠道、水闸、机井、泵站等水利工程建筑物及其附属设施；</w:t>
            </w:r>
          </w:p>
          <w:p w14:paraId="4899D0BC">
            <w:pPr>
              <w:widowControl/>
              <w:spacing w:line="240" w:lineRule="exact"/>
              <w:textAlignment w:val="center"/>
              <w:rPr>
                <w:rFonts w:hint="eastAsia" w:ascii="宋体" w:hAnsi="宋体" w:eastAsia="宋体" w:cs="宋体"/>
                <w:b w:val="0"/>
                <w:bCs w:val="0"/>
                <w:kern w:val="0"/>
                <w:sz w:val="18"/>
                <w:szCs w:val="18"/>
                <w:highlight w:val="none"/>
                <w:lang w:bidi="ar"/>
              </w:rPr>
            </w:pPr>
            <w:r>
              <w:rPr>
                <w:rFonts w:hint="eastAsia" w:ascii="宋体" w:hAnsi="宋体" w:eastAsia="宋体" w:cs="宋体"/>
                <w:b w:val="0"/>
                <w:bCs w:val="0"/>
                <w:kern w:val="0"/>
                <w:sz w:val="18"/>
                <w:szCs w:val="18"/>
                <w:highlight w:val="none"/>
                <w:lang w:bidi="ar"/>
              </w:rPr>
              <w:t>（二）在堤、坝、渠坡上放牧或者擅自垦植、铲草、移动护坡砂石及砍伐林木；</w:t>
            </w:r>
          </w:p>
          <w:p w14:paraId="06998533">
            <w:pPr>
              <w:widowControl/>
              <w:spacing w:line="240" w:lineRule="exact"/>
              <w:textAlignment w:val="center"/>
              <w:rPr>
                <w:rFonts w:hint="eastAsia" w:ascii="宋体" w:hAnsi="宋体" w:eastAsia="宋体" w:cs="宋体"/>
                <w:b w:val="0"/>
                <w:bCs w:val="0"/>
                <w:kern w:val="0"/>
                <w:sz w:val="18"/>
                <w:szCs w:val="18"/>
                <w:highlight w:val="none"/>
                <w:lang w:bidi="ar"/>
              </w:rPr>
            </w:pPr>
            <w:r>
              <w:rPr>
                <w:rFonts w:hint="eastAsia" w:ascii="宋体" w:hAnsi="宋体" w:eastAsia="宋体" w:cs="宋体"/>
                <w:b w:val="0"/>
                <w:bCs w:val="0"/>
                <w:kern w:val="0"/>
                <w:sz w:val="18"/>
                <w:szCs w:val="18"/>
                <w:highlight w:val="none"/>
                <w:lang w:bidi="ar"/>
              </w:rPr>
              <w:t>（三）在堤、坝的顶、坡、戗台设置有碍安全管理的建筑物及障碍物；</w:t>
            </w:r>
          </w:p>
          <w:p w14:paraId="567388B8">
            <w:pPr>
              <w:widowControl/>
              <w:spacing w:line="240" w:lineRule="exact"/>
              <w:textAlignment w:val="center"/>
              <w:rPr>
                <w:rFonts w:hint="eastAsia" w:ascii="宋体" w:hAnsi="宋体" w:eastAsia="宋体" w:cs="宋体"/>
                <w:b w:val="0"/>
                <w:bCs w:val="0"/>
                <w:kern w:val="0"/>
                <w:sz w:val="18"/>
                <w:szCs w:val="18"/>
                <w:highlight w:val="none"/>
                <w:lang w:bidi="ar"/>
              </w:rPr>
            </w:pPr>
            <w:r>
              <w:rPr>
                <w:rFonts w:hint="eastAsia" w:ascii="宋体" w:hAnsi="宋体" w:eastAsia="宋体" w:cs="宋体"/>
                <w:b w:val="0"/>
                <w:bCs w:val="0"/>
                <w:kern w:val="0"/>
                <w:sz w:val="18"/>
                <w:szCs w:val="18"/>
                <w:highlight w:val="none"/>
                <w:lang w:bidi="ar"/>
              </w:rPr>
              <w:t>（四）侵占、毁坏通讯、报汛线路、台站、供用电设施及水利物资、器材、设备；</w:t>
            </w:r>
          </w:p>
          <w:p w14:paraId="0D5DE442">
            <w:pPr>
              <w:widowControl/>
              <w:spacing w:line="240" w:lineRule="exact"/>
              <w:textAlignment w:val="center"/>
              <w:rPr>
                <w:rFonts w:hint="eastAsia" w:ascii="宋体" w:hAnsi="宋体" w:eastAsia="宋体" w:cs="宋体"/>
                <w:b w:val="0"/>
                <w:bCs w:val="0"/>
                <w:kern w:val="0"/>
                <w:sz w:val="18"/>
                <w:szCs w:val="18"/>
                <w:highlight w:val="none"/>
                <w:lang w:bidi="ar"/>
              </w:rPr>
            </w:pPr>
            <w:r>
              <w:rPr>
                <w:rFonts w:hint="eastAsia" w:ascii="宋体" w:hAnsi="宋体" w:eastAsia="宋体" w:cs="宋体"/>
                <w:b w:val="0"/>
                <w:bCs w:val="0"/>
                <w:kern w:val="0"/>
                <w:sz w:val="18"/>
                <w:szCs w:val="18"/>
                <w:highlight w:val="none"/>
                <w:lang w:bidi="ar"/>
              </w:rPr>
              <w:t>（五）在安全保护范围内进行爆破、炸鱼、烧窑、采石、采矿、挖砂、取土等危及工程安全的活动；</w:t>
            </w:r>
          </w:p>
          <w:p w14:paraId="6C09686F">
            <w:pPr>
              <w:widowControl/>
              <w:spacing w:line="240" w:lineRule="exact"/>
              <w:textAlignment w:val="center"/>
              <w:rPr>
                <w:rFonts w:hint="eastAsia" w:ascii="宋体" w:hAnsi="宋体" w:eastAsia="宋体" w:cs="宋体"/>
                <w:b w:val="0"/>
                <w:bCs w:val="0"/>
                <w:kern w:val="0"/>
                <w:sz w:val="18"/>
                <w:szCs w:val="18"/>
                <w:highlight w:val="none"/>
                <w:lang w:bidi="ar"/>
              </w:rPr>
            </w:pPr>
            <w:r>
              <w:rPr>
                <w:rFonts w:hint="eastAsia" w:ascii="宋体" w:hAnsi="宋体" w:eastAsia="宋体" w:cs="宋体"/>
                <w:b w:val="0"/>
                <w:bCs w:val="0"/>
                <w:kern w:val="0"/>
                <w:sz w:val="18"/>
                <w:szCs w:val="18"/>
                <w:highlight w:val="none"/>
                <w:lang w:bidi="ar"/>
              </w:rPr>
              <w:t>（六）毁坏、盗窃、擅自移动水文、测量、监测设施及界桩、标牌。</w:t>
            </w:r>
          </w:p>
          <w:p w14:paraId="2BA64B1B">
            <w:pPr>
              <w:widowControl/>
              <w:spacing w:line="240" w:lineRule="exact"/>
              <w:textAlignment w:val="center"/>
              <w:rPr>
                <w:rFonts w:hint="eastAsia" w:ascii="宋体" w:hAnsi="宋体" w:eastAsia="宋体" w:cs="宋体"/>
                <w:b w:val="0"/>
                <w:bCs w:val="0"/>
                <w:kern w:val="0"/>
                <w:sz w:val="18"/>
                <w:szCs w:val="18"/>
                <w:highlight w:val="none"/>
                <w:lang w:bidi="ar"/>
              </w:rPr>
            </w:pPr>
            <w:r>
              <w:rPr>
                <w:rFonts w:hint="eastAsia" w:ascii="宋体" w:hAnsi="宋体" w:eastAsia="宋体" w:cs="宋体"/>
                <w:b w:val="0"/>
                <w:bCs w:val="0"/>
                <w:kern w:val="0"/>
                <w:sz w:val="18"/>
                <w:szCs w:val="18"/>
                <w:highlight w:val="none"/>
                <w:lang w:bidi="ar"/>
              </w:rPr>
              <w:t>第四十五条　违反本条例第二十五条规定的，责令其纠正违法行为，赔偿损失，采取补救措施，可以并处三百元以上五万元以下的罚款。</w:t>
            </w:r>
          </w:p>
        </w:tc>
        <w:tc>
          <w:tcPr>
            <w:tcW w:w="1849" w:type="dxa"/>
            <w:vMerge w:val="restart"/>
            <w:tcBorders>
              <w:top w:val="single" w:color="auto" w:sz="4" w:space="0"/>
              <w:left w:val="single" w:color="auto" w:sz="4" w:space="0"/>
              <w:right w:val="single" w:color="auto" w:sz="4" w:space="0"/>
            </w:tcBorders>
            <w:noWrap w:val="0"/>
            <w:tcMar>
              <w:top w:w="0" w:type="dxa"/>
              <w:left w:w="0" w:type="dxa"/>
              <w:bottom w:w="0" w:type="dxa"/>
              <w:right w:w="0" w:type="dxa"/>
            </w:tcMar>
            <w:vAlign w:val="center"/>
          </w:tcPr>
          <w:p w14:paraId="7B2045E0">
            <w:pPr>
              <w:spacing w:line="240" w:lineRule="exact"/>
              <w:jc w:val="both"/>
              <w:rPr>
                <w:rFonts w:hint="eastAsia" w:ascii="宋体" w:hAnsi="宋体" w:eastAsia="宋体" w:cs="宋体"/>
                <w:b w:val="0"/>
                <w:bCs w:val="0"/>
                <w:kern w:val="0"/>
                <w:sz w:val="18"/>
                <w:szCs w:val="18"/>
                <w:highlight w:val="none"/>
                <w:lang w:bidi="ar"/>
              </w:rPr>
            </w:pPr>
            <w:r>
              <w:rPr>
                <w:rFonts w:hint="eastAsia" w:ascii="宋体" w:hAnsi="宋体" w:eastAsia="宋体" w:cs="宋体"/>
                <w:b w:val="0"/>
                <w:bCs w:val="0"/>
                <w:kern w:val="0"/>
                <w:sz w:val="18"/>
                <w:szCs w:val="18"/>
                <w:highlight w:val="none"/>
                <w:lang w:bidi="ar"/>
              </w:rPr>
              <w:t>在水工程保护范围内，从事影响水工程运行和危害水工程安全的爆破、打井、采石、取土等活动的</w:t>
            </w:r>
          </w:p>
        </w:tc>
        <w:tc>
          <w:tcPr>
            <w:tcW w:w="51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52DAC6D">
            <w:pPr>
              <w:spacing w:line="240" w:lineRule="exact"/>
              <w:jc w:val="center"/>
              <w:rPr>
                <w:rFonts w:hint="eastAsia" w:ascii="宋体" w:hAnsi="宋体" w:eastAsia="宋体" w:cs="宋体"/>
                <w:b w:val="0"/>
                <w:bCs w:val="0"/>
                <w:sz w:val="18"/>
                <w:szCs w:val="18"/>
                <w:highlight w:val="none"/>
              </w:rPr>
            </w:pPr>
            <w:r>
              <w:rPr>
                <w:rFonts w:hint="eastAsia" w:ascii="宋体" w:hAnsi="宋体" w:eastAsia="宋体" w:cs="宋体"/>
                <w:b w:val="0"/>
                <w:bCs w:val="0"/>
                <w:sz w:val="18"/>
                <w:szCs w:val="18"/>
                <w:highlight w:val="none"/>
              </w:rPr>
              <w:t>轻微</w:t>
            </w:r>
          </w:p>
        </w:tc>
        <w:tc>
          <w:tcPr>
            <w:tcW w:w="242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172B763F">
            <w:pPr>
              <w:snapToGrid w:val="0"/>
              <w:spacing w:line="240" w:lineRule="exact"/>
              <mc:AlternateContent>
                <mc:Choice Requires="wpsCustomData">
                  <wpsCustomData:diagonalParaType/>
                </mc:Choice>
              </mc:AlternateContent>
              <w:rPr>
                <w:rStyle w:val="21"/>
                <w:rFonts w:hint="eastAsia" w:ascii="宋体" w:hAnsi="宋体" w:eastAsia="宋体" w:cs="宋体"/>
                <w:b w:val="0"/>
                <w:bCs w:val="0"/>
                <w:color w:val="auto"/>
                <w:sz w:val="18"/>
                <w:szCs w:val="18"/>
                <w:highlight w:val="none"/>
                <w:lang w:bidi="ar"/>
              </w:rPr>
            </w:pPr>
          </w:p>
          <w:p w14:paraId="1059C4D0">
            <w:pPr>
              <w:spacing w:line="240" w:lineRule="exact"/>
              <w:rPr>
                <w:rStyle w:val="21"/>
                <w:rFonts w:hint="eastAsia" w:ascii="宋体" w:hAnsi="宋体" w:eastAsia="宋体" w:cs="宋体"/>
                <w:b w:val="0"/>
                <w:bCs w:val="0"/>
                <w:color w:val="auto"/>
                <w:sz w:val="18"/>
                <w:szCs w:val="18"/>
                <w:highlight w:val="none"/>
                <w:lang w:bidi="ar"/>
              </w:rPr>
            </w:pPr>
          </w:p>
        </w:tc>
        <w:tc>
          <w:tcPr>
            <w:tcW w:w="1628"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6042F892">
            <w:pPr>
              <w:snapToGrid w:val="0"/>
              <w:spacing w:line="240" w:lineRule="exact"/>
              <mc:AlternateContent>
                <mc:Choice Requires="wpsCustomData">
                  <wpsCustomData:diagonalParaType/>
                </mc:Choice>
              </mc:AlternateContent>
              <w:rPr>
                <w:rStyle w:val="21"/>
                <w:rFonts w:hint="eastAsia" w:ascii="宋体" w:hAnsi="宋体" w:eastAsia="宋体" w:cs="宋体"/>
                <w:b w:val="0"/>
                <w:bCs w:val="0"/>
                <w:color w:val="auto"/>
                <w:sz w:val="18"/>
                <w:szCs w:val="18"/>
                <w:highlight w:val="none"/>
                <w:lang w:bidi="ar"/>
              </w:rPr>
            </w:pPr>
          </w:p>
          <w:p w14:paraId="2A1C105F">
            <w:pPr>
              <w:spacing w:line="240" w:lineRule="exact"/>
              <w:rPr>
                <w:rStyle w:val="21"/>
                <w:rFonts w:hint="eastAsia" w:ascii="宋体" w:hAnsi="宋体" w:eastAsia="宋体" w:cs="宋体"/>
                <w:b w:val="0"/>
                <w:bCs w:val="0"/>
                <w:color w:val="auto"/>
                <w:sz w:val="18"/>
                <w:szCs w:val="18"/>
                <w:highlight w:val="none"/>
                <w:lang w:bidi="ar"/>
              </w:rPr>
            </w:pPr>
          </w:p>
        </w:tc>
        <w:tc>
          <w:tcPr>
            <w:tcW w:w="739" w:type="dxa"/>
            <w:vMerge w:val="restart"/>
            <w:tcBorders>
              <w:top w:val="single" w:color="auto" w:sz="4" w:space="0"/>
              <w:left w:val="single" w:color="auto" w:sz="4" w:space="0"/>
              <w:right w:val="single" w:color="auto" w:sz="4" w:space="0"/>
            </w:tcBorders>
            <w:noWrap w:val="0"/>
            <w:tcMar>
              <w:top w:w="0" w:type="dxa"/>
              <w:left w:w="0" w:type="dxa"/>
              <w:bottom w:w="0" w:type="dxa"/>
              <w:right w:w="0" w:type="dxa"/>
            </w:tcMar>
            <w:vAlign w:val="center"/>
          </w:tcPr>
          <w:p w14:paraId="0FFEA8B1">
            <w:pPr>
              <w:pStyle w:val="2"/>
              <w:spacing w:line="240" w:lineRule="exact"/>
              <w:jc w:val="center"/>
              <w:rPr>
                <w:rFonts w:hint="eastAsia" w:ascii="宋体" w:hAnsi="宋体" w:eastAsia="宋体" w:cs="宋体"/>
                <w:b w:val="0"/>
                <w:bCs w:val="0"/>
                <w:sz w:val="18"/>
                <w:szCs w:val="18"/>
                <w:lang w:eastAsia="zh-CN"/>
              </w:rPr>
            </w:pPr>
          </w:p>
        </w:tc>
      </w:tr>
      <w:tr w14:paraId="34371C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74" w:type="dxa"/>
            <w:vMerge w:val="continue"/>
            <w:tcBorders>
              <w:left w:val="single" w:color="auto" w:sz="4" w:space="0"/>
              <w:right w:val="single" w:color="auto" w:sz="4" w:space="0"/>
            </w:tcBorders>
            <w:noWrap w:val="0"/>
            <w:tcMar>
              <w:top w:w="0" w:type="dxa"/>
              <w:left w:w="0" w:type="dxa"/>
              <w:bottom w:w="0" w:type="dxa"/>
              <w:right w:w="0" w:type="dxa"/>
            </w:tcMar>
            <w:vAlign w:val="center"/>
          </w:tcPr>
          <w:p w14:paraId="45E783E3">
            <w:pPr>
              <w:widowControl/>
              <w:spacing w:line="240" w:lineRule="exact"/>
              <w:jc w:val="center"/>
              <w:textAlignment w:val="center"/>
              <w:rPr>
                <w:rFonts w:hint="eastAsia" w:ascii="宋体" w:hAnsi="宋体" w:eastAsia="宋体" w:cs="宋体"/>
                <w:b w:val="0"/>
                <w:bCs w:val="0"/>
                <w:sz w:val="18"/>
                <w:szCs w:val="18"/>
              </w:rPr>
            </w:pPr>
          </w:p>
        </w:tc>
        <w:tc>
          <w:tcPr>
            <w:tcW w:w="1236" w:type="dxa"/>
            <w:vMerge w:val="continue"/>
            <w:tcBorders>
              <w:left w:val="single" w:color="auto" w:sz="4" w:space="0"/>
              <w:right w:val="single" w:color="auto" w:sz="4" w:space="0"/>
            </w:tcBorders>
            <w:noWrap w:val="0"/>
            <w:tcMar>
              <w:top w:w="0" w:type="dxa"/>
              <w:left w:w="0" w:type="dxa"/>
              <w:bottom w:w="0" w:type="dxa"/>
              <w:right w:w="0" w:type="dxa"/>
            </w:tcMar>
            <w:vAlign w:val="center"/>
          </w:tcPr>
          <w:p w14:paraId="1A2E426D">
            <w:pPr>
              <w:widowControl/>
              <w:spacing w:line="240" w:lineRule="exact"/>
              <w:jc w:val="both"/>
              <w:textAlignment w:val="center"/>
              <w:rPr>
                <w:rFonts w:hint="eastAsia" w:ascii="宋体" w:hAnsi="宋体" w:eastAsia="宋体" w:cs="宋体"/>
                <w:b w:val="0"/>
                <w:bCs w:val="0"/>
                <w:kern w:val="0"/>
                <w:sz w:val="18"/>
                <w:szCs w:val="18"/>
                <w:highlight w:val="none"/>
                <w:lang w:bidi="ar"/>
              </w:rPr>
            </w:pPr>
          </w:p>
        </w:tc>
        <w:tc>
          <w:tcPr>
            <w:tcW w:w="6027" w:type="dxa"/>
            <w:vMerge w:val="continue"/>
            <w:tcBorders>
              <w:left w:val="single" w:color="auto" w:sz="4" w:space="0"/>
              <w:right w:val="single" w:color="auto" w:sz="4" w:space="0"/>
            </w:tcBorders>
            <w:noWrap w:val="0"/>
            <w:tcMar>
              <w:top w:w="0" w:type="dxa"/>
              <w:left w:w="0" w:type="dxa"/>
              <w:bottom w:w="0" w:type="dxa"/>
              <w:right w:w="0" w:type="dxa"/>
            </w:tcMar>
            <w:vAlign w:val="center"/>
          </w:tcPr>
          <w:p w14:paraId="5518FC94">
            <w:pPr>
              <w:widowControl/>
              <w:spacing w:line="240" w:lineRule="exact"/>
              <w:textAlignment w:val="center"/>
              <w:rPr>
                <w:rFonts w:hint="eastAsia" w:ascii="宋体" w:hAnsi="宋体" w:eastAsia="宋体" w:cs="宋体"/>
                <w:b w:val="0"/>
                <w:bCs w:val="0"/>
                <w:kern w:val="0"/>
                <w:sz w:val="18"/>
                <w:szCs w:val="18"/>
                <w:highlight w:val="none"/>
                <w:lang w:bidi="ar"/>
              </w:rPr>
            </w:pPr>
          </w:p>
        </w:tc>
        <w:tc>
          <w:tcPr>
            <w:tcW w:w="1849" w:type="dxa"/>
            <w:vMerge w:val="continue"/>
            <w:tcBorders>
              <w:left w:val="single" w:color="auto" w:sz="4" w:space="0"/>
              <w:right w:val="single" w:color="auto" w:sz="4" w:space="0"/>
            </w:tcBorders>
            <w:noWrap w:val="0"/>
            <w:tcMar>
              <w:top w:w="0" w:type="dxa"/>
              <w:left w:w="0" w:type="dxa"/>
              <w:bottom w:w="0" w:type="dxa"/>
              <w:right w:w="0" w:type="dxa"/>
            </w:tcMar>
            <w:vAlign w:val="center"/>
          </w:tcPr>
          <w:p w14:paraId="1872789F">
            <w:pPr>
              <w:spacing w:line="240" w:lineRule="exact"/>
              <w:jc w:val="both"/>
              <w:rPr>
                <w:rFonts w:hint="eastAsia" w:ascii="宋体" w:hAnsi="宋体" w:eastAsia="宋体" w:cs="宋体"/>
                <w:b w:val="0"/>
                <w:bCs w:val="0"/>
                <w:kern w:val="0"/>
                <w:sz w:val="18"/>
                <w:szCs w:val="18"/>
                <w:highlight w:val="none"/>
                <w:lang w:bidi="ar"/>
              </w:rPr>
            </w:pPr>
          </w:p>
        </w:tc>
        <w:tc>
          <w:tcPr>
            <w:tcW w:w="51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FBB5440">
            <w:pPr>
              <w:spacing w:line="240" w:lineRule="exact"/>
              <w:jc w:val="center"/>
              <w:rPr>
                <w:rFonts w:hint="eastAsia" w:ascii="宋体" w:hAnsi="宋体" w:eastAsia="宋体" w:cs="宋体"/>
                <w:b w:val="0"/>
                <w:bCs w:val="0"/>
                <w:sz w:val="18"/>
                <w:szCs w:val="18"/>
                <w:highlight w:val="none"/>
              </w:rPr>
            </w:pPr>
            <w:r>
              <w:rPr>
                <w:rFonts w:hint="eastAsia" w:ascii="宋体" w:hAnsi="宋体" w:eastAsia="宋体" w:cs="宋体"/>
                <w:b w:val="0"/>
                <w:bCs w:val="0"/>
                <w:sz w:val="18"/>
                <w:szCs w:val="18"/>
                <w:highlight w:val="none"/>
              </w:rPr>
              <w:t>较轻</w:t>
            </w:r>
          </w:p>
        </w:tc>
        <w:tc>
          <w:tcPr>
            <w:tcW w:w="242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668BF5E">
            <w:pPr>
              <w:spacing w:line="240" w:lineRule="exact"/>
              <w:rPr>
                <w:rFonts w:hint="eastAsia" w:ascii="宋体" w:hAnsi="宋体" w:eastAsia="宋体" w:cs="宋体"/>
                <w:b w:val="0"/>
                <w:bCs w:val="0"/>
                <w:sz w:val="18"/>
                <w:szCs w:val="18"/>
                <w:highlight w:val="none"/>
                <w:lang w:bidi="ar"/>
              </w:rPr>
            </w:pPr>
            <w:r>
              <w:rPr>
                <w:rStyle w:val="21"/>
                <w:rFonts w:hint="eastAsia" w:ascii="宋体" w:hAnsi="宋体" w:eastAsia="宋体" w:cs="宋体"/>
                <w:b w:val="0"/>
                <w:bCs w:val="0"/>
                <w:color w:val="auto"/>
                <w:sz w:val="18"/>
                <w:szCs w:val="18"/>
                <w:highlight w:val="none"/>
                <w:lang w:bidi="ar"/>
              </w:rPr>
              <w:t>对工程安全影响较小，立即停止违法行为，在限期内采取补救措施的</w:t>
            </w:r>
          </w:p>
        </w:tc>
        <w:tc>
          <w:tcPr>
            <w:tcW w:w="1628"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4067979">
            <w:pPr>
              <w:spacing w:line="240" w:lineRule="exact"/>
              <w:rPr>
                <w:rFonts w:hint="eastAsia" w:ascii="宋体" w:hAnsi="宋体" w:eastAsia="宋体" w:cs="宋体"/>
                <w:b w:val="0"/>
                <w:bCs w:val="0"/>
                <w:sz w:val="18"/>
                <w:szCs w:val="18"/>
                <w:highlight w:val="none"/>
                <w:lang w:bidi="ar"/>
              </w:rPr>
            </w:pPr>
            <w:r>
              <w:rPr>
                <w:rStyle w:val="21"/>
                <w:rFonts w:hint="eastAsia" w:ascii="宋体" w:hAnsi="宋体" w:eastAsia="宋体" w:cs="宋体"/>
                <w:b w:val="0"/>
                <w:bCs w:val="0"/>
                <w:color w:val="auto"/>
                <w:sz w:val="18"/>
                <w:szCs w:val="18"/>
                <w:highlight w:val="none"/>
                <w:lang w:bidi="ar"/>
              </w:rPr>
              <w:t>给予警告，处</w:t>
            </w:r>
            <w:r>
              <w:rPr>
                <w:rStyle w:val="21"/>
                <w:rFonts w:hint="eastAsia" w:ascii="宋体" w:hAnsi="宋体" w:eastAsia="宋体" w:cs="宋体"/>
                <w:b w:val="0"/>
                <w:bCs w:val="0"/>
                <w:color w:val="auto"/>
                <w:sz w:val="18"/>
                <w:szCs w:val="18"/>
                <w:highlight w:val="none"/>
                <w:lang w:val="en-US" w:eastAsia="zh-CN" w:bidi="ar"/>
              </w:rPr>
              <w:t>1</w:t>
            </w:r>
            <w:r>
              <w:rPr>
                <w:rStyle w:val="21"/>
                <w:rFonts w:hint="eastAsia" w:ascii="宋体" w:hAnsi="宋体" w:eastAsia="宋体" w:cs="宋体"/>
                <w:b w:val="0"/>
                <w:bCs w:val="0"/>
                <w:color w:val="auto"/>
                <w:sz w:val="18"/>
                <w:szCs w:val="18"/>
                <w:highlight w:val="none"/>
                <w:lang w:bidi="ar"/>
              </w:rPr>
              <w:t>万元以上</w:t>
            </w:r>
            <w:r>
              <w:rPr>
                <w:rStyle w:val="21"/>
                <w:rFonts w:hint="eastAsia" w:ascii="宋体" w:hAnsi="宋体" w:eastAsia="宋体" w:cs="宋体"/>
                <w:b w:val="0"/>
                <w:bCs w:val="0"/>
                <w:color w:val="auto"/>
                <w:sz w:val="18"/>
                <w:szCs w:val="18"/>
                <w:highlight w:val="none"/>
                <w:lang w:val="en-US" w:eastAsia="zh-CN" w:bidi="ar"/>
              </w:rPr>
              <w:t>2</w:t>
            </w:r>
            <w:r>
              <w:rPr>
                <w:rStyle w:val="21"/>
                <w:rFonts w:hint="eastAsia" w:ascii="宋体" w:hAnsi="宋体" w:eastAsia="宋体" w:cs="宋体"/>
                <w:b w:val="0"/>
                <w:bCs w:val="0"/>
                <w:color w:val="auto"/>
                <w:sz w:val="18"/>
                <w:szCs w:val="18"/>
                <w:highlight w:val="none"/>
                <w:lang w:bidi="ar"/>
              </w:rPr>
              <w:t>万元以下罚款</w:t>
            </w:r>
          </w:p>
        </w:tc>
        <w:tc>
          <w:tcPr>
            <w:tcW w:w="739" w:type="dxa"/>
            <w:vMerge w:val="continue"/>
            <w:tcBorders>
              <w:left w:val="single" w:color="auto" w:sz="4" w:space="0"/>
              <w:right w:val="single" w:color="auto" w:sz="4" w:space="0"/>
            </w:tcBorders>
            <w:noWrap w:val="0"/>
            <w:tcMar>
              <w:top w:w="0" w:type="dxa"/>
              <w:left w:w="0" w:type="dxa"/>
              <w:bottom w:w="0" w:type="dxa"/>
              <w:right w:w="0" w:type="dxa"/>
            </w:tcMar>
            <w:vAlign w:val="center"/>
          </w:tcPr>
          <w:p w14:paraId="262F0FF6">
            <w:pPr>
              <w:spacing w:line="240" w:lineRule="exact"/>
              <w:jc w:val="center"/>
              <w:rPr>
                <w:rStyle w:val="21"/>
                <w:rFonts w:hint="eastAsia" w:ascii="宋体" w:hAnsi="宋体" w:eastAsia="宋体" w:cs="宋体"/>
                <w:b w:val="0"/>
                <w:bCs w:val="0"/>
                <w:color w:val="auto"/>
                <w:sz w:val="18"/>
                <w:szCs w:val="18"/>
                <w:lang w:bidi="ar"/>
              </w:rPr>
            </w:pPr>
          </w:p>
        </w:tc>
      </w:tr>
      <w:tr w14:paraId="17886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74" w:type="dxa"/>
            <w:vMerge w:val="continue"/>
            <w:tcBorders>
              <w:left w:val="single" w:color="auto" w:sz="4" w:space="0"/>
              <w:right w:val="single" w:color="auto" w:sz="4" w:space="0"/>
            </w:tcBorders>
            <w:noWrap w:val="0"/>
            <w:tcMar>
              <w:top w:w="0" w:type="dxa"/>
              <w:left w:w="0" w:type="dxa"/>
              <w:bottom w:w="0" w:type="dxa"/>
              <w:right w:w="0" w:type="dxa"/>
            </w:tcMar>
            <w:vAlign w:val="center"/>
          </w:tcPr>
          <w:p w14:paraId="3EEEC0B4">
            <w:pPr>
              <w:widowControl/>
              <w:spacing w:line="240" w:lineRule="exact"/>
              <w:jc w:val="center"/>
              <w:textAlignment w:val="center"/>
              <w:rPr>
                <w:rFonts w:hint="eastAsia" w:ascii="宋体" w:hAnsi="宋体" w:eastAsia="宋体" w:cs="宋体"/>
                <w:b w:val="0"/>
                <w:bCs w:val="0"/>
                <w:sz w:val="18"/>
                <w:szCs w:val="18"/>
              </w:rPr>
            </w:pPr>
          </w:p>
        </w:tc>
        <w:tc>
          <w:tcPr>
            <w:tcW w:w="1236" w:type="dxa"/>
            <w:vMerge w:val="continue"/>
            <w:tcBorders>
              <w:left w:val="single" w:color="auto" w:sz="4" w:space="0"/>
              <w:right w:val="single" w:color="auto" w:sz="4" w:space="0"/>
            </w:tcBorders>
            <w:noWrap w:val="0"/>
            <w:tcMar>
              <w:top w:w="0" w:type="dxa"/>
              <w:left w:w="0" w:type="dxa"/>
              <w:bottom w:w="0" w:type="dxa"/>
              <w:right w:w="0" w:type="dxa"/>
            </w:tcMar>
            <w:vAlign w:val="center"/>
          </w:tcPr>
          <w:p w14:paraId="0E174264">
            <w:pPr>
              <w:widowControl/>
              <w:spacing w:line="240" w:lineRule="exact"/>
              <w:jc w:val="both"/>
              <w:textAlignment w:val="center"/>
              <w:rPr>
                <w:rFonts w:hint="eastAsia" w:ascii="宋体" w:hAnsi="宋体" w:eastAsia="宋体" w:cs="宋体"/>
                <w:b w:val="0"/>
                <w:bCs w:val="0"/>
                <w:kern w:val="0"/>
                <w:sz w:val="18"/>
                <w:szCs w:val="18"/>
                <w:highlight w:val="none"/>
                <w:lang w:bidi="ar"/>
              </w:rPr>
            </w:pPr>
          </w:p>
        </w:tc>
        <w:tc>
          <w:tcPr>
            <w:tcW w:w="6027" w:type="dxa"/>
            <w:vMerge w:val="continue"/>
            <w:tcBorders>
              <w:left w:val="single" w:color="auto" w:sz="4" w:space="0"/>
              <w:right w:val="single" w:color="auto" w:sz="4" w:space="0"/>
            </w:tcBorders>
            <w:noWrap w:val="0"/>
            <w:tcMar>
              <w:top w:w="0" w:type="dxa"/>
              <w:left w:w="0" w:type="dxa"/>
              <w:bottom w:w="0" w:type="dxa"/>
              <w:right w:w="0" w:type="dxa"/>
            </w:tcMar>
            <w:vAlign w:val="center"/>
          </w:tcPr>
          <w:p w14:paraId="34579611">
            <w:pPr>
              <w:widowControl/>
              <w:spacing w:line="240" w:lineRule="exact"/>
              <w:textAlignment w:val="center"/>
              <w:rPr>
                <w:rFonts w:hint="eastAsia" w:ascii="宋体" w:hAnsi="宋体" w:eastAsia="宋体" w:cs="宋体"/>
                <w:b w:val="0"/>
                <w:bCs w:val="0"/>
                <w:kern w:val="0"/>
                <w:sz w:val="18"/>
                <w:szCs w:val="18"/>
                <w:highlight w:val="none"/>
                <w:lang w:bidi="ar"/>
              </w:rPr>
            </w:pPr>
          </w:p>
        </w:tc>
        <w:tc>
          <w:tcPr>
            <w:tcW w:w="1849" w:type="dxa"/>
            <w:vMerge w:val="continue"/>
            <w:tcBorders>
              <w:left w:val="single" w:color="auto" w:sz="4" w:space="0"/>
              <w:right w:val="single" w:color="auto" w:sz="4" w:space="0"/>
            </w:tcBorders>
            <w:noWrap w:val="0"/>
            <w:tcMar>
              <w:top w:w="0" w:type="dxa"/>
              <w:left w:w="0" w:type="dxa"/>
              <w:bottom w:w="0" w:type="dxa"/>
              <w:right w:w="0" w:type="dxa"/>
            </w:tcMar>
            <w:vAlign w:val="center"/>
          </w:tcPr>
          <w:p w14:paraId="7AB3F2B5">
            <w:pPr>
              <w:spacing w:line="240" w:lineRule="exact"/>
              <w:jc w:val="both"/>
              <w:rPr>
                <w:rFonts w:hint="eastAsia" w:ascii="宋体" w:hAnsi="宋体" w:eastAsia="宋体" w:cs="宋体"/>
                <w:b w:val="0"/>
                <w:bCs w:val="0"/>
                <w:kern w:val="0"/>
                <w:sz w:val="18"/>
                <w:szCs w:val="18"/>
                <w:highlight w:val="none"/>
                <w:lang w:bidi="ar"/>
              </w:rPr>
            </w:pPr>
          </w:p>
        </w:tc>
        <w:tc>
          <w:tcPr>
            <w:tcW w:w="51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602BF6F">
            <w:pPr>
              <w:spacing w:line="240" w:lineRule="exact"/>
              <w:jc w:val="center"/>
              <w:rPr>
                <w:rFonts w:hint="eastAsia" w:ascii="宋体" w:hAnsi="宋体" w:eastAsia="宋体" w:cs="宋体"/>
                <w:b w:val="0"/>
                <w:bCs w:val="0"/>
                <w:sz w:val="18"/>
                <w:szCs w:val="18"/>
                <w:highlight w:val="none"/>
              </w:rPr>
            </w:pPr>
            <w:r>
              <w:rPr>
                <w:rFonts w:hint="eastAsia" w:ascii="宋体" w:hAnsi="宋体" w:eastAsia="宋体" w:cs="宋体"/>
                <w:b w:val="0"/>
                <w:bCs w:val="0"/>
                <w:sz w:val="18"/>
                <w:szCs w:val="18"/>
                <w:highlight w:val="none"/>
              </w:rPr>
              <w:t>一般</w:t>
            </w:r>
          </w:p>
        </w:tc>
        <w:tc>
          <w:tcPr>
            <w:tcW w:w="242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3C8E6E7">
            <w:pPr>
              <w:spacing w:line="240" w:lineRule="exact"/>
              <w:rPr>
                <w:rFonts w:hint="eastAsia" w:ascii="宋体" w:hAnsi="宋体" w:eastAsia="宋体" w:cs="宋体"/>
                <w:b w:val="0"/>
                <w:bCs w:val="0"/>
                <w:sz w:val="18"/>
                <w:szCs w:val="18"/>
                <w:highlight w:val="none"/>
                <w:lang w:bidi="ar"/>
              </w:rPr>
            </w:pPr>
            <w:r>
              <w:rPr>
                <w:rStyle w:val="21"/>
                <w:rFonts w:hint="eastAsia" w:ascii="宋体" w:hAnsi="宋体" w:eastAsia="宋体" w:cs="宋体"/>
                <w:b w:val="0"/>
                <w:bCs w:val="0"/>
                <w:color w:val="auto"/>
                <w:sz w:val="18"/>
                <w:szCs w:val="18"/>
                <w:highlight w:val="none"/>
                <w:lang w:bidi="ar"/>
              </w:rPr>
              <w:t>对工程安全影响较小的，立即停止违法行为，但未在限期内采取补救措施的</w:t>
            </w:r>
          </w:p>
        </w:tc>
        <w:tc>
          <w:tcPr>
            <w:tcW w:w="1628"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2E889B6">
            <w:pPr>
              <w:spacing w:line="240" w:lineRule="exact"/>
              <w:rPr>
                <w:rFonts w:hint="eastAsia" w:ascii="宋体" w:hAnsi="宋体" w:eastAsia="宋体" w:cs="宋体"/>
                <w:b w:val="0"/>
                <w:bCs w:val="0"/>
                <w:sz w:val="18"/>
                <w:szCs w:val="18"/>
                <w:highlight w:val="none"/>
                <w:lang w:bidi="ar"/>
              </w:rPr>
            </w:pPr>
            <w:r>
              <w:rPr>
                <w:rStyle w:val="21"/>
                <w:rFonts w:hint="eastAsia" w:ascii="宋体" w:hAnsi="宋体" w:eastAsia="宋体" w:cs="宋体"/>
                <w:b w:val="0"/>
                <w:bCs w:val="0"/>
                <w:color w:val="auto"/>
                <w:sz w:val="18"/>
                <w:szCs w:val="18"/>
                <w:highlight w:val="none"/>
                <w:lang w:bidi="ar"/>
              </w:rPr>
              <w:t>给予警告，处</w:t>
            </w:r>
            <w:r>
              <w:rPr>
                <w:rStyle w:val="21"/>
                <w:rFonts w:hint="eastAsia" w:ascii="宋体" w:hAnsi="宋体" w:eastAsia="宋体" w:cs="宋体"/>
                <w:b w:val="0"/>
                <w:bCs w:val="0"/>
                <w:color w:val="auto"/>
                <w:sz w:val="18"/>
                <w:szCs w:val="18"/>
                <w:highlight w:val="none"/>
                <w:lang w:val="en-US" w:eastAsia="zh-CN" w:bidi="ar"/>
              </w:rPr>
              <w:t>2</w:t>
            </w:r>
            <w:r>
              <w:rPr>
                <w:rStyle w:val="21"/>
                <w:rFonts w:hint="eastAsia" w:ascii="宋体" w:hAnsi="宋体" w:eastAsia="宋体" w:cs="宋体"/>
                <w:b w:val="0"/>
                <w:bCs w:val="0"/>
                <w:color w:val="auto"/>
                <w:sz w:val="18"/>
                <w:szCs w:val="18"/>
                <w:highlight w:val="none"/>
                <w:lang w:bidi="ar"/>
              </w:rPr>
              <w:t>万元以上</w:t>
            </w:r>
            <w:r>
              <w:rPr>
                <w:rStyle w:val="21"/>
                <w:rFonts w:hint="eastAsia" w:ascii="宋体" w:hAnsi="宋体" w:eastAsia="宋体" w:cs="宋体"/>
                <w:b w:val="0"/>
                <w:bCs w:val="0"/>
                <w:color w:val="auto"/>
                <w:sz w:val="18"/>
                <w:szCs w:val="18"/>
                <w:highlight w:val="none"/>
                <w:lang w:val="en-US" w:eastAsia="zh-CN" w:bidi="ar"/>
              </w:rPr>
              <w:t>3</w:t>
            </w:r>
            <w:r>
              <w:rPr>
                <w:rStyle w:val="21"/>
                <w:rFonts w:hint="eastAsia" w:ascii="宋体" w:hAnsi="宋体" w:eastAsia="宋体" w:cs="宋体"/>
                <w:b w:val="0"/>
                <w:bCs w:val="0"/>
                <w:color w:val="auto"/>
                <w:sz w:val="18"/>
                <w:szCs w:val="18"/>
                <w:highlight w:val="none"/>
                <w:lang w:bidi="ar"/>
              </w:rPr>
              <w:t>万元以下的罚款</w:t>
            </w:r>
          </w:p>
        </w:tc>
        <w:tc>
          <w:tcPr>
            <w:tcW w:w="739" w:type="dxa"/>
            <w:vMerge w:val="continue"/>
            <w:tcBorders>
              <w:left w:val="single" w:color="auto" w:sz="4" w:space="0"/>
              <w:right w:val="single" w:color="auto" w:sz="4" w:space="0"/>
            </w:tcBorders>
            <w:noWrap w:val="0"/>
            <w:tcMar>
              <w:top w:w="0" w:type="dxa"/>
              <w:left w:w="0" w:type="dxa"/>
              <w:bottom w:w="0" w:type="dxa"/>
              <w:right w:w="0" w:type="dxa"/>
            </w:tcMar>
            <w:vAlign w:val="center"/>
          </w:tcPr>
          <w:p w14:paraId="18DD230C">
            <w:pPr>
              <w:spacing w:line="240" w:lineRule="exact"/>
              <w:jc w:val="center"/>
              <w:rPr>
                <w:rStyle w:val="21"/>
                <w:rFonts w:hint="eastAsia" w:ascii="宋体" w:hAnsi="宋体" w:eastAsia="宋体" w:cs="宋体"/>
                <w:b w:val="0"/>
                <w:bCs w:val="0"/>
                <w:color w:val="auto"/>
                <w:sz w:val="18"/>
                <w:szCs w:val="18"/>
                <w:lang w:bidi="ar"/>
              </w:rPr>
            </w:pPr>
          </w:p>
        </w:tc>
      </w:tr>
      <w:tr w14:paraId="329C13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74" w:type="dxa"/>
            <w:vMerge w:val="continue"/>
            <w:tcBorders>
              <w:left w:val="single" w:color="auto" w:sz="4" w:space="0"/>
              <w:right w:val="single" w:color="auto" w:sz="4" w:space="0"/>
            </w:tcBorders>
            <w:noWrap w:val="0"/>
            <w:tcMar>
              <w:top w:w="0" w:type="dxa"/>
              <w:left w:w="0" w:type="dxa"/>
              <w:bottom w:w="0" w:type="dxa"/>
              <w:right w:w="0" w:type="dxa"/>
            </w:tcMar>
            <w:vAlign w:val="center"/>
          </w:tcPr>
          <w:p w14:paraId="5BAE0F9B">
            <w:pPr>
              <w:widowControl/>
              <w:spacing w:line="240" w:lineRule="exact"/>
              <w:jc w:val="center"/>
              <w:textAlignment w:val="center"/>
              <w:rPr>
                <w:rFonts w:hint="eastAsia" w:ascii="宋体" w:hAnsi="宋体" w:eastAsia="宋体" w:cs="宋体"/>
                <w:b w:val="0"/>
                <w:bCs w:val="0"/>
                <w:sz w:val="18"/>
                <w:szCs w:val="18"/>
              </w:rPr>
            </w:pPr>
          </w:p>
        </w:tc>
        <w:tc>
          <w:tcPr>
            <w:tcW w:w="1236" w:type="dxa"/>
            <w:vMerge w:val="continue"/>
            <w:tcBorders>
              <w:left w:val="single" w:color="auto" w:sz="4" w:space="0"/>
              <w:right w:val="single" w:color="auto" w:sz="4" w:space="0"/>
            </w:tcBorders>
            <w:noWrap w:val="0"/>
            <w:tcMar>
              <w:top w:w="0" w:type="dxa"/>
              <w:left w:w="0" w:type="dxa"/>
              <w:bottom w:w="0" w:type="dxa"/>
              <w:right w:w="0" w:type="dxa"/>
            </w:tcMar>
            <w:vAlign w:val="center"/>
          </w:tcPr>
          <w:p w14:paraId="246DFA25">
            <w:pPr>
              <w:widowControl/>
              <w:spacing w:line="240" w:lineRule="exact"/>
              <w:jc w:val="both"/>
              <w:textAlignment w:val="center"/>
              <w:rPr>
                <w:rFonts w:hint="eastAsia" w:ascii="宋体" w:hAnsi="宋体" w:eastAsia="宋体" w:cs="宋体"/>
                <w:b w:val="0"/>
                <w:bCs w:val="0"/>
                <w:kern w:val="0"/>
                <w:sz w:val="18"/>
                <w:szCs w:val="18"/>
                <w:highlight w:val="none"/>
                <w:lang w:bidi="ar"/>
              </w:rPr>
            </w:pPr>
          </w:p>
        </w:tc>
        <w:tc>
          <w:tcPr>
            <w:tcW w:w="6027" w:type="dxa"/>
            <w:vMerge w:val="continue"/>
            <w:tcBorders>
              <w:left w:val="single" w:color="auto" w:sz="4" w:space="0"/>
              <w:right w:val="single" w:color="auto" w:sz="4" w:space="0"/>
            </w:tcBorders>
            <w:noWrap w:val="0"/>
            <w:tcMar>
              <w:top w:w="0" w:type="dxa"/>
              <w:left w:w="0" w:type="dxa"/>
              <w:bottom w:w="0" w:type="dxa"/>
              <w:right w:w="0" w:type="dxa"/>
            </w:tcMar>
            <w:vAlign w:val="center"/>
          </w:tcPr>
          <w:p w14:paraId="4C1FAED1">
            <w:pPr>
              <w:widowControl/>
              <w:spacing w:line="240" w:lineRule="exact"/>
              <w:textAlignment w:val="center"/>
              <w:rPr>
                <w:rFonts w:hint="eastAsia" w:ascii="宋体" w:hAnsi="宋体" w:eastAsia="宋体" w:cs="宋体"/>
                <w:b w:val="0"/>
                <w:bCs w:val="0"/>
                <w:kern w:val="0"/>
                <w:sz w:val="18"/>
                <w:szCs w:val="18"/>
                <w:highlight w:val="none"/>
                <w:lang w:bidi="ar"/>
              </w:rPr>
            </w:pPr>
          </w:p>
        </w:tc>
        <w:tc>
          <w:tcPr>
            <w:tcW w:w="1849" w:type="dxa"/>
            <w:vMerge w:val="continue"/>
            <w:tcBorders>
              <w:left w:val="single" w:color="auto" w:sz="4" w:space="0"/>
              <w:right w:val="single" w:color="auto" w:sz="4" w:space="0"/>
            </w:tcBorders>
            <w:noWrap w:val="0"/>
            <w:tcMar>
              <w:top w:w="0" w:type="dxa"/>
              <w:left w:w="0" w:type="dxa"/>
              <w:bottom w:w="0" w:type="dxa"/>
              <w:right w:w="0" w:type="dxa"/>
            </w:tcMar>
            <w:vAlign w:val="center"/>
          </w:tcPr>
          <w:p w14:paraId="609EA2A5">
            <w:pPr>
              <w:spacing w:line="240" w:lineRule="exact"/>
              <w:jc w:val="both"/>
              <w:rPr>
                <w:rFonts w:hint="eastAsia" w:ascii="宋体" w:hAnsi="宋体" w:eastAsia="宋体" w:cs="宋体"/>
                <w:b w:val="0"/>
                <w:bCs w:val="0"/>
                <w:kern w:val="0"/>
                <w:sz w:val="18"/>
                <w:szCs w:val="18"/>
                <w:highlight w:val="none"/>
                <w:lang w:bidi="ar"/>
              </w:rPr>
            </w:pPr>
          </w:p>
        </w:tc>
        <w:tc>
          <w:tcPr>
            <w:tcW w:w="51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880D35B">
            <w:pPr>
              <w:spacing w:line="240" w:lineRule="exact"/>
              <w:jc w:val="center"/>
              <w:rPr>
                <w:rFonts w:hint="eastAsia" w:ascii="宋体" w:hAnsi="宋体" w:eastAsia="宋体" w:cs="宋体"/>
                <w:b w:val="0"/>
                <w:bCs w:val="0"/>
                <w:sz w:val="18"/>
                <w:szCs w:val="18"/>
                <w:highlight w:val="none"/>
                <w:lang w:eastAsia="zh-CN"/>
              </w:rPr>
            </w:pPr>
            <w:r>
              <w:rPr>
                <w:rFonts w:hint="eastAsia" w:ascii="宋体" w:hAnsi="宋体" w:eastAsia="宋体" w:cs="宋体"/>
                <w:b w:val="0"/>
                <w:bCs w:val="0"/>
                <w:sz w:val="18"/>
                <w:szCs w:val="18"/>
                <w:highlight w:val="none"/>
                <w:lang w:eastAsia="zh-CN"/>
              </w:rPr>
              <w:t>较重</w:t>
            </w:r>
          </w:p>
        </w:tc>
        <w:tc>
          <w:tcPr>
            <w:tcW w:w="242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31F584D">
            <w:pPr>
              <w:spacing w:line="240" w:lineRule="exact"/>
              <w:rPr>
                <w:rFonts w:hint="eastAsia" w:ascii="宋体" w:hAnsi="宋体" w:eastAsia="宋体" w:cs="宋体"/>
                <w:b w:val="0"/>
                <w:bCs w:val="0"/>
                <w:sz w:val="18"/>
                <w:szCs w:val="18"/>
                <w:highlight w:val="none"/>
                <w:lang w:bidi="ar"/>
              </w:rPr>
            </w:pPr>
            <w:r>
              <w:rPr>
                <w:rStyle w:val="21"/>
                <w:rFonts w:hint="eastAsia" w:ascii="宋体" w:hAnsi="宋体" w:eastAsia="宋体" w:cs="宋体"/>
                <w:b w:val="0"/>
                <w:bCs w:val="0"/>
                <w:color w:val="auto"/>
                <w:sz w:val="18"/>
                <w:szCs w:val="18"/>
                <w:highlight w:val="none"/>
                <w:lang w:bidi="ar"/>
              </w:rPr>
              <w:t>对工程安全影响较大的，或者未在限期内停止违法行为，不采取补救措施的</w:t>
            </w:r>
          </w:p>
        </w:tc>
        <w:tc>
          <w:tcPr>
            <w:tcW w:w="1628"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EDDD29A">
            <w:pPr>
              <w:spacing w:line="240" w:lineRule="exact"/>
              <w:rPr>
                <w:rFonts w:hint="eastAsia" w:ascii="宋体" w:hAnsi="宋体" w:eastAsia="宋体" w:cs="宋体"/>
                <w:b w:val="0"/>
                <w:bCs w:val="0"/>
                <w:sz w:val="18"/>
                <w:szCs w:val="18"/>
                <w:highlight w:val="none"/>
                <w:lang w:bidi="ar"/>
              </w:rPr>
            </w:pPr>
            <w:r>
              <w:rPr>
                <w:rStyle w:val="21"/>
                <w:rFonts w:hint="eastAsia" w:ascii="宋体" w:hAnsi="宋体" w:eastAsia="宋体" w:cs="宋体"/>
                <w:b w:val="0"/>
                <w:bCs w:val="0"/>
                <w:color w:val="auto"/>
                <w:sz w:val="18"/>
                <w:szCs w:val="18"/>
                <w:highlight w:val="none"/>
                <w:lang w:bidi="ar"/>
              </w:rPr>
              <w:t>给予警告，处</w:t>
            </w:r>
            <w:r>
              <w:rPr>
                <w:rStyle w:val="21"/>
                <w:rFonts w:hint="eastAsia" w:ascii="宋体" w:hAnsi="宋体" w:eastAsia="宋体" w:cs="宋体"/>
                <w:b w:val="0"/>
                <w:bCs w:val="0"/>
                <w:color w:val="auto"/>
                <w:sz w:val="18"/>
                <w:szCs w:val="18"/>
                <w:highlight w:val="none"/>
                <w:lang w:val="en-US" w:eastAsia="zh-CN" w:bidi="ar"/>
              </w:rPr>
              <w:t>3</w:t>
            </w:r>
            <w:r>
              <w:rPr>
                <w:rStyle w:val="21"/>
                <w:rFonts w:hint="eastAsia" w:ascii="宋体" w:hAnsi="宋体" w:eastAsia="宋体" w:cs="宋体"/>
                <w:b w:val="0"/>
                <w:bCs w:val="0"/>
                <w:color w:val="auto"/>
                <w:sz w:val="18"/>
                <w:szCs w:val="18"/>
                <w:highlight w:val="none"/>
                <w:lang w:bidi="ar"/>
              </w:rPr>
              <w:t>万元以上</w:t>
            </w:r>
            <w:r>
              <w:rPr>
                <w:rStyle w:val="21"/>
                <w:rFonts w:hint="eastAsia" w:ascii="宋体" w:hAnsi="宋体" w:eastAsia="宋体" w:cs="宋体"/>
                <w:b w:val="0"/>
                <w:bCs w:val="0"/>
                <w:color w:val="auto"/>
                <w:sz w:val="18"/>
                <w:szCs w:val="18"/>
                <w:highlight w:val="none"/>
                <w:lang w:val="en-US" w:eastAsia="zh-CN" w:bidi="ar"/>
              </w:rPr>
              <w:t>4</w:t>
            </w:r>
            <w:r>
              <w:rPr>
                <w:rStyle w:val="21"/>
                <w:rFonts w:hint="eastAsia" w:ascii="宋体" w:hAnsi="宋体" w:eastAsia="宋体" w:cs="宋体"/>
                <w:b w:val="0"/>
                <w:bCs w:val="0"/>
                <w:color w:val="auto"/>
                <w:sz w:val="18"/>
                <w:szCs w:val="18"/>
                <w:highlight w:val="none"/>
                <w:lang w:bidi="ar"/>
              </w:rPr>
              <w:t>万元以下的罚款</w:t>
            </w:r>
          </w:p>
        </w:tc>
        <w:tc>
          <w:tcPr>
            <w:tcW w:w="739" w:type="dxa"/>
            <w:vMerge w:val="continue"/>
            <w:tcBorders>
              <w:left w:val="single" w:color="auto" w:sz="4" w:space="0"/>
              <w:right w:val="single" w:color="auto" w:sz="4" w:space="0"/>
            </w:tcBorders>
            <w:noWrap w:val="0"/>
            <w:tcMar>
              <w:top w:w="0" w:type="dxa"/>
              <w:left w:w="0" w:type="dxa"/>
              <w:bottom w:w="0" w:type="dxa"/>
              <w:right w:w="0" w:type="dxa"/>
            </w:tcMar>
            <w:vAlign w:val="center"/>
          </w:tcPr>
          <w:p w14:paraId="419F6ED6">
            <w:pPr>
              <w:spacing w:line="240" w:lineRule="exact"/>
              <w:jc w:val="center"/>
              <w:rPr>
                <w:rStyle w:val="21"/>
                <w:rFonts w:hint="eastAsia" w:ascii="宋体" w:hAnsi="宋体" w:eastAsia="宋体" w:cs="宋体"/>
                <w:b w:val="0"/>
                <w:bCs w:val="0"/>
                <w:color w:val="auto"/>
                <w:sz w:val="18"/>
                <w:szCs w:val="18"/>
                <w:lang w:bidi="ar"/>
              </w:rPr>
            </w:pPr>
          </w:p>
        </w:tc>
      </w:tr>
      <w:tr w14:paraId="4F9DFA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74" w:type="dxa"/>
            <w:vMerge w:val="continue"/>
            <w:tcBorders>
              <w:left w:val="single" w:color="auto" w:sz="4" w:space="0"/>
              <w:right w:val="single" w:color="auto" w:sz="4" w:space="0"/>
            </w:tcBorders>
            <w:noWrap w:val="0"/>
            <w:tcMar>
              <w:top w:w="0" w:type="dxa"/>
              <w:left w:w="0" w:type="dxa"/>
              <w:bottom w:w="0" w:type="dxa"/>
              <w:right w:w="0" w:type="dxa"/>
            </w:tcMar>
            <w:vAlign w:val="center"/>
          </w:tcPr>
          <w:p w14:paraId="1B26B527">
            <w:pPr>
              <w:widowControl/>
              <w:spacing w:line="240" w:lineRule="exact"/>
              <w:jc w:val="center"/>
              <w:textAlignment w:val="center"/>
              <w:rPr>
                <w:rFonts w:hint="eastAsia" w:ascii="宋体" w:hAnsi="宋体" w:eastAsia="宋体" w:cs="宋体"/>
                <w:b w:val="0"/>
                <w:bCs w:val="0"/>
                <w:sz w:val="18"/>
                <w:szCs w:val="18"/>
              </w:rPr>
            </w:pPr>
          </w:p>
        </w:tc>
        <w:tc>
          <w:tcPr>
            <w:tcW w:w="1236" w:type="dxa"/>
            <w:vMerge w:val="continue"/>
            <w:tcBorders>
              <w:left w:val="single" w:color="auto" w:sz="4" w:space="0"/>
              <w:right w:val="single" w:color="auto" w:sz="4" w:space="0"/>
            </w:tcBorders>
            <w:noWrap w:val="0"/>
            <w:tcMar>
              <w:top w:w="0" w:type="dxa"/>
              <w:left w:w="0" w:type="dxa"/>
              <w:bottom w:w="0" w:type="dxa"/>
              <w:right w:w="0" w:type="dxa"/>
            </w:tcMar>
            <w:vAlign w:val="center"/>
          </w:tcPr>
          <w:p w14:paraId="4A2FEAF3">
            <w:pPr>
              <w:widowControl/>
              <w:spacing w:line="240" w:lineRule="exact"/>
              <w:jc w:val="both"/>
              <w:textAlignment w:val="center"/>
              <w:rPr>
                <w:rFonts w:hint="eastAsia" w:ascii="宋体" w:hAnsi="宋体" w:eastAsia="宋体" w:cs="宋体"/>
                <w:b w:val="0"/>
                <w:bCs w:val="0"/>
                <w:kern w:val="0"/>
                <w:sz w:val="18"/>
                <w:szCs w:val="18"/>
                <w:highlight w:val="none"/>
                <w:lang w:bidi="ar"/>
              </w:rPr>
            </w:pPr>
          </w:p>
        </w:tc>
        <w:tc>
          <w:tcPr>
            <w:tcW w:w="6027" w:type="dxa"/>
            <w:vMerge w:val="continue"/>
            <w:tcBorders>
              <w:left w:val="single" w:color="auto" w:sz="4" w:space="0"/>
              <w:right w:val="single" w:color="auto" w:sz="4" w:space="0"/>
            </w:tcBorders>
            <w:noWrap w:val="0"/>
            <w:tcMar>
              <w:top w:w="0" w:type="dxa"/>
              <w:left w:w="0" w:type="dxa"/>
              <w:bottom w:w="0" w:type="dxa"/>
              <w:right w:w="0" w:type="dxa"/>
            </w:tcMar>
            <w:vAlign w:val="center"/>
          </w:tcPr>
          <w:p w14:paraId="40AD7198">
            <w:pPr>
              <w:widowControl/>
              <w:spacing w:line="240" w:lineRule="exact"/>
              <w:textAlignment w:val="center"/>
              <w:rPr>
                <w:rFonts w:hint="eastAsia" w:ascii="宋体" w:hAnsi="宋体" w:eastAsia="宋体" w:cs="宋体"/>
                <w:b w:val="0"/>
                <w:bCs w:val="0"/>
                <w:kern w:val="0"/>
                <w:sz w:val="18"/>
                <w:szCs w:val="18"/>
                <w:highlight w:val="none"/>
                <w:lang w:bidi="ar"/>
              </w:rPr>
            </w:pPr>
          </w:p>
        </w:tc>
        <w:tc>
          <w:tcPr>
            <w:tcW w:w="1849" w:type="dxa"/>
            <w:vMerge w:val="continue"/>
            <w:tcBorders>
              <w:left w:val="single" w:color="auto" w:sz="4" w:space="0"/>
              <w:right w:val="single" w:color="auto" w:sz="4" w:space="0"/>
            </w:tcBorders>
            <w:noWrap w:val="0"/>
            <w:tcMar>
              <w:top w:w="0" w:type="dxa"/>
              <w:left w:w="0" w:type="dxa"/>
              <w:bottom w:w="0" w:type="dxa"/>
              <w:right w:w="0" w:type="dxa"/>
            </w:tcMar>
            <w:vAlign w:val="center"/>
          </w:tcPr>
          <w:p w14:paraId="435B452D">
            <w:pPr>
              <w:spacing w:line="240" w:lineRule="exact"/>
              <w:jc w:val="both"/>
              <w:rPr>
                <w:rFonts w:hint="eastAsia" w:ascii="宋体" w:hAnsi="宋体" w:eastAsia="宋体" w:cs="宋体"/>
                <w:b w:val="0"/>
                <w:bCs w:val="0"/>
                <w:kern w:val="0"/>
                <w:sz w:val="18"/>
                <w:szCs w:val="18"/>
                <w:highlight w:val="none"/>
                <w:lang w:bidi="ar"/>
              </w:rPr>
            </w:pPr>
          </w:p>
        </w:tc>
        <w:tc>
          <w:tcPr>
            <w:tcW w:w="51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09928D5">
            <w:pPr>
              <w:spacing w:line="240" w:lineRule="exact"/>
              <w:jc w:val="center"/>
              <w:rPr>
                <w:rFonts w:hint="eastAsia" w:ascii="宋体" w:hAnsi="宋体" w:eastAsia="宋体" w:cs="宋体"/>
                <w:b w:val="0"/>
                <w:bCs w:val="0"/>
                <w:sz w:val="18"/>
                <w:szCs w:val="18"/>
                <w:highlight w:val="none"/>
              </w:rPr>
            </w:pPr>
            <w:r>
              <w:rPr>
                <w:rFonts w:hint="eastAsia" w:ascii="宋体" w:hAnsi="宋体" w:eastAsia="宋体" w:cs="宋体"/>
                <w:b w:val="0"/>
                <w:bCs w:val="0"/>
                <w:sz w:val="18"/>
                <w:szCs w:val="18"/>
                <w:highlight w:val="none"/>
              </w:rPr>
              <w:t>严重</w:t>
            </w:r>
          </w:p>
        </w:tc>
        <w:tc>
          <w:tcPr>
            <w:tcW w:w="242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F4A7DBA">
            <w:pPr>
              <w:spacing w:line="240" w:lineRule="exact"/>
              <w:rPr>
                <w:rFonts w:hint="eastAsia" w:ascii="宋体" w:hAnsi="宋体" w:eastAsia="宋体" w:cs="宋体"/>
                <w:b w:val="0"/>
                <w:bCs w:val="0"/>
                <w:sz w:val="18"/>
                <w:szCs w:val="18"/>
                <w:highlight w:val="none"/>
                <w:lang w:bidi="ar"/>
              </w:rPr>
            </w:pPr>
            <w:r>
              <w:rPr>
                <w:rStyle w:val="21"/>
                <w:rFonts w:hint="eastAsia" w:ascii="宋体" w:hAnsi="宋体" w:eastAsia="宋体" w:cs="宋体"/>
                <w:b w:val="0"/>
                <w:bCs w:val="0"/>
                <w:color w:val="auto"/>
                <w:sz w:val="18"/>
                <w:szCs w:val="18"/>
                <w:highlight w:val="none"/>
                <w:lang w:bidi="ar"/>
              </w:rPr>
              <w:t>对工程安全影响严重的，或者拒不停止违法行为，不采取补救措施的</w:t>
            </w:r>
          </w:p>
        </w:tc>
        <w:tc>
          <w:tcPr>
            <w:tcW w:w="1628"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2097228">
            <w:pPr>
              <w:spacing w:line="240" w:lineRule="exact"/>
              <w:rPr>
                <w:rFonts w:hint="eastAsia" w:ascii="宋体" w:hAnsi="宋体" w:eastAsia="宋体" w:cs="宋体"/>
                <w:b w:val="0"/>
                <w:bCs w:val="0"/>
                <w:sz w:val="18"/>
                <w:szCs w:val="18"/>
                <w:highlight w:val="none"/>
                <w:lang w:bidi="ar"/>
              </w:rPr>
            </w:pPr>
            <w:r>
              <w:rPr>
                <w:rStyle w:val="21"/>
                <w:rFonts w:hint="eastAsia" w:ascii="宋体" w:hAnsi="宋体" w:eastAsia="宋体" w:cs="宋体"/>
                <w:b w:val="0"/>
                <w:bCs w:val="0"/>
                <w:color w:val="auto"/>
                <w:sz w:val="18"/>
                <w:szCs w:val="18"/>
                <w:highlight w:val="none"/>
                <w:lang w:bidi="ar"/>
              </w:rPr>
              <w:t>给予警告，处</w:t>
            </w:r>
            <w:r>
              <w:rPr>
                <w:rStyle w:val="21"/>
                <w:rFonts w:hint="eastAsia" w:ascii="宋体" w:hAnsi="宋体" w:eastAsia="宋体" w:cs="宋体"/>
                <w:b w:val="0"/>
                <w:bCs w:val="0"/>
                <w:color w:val="auto"/>
                <w:sz w:val="18"/>
                <w:szCs w:val="18"/>
                <w:highlight w:val="none"/>
                <w:lang w:val="en-US" w:eastAsia="zh-CN" w:bidi="ar"/>
              </w:rPr>
              <w:t>4</w:t>
            </w:r>
            <w:r>
              <w:rPr>
                <w:rStyle w:val="21"/>
                <w:rFonts w:hint="eastAsia" w:ascii="宋体" w:hAnsi="宋体" w:eastAsia="宋体" w:cs="宋体"/>
                <w:b w:val="0"/>
                <w:bCs w:val="0"/>
                <w:color w:val="auto"/>
                <w:sz w:val="18"/>
                <w:szCs w:val="18"/>
                <w:highlight w:val="none"/>
                <w:lang w:bidi="ar"/>
              </w:rPr>
              <w:t>万元以上</w:t>
            </w:r>
            <w:r>
              <w:rPr>
                <w:rStyle w:val="21"/>
                <w:rFonts w:hint="eastAsia" w:ascii="宋体" w:hAnsi="宋体" w:eastAsia="宋体" w:cs="宋体"/>
                <w:b w:val="0"/>
                <w:bCs w:val="0"/>
                <w:color w:val="auto"/>
                <w:sz w:val="18"/>
                <w:szCs w:val="18"/>
                <w:highlight w:val="none"/>
                <w:lang w:val="en-US" w:eastAsia="zh-CN" w:bidi="ar"/>
              </w:rPr>
              <w:t>5</w:t>
            </w:r>
            <w:r>
              <w:rPr>
                <w:rStyle w:val="21"/>
                <w:rFonts w:hint="eastAsia" w:ascii="宋体" w:hAnsi="宋体" w:eastAsia="宋体" w:cs="宋体"/>
                <w:b w:val="0"/>
                <w:bCs w:val="0"/>
                <w:color w:val="auto"/>
                <w:sz w:val="18"/>
                <w:szCs w:val="18"/>
                <w:highlight w:val="none"/>
                <w:lang w:bidi="ar"/>
              </w:rPr>
              <w:t>万元以下罚款</w:t>
            </w:r>
          </w:p>
        </w:tc>
        <w:tc>
          <w:tcPr>
            <w:tcW w:w="739" w:type="dxa"/>
            <w:vMerge w:val="continue"/>
            <w:tcBorders>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D9FDC55">
            <w:pPr>
              <w:spacing w:line="240" w:lineRule="exact"/>
              <w:jc w:val="center"/>
              <w:rPr>
                <w:rStyle w:val="21"/>
                <w:rFonts w:hint="eastAsia" w:ascii="宋体" w:hAnsi="宋体" w:eastAsia="宋体" w:cs="宋体"/>
                <w:b w:val="0"/>
                <w:bCs w:val="0"/>
                <w:color w:val="auto"/>
                <w:sz w:val="18"/>
                <w:szCs w:val="18"/>
                <w:lang w:bidi="ar"/>
              </w:rPr>
            </w:pPr>
          </w:p>
        </w:tc>
      </w:tr>
      <w:tr w14:paraId="794256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74" w:type="dxa"/>
            <w:vMerge w:val="continue"/>
            <w:tcBorders>
              <w:left w:val="single" w:color="auto" w:sz="4" w:space="0"/>
              <w:right w:val="single" w:color="auto" w:sz="4" w:space="0"/>
            </w:tcBorders>
            <w:noWrap w:val="0"/>
            <w:tcMar>
              <w:top w:w="0" w:type="dxa"/>
              <w:left w:w="0" w:type="dxa"/>
              <w:bottom w:w="0" w:type="dxa"/>
              <w:right w:w="0" w:type="dxa"/>
            </w:tcMar>
            <w:vAlign w:val="center"/>
          </w:tcPr>
          <w:p w14:paraId="4D829E96">
            <w:pPr>
              <w:widowControl/>
              <w:spacing w:line="240" w:lineRule="exact"/>
              <w:jc w:val="center"/>
              <w:textAlignment w:val="center"/>
              <w:rPr>
                <w:rFonts w:hint="eastAsia" w:ascii="宋体" w:hAnsi="宋体" w:eastAsia="宋体" w:cs="宋体"/>
                <w:b w:val="0"/>
                <w:bCs w:val="0"/>
                <w:sz w:val="18"/>
                <w:szCs w:val="18"/>
              </w:rPr>
            </w:pPr>
          </w:p>
        </w:tc>
        <w:tc>
          <w:tcPr>
            <w:tcW w:w="1236" w:type="dxa"/>
            <w:vMerge w:val="continue"/>
            <w:tcBorders>
              <w:left w:val="single" w:color="auto" w:sz="4" w:space="0"/>
              <w:right w:val="single" w:color="auto" w:sz="4" w:space="0"/>
            </w:tcBorders>
            <w:noWrap w:val="0"/>
            <w:tcMar>
              <w:top w:w="0" w:type="dxa"/>
              <w:left w:w="0" w:type="dxa"/>
              <w:bottom w:w="0" w:type="dxa"/>
              <w:right w:w="0" w:type="dxa"/>
            </w:tcMar>
            <w:vAlign w:val="center"/>
          </w:tcPr>
          <w:p w14:paraId="7F9E4473">
            <w:pPr>
              <w:widowControl/>
              <w:spacing w:line="240" w:lineRule="exact"/>
              <w:jc w:val="both"/>
              <w:textAlignment w:val="center"/>
              <w:rPr>
                <w:rFonts w:hint="eastAsia" w:ascii="宋体" w:hAnsi="宋体" w:eastAsia="宋体" w:cs="宋体"/>
                <w:b w:val="0"/>
                <w:bCs w:val="0"/>
                <w:kern w:val="0"/>
                <w:sz w:val="18"/>
                <w:szCs w:val="18"/>
                <w:lang w:bidi="ar"/>
              </w:rPr>
            </w:pPr>
          </w:p>
        </w:tc>
        <w:tc>
          <w:tcPr>
            <w:tcW w:w="6027" w:type="dxa"/>
            <w:vMerge w:val="continue"/>
            <w:tcBorders>
              <w:left w:val="single" w:color="auto" w:sz="4" w:space="0"/>
              <w:right w:val="single" w:color="auto" w:sz="4" w:space="0"/>
            </w:tcBorders>
            <w:noWrap w:val="0"/>
            <w:tcMar>
              <w:top w:w="0" w:type="dxa"/>
              <w:left w:w="0" w:type="dxa"/>
              <w:bottom w:w="0" w:type="dxa"/>
              <w:right w:w="0" w:type="dxa"/>
            </w:tcMar>
            <w:vAlign w:val="center"/>
          </w:tcPr>
          <w:p w14:paraId="083B356D">
            <w:pPr>
              <w:widowControl/>
              <w:spacing w:line="240" w:lineRule="exact"/>
              <w:textAlignment w:val="center"/>
              <w:rPr>
                <w:rFonts w:hint="eastAsia" w:ascii="宋体" w:hAnsi="宋体" w:eastAsia="宋体" w:cs="宋体"/>
                <w:b w:val="0"/>
                <w:bCs w:val="0"/>
                <w:kern w:val="0"/>
                <w:sz w:val="18"/>
                <w:szCs w:val="18"/>
                <w:lang w:bidi="ar"/>
              </w:rPr>
            </w:pPr>
          </w:p>
        </w:tc>
        <w:tc>
          <w:tcPr>
            <w:tcW w:w="1849" w:type="dxa"/>
            <w:tcBorders>
              <w:top w:val="single" w:color="auto" w:sz="4" w:space="0"/>
              <w:left w:val="single" w:color="auto" w:sz="4" w:space="0"/>
              <w:right w:val="single" w:color="auto" w:sz="4" w:space="0"/>
            </w:tcBorders>
            <w:noWrap w:val="0"/>
            <w:tcMar>
              <w:top w:w="0" w:type="dxa"/>
              <w:left w:w="0" w:type="dxa"/>
              <w:bottom w:w="0" w:type="dxa"/>
              <w:right w:w="0" w:type="dxa"/>
            </w:tcMar>
            <w:vAlign w:val="center"/>
          </w:tcPr>
          <w:p w14:paraId="2CC0F4F8">
            <w:pPr>
              <w:spacing w:line="240" w:lineRule="exact"/>
              <w:jc w:val="both"/>
              <w:rPr>
                <w:rFonts w:hint="eastAsia" w:ascii="宋体" w:hAnsi="宋体" w:eastAsia="宋体" w:cs="宋体"/>
                <w:b w:val="0"/>
                <w:bCs w:val="0"/>
                <w:sz w:val="18"/>
                <w:szCs w:val="18"/>
              </w:rPr>
            </w:pPr>
            <w:r>
              <w:rPr>
                <w:rFonts w:hint="eastAsia" w:ascii="宋体" w:hAnsi="宋体" w:eastAsia="宋体" w:cs="宋体"/>
                <w:b w:val="0"/>
                <w:bCs w:val="0"/>
                <w:kern w:val="0"/>
                <w:sz w:val="18"/>
                <w:szCs w:val="18"/>
                <w:lang w:bidi="ar"/>
              </w:rPr>
              <w:t>侵占、毁坏水工程及堤防、护岸等有关设施，毁坏防汛、水文监测、水文地质监测设施，以及防汛备用的器材、物料的</w:t>
            </w:r>
          </w:p>
        </w:tc>
        <w:tc>
          <w:tcPr>
            <w:tcW w:w="51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83AB82D">
            <w:pPr>
              <w:spacing w:line="240" w:lineRule="exact"/>
              <w:jc w:val="center"/>
              <w:rPr>
                <w:rFonts w:hint="eastAsia" w:ascii="宋体" w:hAnsi="宋体" w:eastAsia="宋体" w:cs="宋体"/>
                <w:b w:val="0"/>
                <w:bCs w:val="0"/>
                <w:sz w:val="18"/>
                <w:szCs w:val="18"/>
              </w:rPr>
            </w:pPr>
            <w:r>
              <w:rPr>
                <w:rFonts w:hint="eastAsia" w:ascii="宋体" w:hAnsi="宋体" w:eastAsia="宋体" w:cs="宋体"/>
                <w:b w:val="0"/>
                <w:bCs w:val="0"/>
                <w:sz w:val="18"/>
                <w:szCs w:val="18"/>
              </w:rPr>
              <w:t>轻微</w:t>
            </w:r>
          </w:p>
        </w:tc>
        <w:tc>
          <w:tcPr>
            <w:tcW w:w="242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8EB3068">
            <w:pPr>
              <w:spacing w:line="240" w:lineRule="exact"/>
              <w:rPr>
                <w:rStyle w:val="21"/>
                <w:rFonts w:hint="eastAsia" w:ascii="宋体" w:hAnsi="宋体" w:eastAsia="宋体" w:cs="宋体"/>
                <w:b w:val="0"/>
                <w:bCs w:val="0"/>
                <w:color w:val="auto"/>
                <w:sz w:val="18"/>
                <w:szCs w:val="18"/>
                <w:lang w:bidi="ar"/>
              </w:rPr>
            </w:pPr>
            <w:r>
              <w:rPr>
                <w:rStyle w:val="21"/>
                <w:rFonts w:hint="eastAsia" w:ascii="宋体" w:hAnsi="宋体" w:eastAsia="宋体" w:cs="宋体"/>
                <w:b w:val="0"/>
                <w:bCs w:val="0"/>
                <w:color w:val="auto"/>
                <w:sz w:val="18"/>
                <w:szCs w:val="18"/>
                <w:lang w:bidi="ar"/>
              </w:rPr>
              <w:t>1.初次违法；</w:t>
            </w:r>
          </w:p>
          <w:p w14:paraId="37FAF0E0">
            <w:pPr>
              <w:spacing w:line="240" w:lineRule="exact"/>
              <w:rPr>
                <w:rStyle w:val="21"/>
                <w:rFonts w:hint="eastAsia" w:ascii="宋体" w:hAnsi="宋体" w:eastAsia="宋体" w:cs="宋体"/>
                <w:b w:val="0"/>
                <w:bCs w:val="0"/>
                <w:color w:val="auto"/>
                <w:sz w:val="18"/>
                <w:szCs w:val="18"/>
                <w:lang w:bidi="ar"/>
              </w:rPr>
            </w:pPr>
            <w:r>
              <w:rPr>
                <w:rStyle w:val="21"/>
                <w:rFonts w:hint="eastAsia" w:ascii="宋体" w:hAnsi="宋体" w:eastAsia="宋体" w:cs="宋体"/>
                <w:b w:val="0"/>
                <w:bCs w:val="0"/>
                <w:color w:val="auto"/>
                <w:sz w:val="18"/>
                <w:szCs w:val="18"/>
                <w:lang w:bidi="ar"/>
              </w:rPr>
              <w:t>2.停止违法行为，签署承诺书，立即采取补救措施或者立即赔偿损失；</w:t>
            </w:r>
          </w:p>
          <w:p w14:paraId="1B257A2B">
            <w:pPr>
              <w:spacing w:line="240" w:lineRule="exact"/>
              <w:rPr>
                <w:rStyle w:val="21"/>
                <w:rFonts w:hint="eastAsia" w:ascii="宋体" w:hAnsi="宋体" w:eastAsia="宋体" w:cs="宋体"/>
                <w:b w:val="0"/>
                <w:bCs w:val="0"/>
                <w:color w:val="auto"/>
                <w:sz w:val="18"/>
                <w:szCs w:val="18"/>
                <w:lang w:bidi="ar"/>
              </w:rPr>
            </w:pPr>
            <w:r>
              <w:rPr>
                <w:rStyle w:val="21"/>
                <w:rFonts w:hint="eastAsia" w:ascii="宋体" w:hAnsi="宋体" w:eastAsia="宋体" w:cs="宋体"/>
                <w:b w:val="0"/>
                <w:bCs w:val="0"/>
                <w:color w:val="auto"/>
                <w:sz w:val="18"/>
                <w:szCs w:val="18"/>
                <w:lang w:bidi="ar"/>
              </w:rPr>
              <w:t>3.未造成危害后果的，且未对水利工程安全造成影响的；</w:t>
            </w:r>
          </w:p>
          <w:p w14:paraId="73FCFB5A">
            <w:pPr>
              <w:spacing w:line="240" w:lineRule="exact"/>
              <w:rPr>
                <w:rStyle w:val="21"/>
                <w:rFonts w:hint="eastAsia" w:ascii="宋体" w:hAnsi="宋体" w:eastAsia="宋体" w:cs="宋体"/>
                <w:b w:val="0"/>
                <w:bCs w:val="0"/>
                <w:color w:val="auto"/>
                <w:sz w:val="18"/>
                <w:szCs w:val="18"/>
                <w:lang w:bidi="ar"/>
              </w:rPr>
            </w:pPr>
            <w:r>
              <w:rPr>
                <w:rStyle w:val="21"/>
                <w:rFonts w:hint="eastAsia" w:ascii="宋体" w:hAnsi="宋体" w:eastAsia="宋体" w:cs="宋体"/>
                <w:b w:val="0"/>
                <w:bCs w:val="0"/>
                <w:sz w:val="18"/>
                <w:szCs w:val="18"/>
                <w:lang w:val="en-US" w:eastAsia="zh-CN" w:bidi="ar"/>
              </w:rPr>
              <w:t>（注：符合上述所有情形的，不予处罚，应将本次违法情况进行登记备案，以后再发生类似问题的将不再适用本条件）</w:t>
            </w:r>
          </w:p>
        </w:tc>
        <w:tc>
          <w:tcPr>
            <w:tcW w:w="1628"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702D86A">
            <w:pPr>
              <w:spacing w:line="240" w:lineRule="exact"/>
              <w:rPr>
                <w:rStyle w:val="21"/>
                <w:rFonts w:hint="eastAsia" w:ascii="宋体" w:hAnsi="宋体" w:eastAsia="宋体" w:cs="宋体"/>
                <w:b w:val="0"/>
                <w:bCs w:val="0"/>
                <w:color w:val="auto"/>
                <w:sz w:val="18"/>
                <w:szCs w:val="18"/>
                <w:lang w:bidi="ar"/>
              </w:rPr>
            </w:pPr>
            <w:r>
              <w:rPr>
                <w:rStyle w:val="21"/>
                <w:rFonts w:hint="eastAsia" w:ascii="宋体" w:hAnsi="宋体" w:eastAsia="宋体" w:cs="宋体"/>
                <w:b w:val="0"/>
                <w:bCs w:val="0"/>
                <w:color w:val="auto"/>
                <w:sz w:val="18"/>
                <w:szCs w:val="18"/>
                <w:lang w:bidi="ar"/>
              </w:rPr>
              <w:t>不予处罚</w:t>
            </w:r>
          </w:p>
        </w:tc>
        <w:tc>
          <w:tcPr>
            <w:tcW w:w="739" w:type="dxa"/>
            <w:vMerge w:val="restart"/>
            <w:tcBorders>
              <w:top w:val="single" w:color="auto" w:sz="4" w:space="0"/>
              <w:left w:val="single" w:color="auto" w:sz="4" w:space="0"/>
              <w:right w:val="single" w:color="auto" w:sz="4" w:space="0"/>
            </w:tcBorders>
            <w:noWrap w:val="0"/>
            <w:tcMar>
              <w:top w:w="0" w:type="dxa"/>
              <w:left w:w="0" w:type="dxa"/>
              <w:bottom w:w="0" w:type="dxa"/>
              <w:right w:w="0" w:type="dxa"/>
            </w:tcMar>
            <w:vAlign w:val="center"/>
          </w:tcPr>
          <w:p w14:paraId="10A7FF94">
            <w:pPr>
              <w:pStyle w:val="2"/>
              <w:spacing w:line="240" w:lineRule="exact"/>
              <w:jc w:val="center"/>
              <w:rPr>
                <w:rFonts w:hint="eastAsia" w:ascii="宋体" w:hAnsi="宋体" w:eastAsia="宋体" w:cs="宋体"/>
                <w:b w:val="0"/>
                <w:bCs w:val="0"/>
                <w:sz w:val="18"/>
                <w:szCs w:val="18"/>
              </w:rPr>
            </w:pPr>
          </w:p>
        </w:tc>
      </w:tr>
      <w:tr w14:paraId="498716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jc w:val="center"/>
        </w:trPr>
        <w:tc>
          <w:tcPr>
            <w:tcW w:w="474" w:type="dxa"/>
            <w:vMerge w:val="restart"/>
            <w:tcBorders>
              <w:left w:val="single" w:color="auto" w:sz="4" w:space="0"/>
              <w:right w:val="single" w:color="auto" w:sz="4" w:space="0"/>
            </w:tcBorders>
            <w:noWrap w:val="0"/>
            <w:tcMar>
              <w:top w:w="0" w:type="dxa"/>
              <w:left w:w="0" w:type="dxa"/>
              <w:bottom w:w="0" w:type="dxa"/>
              <w:right w:w="0" w:type="dxa"/>
            </w:tcMar>
            <w:vAlign w:val="center"/>
          </w:tcPr>
          <w:p w14:paraId="3758ED9E">
            <w:pPr>
              <w:spacing w:line="240" w:lineRule="exact"/>
              <w:jc w:val="center"/>
              <w:rPr>
                <w:rFonts w:hint="eastAsia" w:ascii="宋体" w:hAnsi="宋体" w:eastAsia="宋体" w:cs="宋体"/>
                <w:b w:val="0"/>
                <w:bCs w:val="0"/>
                <w:sz w:val="18"/>
                <w:szCs w:val="18"/>
              </w:rPr>
            </w:pPr>
            <w:r>
              <w:rPr>
                <w:rFonts w:hint="eastAsia" w:ascii="宋体" w:hAnsi="宋体" w:eastAsia="宋体" w:cs="宋体"/>
                <w:b w:val="0"/>
                <w:bCs w:val="0"/>
                <w:sz w:val="18"/>
                <w:szCs w:val="18"/>
                <w:lang w:val="en-US" w:eastAsia="zh-CN"/>
              </w:rPr>
              <w:t>30</w:t>
            </w:r>
          </w:p>
        </w:tc>
        <w:tc>
          <w:tcPr>
            <w:tcW w:w="1236" w:type="dxa"/>
            <w:vMerge w:val="restart"/>
            <w:tcBorders>
              <w:left w:val="single" w:color="auto" w:sz="4" w:space="0"/>
              <w:right w:val="single" w:color="auto" w:sz="4" w:space="0"/>
            </w:tcBorders>
            <w:noWrap w:val="0"/>
            <w:tcMar>
              <w:top w:w="0" w:type="dxa"/>
              <w:left w:w="0" w:type="dxa"/>
              <w:bottom w:w="0" w:type="dxa"/>
              <w:right w:w="0" w:type="dxa"/>
            </w:tcMar>
            <w:vAlign w:val="center"/>
          </w:tcPr>
          <w:p w14:paraId="1F6E5FD4">
            <w:pPr>
              <w:widowControl/>
              <w:spacing w:line="240" w:lineRule="exact"/>
              <w:textAlignment w:val="center"/>
              <w:rPr>
                <w:rFonts w:hint="eastAsia" w:ascii="宋体" w:hAnsi="宋体" w:eastAsia="宋体" w:cs="宋体"/>
                <w:b w:val="0"/>
                <w:bCs w:val="0"/>
                <w:kern w:val="0"/>
                <w:sz w:val="18"/>
                <w:szCs w:val="18"/>
                <w:lang w:bidi="ar"/>
              </w:rPr>
            </w:pPr>
            <w:r>
              <w:rPr>
                <w:rFonts w:hint="eastAsia" w:ascii="宋体" w:hAnsi="宋体" w:eastAsia="宋体" w:cs="宋体"/>
                <w:b w:val="0"/>
                <w:bCs w:val="0"/>
                <w:kern w:val="0"/>
                <w:sz w:val="18"/>
                <w:szCs w:val="18"/>
                <w:lang w:bidi="ar"/>
              </w:rPr>
              <w:t>对侵占、毁坏水工程及堤防、护岸等有关设施，毁坏防汛、水文监测、水文地质监测设施，在水工程保护范围内从事影响水工程运行和危害水工程安全的活动等行为的行政处罚</w:t>
            </w:r>
          </w:p>
        </w:tc>
        <w:tc>
          <w:tcPr>
            <w:tcW w:w="6027" w:type="dxa"/>
            <w:vMerge w:val="continue"/>
            <w:tcBorders>
              <w:left w:val="single" w:color="auto" w:sz="4" w:space="0"/>
              <w:right w:val="single" w:color="auto" w:sz="4" w:space="0"/>
            </w:tcBorders>
            <w:noWrap w:val="0"/>
            <w:tcMar>
              <w:top w:w="0" w:type="dxa"/>
              <w:left w:w="0" w:type="dxa"/>
              <w:bottom w:w="0" w:type="dxa"/>
              <w:right w:w="0" w:type="dxa"/>
            </w:tcMar>
            <w:vAlign w:val="center"/>
          </w:tcPr>
          <w:p w14:paraId="7DFC19C7">
            <w:pPr>
              <w:widowControl/>
              <w:spacing w:line="240" w:lineRule="exact"/>
              <w:ind w:firstLine="360" w:firstLineChars="200"/>
              <w:textAlignment w:val="center"/>
              <w:rPr>
                <w:rFonts w:hint="eastAsia" w:ascii="宋体" w:hAnsi="宋体" w:eastAsia="宋体" w:cs="宋体"/>
                <w:b w:val="0"/>
                <w:bCs w:val="0"/>
                <w:kern w:val="0"/>
                <w:sz w:val="18"/>
                <w:szCs w:val="18"/>
                <w:lang w:bidi="ar"/>
              </w:rPr>
            </w:pPr>
          </w:p>
        </w:tc>
        <w:tc>
          <w:tcPr>
            <w:tcW w:w="1849" w:type="dxa"/>
            <w:vMerge w:val="restart"/>
            <w:tcBorders>
              <w:left w:val="single" w:color="auto" w:sz="4" w:space="0"/>
              <w:right w:val="single" w:color="auto" w:sz="4" w:space="0"/>
            </w:tcBorders>
            <w:noWrap w:val="0"/>
            <w:tcMar>
              <w:top w:w="0" w:type="dxa"/>
              <w:left w:w="0" w:type="dxa"/>
              <w:bottom w:w="0" w:type="dxa"/>
              <w:right w:w="0" w:type="dxa"/>
            </w:tcMar>
            <w:vAlign w:val="center"/>
          </w:tcPr>
          <w:p w14:paraId="7609080B">
            <w:pPr>
              <w:spacing w:line="240" w:lineRule="exact"/>
              <w:jc w:val="both"/>
              <w:rPr>
                <w:rFonts w:hint="eastAsia" w:ascii="宋体" w:hAnsi="宋体" w:eastAsia="宋体" w:cs="宋体"/>
                <w:b w:val="0"/>
                <w:bCs w:val="0"/>
                <w:sz w:val="18"/>
                <w:szCs w:val="18"/>
              </w:rPr>
            </w:pPr>
            <w:r>
              <w:rPr>
                <w:rFonts w:hint="eastAsia" w:ascii="宋体" w:hAnsi="宋体" w:eastAsia="宋体" w:cs="宋体"/>
                <w:b w:val="0"/>
                <w:bCs w:val="0"/>
                <w:kern w:val="0"/>
                <w:sz w:val="18"/>
                <w:szCs w:val="18"/>
                <w:lang w:bidi="ar"/>
              </w:rPr>
              <w:t>侵占、毁坏水工程及堤防、护岸等有关设施，毁坏防汛、水文监测、水文地质监测设施，以及防汛备用的器材、物料的</w:t>
            </w:r>
          </w:p>
        </w:tc>
        <w:tc>
          <w:tcPr>
            <w:tcW w:w="51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2D5936B">
            <w:pPr>
              <w:spacing w:line="240" w:lineRule="exact"/>
              <w:jc w:val="center"/>
              <w:rPr>
                <w:rFonts w:hint="eastAsia" w:ascii="宋体" w:hAnsi="宋体" w:eastAsia="宋体" w:cs="宋体"/>
                <w:b w:val="0"/>
                <w:bCs w:val="0"/>
                <w:sz w:val="18"/>
                <w:szCs w:val="18"/>
              </w:rPr>
            </w:pPr>
            <w:r>
              <w:rPr>
                <w:rFonts w:hint="eastAsia" w:ascii="宋体" w:hAnsi="宋体" w:eastAsia="宋体" w:cs="宋体"/>
                <w:b w:val="0"/>
                <w:bCs w:val="0"/>
                <w:sz w:val="18"/>
                <w:szCs w:val="18"/>
              </w:rPr>
              <w:t>较轻</w:t>
            </w:r>
          </w:p>
        </w:tc>
        <w:tc>
          <w:tcPr>
            <w:tcW w:w="242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389F654C">
            <w:pPr>
              <w:snapToGrid w:val="0"/>
              <w:spacing w:line="240" w:lineRule="auto"/>
              <mc:AlternateContent>
                <mc:Choice Requires="wpsCustomData">
                  <wpsCustomData:diagonalParaType/>
                </mc:Choice>
              </mc:AlternateContent>
              <w:rPr>
                <w:rFonts w:hint="eastAsia" w:ascii="宋体" w:hAnsi="宋体" w:eastAsia="宋体" w:cs="宋体"/>
                <w:b w:val="0"/>
                <w:bCs w:val="0"/>
                <w:sz w:val="18"/>
                <w:szCs w:val="18"/>
                <w:lang w:bidi="ar"/>
              </w:rPr>
            </w:pPr>
          </w:p>
          <w:p w14:paraId="2F0F93AE">
            <w:pPr>
              <w:spacing w:line="240" w:lineRule="exact"/>
              <w:rPr>
                <w:rFonts w:hint="eastAsia" w:ascii="宋体" w:hAnsi="宋体" w:eastAsia="宋体" w:cs="宋体"/>
                <w:b w:val="0"/>
                <w:bCs w:val="0"/>
                <w:sz w:val="18"/>
                <w:szCs w:val="18"/>
                <w:lang w:bidi="ar"/>
              </w:rPr>
            </w:pPr>
          </w:p>
        </w:tc>
        <w:tc>
          <w:tcPr>
            <w:tcW w:w="1628"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4FFAE32E">
            <w:pPr>
              <w:snapToGrid w:val="0"/>
              <w:spacing w:line="240" w:lineRule="auto"/>
              <mc:AlternateContent>
                <mc:Choice Requires="wpsCustomData">
                  <wpsCustomData:diagonalParaType/>
                </mc:Choice>
              </mc:AlternateContent>
              <w:rPr>
                <w:rFonts w:hint="eastAsia" w:ascii="宋体" w:hAnsi="宋体" w:eastAsia="宋体" w:cs="宋体"/>
                <w:b w:val="0"/>
                <w:bCs w:val="0"/>
                <w:sz w:val="18"/>
                <w:szCs w:val="18"/>
                <w:lang w:bidi="ar"/>
              </w:rPr>
            </w:pPr>
          </w:p>
          <w:p w14:paraId="51EA99DA">
            <w:pPr>
              <w:spacing w:line="240" w:lineRule="exact"/>
              <w:rPr>
                <w:rFonts w:hint="eastAsia" w:ascii="宋体" w:hAnsi="宋体" w:eastAsia="宋体" w:cs="宋体"/>
                <w:b w:val="0"/>
                <w:bCs w:val="0"/>
                <w:sz w:val="18"/>
                <w:szCs w:val="18"/>
                <w:lang w:bidi="ar"/>
              </w:rPr>
            </w:pPr>
          </w:p>
        </w:tc>
        <w:tc>
          <w:tcPr>
            <w:tcW w:w="739" w:type="dxa"/>
            <w:vMerge w:val="continue"/>
            <w:tcBorders>
              <w:left w:val="single" w:color="auto" w:sz="4" w:space="0"/>
              <w:right w:val="single" w:color="auto" w:sz="4" w:space="0"/>
            </w:tcBorders>
            <w:noWrap w:val="0"/>
            <w:tcMar>
              <w:top w:w="0" w:type="dxa"/>
              <w:left w:w="0" w:type="dxa"/>
              <w:bottom w:w="0" w:type="dxa"/>
              <w:right w:w="0" w:type="dxa"/>
            </w:tcMar>
            <w:vAlign w:val="center"/>
          </w:tcPr>
          <w:p w14:paraId="695CBD2A">
            <w:pPr>
              <w:spacing w:line="240" w:lineRule="exact"/>
              <w:jc w:val="center"/>
              <w:rPr>
                <w:rStyle w:val="21"/>
                <w:rFonts w:hint="eastAsia" w:ascii="宋体" w:hAnsi="宋体" w:eastAsia="宋体" w:cs="宋体"/>
                <w:b w:val="0"/>
                <w:bCs w:val="0"/>
                <w:color w:val="auto"/>
                <w:sz w:val="18"/>
                <w:szCs w:val="18"/>
                <w:lang w:bidi="ar"/>
              </w:rPr>
            </w:pPr>
          </w:p>
        </w:tc>
      </w:tr>
      <w:tr w14:paraId="3AA74A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474" w:type="dxa"/>
            <w:vMerge w:val="continue"/>
            <w:tcBorders>
              <w:left w:val="single" w:color="auto" w:sz="4" w:space="0"/>
              <w:right w:val="single" w:color="auto" w:sz="4" w:space="0"/>
            </w:tcBorders>
            <w:noWrap w:val="0"/>
            <w:tcMar>
              <w:top w:w="0" w:type="dxa"/>
              <w:left w:w="0" w:type="dxa"/>
              <w:bottom w:w="0" w:type="dxa"/>
              <w:right w:w="0" w:type="dxa"/>
            </w:tcMar>
            <w:vAlign w:val="center"/>
          </w:tcPr>
          <w:p w14:paraId="1019388E">
            <w:pPr>
              <w:spacing w:line="240" w:lineRule="exact"/>
              <w:jc w:val="center"/>
              <w:rPr>
                <w:rFonts w:hint="eastAsia" w:ascii="宋体" w:hAnsi="宋体" w:eastAsia="宋体" w:cs="宋体"/>
                <w:b w:val="0"/>
                <w:bCs w:val="0"/>
                <w:sz w:val="18"/>
                <w:szCs w:val="18"/>
              </w:rPr>
            </w:pPr>
          </w:p>
        </w:tc>
        <w:tc>
          <w:tcPr>
            <w:tcW w:w="1236" w:type="dxa"/>
            <w:vMerge w:val="continue"/>
            <w:tcBorders>
              <w:left w:val="single" w:color="auto" w:sz="4" w:space="0"/>
              <w:right w:val="single" w:color="auto" w:sz="4" w:space="0"/>
            </w:tcBorders>
            <w:noWrap w:val="0"/>
            <w:tcMar>
              <w:top w:w="0" w:type="dxa"/>
              <w:left w:w="0" w:type="dxa"/>
              <w:bottom w:w="0" w:type="dxa"/>
              <w:right w:w="0" w:type="dxa"/>
            </w:tcMar>
            <w:vAlign w:val="center"/>
          </w:tcPr>
          <w:p w14:paraId="0AEE20D3">
            <w:pPr>
              <w:widowControl/>
              <w:spacing w:line="240" w:lineRule="exact"/>
              <w:textAlignment w:val="center"/>
              <w:rPr>
                <w:rFonts w:hint="eastAsia" w:ascii="宋体" w:hAnsi="宋体" w:eastAsia="宋体" w:cs="宋体"/>
                <w:b w:val="0"/>
                <w:bCs w:val="0"/>
                <w:kern w:val="0"/>
                <w:sz w:val="18"/>
                <w:szCs w:val="18"/>
                <w:lang w:bidi="ar"/>
              </w:rPr>
            </w:pPr>
          </w:p>
        </w:tc>
        <w:tc>
          <w:tcPr>
            <w:tcW w:w="6027" w:type="dxa"/>
            <w:vMerge w:val="continue"/>
            <w:tcBorders>
              <w:left w:val="single" w:color="auto" w:sz="4" w:space="0"/>
              <w:right w:val="single" w:color="auto" w:sz="4" w:space="0"/>
            </w:tcBorders>
            <w:noWrap w:val="0"/>
            <w:tcMar>
              <w:top w:w="0" w:type="dxa"/>
              <w:left w:w="0" w:type="dxa"/>
              <w:bottom w:w="0" w:type="dxa"/>
              <w:right w:w="0" w:type="dxa"/>
            </w:tcMar>
            <w:vAlign w:val="center"/>
          </w:tcPr>
          <w:p w14:paraId="50489432">
            <w:pPr>
              <w:widowControl/>
              <w:spacing w:line="240" w:lineRule="exact"/>
              <w:ind w:firstLine="360" w:firstLineChars="200"/>
              <w:textAlignment w:val="center"/>
              <w:rPr>
                <w:rFonts w:hint="eastAsia" w:ascii="宋体" w:hAnsi="宋体" w:eastAsia="宋体" w:cs="宋体"/>
                <w:b w:val="0"/>
                <w:bCs w:val="0"/>
                <w:kern w:val="0"/>
                <w:sz w:val="18"/>
                <w:szCs w:val="18"/>
                <w:lang w:bidi="ar"/>
              </w:rPr>
            </w:pPr>
          </w:p>
        </w:tc>
        <w:tc>
          <w:tcPr>
            <w:tcW w:w="1849" w:type="dxa"/>
            <w:vMerge w:val="continue"/>
            <w:tcBorders>
              <w:left w:val="single" w:color="auto" w:sz="4" w:space="0"/>
              <w:right w:val="single" w:color="auto" w:sz="4" w:space="0"/>
            </w:tcBorders>
            <w:noWrap w:val="0"/>
            <w:tcMar>
              <w:top w:w="0" w:type="dxa"/>
              <w:left w:w="0" w:type="dxa"/>
              <w:bottom w:w="0" w:type="dxa"/>
              <w:right w:w="0" w:type="dxa"/>
            </w:tcMar>
            <w:vAlign w:val="center"/>
          </w:tcPr>
          <w:p w14:paraId="7C4A2408">
            <w:pPr>
              <w:spacing w:line="240" w:lineRule="exact"/>
              <w:jc w:val="both"/>
              <w:rPr>
                <w:rFonts w:hint="eastAsia" w:ascii="宋体" w:hAnsi="宋体" w:eastAsia="宋体" w:cs="宋体"/>
                <w:b w:val="0"/>
                <w:bCs w:val="0"/>
                <w:sz w:val="18"/>
                <w:szCs w:val="18"/>
              </w:rPr>
            </w:pPr>
          </w:p>
        </w:tc>
        <w:tc>
          <w:tcPr>
            <w:tcW w:w="51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A3B0F6D">
            <w:pPr>
              <w:spacing w:line="240" w:lineRule="exact"/>
              <w:jc w:val="center"/>
              <w:rPr>
                <w:rFonts w:hint="eastAsia" w:ascii="宋体" w:hAnsi="宋体" w:eastAsia="宋体" w:cs="宋体"/>
                <w:b w:val="0"/>
                <w:bCs w:val="0"/>
                <w:sz w:val="18"/>
                <w:szCs w:val="18"/>
              </w:rPr>
            </w:pPr>
            <w:r>
              <w:rPr>
                <w:rFonts w:hint="eastAsia" w:ascii="宋体" w:hAnsi="宋体" w:eastAsia="宋体" w:cs="宋体"/>
                <w:b w:val="0"/>
                <w:bCs w:val="0"/>
                <w:sz w:val="18"/>
                <w:szCs w:val="18"/>
              </w:rPr>
              <w:t>一般</w:t>
            </w:r>
          </w:p>
        </w:tc>
        <w:tc>
          <w:tcPr>
            <w:tcW w:w="242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0061B29">
            <w:pPr>
              <w:spacing w:line="240" w:lineRule="exact"/>
              <w:rPr>
                <w:rFonts w:hint="eastAsia" w:ascii="宋体" w:hAnsi="宋体" w:eastAsia="宋体" w:cs="宋体"/>
                <w:b w:val="0"/>
                <w:bCs w:val="0"/>
                <w:sz w:val="18"/>
                <w:szCs w:val="18"/>
                <w:lang w:bidi="ar"/>
              </w:rPr>
            </w:pPr>
            <w:r>
              <w:rPr>
                <w:rStyle w:val="21"/>
                <w:rFonts w:hint="eastAsia" w:ascii="宋体" w:hAnsi="宋体" w:eastAsia="宋体" w:cs="宋体"/>
                <w:b w:val="0"/>
                <w:bCs w:val="0"/>
                <w:color w:val="auto"/>
                <w:sz w:val="18"/>
                <w:szCs w:val="18"/>
                <w:lang w:bidi="ar"/>
              </w:rPr>
              <w:t>违法行为对防洪工程设施造成的损失在</w:t>
            </w:r>
            <w:r>
              <w:rPr>
                <w:rStyle w:val="21"/>
                <w:rFonts w:hint="eastAsia" w:ascii="宋体" w:hAnsi="宋体" w:eastAsia="宋体" w:cs="宋体"/>
                <w:b w:val="0"/>
                <w:bCs w:val="0"/>
                <w:color w:val="auto"/>
                <w:sz w:val="18"/>
                <w:szCs w:val="18"/>
                <w:lang w:val="en-US" w:eastAsia="zh-CN" w:bidi="ar"/>
              </w:rPr>
              <w:t>5</w:t>
            </w:r>
            <w:r>
              <w:rPr>
                <w:rStyle w:val="21"/>
                <w:rFonts w:hint="eastAsia" w:ascii="宋体" w:hAnsi="宋体" w:eastAsia="宋体" w:cs="宋体"/>
                <w:b w:val="0"/>
                <w:bCs w:val="0"/>
                <w:color w:val="auto"/>
                <w:sz w:val="18"/>
                <w:szCs w:val="18"/>
                <w:lang w:bidi="ar"/>
              </w:rPr>
              <w:t>千元以下的</w:t>
            </w:r>
          </w:p>
        </w:tc>
        <w:tc>
          <w:tcPr>
            <w:tcW w:w="1628"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710504B">
            <w:pPr>
              <w:spacing w:line="240" w:lineRule="exact"/>
              <w:rPr>
                <w:rFonts w:hint="eastAsia" w:ascii="宋体" w:hAnsi="宋体" w:eastAsia="宋体" w:cs="宋体"/>
                <w:b w:val="0"/>
                <w:bCs w:val="0"/>
                <w:sz w:val="18"/>
                <w:szCs w:val="18"/>
                <w:lang w:bidi="ar"/>
              </w:rPr>
            </w:pPr>
            <w:r>
              <w:rPr>
                <w:rStyle w:val="21"/>
                <w:rFonts w:hint="eastAsia" w:ascii="宋体" w:hAnsi="宋体" w:eastAsia="宋体" w:cs="宋体"/>
                <w:b w:val="0"/>
                <w:bCs w:val="0"/>
                <w:color w:val="auto"/>
                <w:sz w:val="18"/>
                <w:szCs w:val="18"/>
                <w:lang w:bidi="ar"/>
              </w:rPr>
              <w:t>给予警告，处</w:t>
            </w:r>
            <w:r>
              <w:rPr>
                <w:rStyle w:val="21"/>
                <w:rFonts w:hint="eastAsia" w:ascii="宋体" w:hAnsi="宋体" w:eastAsia="宋体" w:cs="宋体"/>
                <w:b w:val="0"/>
                <w:bCs w:val="0"/>
                <w:color w:val="auto"/>
                <w:sz w:val="18"/>
                <w:szCs w:val="18"/>
                <w:lang w:val="en-US" w:eastAsia="zh-CN" w:bidi="ar"/>
              </w:rPr>
              <w:t>1</w:t>
            </w:r>
            <w:r>
              <w:rPr>
                <w:rStyle w:val="21"/>
                <w:rFonts w:hint="eastAsia" w:ascii="宋体" w:hAnsi="宋体" w:eastAsia="宋体" w:cs="宋体"/>
                <w:b w:val="0"/>
                <w:bCs w:val="0"/>
                <w:color w:val="auto"/>
                <w:sz w:val="18"/>
                <w:szCs w:val="18"/>
                <w:lang w:bidi="ar"/>
              </w:rPr>
              <w:t>万元以上</w:t>
            </w:r>
            <w:r>
              <w:rPr>
                <w:rStyle w:val="21"/>
                <w:rFonts w:hint="eastAsia" w:ascii="宋体" w:hAnsi="宋体" w:eastAsia="宋体" w:cs="宋体"/>
                <w:b w:val="0"/>
                <w:bCs w:val="0"/>
                <w:color w:val="auto"/>
                <w:sz w:val="18"/>
                <w:szCs w:val="18"/>
                <w:lang w:val="en-US" w:eastAsia="zh-CN" w:bidi="ar"/>
              </w:rPr>
              <w:t>3</w:t>
            </w:r>
            <w:r>
              <w:rPr>
                <w:rStyle w:val="21"/>
                <w:rFonts w:hint="eastAsia" w:ascii="宋体" w:hAnsi="宋体" w:eastAsia="宋体" w:cs="宋体"/>
                <w:b w:val="0"/>
                <w:bCs w:val="0"/>
                <w:color w:val="auto"/>
                <w:sz w:val="18"/>
                <w:szCs w:val="18"/>
                <w:lang w:bidi="ar"/>
              </w:rPr>
              <w:t>万元以下罚款</w:t>
            </w:r>
          </w:p>
        </w:tc>
        <w:tc>
          <w:tcPr>
            <w:tcW w:w="739" w:type="dxa"/>
            <w:vMerge w:val="continue"/>
            <w:tcBorders>
              <w:left w:val="single" w:color="auto" w:sz="4" w:space="0"/>
              <w:right w:val="single" w:color="auto" w:sz="4" w:space="0"/>
            </w:tcBorders>
            <w:noWrap w:val="0"/>
            <w:tcMar>
              <w:top w:w="0" w:type="dxa"/>
              <w:left w:w="0" w:type="dxa"/>
              <w:bottom w:w="0" w:type="dxa"/>
              <w:right w:w="0" w:type="dxa"/>
            </w:tcMar>
            <w:vAlign w:val="center"/>
          </w:tcPr>
          <w:p w14:paraId="67DF3217">
            <w:pPr>
              <w:spacing w:line="240" w:lineRule="exact"/>
              <w:jc w:val="center"/>
              <w:rPr>
                <w:rStyle w:val="21"/>
                <w:rFonts w:hint="eastAsia" w:ascii="宋体" w:hAnsi="宋体" w:eastAsia="宋体" w:cs="宋体"/>
                <w:b w:val="0"/>
                <w:bCs w:val="0"/>
                <w:color w:val="auto"/>
                <w:sz w:val="18"/>
                <w:szCs w:val="18"/>
                <w:lang w:bidi="ar"/>
              </w:rPr>
            </w:pPr>
          </w:p>
        </w:tc>
      </w:tr>
      <w:tr w14:paraId="01AAB2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3" w:hRule="atLeast"/>
          <w:jc w:val="center"/>
        </w:trPr>
        <w:tc>
          <w:tcPr>
            <w:tcW w:w="474" w:type="dxa"/>
            <w:vMerge w:val="continue"/>
            <w:tcBorders>
              <w:left w:val="single" w:color="auto" w:sz="4" w:space="0"/>
              <w:right w:val="single" w:color="auto" w:sz="4" w:space="0"/>
            </w:tcBorders>
            <w:noWrap w:val="0"/>
            <w:tcMar>
              <w:top w:w="0" w:type="dxa"/>
              <w:left w:w="0" w:type="dxa"/>
              <w:bottom w:w="0" w:type="dxa"/>
              <w:right w:w="0" w:type="dxa"/>
            </w:tcMar>
            <w:vAlign w:val="center"/>
          </w:tcPr>
          <w:p w14:paraId="7FE94219">
            <w:pPr>
              <w:spacing w:line="240" w:lineRule="exact"/>
              <w:jc w:val="center"/>
              <w:rPr>
                <w:rFonts w:hint="eastAsia" w:ascii="宋体" w:hAnsi="宋体" w:eastAsia="宋体" w:cs="宋体"/>
                <w:b w:val="0"/>
                <w:bCs w:val="0"/>
                <w:sz w:val="18"/>
                <w:szCs w:val="18"/>
              </w:rPr>
            </w:pPr>
          </w:p>
        </w:tc>
        <w:tc>
          <w:tcPr>
            <w:tcW w:w="1236" w:type="dxa"/>
            <w:vMerge w:val="continue"/>
            <w:tcBorders>
              <w:left w:val="single" w:color="auto" w:sz="4" w:space="0"/>
              <w:right w:val="single" w:color="auto" w:sz="4" w:space="0"/>
            </w:tcBorders>
            <w:noWrap w:val="0"/>
            <w:tcMar>
              <w:top w:w="0" w:type="dxa"/>
              <w:left w:w="0" w:type="dxa"/>
              <w:bottom w:w="0" w:type="dxa"/>
              <w:right w:w="0" w:type="dxa"/>
            </w:tcMar>
            <w:vAlign w:val="center"/>
          </w:tcPr>
          <w:p w14:paraId="43D96AAB">
            <w:pPr>
              <w:widowControl/>
              <w:spacing w:line="240" w:lineRule="exact"/>
              <w:textAlignment w:val="center"/>
              <w:rPr>
                <w:rFonts w:hint="eastAsia" w:ascii="宋体" w:hAnsi="宋体" w:eastAsia="宋体" w:cs="宋体"/>
                <w:b w:val="0"/>
                <w:bCs w:val="0"/>
                <w:kern w:val="0"/>
                <w:sz w:val="18"/>
                <w:szCs w:val="18"/>
                <w:lang w:bidi="ar"/>
              </w:rPr>
            </w:pPr>
          </w:p>
        </w:tc>
        <w:tc>
          <w:tcPr>
            <w:tcW w:w="6027" w:type="dxa"/>
            <w:vMerge w:val="continue"/>
            <w:tcBorders>
              <w:left w:val="single" w:color="auto" w:sz="4" w:space="0"/>
              <w:right w:val="single" w:color="auto" w:sz="4" w:space="0"/>
            </w:tcBorders>
            <w:noWrap w:val="0"/>
            <w:tcMar>
              <w:top w:w="0" w:type="dxa"/>
              <w:left w:w="0" w:type="dxa"/>
              <w:bottom w:w="0" w:type="dxa"/>
              <w:right w:w="0" w:type="dxa"/>
            </w:tcMar>
            <w:vAlign w:val="center"/>
          </w:tcPr>
          <w:p w14:paraId="0C8561F5">
            <w:pPr>
              <w:widowControl/>
              <w:spacing w:line="240" w:lineRule="exact"/>
              <w:ind w:firstLine="360" w:firstLineChars="200"/>
              <w:textAlignment w:val="center"/>
              <w:rPr>
                <w:rFonts w:hint="eastAsia" w:ascii="宋体" w:hAnsi="宋体" w:eastAsia="宋体" w:cs="宋体"/>
                <w:b w:val="0"/>
                <w:bCs w:val="0"/>
                <w:kern w:val="0"/>
                <w:sz w:val="18"/>
                <w:szCs w:val="18"/>
                <w:lang w:bidi="ar"/>
              </w:rPr>
            </w:pPr>
          </w:p>
        </w:tc>
        <w:tc>
          <w:tcPr>
            <w:tcW w:w="1849" w:type="dxa"/>
            <w:vMerge w:val="continue"/>
            <w:tcBorders>
              <w:left w:val="single" w:color="auto" w:sz="4" w:space="0"/>
              <w:right w:val="single" w:color="auto" w:sz="4" w:space="0"/>
            </w:tcBorders>
            <w:noWrap w:val="0"/>
            <w:tcMar>
              <w:top w:w="0" w:type="dxa"/>
              <w:left w:w="0" w:type="dxa"/>
              <w:bottom w:w="0" w:type="dxa"/>
              <w:right w:w="0" w:type="dxa"/>
            </w:tcMar>
            <w:vAlign w:val="center"/>
          </w:tcPr>
          <w:p w14:paraId="432B9A19">
            <w:pPr>
              <w:spacing w:line="240" w:lineRule="exact"/>
              <w:jc w:val="both"/>
              <w:rPr>
                <w:rFonts w:hint="eastAsia" w:ascii="宋体" w:hAnsi="宋体" w:eastAsia="宋体" w:cs="宋体"/>
                <w:b w:val="0"/>
                <w:bCs w:val="0"/>
                <w:sz w:val="18"/>
                <w:szCs w:val="18"/>
              </w:rPr>
            </w:pPr>
          </w:p>
        </w:tc>
        <w:tc>
          <w:tcPr>
            <w:tcW w:w="51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3E86915">
            <w:pPr>
              <w:spacing w:line="240" w:lineRule="exact"/>
              <w:jc w:val="center"/>
              <w:rPr>
                <w:rFonts w:hint="eastAsia" w:ascii="宋体" w:hAnsi="宋体" w:eastAsia="宋体" w:cs="宋体"/>
                <w:b w:val="0"/>
                <w:bCs w:val="0"/>
                <w:sz w:val="18"/>
                <w:szCs w:val="18"/>
                <w:lang w:eastAsia="zh-CN"/>
              </w:rPr>
            </w:pPr>
            <w:r>
              <w:rPr>
                <w:rFonts w:hint="eastAsia" w:ascii="宋体" w:hAnsi="宋体" w:eastAsia="宋体" w:cs="宋体"/>
                <w:b w:val="0"/>
                <w:bCs w:val="0"/>
                <w:sz w:val="18"/>
                <w:szCs w:val="18"/>
                <w:lang w:eastAsia="zh-CN"/>
              </w:rPr>
              <w:t>较重</w:t>
            </w:r>
          </w:p>
        </w:tc>
        <w:tc>
          <w:tcPr>
            <w:tcW w:w="242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098EF88">
            <w:pPr>
              <w:spacing w:line="240" w:lineRule="exact"/>
              <w:rPr>
                <w:rFonts w:hint="eastAsia" w:ascii="宋体" w:hAnsi="宋体" w:eastAsia="宋体" w:cs="宋体"/>
                <w:b w:val="0"/>
                <w:bCs w:val="0"/>
                <w:sz w:val="18"/>
                <w:szCs w:val="18"/>
                <w:lang w:bidi="ar"/>
              </w:rPr>
            </w:pPr>
            <w:r>
              <w:rPr>
                <w:rStyle w:val="21"/>
                <w:rFonts w:hint="eastAsia" w:ascii="宋体" w:hAnsi="宋体" w:eastAsia="宋体" w:cs="宋体"/>
                <w:b w:val="0"/>
                <w:bCs w:val="0"/>
                <w:color w:val="auto"/>
                <w:sz w:val="18"/>
                <w:szCs w:val="18"/>
                <w:lang w:bidi="ar"/>
              </w:rPr>
              <w:t>违法行为对防洪工程设施造成的损失在</w:t>
            </w:r>
            <w:r>
              <w:rPr>
                <w:rStyle w:val="21"/>
                <w:rFonts w:hint="eastAsia" w:ascii="宋体" w:hAnsi="宋体" w:eastAsia="宋体" w:cs="宋体"/>
                <w:b w:val="0"/>
                <w:bCs w:val="0"/>
                <w:color w:val="auto"/>
                <w:sz w:val="18"/>
                <w:szCs w:val="18"/>
                <w:lang w:val="en-US" w:eastAsia="zh-CN" w:bidi="ar"/>
              </w:rPr>
              <w:t>1</w:t>
            </w:r>
            <w:r>
              <w:rPr>
                <w:rStyle w:val="21"/>
                <w:rFonts w:hint="eastAsia" w:ascii="宋体" w:hAnsi="宋体" w:eastAsia="宋体" w:cs="宋体"/>
                <w:b w:val="0"/>
                <w:bCs w:val="0"/>
                <w:color w:val="auto"/>
                <w:sz w:val="18"/>
                <w:szCs w:val="18"/>
                <w:lang w:bidi="ar"/>
              </w:rPr>
              <w:t>万元以上的</w:t>
            </w:r>
          </w:p>
        </w:tc>
        <w:tc>
          <w:tcPr>
            <w:tcW w:w="1628"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B14813F">
            <w:pPr>
              <w:spacing w:line="240" w:lineRule="exact"/>
              <w:rPr>
                <w:rFonts w:hint="eastAsia" w:ascii="宋体" w:hAnsi="宋体" w:eastAsia="宋体" w:cs="宋体"/>
                <w:b w:val="0"/>
                <w:bCs w:val="0"/>
                <w:sz w:val="18"/>
                <w:szCs w:val="18"/>
                <w:lang w:bidi="ar"/>
              </w:rPr>
            </w:pPr>
            <w:r>
              <w:rPr>
                <w:rStyle w:val="21"/>
                <w:rFonts w:hint="eastAsia" w:ascii="宋体" w:hAnsi="宋体" w:eastAsia="宋体" w:cs="宋体"/>
                <w:b w:val="0"/>
                <w:bCs w:val="0"/>
                <w:color w:val="auto"/>
                <w:sz w:val="18"/>
                <w:szCs w:val="18"/>
                <w:lang w:bidi="ar"/>
              </w:rPr>
              <w:t>给予警告，处</w:t>
            </w:r>
            <w:r>
              <w:rPr>
                <w:rStyle w:val="21"/>
                <w:rFonts w:hint="eastAsia" w:ascii="宋体" w:hAnsi="宋体" w:eastAsia="宋体" w:cs="宋体"/>
                <w:b w:val="0"/>
                <w:bCs w:val="0"/>
                <w:color w:val="auto"/>
                <w:sz w:val="18"/>
                <w:szCs w:val="18"/>
                <w:lang w:val="en-US" w:eastAsia="zh-CN" w:bidi="ar"/>
              </w:rPr>
              <w:t>3</w:t>
            </w:r>
            <w:r>
              <w:rPr>
                <w:rStyle w:val="21"/>
                <w:rFonts w:hint="eastAsia" w:ascii="宋体" w:hAnsi="宋体" w:eastAsia="宋体" w:cs="宋体"/>
                <w:b w:val="0"/>
                <w:bCs w:val="0"/>
                <w:color w:val="auto"/>
                <w:sz w:val="18"/>
                <w:szCs w:val="18"/>
                <w:lang w:bidi="ar"/>
              </w:rPr>
              <w:t>万元以上</w:t>
            </w:r>
            <w:r>
              <w:rPr>
                <w:rStyle w:val="21"/>
                <w:rFonts w:hint="eastAsia" w:ascii="宋体" w:hAnsi="宋体" w:eastAsia="宋体" w:cs="宋体"/>
                <w:b w:val="0"/>
                <w:bCs w:val="0"/>
                <w:color w:val="auto"/>
                <w:sz w:val="18"/>
                <w:szCs w:val="18"/>
                <w:lang w:val="en-US" w:eastAsia="zh-CN" w:bidi="ar"/>
              </w:rPr>
              <w:t>4</w:t>
            </w:r>
            <w:r>
              <w:rPr>
                <w:rStyle w:val="21"/>
                <w:rFonts w:hint="eastAsia" w:ascii="宋体" w:hAnsi="宋体" w:eastAsia="宋体" w:cs="宋体"/>
                <w:b w:val="0"/>
                <w:bCs w:val="0"/>
                <w:color w:val="auto"/>
                <w:sz w:val="18"/>
                <w:szCs w:val="18"/>
                <w:lang w:bidi="ar"/>
              </w:rPr>
              <w:t>万元以下的罚款</w:t>
            </w:r>
          </w:p>
        </w:tc>
        <w:tc>
          <w:tcPr>
            <w:tcW w:w="739" w:type="dxa"/>
            <w:vMerge w:val="continue"/>
            <w:tcBorders>
              <w:left w:val="single" w:color="auto" w:sz="4" w:space="0"/>
              <w:right w:val="single" w:color="auto" w:sz="4" w:space="0"/>
            </w:tcBorders>
            <w:noWrap w:val="0"/>
            <w:tcMar>
              <w:top w:w="0" w:type="dxa"/>
              <w:left w:w="0" w:type="dxa"/>
              <w:bottom w:w="0" w:type="dxa"/>
              <w:right w:w="0" w:type="dxa"/>
            </w:tcMar>
            <w:vAlign w:val="center"/>
          </w:tcPr>
          <w:p w14:paraId="4BCE7E8A">
            <w:pPr>
              <w:spacing w:line="240" w:lineRule="exact"/>
              <w:jc w:val="center"/>
              <w:rPr>
                <w:rStyle w:val="21"/>
                <w:rFonts w:hint="eastAsia" w:ascii="宋体" w:hAnsi="宋体" w:eastAsia="宋体" w:cs="宋体"/>
                <w:b w:val="0"/>
                <w:bCs w:val="0"/>
                <w:color w:val="auto"/>
                <w:sz w:val="18"/>
                <w:szCs w:val="18"/>
                <w:lang w:bidi="ar"/>
              </w:rPr>
            </w:pPr>
          </w:p>
        </w:tc>
      </w:tr>
      <w:tr w14:paraId="40F1B1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474" w:type="dxa"/>
            <w:vMerge w:val="continue"/>
            <w:tcBorders>
              <w:left w:val="single" w:color="auto" w:sz="4" w:space="0"/>
              <w:right w:val="single" w:color="auto" w:sz="4" w:space="0"/>
            </w:tcBorders>
            <w:noWrap w:val="0"/>
            <w:tcMar>
              <w:top w:w="0" w:type="dxa"/>
              <w:left w:w="0" w:type="dxa"/>
              <w:bottom w:w="0" w:type="dxa"/>
              <w:right w:w="0" w:type="dxa"/>
            </w:tcMar>
            <w:vAlign w:val="center"/>
          </w:tcPr>
          <w:p w14:paraId="22DE80C2">
            <w:pPr>
              <w:spacing w:line="240" w:lineRule="exact"/>
              <w:jc w:val="center"/>
              <w:rPr>
                <w:rFonts w:hint="eastAsia" w:ascii="宋体" w:hAnsi="宋体" w:eastAsia="宋体" w:cs="宋体"/>
                <w:b w:val="0"/>
                <w:bCs w:val="0"/>
                <w:sz w:val="18"/>
                <w:szCs w:val="18"/>
              </w:rPr>
            </w:pPr>
          </w:p>
        </w:tc>
        <w:tc>
          <w:tcPr>
            <w:tcW w:w="1236" w:type="dxa"/>
            <w:vMerge w:val="continue"/>
            <w:tcBorders>
              <w:left w:val="single" w:color="auto" w:sz="4" w:space="0"/>
              <w:right w:val="single" w:color="auto" w:sz="4" w:space="0"/>
            </w:tcBorders>
            <w:noWrap w:val="0"/>
            <w:tcMar>
              <w:top w:w="0" w:type="dxa"/>
              <w:left w:w="0" w:type="dxa"/>
              <w:bottom w:w="0" w:type="dxa"/>
              <w:right w:w="0" w:type="dxa"/>
            </w:tcMar>
            <w:vAlign w:val="center"/>
          </w:tcPr>
          <w:p w14:paraId="6DA185CD">
            <w:pPr>
              <w:widowControl/>
              <w:spacing w:line="240" w:lineRule="exact"/>
              <w:textAlignment w:val="center"/>
              <w:rPr>
                <w:rFonts w:hint="eastAsia" w:ascii="宋体" w:hAnsi="宋体" w:eastAsia="宋体" w:cs="宋体"/>
                <w:b w:val="0"/>
                <w:bCs w:val="0"/>
                <w:kern w:val="0"/>
                <w:sz w:val="18"/>
                <w:szCs w:val="18"/>
                <w:lang w:bidi="ar"/>
              </w:rPr>
            </w:pPr>
          </w:p>
        </w:tc>
        <w:tc>
          <w:tcPr>
            <w:tcW w:w="6027" w:type="dxa"/>
            <w:vMerge w:val="continue"/>
            <w:tcBorders>
              <w:left w:val="single" w:color="auto" w:sz="4" w:space="0"/>
              <w:right w:val="single" w:color="auto" w:sz="4" w:space="0"/>
            </w:tcBorders>
            <w:noWrap w:val="0"/>
            <w:tcMar>
              <w:top w:w="0" w:type="dxa"/>
              <w:left w:w="0" w:type="dxa"/>
              <w:bottom w:w="0" w:type="dxa"/>
              <w:right w:w="0" w:type="dxa"/>
            </w:tcMar>
            <w:vAlign w:val="center"/>
          </w:tcPr>
          <w:p w14:paraId="7D90EF57">
            <w:pPr>
              <w:widowControl/>
              <w:spacing w:line="240" w:lineRule="exact"/>
              <w:ind w:firstLine="360" w:firstLineChars="200"/>
              <w:textAlignment w:val="center"/>
              <w:rPr>
                <w:rFonts w:hint="eastAsia" w:ascii="宋体" w:hAnsi="宋体" w:eastAsia="宋体" w:cs="宋体"/>
                <w:b w:val="0"/>
                <w:bCs w:val="0"/>
                <w:kern w:val="0"/>
                <w:sz w:val="18"/>
                <w:szCs w:val="18"/>
                <w:lang w:bidi="ar"/>
              </w:rPr>
            </w:pPr>
          </w:p>
        </w:tc>
        <w:tc>
          <w:tcPr>
            <w:tcW w:w="1849" w:type="dxa"/>
            <w:vMerge w:val="continue"/>
            <w:tcBorders>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63FE422">
            <w:pPr>
              <w:spacing w:line="240" w:lineRule="exact"/>
              <w:jc w:val="both"/>
              <w:rPr>
                <w:rFonts w:hint="eastAsia" w:ascii="宋体" w:hAnsi="宋体" w:eastAsia="宋体" w:cs="宋体"/>
                <w:b w:val="0"/>
                <w:bCs w:val="0"/>
                <w:sz w:val="18"/>
                <w:szCs w:val="18"/>
              </w:rPr>
            </w:pPr>
          </w:p>
        </w:tc>
        <w:tc>
          <w:tcPr>
            <w:tcW w:w="51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DA82946">
            <w:pPr>
              <w:spacing w:line="240" w:lineRule="exact"/>
              <w:jc w:val="center"/>
              <w:rPr>
                <w:rFonts w:hint="eastAsia" w:ascii="宋体" w:hAnsi="宋体" w:eastAsia="宋体" w:cs="宋体"/>
                <w:b w:val="0"/>
                <w:bCs w:val="0"/>
                <w:sz w:val="18"/>
                <w:szCs w:val="18"/>
              </w:rPr>
            </w:pPr>
            <w:r>
              <w:rPr>
                <w:rFonts w:hint="eastAsia" w:ascii="宋体" w:hAnsi="宋体" w:eastAsia="宋体" w:cs="宋体"/>
                <w:b w:val="0"/>
                <w:bCs w:val="0"/>
                <w:sz w:val="18"/>
                <w:szCs w:val="18"/>
              </w:rPr>
              <w:t>严重</w:t>
            </w:r>
          </w:p>
        </w:tc>
        <w:tc>
          <w:tcPr>
            <w:tcW w:w="242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B9A2616">
            <w:pPr>
              <w:spacing w:line="240" w:lineRule="exact"/>
              <w:rPr>
                <w:rFonts w:hint="eastAsia" w:ascii="宋体" w:hAnsi="宋体" w:eastAsia="宋体" w:cs="宋体"/>
                <w:b w:val="0"/>
                <w:bCs w:val="0"/>
                <w:sz w:val="18"/>
                <w:szCs w:val="18"/>
                <w:lang w:bidi="ar"/>
              </w:rPr>
            </w:pPr>
            <w:r>
              <w:rPr>
                <w:rStyle w:val="21"/>
                <w:rFonts w:hint="eastAsia" w:ascii="宋体" w:hAnsi="宋体" w:eastAsia="宋体" w:cs="宋体"/>
                <w:b w:val="0"/>
                <w:bCs w:val="0"/>
                <w:color w:val="auto"/>
                <w:sz w:val="18"/>
                <w:szCs w:val="18"/>
                <w:lang w:bidi="ar"/>
              </w:rPr>
              <w:t>拒不停止违法行为，不采取补救措施的</w:t>
            </w:r>
          </w:p>
        </w:tc>
        <w:tc>
          <w:tcPr>
            <w:tcW w:w="1628"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78796FE">
            <w:pPr>
              <w:spacing w:line="240" w:lineRule="exact"/>
              <w:rPr>
                <w:rFonts w:hint="eastAsia" w:ascii="宋体" w:hAnsi="宋体" w:eastAsia="宋体" w:cs="宋体"/>
                <w:b w:val="0"/>
                <w:bCs w:val="0"/>
                <w:sz w:val="18"/>
                <w:szCs w:val="18"/>
                <w:lang w:bidi="ar"/>
              </w:rPr>
            </w:pPr>
            <w:r>
              <w:rPr>
                <w:rStyle w:val="21"/>
                <w:rFonts w:hint="eastAsia" w:ascii="宋体" w:hAnsi="宋体" w:eastAsia="宋体" w:cs="宋体"/>
                <w:b w:val="0"/>
                <w:bCs w:val="0"/>
                <w:color w:val="auto"/>
                <w:sz w:val="18"/>
                <w:szCs w:val="18"/>
                <w:lang w:bidi="ar"/>
              </w:rPr>
              <w:t>给予警告，处</w:t>
            </w:r>
            <w:r>
              <w:rPr>
                <w:rStyle w:val="21"/>
                <w:rFonts w:hint="eastAsia" w:ascii="宋体" w:hAnsi="宋体" w:eastAsia="宋体" w:cs="宋体"/>
                <w:b w:val="0"/>
                <w:bCs w:val="0"/>
                <w:color w:val="auto"/>
                <w:sz w:val="18"/>
                <w:szCs w:val="18"/>
                <w:lang w:val="en-US" w:eastAsia="zh-CN" w:bidi="ar"/>
              </w:rPr>
              <w:t>4</w:t>
            </w:r>
            <w:r>
              <w:rPr>
                <w:rStyle w:val="21"/>
                <w:rFonts w:hint="eastAsia" w:ascii="宋体" w:hAnsi="宋体" w:eastAsia="宋体" w:cs="宋体"/>
                <w:b w:val="0"/>
                <w:bCs w:val="0"/>
                <w:color w:val="auto"/>
                <w:sz w:val="18"/>
                <w:szCs w:val="18"/>
                <w:lang w:bidi="ar"/>
              </w:rPr>
              <w:t>万元以上</w:t>
            </w:r>
            <w:r>
              <w:rPr>
                <w:rStyle w:val="21"/>
                <w:rFonts w:hint="eastAsia" w:ascii="宋体" w:hAnsi="宋体" w:eastAsia="宋体" w:cs="宋体"/>
                <w:b w:val="0"/>
                <w:bCs w:val="0"/>
                <w:color w:val="auto"/>
                <w:sz w:val="18"/>
                <w:szCs w:val="18"/>
                <w:lang w:val="en-US" w:eastAsia="zh-CN" w:bidi="ar"/>
              </w:rPr>
              <w:t>5</w:t>
            </w:r>
            <w:r>
              <w:rPr>
                <w:rStyle w:val="21"/>
                <w:rFonts w:hint="eastAsia" w:ascii="宋体" w:hAnsi="宋体" w:eastAsia="宋体" w:cs="宋体"/>
                <w:b w:val="0"/>
                <w:bCs w:val="0"/>
                <w:color w:val="auto"/>
                <w:sz w:val="18"/>
                <w:szCs w:val="18"/>
                <w:lang w:bidi="ar"/>
              </w:rPr>
              <w:t>万元以下的罚款</w:t>
            </w:r>
          </w:p>
        </w:tc>
        <w:tc>
          <w:tcPr>
            <w:tcW w:w="739" w:type="dxa"/>
            <w:vMerge w:val="continue"/>
            <w:tcBorders>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2E7C68D">
            <w:pPr>
              <w:spacing w:line="240" w:lineRule="exact"/>
              <w:jc w:val="center"/>
              <w:rPr>
                <w:rStyle w:val="21"/>
                <w:rFonts w:hint="eastAsia" w:ascii="宋体" w:hAnsi="宋体" w:eastAsia="宋体" w:cs="宋体"/>
                <w:b w:val="0"/>
                <w:bCs w:val="0"/>
                <w:color w:val="auto"/>
                <w:sz w:val="18"/>
                <w:szCs w:val="18"/>
                <w:lang w:bidi="ar"/>
              </w:rPr>
            </w:pPr>
          </w:p>
        </w:tc>
      </w:tr>
      <w:tr w14:paraId="010A5E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2" w:hRule="atLeast"/>
          <w:jc w:val="center"/>
        </w:trPr>
        <w:tc>
          <w:tcPr>
            <w:tcW w:w="474" w:type="dxa"/>
            <w:vMerge w:val="continue"/>
            <w:tcBorders>
              <w:left w:val="single" w:color="auto" w:sz="4" w:space="0"/>
              <w:right w:val="single" w:color="auto" w:sz="4" w:space="0"/>
            </w:tcBorders>
            <w:noWrap w:val="0"/>
            <w:tcMar>
              <w:top w:w="0" w:type="dxa"/>
              <w:left w:w="0" w:type="dxa"/>
              <w:bottom w:w="0" w:type="dxa"/>
              <w:right w:w="0" w:type="dxa"/>
            </w:tcMar>
            <w:vAlign w:val="center"/>
          </w:tcPr>
          <w:p w14:paraId="31899CC9">
            <w:pPr>
              <w:spacing w:line="240" w:lineRule="exact"/>
              <w:jc w:val="center"/>
              <w:rPr>
                <w:rFonts w:hint="eastAsia" w:ascii="宋体" w:hAnsi="宋体" w:eastAsia="宋体" w:cs="宋体"/>
                <w:b w:val="0"/>
                <w:bCs w:val="0"/>
                <w:sz w:val="18"/>
                <w:szCs w:val="18"/>
              </w:rPr>
            </w:pPr>
          </w:p>
        </w:tc>
        <w:tc>
          <w:tcPr>
            <w:tcW w:w="1236" w:type="dxa"/>
            <w:vMerge w:val="continue"/>
            <w:tcBorders>
              <w:left w:val="single" w:color="auto" w:sz="4" w:space="0"/>
              <w:right w:val="single" w:color="auto" w:sz="4" w:space="0"/>
            </w:tcBorders>
            <w:noWrap w:val="0"/>
            <w:tcMar>
              <w:top w:w="0" w:type="dxa"/>
              <w:left w:w="0" w:type="dxa"/>
              <w:bottom w:w="0" w:type="dxa"/>
              <w:right w:w="0" w:type="dxa"/>
            </w:tcMar>
            <w:vAlign w:val="center"/>
          </w:tcPr>
          <w:p w14:paraId="4FF7E73C">
            <w:pPr>
              <w:widowControl/>
              <w:spacing w:line="240" w:lineRule="exact"/>
              <w:textAlignment w:val="center"/>
              <w:rPr>
                <w:rFonts w:hint="eastAsia" w:ascii="宋体" w:hAnsi="宋体" w:eastAsia="宋体" w:cs="宋体"/>
                <w:b w:val="0"/>
                <w:bCs w:val="0"/>
                <w:kern w:val="0"/>
                <w:sz w:val="18"/>
                <w:szCs w:val="18"/>
                <w:lang w:bidi="ar"/>
              </w:rPr>
            </w:pPr>
          </w:p>
        </w:tc>
        <w:tc>
          <w:tcPr>
            <w:tcW w:w="6027" w:type="dxa"/>
            <w:vMerge w:val="continue"/>
            <w:tcBorders>
              <w:left w:val="single" w:color="auto" w:sz="4" w:space="0"/>
              <w:right w:val="single" w:color="auto" w:sz="4" w:space="0"/>
            </w:tcBorders>
            <w:noWrap w:val="0"/>
            <w:tcMar>
              <w:top w:w="0" w:type="dxa"/>
              <w:left w:w="0" w:type="dxa"/>
              <w:bottom w:w="0" w:type="dxa"/>
              <w:right w:w="0" w:type="dxa"/>
            </w:tcMar>
            <w:vAlign w:val="center"/>
          </w:tcPr>
          <w:p w14:paraId="575DD5DD">
            <w:pPr>
              <w:widowControl/>
              <w:spacing w:line="240" w:lineRule="exact"/>
              <w:ind w:firstLine="360" w:firstLineChars="200"/>
              <w:textAlignment w:val="center"/>
              <w:rPr>
                <w:rFonts w:hint="eastAsia" w:ascii="宋体" w:hAnsi="宋体" w:eastAsia="宋体" w:cs="宋体"/>
                <w:b w:val="0"/>
                <w:bCs w:val="0"/>
                <w:kern w:val="0"/>
                <w:sz w:val="18"/>
                <w:szCs w:val="18"/>
                <w:lang w:bidi="ar"/>
              </w:rPr>
            </w:pPr>
          </w:p>
        </w:tc>
        <w:tc>
          <w:tcPr>
            <w:tcW w:w="1849" w:type="dxa"/>
            <w:vMerge w:val="restart"/>
            <w:tcBorders>
              <w:left w:val="single" w:color="auto" w:sz="4" w:space="0"/>
              <w:right w:val="single" w:color="auto" w:sz="4" w:space="0"/>
            </w:tcBorders>
            <w:noWrap w:val="0"/>
            <w:tcMar>
              <w:top w:w="0" w:type="dxa"/>
              <w:left w:w="0" w:type="dxa"/>
              <w:bottom w:w="0" w:type="dxa"/>
              <w:right w:w="0" w:type="dxa"/>
            </w:tcMar>
            <w:vAlign w:val="center"/>
          </w:tcPr>
          <w:p w14:paraId="001D5F2E">
            <w:pPr>
              <w:spacing w:line="240" w:lineRule="exact"/>
              <w:jc w:val="both"/>
              <w:rPr>
                <w:rFonts w:hint="eastAsia" w:ascii="宋体" w:hAnsi="宋体" w:eastAsia="宋体" w:cs="宋体"/>
                <w:b w:val="0"/>
                <w:bCs w:val="0"/>
                <w:sz w:val="18"/>
                <w:szCs w:val="18"/>
              </w:rPr>
            </w:pPr>
            <w:r>
              <w:rPr>
                <w:rFonts w:hint="eastAsia" w:ascii="宋体" w:hAnsi="宋体" w:eastAsia="宋体" w:cs="宋体"/>
                <w:b w:val="0"/>
                <w:bCs w:val="0"/>
                <w:kern w:val="0"/>
                <w:sz w:val="18"/>
                <w:szCs w:val="18"/>
                <w:lang w:bidi="ar"/>
              </w:rPr>
              <w:t>干预和阻挠工程管理人员履行职责；拦截、抢占水源，破坏供水、用水、排水秩序；非工程管理人员操作闸门及各项设备；在坝顶、闸桥上行驶超过工程承载能力的车辆、履带拖拉机及雨后泥泞行车的</w:t>
            </w:r>
          </w:p>
        </w:tc>
        <w:tc>
          <w:tcPr>
            <w:tcW w:w="51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9CAE7B1">
            <w:pPr>
              <w:spacing w:line="240" w:lineRule="exact"/>
              <w:jc w:val="center"/>
              <w:rPr>
                <w:rFonts w:hint="eastAsia" w:ascii="宋体" w:hAnsi="宋体" w:eastAsia="宋体" w:cs="宋体"/>
                <w:b w:val="0"/>
                <w:bCs w:val="0"/>
                <w:sz w:val="18"/>
                <w:szCs w:val="18"/>
              </w:rPr>
            </w:pPr>
            <w:r>
              <w:rPr>
                <w:rFonts w:hint="eastAsia" w:ascii="宋体" w:hAnsi="宋体" w:eastAsia="宋体" w:cs="宋体"/>
                <w:b w:val="0"/>
                <w:bCs w:val="0"/>
                <w:sz w:val="18"/>
                <w:szCs w:val="18"/>
              </w:rPr>
              <w:t>轻微</w:t>
            </w:r>
          </w:p>
        </w:tc>
        <w:tc>
          <w:tcPr>
            <w:tcW w:w="242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EA2C9F0">
            <w:pPr>
              <w:spacing w:line="240" w:lineRule="exact"/>
              <w:rPr>
                <w:rStyle w:val="21"/>
                <w:rFonts w:hint="eastAsia" w:ascii="宋体" w:hAnsi="宋体" w:eastAsia="宋体" w:cs="宋体"/>
                <w:b w:val="0"/>
                <w:bCs w:val="0"/>
                <w:color w:val="auto"/>
                <w:sz w:val="18"/>
                <w:szCs w:val="18"/>
                <w:lang w:bidi="ar"/>
              </w:rPr>
            </w:pPr>
            <w:r>
              <w:rPr>
                <w:rStyle w:val="21"/>
                <w:rFonts w:hint="eastAsia" w:ascii="宋体" w:hAnsi="宋体" w:eastAsia="宋体" w:cs="宋体"/>
                <w:b w:val="0"/>
                <w:bCs w:val="0"/>
                <w:color w:val="auto"/>
                <w:sz w:val="18"/>
                <w:szCs w:val="18"/>
                <w:lang w:bidi="ar"/>
              </w:rPr>
              <w:t>1.初次违法；</w:t>
            </w:r>
          </w:p>
          <w:p w14:paraId="3FCED9FC">
            <w:pPr>
              <w:spacing w:line="240" w:lineRule="exact"/>
              <w:rPr>
                <w:rStyle w:val="21"/>
                <w:rFonts w:hint="eastAsia" w:ascii="宋体" w:hAnsi="宋体" w:eastAsia="宋体" w:cs="宋体"/>
                <w:b w:val="0"/>
                <w:bCs w:val="0"/>
                <w:color w:val="auto"/>
                <w:sz w:val="18"/>
                <w:szCs w:val="18"/>
                <w:lang w:bidi="ar"/>
              </w:rPr>
            </w:pPr>
            <w:r>
              <w:rPr>
                <w:rStyle w:val="21"/>
                <w:rFonts w:hint="eastAsia" w:ascii="宋体" w:hAnsi="宋体" w:eastAsia="宋体" w:cs="宋体"/>
                <w:b w:val="0"/>
                <w:bCs w:val="0"/>
                <w:color w:val="auto"/>
                <w:sz w:val="18"/>
                <w:szCs w:val="18"/>
                <w:lang w:bidi="ar"/>
              </w:rPr>
              <w:t>2.纠正违法行为，签署承诺书，立即赔偿损失、采取补救措施未造成危害后果的；</w:t>
            </w:r>
          </w:p>
          <w:p w14:paraId="561D6425">
            <w:pPr>
              <w:spacing w:line="240" w:lineRule="exact"/>
              <w:rPr>
                <w:rStyle w:val="21"/>
                <w:rFonts w:hint="eastAsia" w:ascii="宋体" w:hAnsi="宋体" w:eastAsia="宋体" w:cs="宋体"/>
                <w:b w:val="0"/>
                <w:bCs w:val="0"/>
                <w:color w:val="auto"/>
                <w:sz w:val="18"/>
                <w:szCs w:val="18"/>
                <w:lang w:bidi="ar"/>
              </w:rPr>
            </w:pPr>
            <w:r>
              <w:rPr>
                <w:rStyle w:val="21"/>
                <w:rFonts w:hint="eastAsia" w:ascii="宋体" w:hAnsi="宋体" w:eastAsia="宋体" w:cs="宋体"/>
                <w:b w:val="0"/>
                <w:bCs w:val="0"/>
                <w:color w:val="auto"/>
                <w:sz w:val="18"/>
                <w:szCs w:val="18"/>
                <w:lang w:bidi="ar"/>
              </w:rPr>
              <w:t>3.未对水利工程安全造成影响的；</w:t>
            </w:r>
          </w:p>
          <w:p w14:paraId="54CAD87F">
            <w:pPr>
              <w:spacing w:line="240" w:lineRule="exact"/>
              <w:rPr>
                <w:rStyle w:val="21"/>
                <w:rFonts w:hint="eastAsia" w:ascii="宋体" w:hAnsi="宋体" w:eastAsia="宋体" w:cs="宋体"/>
                <w:b w:val="0"/>
                <w:bCs w:val="0"/>
                <w:color w:val="auto"/>
                <w:sz w:val="18"/>
                <w:szCs w:val="18"/>
                <w:lang w:bidi="ar"/>
              </w:rPr>
            </w:pPr>
            <w:r>
              <w:rPr>
                <w:rStyle w:val="21"/>
                <w:rFonts w:hint="eastAsia" w:ascii="宋体" w:hAnsi="宋体" w:eastAsia="宋体" w:cs="宋体"/>
                <w:b w:val="0"/>
                <w:bCs w:val="0"/>
                <w:sz w:val="18"/>
                <w:szCs w:val="18"/>
                <w:lang w:val="en-US" w:eastAsia="zh-CN" w:bidi="ar"/>
              </w:rPr>
              <w:t>（注：符合上述所有情形的，不予处罚，应将本次违法情况进行登记备案，以后再发生类似问题的将不再适用本条件）</w:t>
            </w:r>
          </w:p>
        </w:tc>
        <w:tc>
          <w:tcPr>
            <w:tcW w:w="1628"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C1E08D9">
            <w:pPr>
              <w:spacing w:line="240" w:lineRule="exact"/>
              <w:rPr>
                <w:rStyle w:val="21"/>
                <w:rFonts w:hint="eastAsia" w:ascii="宋体" w:hAnsi="宋体" w:eastAsia="宋体" w:cs="宋体"/>
                <w:b w:val="0"/>
                <w:bCs w:val="0"/>
                <w:color w:val="auto"/>
                <w:sz w:val="18"/>
                <w:szCs w:val="18"/>
                <w:lang w:bidi="ar"/>
              </w:rPr>
            </w:pPr>
            <w:r>
              <w:rPr>
                <w:rStyle w:val="21"/>
                <w:rFonts w:hint="eastAsia" w:ascii="宋体" w:hAnsi="宋体" w:eastAsia="宋体" w:cs="宋体"/>
                <w:b w:val="0"/>
                <w:bCs w:val="0"/>
                <w:color w:val="auto"/>
                <w:sz w:val="18"/>
                <w:szCs w:val="18"/>
                <w:lang w:bidi="ar"/>
              </w:rPr>
              <w:t>不予处罚</w:t>
            </w:r>
          </w:p>
        </w:tc>
        <w:tc>
          <w:tcPr>
            <w:tcW w:w="739" w:type="dxa"/>
            <w:vMerge w:val="restart"/>
            <w:tcBorders>
              <w:top w:val="single" w:color="auto" w:sz="4" w:space="0"/>
              <w:left w:val="single" w:color="auto" w:sz="4" w:space="0"/>
              <w:right w:val="single" w:color="auto" w:sz="4" w:space="0"/>
            </w:tcBorders>
            <w:noWrap w:val="0"/>
            <w:tcMar>
              <w:top w:w="0" w:type="dxa"/>
              <w:left w:w="0" w:type="dxa"/>
              <w:bottom w:w="0" w:type="dxa"/>
              <w:right w:w="0" w:type="dxa"/>
            </w:tcMar>
            <w:vAlign w:val="center"/>
          </w:tcPr>
          <w:p w14:paraId="149B9D52">
            <w:pPr>
              <w:spacing w:line="240" w:lineRule="exact"/>
              <w:jc w:val="center"/>
              <w:rPr>
                <w:rFonts w:hint="eastAsia" w:ascii="宋体" w:hAnsi="宋体" w:eastAsia="宋体" w:cs="宋体"/>
                <w:b w:val="0"/>
                <w:bCs w:val="0"/>
                <w:sz w:val="18"/>
                <w:szCs w:val="18"/>
              </w:rPr>
            </w:pPr>
          </w:p>
        </w:tc>
      </w:tr>
      <w:tr w14:paraId="6ED70D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atLeast"/>
          <w:jc w:val="center"/>
        </w:trPr>
        <w:tc>
          <w:tcPr>
            <w:tcW w:w="474" w:type="dxa"/>
            <w:vMerge w:val="continue"/>
            <w:tcBorders>
              <w:left w:val="single" w:color="auto" w:sz="4" w:space="0"/>
              <w:right w:val="single" w:color="auto" w:sz="4" w:space="0"/>
            </w:tcBorders>
            <w:noWrap w:val="0"/>
            <w:tcMar>
              <w:top w:w="0" w:type="dxa"/>
              <w:left w:w="0" w:type="dxa"/>
              <w:bottom w:w="0" w:type="dxa"/>
              <w:right w:w="0" w:type="dxa"/>
            </w:tcMar>
            <w:vAlign w:val="center"/>
          </w:tcPr>
          <w:p w14:paraId="5CB6F4B9">
            <w:pPr>
              <w:spacing w:line="240" w:lineRule="exact"/>
              <w:jc w:val="center"/>
              <w:rPr>
                <w:rFonts w:hint="eastAsia" w:ascii="宋体" w:hAnsi="宋体" w:eastAsia="宋体" w:cs="宋体"/>
                <w:b w:val="0"/>
                <w:bCs w:val="0"/>
                <w:sz w:val="18"/>
                <w:szCs w:val="18"/>
              </w:rPr>
            </w:pPr>
          </w:p>
        </w:tc>
        <w:tc>
          <w:tcPr>
            <w:tcW w:w="1236" w:type="dxa"/>
            <w:vMerge w:val="continue"/>
            <w:tcBorders>
              <w:left w:val="single" w:color="auto" w:sz="4" w:space="0"/>
              <w:right w:val="single" w:color="auto" w:sz="4" w:space="0"/>
            </w:tcBorders>
            <w:noWrap w:val="0"/>
            <w:tcMar>
              <w:top w:w="0" w:type="dxa"/>
              <w:left w:w="0" w:type="dxa"/>
              <w:bottom w:w="0" w:type="dxa"/>
              <w:right w:w="0" w:type="dxa"/>
            </w:tcMar>
            <w:vAlign w:val="center"/>
          </w:tcPr>
          <w:p w14:paraId="1BFFC4BD">
            <w:pPr>
              <w:widowControl/>
              <w:spacing w:line="240" w:lineRule="exact"/>
              <w:textAlignment w:val="center"/>
              <w:rPr>
                <w:rFonts w:hint="eastAsia" w:ascii="宋体" w:hAnsi="宋体" w:eastAsia="宋体" w:cs="宋体"/>
                <w:b w:val="0"/>
                <w:bCs w:val="0"/>
                <w:kern w:val="0"/>
                <w:sz w:val="18"/>
                <w:szCs w:val="18"/>
                <w:lang w:bidi="ar"/>
              </w:rPr>
            </w:pPr>
          </w:p>
        </w:tc>
        <w:tc>
          <w:tcPr>
            <w:tcW w:w="6027" w:type="dxa"/>
            <w:vMerge w:val="continue"/>
            <w:tcBorders>
              <w:left w:val="single" w:color="auto" w:sz="4" w:space="0"/>
              <w:right w:val="single" w:color="auto" w:sz="4" w:space="0"/>
            </w:tcBorders>
            <w:noWrap w:val="0"/>
            <w:tcMar>
              <w:top w:w="0" w:type="dxa"/>
              <w:left w:w="0" w:type="dxa"/>
              <w:bottom w:w="0" w:type="dxa"/>
              <w:right w:w="0" w:type="dxa"/>
            </w:tcMar>
            <w:vAlign w:val="center"/>
          </w:tcPr>
          <w:p w14:paraId="2FBDC480">
            <w:pPr>
              <w:widowControl/>
              <w:spacing w:line="240" w:lineRule="exact"/>
              <w:ind w:firstLine="360" w:firstLineChars="200"/>
              <w:textAlignment w:val="center"/>
              <w:rPr>
                <w:rFonts w:hint="eastAsia" w:ascii="宋体" w:hAnsi="宋体" w:eastAsia="宋体" w:cs="宋体"/>
                <w:b w:val="0"/>
                <w:bCs w:val="0"/>
                <w:kern w:val="0"/>
                <w:sz w:val="18"/>
                <w:szCs w:val="18"/>
                <w:lang w:bidi="ar"/>
              </w:rPr>
            </w:pPr>
          </w:p>
        </w:tc>
        <w:tc>
          <w:tcPr>
            <w:tcW w:w="1849" w:type="dxa"/>
            <w:vMerge w:val="continue"/>
            <w:tcBorders>
              <w:left w:val="single" w:color="auto" w:sz="4" w:space="0"/>
              <w:right w:val="single" w:color="auto" w:sz="4" w:space="0"/>
            </w:tcBorders>
            <w:noWrap w:val="0"/>
            <w:tcMar>
              <w:top w:w="0" w:type="dxa"/>
              <w:left w:w="0" w:type="dxa"/>
              <w:bottom w:w="0" w:type="dxa"/>
              <w:right w:w="0" w:type="dxa"/>
            </w:tcMar>
            <w:vAlign w:val="center"/>
          </w:tcPr>
          <w:p w14:paraId="485CF481">
            <w:pPr>
              <w:spacing w:line="240" w:lineRule="exact"/>
              <w:jc w:val="both"/>
              <w:rPr>
                <w:rFonts w:hint="eastAsia" w:ascii="宋体" w:hAnsi="宋体" w:eastAsia="宋体" w:cs="宋体"/>
                <w:b w:val="0"/>
                <w:bCs w:val="0"/>
                <w:sz w:val="18"/>
                <w:szCs w:val="18"/>
              </w:rPr>
            </w:pPr>
          </w:p>
        </w:tc>
        <w:tc>
          <w:tcPr>
            <w:tcW w:w="51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267CCA9">
            <w:pPr>
              <w:spacing w:line="240" w:lineRule="exact"/>
              <w:jc w:val="center"/>
              <w:rPr>
                <w:rFonts w:hint="eastAsia" w:ascii="宋体" w:hAnsi="宋体" w:eastAsia="宋体" w:cs="宋体"/>
                <w:b w:val="0"/>
                <w:bCs w:val="0"/>
                <w:sz w:val="18"/>
                <w:szCs w:val="18"/>
              </w:rPr>
            </w:pPr>
            <w:r>
              <w:rPr>
                <w:rFonts w:hint="eastAsia" w:ascii="宋体" w:hAnsi="宋体" w:eastAsia="宋体" w:cs="宋体"/>
                <w:b w:val="0"/>
                <w:bCs w:val="0"/>
                <w:sz w:val="18"/>
                <w:szCs w:val="18"/>
              </w:rPr>
              <w:t>较轻</w:t>
            </w:r>
          </w:p>
        </w:tc>
        <w:tc>
          <w:tcPr>
            <w:tcW w:w="242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D34373B">
            <w:pPr>
              <w:spacing w:line="240" w:lineRule="exact"/>
              <w:rPr>
                <w:rFonts w:hint="eastAsia" w:ascii="宋体" w:hAnsi="宋体" w:eastAsia="宋体" w:cs="宋体"/>
                <w:b w:val="0"/>
                <w:bCs w:val="0"/>
                <w:sz w:val="18"/>
                <w:szCs w:val="18"/>
                <w:lang w:bidi="ar"/>
              </w:rPr>
            </w:pPr>
            <w:r>
              <w:rPr>
                <w:rStyle w:val="21"/>
                <w:rFonts w:hint="eastAsia" w:ascii="宋体" w:hAnsi="宋体" w:eastAsia="宋体" w:cs="宋体"/>
                <w:b w:val="0"/>
                <w:bCs w:val="0"/>
                <w:color w:val="auto"/>
                <w:sz w:val="18"/>
                <w:szCs w:val="18"/>
                <w:lang w:bidi="ar"/>
              </w:rPr>
              <w:t>在堤顶、坝顶、闸桥上雨后泥泞行车的</w:t>
            </w:r>
          </w:p>
        </w:tc>
        <w:tc>
          <w:tcPr>
            <w:tcW w:w="1628"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66D59D6">
            <w:pPr>
              <w:spacing w:line="240" w:lineRule="exact"/>
              <w:rPr>
                <w:rFonts w:hint="eastAsia" w:ascii="宋体" w:hAnsi="宋体" w:eastAsia="宋体" w:cs="宋体"/>
                <w:b w:val="0"/>
                <w:bCs w:val="0"/>
                <w:sz w:val="18"/>
                <w:szCs w:val="18"/>
                <w:lang w:bidi="ar"/>
              </w:rPr>
            </w:pPr>
            <w:r>
              <w:rPr>
                <w:rStyle w:val="21"/>
                <w:rFonts w:hint="eastAsia" w:ascii="宋体" w:hAnsi="宋体" w:eastAsia="宋体" w:cs="宋体"/>
                <w:b w:val="0"/>
                <w:bCs w:val="0"/>
                <w:color w:val="auto"/>
                <w:sz w:val="18"/>
                <w:szCs w:val="18"/>
                <w:lang w:bidi="ar"/>
              </w:rPr>
              <w:t>给予警告，处罚款</w:t>
            </w:r>
            <w:r>
              <w:rPr>
                <w:rStyle w:val="21"/>
                <w:rFonts w:hint="eastAsia" w:ascii="宋体" w:hAnsi="宋体" w:eastAsia="宋体" w:cs="宋体"/>
                <w:b w:val="0"/>
                <w:bCs w:val="0"/>
                <w:color w:val="auto"/>
                <w:sz w:val="18"/>
                <w:szCs w:val="18"/>
                <w:lang w:val="en-US" w:eastAsia="zh-CN" w:bidi="ar"/>
              </w:rPr>
              <w:t>50</w:t>
            </w:r>
            <w:r>
              <w:rPr>
                <w:rStyle w:val="21"/>
                <w:rFonts w:hint="eastAsia" w:ascii="宋体" w:hAnsi="宋体" w:eastAsia="宋体" w:cs="宋体"/>
                <w:b w:val="0"/>
                <w:bCs w:val="0"/>
                <w:color w:val="auto"/>
                <w:sz w:val="18"/>
                <w:szCs w:val="18"/>
                <w:lang w:bidi="ar"/>
              </w:rPr>
              <w:t>元以上</w:t>
            </w:r>
            <w:r>
              <w:rPr>
                <w:rStyle w:val="21"/>
                <w:rFonts w:hint="eastAsia" w:ascii="宋体" w:hAnsi="宋体" w:eastAsia="宋体" w:cs="宋体"/>
                <w:b w:val="0"/>
                <w:bCs w:val="0"/>
                <w:color w:val="auto"/>
                <w:sz w:val="18"/>
                <w:szCs w:val="18"/>
                <w:lang w:val="en-US" w:eastAsia="zh-CN" w:bidi="ar"/>
              </w:rPr>
              <w:t>300</w:t>
            </w:r>
            <w:r>
              <w:rPr>
                <w:rStyle w:val="21"/>
                <w:rFonts w:hint="eastAsia" w:ascii="宋体" w:hAnsi="宋体" w:eastAsia="宋体" w:cs="宋体"/>
                <w:b w:val="0"/>
                <w:bCs w:val="0"/>
                <w:color w:val="auto"/>
                <w:sz w:val="18"/>
                <w:szCs w:val="18"/>
                <w:lang w:bidi="ar"/>
              </w:rPr>
              <w:t>元以下</w:t>
            </w:r>
          </w:p>
        </w:tc>
        <w:tc>
          <w:tcPr>
            <w:tcW w:w="739" w:type="dxa"/>
            <w:vMerge w:val="continue"/>
            <w:tcBorders>
              <w:left w:val="single" w:color="auto" w:sz="4" w:space="0"/>
              <w:right w:val="single" w:color="auto" w:sz="4" w:space="0"/>
            </w:tcBorders>
            <w:noWrap w:val="0"/>
            <w:tcMar>
              <w:top w:w="0" w:type="dxa"/>
              <w:left w:w="0" w:type="dxa"/>
              <w:bottom w:w="0" w:type="dxa"/>
              <w:right w:w="0" w:type="dxa"/>
            </w:tcMar>
            <w:vAlign w:val="center"/>
          </w:tcPr>
          <w:p w14:paraId="44AE0625">
            <w:pPr>
              <w:spacing w:line="240" w:lineRule="exact"/>
              <w:jc w:val="center"/>
              <w:rPr>
                <w:rStyle w:val="21"/>
                <w:rFonts w:hint="eastAsia" w:ascii="宋体" w:hAnsi="宋体" w:eastAsia="宋体" w:cs="宋体"/>
                <w:b w:val="0"/>
                <w:bCs w:val="0"/>
                <w:color w:val="auto"/>
                <w:sz w:val="18"/>
                <w:szCs w:val="18"/>
                <w:lang w:bidi="ar"/>
              </w:rPr>
            </w:pPr>
          </w:p>
        </w:tc>
      </w:tr>
      <w:tr w14:paraId="6217B4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3" w:hRule="atLeast"/>
          <w:jc w:val="center"/>
        </w:trPr>
        <w:tc>
          <w:tcPr>
            <w:tcW w:w="474" w:type="dxa"/>
            <w:vMerge w:val="continue"/>
            <w:tcBorders>
              <w:left w:val="single" w:color="auto" w:sz="4" w:space="0"/>
              <w:right w:val="single" w:color="auto" w:sz="4" w:space="0"/>
            </w:tcBorders>
            <w:noWrap w:val="0"/>
            <w:tcMar>
              <w:top w:w="0" w:type="dxa"/>
              <w:left w:w="0" w:type="dxa"/>
              <w:bottom w:w="0" w:type="dxa"/>
              <w:right w:w="0" w:type="dxa"/>
            </w:tcMar>
            <w:vAlign w:val="center"/>
          </w:tcPr>
          <w:p w14:paraId="1C0396FF">
            <w:pPr>
              <w:spacing w:line="240" w:lineRule="exact"/>
              <w:jc w:val="center"/>
              <w:rPr>
                <w:rFonts w:hint="eastAsia" w:ascii="宋体" w:hAnsi="宋体" w:eastAsia="宋体" w:cs="宋体"/>
                <w:b w:val="0"/>
                <w:bCs w:val="0"/>
                <w:sz w:val="18"/>
                <w:szCs w:val="18"/>
              </w:rPr>
            </w:pPr>
          </w:p>
        </w:tc>
        <w:tc>
          <w:tcPr>
            <w:tcW w:w="1236" w:type="dxa"/>
            <w:vMerge w:val="continue"/>
            <w:tcBorders>
              <w:left w:val="single" w:color="auto" w:sz="4" w:space="0"/>
              <w:right w:val="single" w:color="auto" w:sz="4" w:space="0"/>
            </w:tcBorders>
            <w:noWrap w:val="0"/>
            <w:tcMar>
              <w:top w:w="0" w:type="dxa"/>
              <w:left w:w="0" w:type="dxa"/>
              <w:bottom w:w="0" w:type="dxa"/>
              <w:right w:w="0" w:type="dxa"/>
            </w:tcMar>
            <w:vAlign w:val="center"/>
          </w:tcPr>
          <w:p w14:paraId="49708463">
            <w:pPr>
              <w:widowControl/>
              <w:spacing w:line="240" w:lineRule="exact"/>
              <w:textAlignment w:val="center"/>
              <w:rPr>
                <w:rFonts w:hint="eastAsia" w:ascii="宋体" w:hAnsi="宋体" w:eastAsia="宋体" w:cs="宋体"/>
                <w:b w:val="0"/>
                <w:bCs w:val="0"/>
                <w:kern w:val="0"/>
                <w:sz w:val="18"/>
                <w:szCs w:val="18"/>
                <w:lang w:bidi="ar"/>
              </w:rPr>
            </w:pPr>
          </w:p>
        </w:tc>
        <w:tc>
          <w:tcPr>
            <w:tcW w:w="6027" w:type="dxa"/>
            <w:vMerge w:val="continue"/>
            <w:tcBorders>
              <w:left w:val="single" w:color="auto" w:sz="4" w:space="0"/>
              <w:right w:val="single" w:color="auto" w:sz="4" w:space="0"/>
            </w:tcBorders>
            <w:noWrap w:val="0"/>
            <w:tcMar>
              <w:top w:w="0" w:type="dxa"/>
              <w:left w:w="0" w:type="dxa"/>
              <w:bottom w:w="0" w:type="dxa"/>
              <w:right w:w="0" w:type="dxa"/>
            </w:tcMar>
            <w:vAlign w:val="center"/>
          </w:tcPr>
          <w:p w14:paraId="0C3DB15C">
            <w:pPr>
              <w:widowControl/>
              <w:spacing w:line="240" w:lineRule="exact"/>
              <w:ind w:firstLine="360" w:firstLineChars="200"/>
              <w:textAlignment w:val="center"/>
              <w:rPr>
                <w:rFonts w:hint="eastAsia" w:ascii="宋体" w:hAnsi="宋体" w:eastAsia="宋体" w:cs="宋体"/>
                <w:b w:val="0"/>
                <w:bCs w:val="0"/>
                <w:kern w:val="0"/>
                <w:sz w:val="18"/>
                <w:szCs w:val="18"/>
                <w:lang w:bidi="ar"/>
              </w:rPr>
            </w:pPr>
          </w:p>
        </w:tc>
        <w:tc>
          <w:tcPr>
            <w:tcW w:w="1849" w:type="dxa"/>
            <w:vMerge w:val="continue"/>
            <w:tcBorders>
              <w:left w:val="single" w:color="auto" w:sz="4" w:space="0"/>
              <w:right w:val="single" w:color="auto" w:sz="4" w:space="0"/>
            </w:tcBorders>
            <w:noWrap w:val="0"/>
            <w:tcMar>
              <w:top w:w="0" w:type="dxa"/>
              <w:left w:w="0" w:type="dxa"/>
              <w:bottom w:w="0" w:type="dxa"/>
              <w:right w:w="0" w:type="dxa"/>
            </w:tcMar>
            <w:vAlign w:val="center"/>
          </w:tcPr>
          <w:p w14:paraId="766D9AAF">
            <w:pPr>
              <w:spacing w:line="240" w:lineRule="exact"/>
              <w:jc w:val="both"/>
              <w:rPr>
                <w:rFonts w:hint="eastAsia" w:ascii="宋体" w:hAnsi="宋体" w:eastAsia="宋体" w:cs="宋体"/>
                <w:b w:val="0"/>
                <w:bCs w:val="0"/>
                <w:sz w:val="18"/>
                <w:szCs w:val="18"/>
              </w:rPr>
            </w:pPr>
          </w:p>
        </w:tc>
        <w:tc>
          <w:tcPr>
            <w:tcW w:w="51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3424356">
            <w:pPr>
              <w:spacing w:line="240" w:lineRule="exact"/>
              <w:jc w:val="center"/>
              <w:rPr>
                <w:rFonts w:hint="eastAsia" w:ascii="宋体" w:hAnsi="宋体" w:eastAsia="宋体" w:cs="宋体"/>
                <w:b w:val="0"/>
                <w:bCs w:val="0"/>
                <w:sz w:val="18"/>
                <w:szCs w:val="18"/>
              </w:rPr>
            </w:pPr>
            <w:r>
              <w:rPr>
                <w:rFonts w:hint="eastAsia" w:ascii="宋体" w:hAnsi="宋体" w:eastAsia="宋体" w:cs="宋体"/>
                <w:b w:val="0"/>
                <w:bCs w:val="0"/>
                <w:sz w:val="18"/>
                <w:szCs w:val="18"/>
              </w:rPr>
              <w:t>一般</w:t>
            </w:r>
          </w:p>
        </w:tc>
        <w:tc>
          <w:tcPr>
            <w:tcW w:w="242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2E1C783">
            <w:pPr>
              <w:spacing w:line="240" w:lineRule="exact"/>
              <w:rPr>
                <w:rFonts w:hint="eastAsia" w:ascii="宋体" w:hAnsi="宋体" w:eastAsia="宋体" w:cs="宋体"/>
                <w:b w:val="0"/>
                <w:bCs w:val="0"/>
                <w:sz w:val="18"/>
                <w:szCs w:val="18"/>
                <w:lang w:bidi="ar"/>
              </w:rPr>
            </w:pPr>
            <w:r>
              <w:rPr>
                <w:rStyle w:val="21"/>
                <w:rFonts w:hint="eastAsia" w:ascii="宋体" w:hAnsi="宋体" w:eastAsia="宋体" w:cs="宋体"/>
                <w:b w:val="0"/>
                <w:bCs w:val="0"/>
                <w:color w:val="auto"/>
                <w:sz w:val="18"/>
                <w:szCs w:val="18"/>
                <w:lang w:bidi="ar"/>
              </w:rPr>
              <w:t>在堤顶、坝顶、闸桥上行驶超过工程承载能力的车辆、履带拖拉机的</w:t>
            </w:r>
          </w:p>
        </w:tc>
        <w:tc>
          <w:tcPr>
            <w:tcW w:w="1628"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40B9C9A">
            <w:pPr>
              <w:spacing w:line="240" w:lineRule="exact"/>
              <w:rPr>
                <w:rFonts w:hint="eastAsia" w:ascii="宋体" w:hAnsi="宋体" w:eastAsia="宋体" w:cs="宋体"/>
                <w:b w:val="0"/>
                <w:bCs w:val="0"/>
                <w:sz w:val="18"/>
                <w:szCs w:val="18"/>
                <w:lang w:bidi="ar"/>
              </w:rPr>
            </w:pPr>
            <w:r>
              <w:rPr>
                <w:rStyle w:val="21"/>
                <w:rFonts w:hint="eastAsia" w:ascii="宋体" w:hAnsi="宋体" w:eastAsia="宋体" w:cs="宋体"/>
                <w:b w:val="0"/>
                <w:bCs w:val="0"/>
                <w:color w:val="auto"/>
                <w:sz w:val="18"/>
                <w:szCs w:val="18"/>
                <w:lang w:bidi="ar"/>
              </w:rPr>
              <w:t>给予警告，处罚款</w:t>
            </w:r>
            <w:r>
              <w:rPr>
                <w:rStyle w:val="21"/>
                <w:rFonts w:hint="eastAsia" w:ascii="宋体" w:hAnsi="宋体" w:eastAsia="宋体" w:cs="宋体"/>
                <w:b w:val="0"/>
                <w:bCs w:val="0"/>
                <w:color w:val="auto"/>
                <w:sz w:val="18"/>
                <w:szCs w:val="18"/>
                <w:lang w:val="en-US" w:eastAsia="zh-CN" w:bidi="ar"/>
              </w:rPr>
              <w:t>300</w:t>
            </w:r>
            <w:r>
              <w:rPr>
                <w:rStyle w:val="21"/>
                <w:rFonts w:hint="eastAsia" w:ascii="宋体" w:hAnsi="宋体" w:eastAsia="宋体" w:cs="宋体"/>
                <w:b w:val="0"/>
                <w:bCs w:val="0"/>
                <w:color w:val="auto"/>
                <w:sz w:val="18"/>
                <w:szCs w:val="18"/>
                <w:lang w:bidi="ar"/>
              </w:rPr>
              <w:t>元以上</w:t>
            </w:r>
            <w:r>
              <w:rPr>
                <w:rStyle w:val="21"/>
                <w:rFonts w:hint="eastAsia" w:ascii="宋体" w:hAnsi="宋体" w:eastAsia="宋体" w:cs="宋体"/>
                <w:b w:val="0"/>
                <w:bCs w:val="0"/>
                <w:color w:val="auto"/>
                <w:sz w:val="18"/>
                <w:szCs w:val="18"/>
                <w:lang w:val="en-US" w:eastAsia="zh-CN" w:bidi="ar"/>
              </w:rPr>
              <w:t>500</w:t>
            </w:r>
            <w:r>
              <w:rPr>
                <w:rStyle w:val="21"/>
                <w:rFonts w:hint="eastAsia" w:ascii="宋体" w:hAnsi="宋体" w:eastAsia="宋体" w:cs="宋体"/>
                <w:b w:val="0"/>
                <w:bCs w:val="0"/>
                <w:color w:val="auto"/>
                <w:sz w:val="18"/>
                <w:szCs w:val="18"/>
                <w:lang w:bidi="ar"/>
              </w:rPr>
              <w:t>元以下</w:t>
            </w:r>
          </w:p>
        </w:tc>
        <w:tc>
          <w:tcPr>
            <w:tcW w:w="739" w:type="dxa"/>
            <w:vMerge w:val="continue"/>
            <w:tcBorders>
              <w:left w:val="single" w:color="auto" w:sz="4" w:space="0"/>
              <w:right w:val="single" w:color="auto" w:sz="4" w:space="0"/>
            </w:tcBorders>
            <w:noWrap w:val="0"/>
            <w:tcMar>
              <w:top w:w="0" w:type="dxa"/>
              <w:left w:w="0" w:type="dxa"/>
              <w:bottom w:w="0" w:type="dxa"/>
              <w:right w:w="0" w:type="dxa"/>
            </w:tcMar>
            <w:vAlign w:val="center"/>
          </w:tcPr>
          <w:p w14:paraId="1432E53F">
            <w:pPr>
              <w:spacing w:line="240" w:lineRule="exact"/>
              <w:jc w:val="center"/>
              <w:rPr>
                <w:rStyle w:val="21"/>
                <w:rFonts w:hint="eastAsia" w:ascii="宋体" w:hAnsi="宋体" w:eastAsia="宋体" w:cs="宋体"/>
                <w:b w:val="0"/>
                <w:bCs w:val="0"/>
                <w:color w:val="auto"/>
                <w:sz w:val="18"/>
                <w:szCs w:val="18"/>
                <w:lang w:bidi="ar"/>
              </w:rPr>
            </w:pPr>
          </w:p>
        </w:tc>
      </w:tr>
      <w:tr w14:paraId="3E762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74" w:type="dxa"/>
            <w:vMerge w:val="continue"/>
            <w:tcBorders>
              <w:left w:val="single" w:color="auto" w:sz="4" w:space="0"/>
              <w:right w:val="single" w:color="auto" w:sz="4" w:space="0"/>
            </w:tcBorders>
            <w:noWrap w:val="0"/>
            <w:tcMar>
              <w:top w:w="0" w:type="dxa"/>
              <w:left w:w="0" w:type="dxa"/>
              <w:bottom w:w="0" w:type="dxa"/>
              <w:right w:w="0" w:type="dxa"/>
            </w:tcMar>
            <w:vAlign w:val="center"/>
          </w:tcPr>
          <w:p w14:paraId="4EDDE6D8">
            <w:pPr>
              <w:spacing w:line="240" w:lineRule="exact"/>
              <w:jc w:val="center"/>
              <w:rPr>
                <w:rFonts w:hint="eastAsia" w:ascii="宋体" w:hAnsi="宋体" w:eastAsia="宋体" w:cs="宋体"/>
                <w:b w:val="0"/>
                <w:bCs w:val="0"/>
                <w:sz w:val="18"/>
                <w:szCs w:val="18"/>
              </w:rPr>
            </w:pPr>
          </w:p>
        </w:tc>
        <w:tc>
          <w:tcPr>
            <w:tcW w:w="1236" w:type="dxa"/>
            <w:vMerge w:val="continue"/>
            <w:tcBorders>
              <w:left w:val="single" w:color="auto" w:sz="4" w:space="0"/>
              <w:right w:val="single" w:color="auto" w:sz="4" w:space="0"/>
            </w:tcBorders>
            <w:noWrap w:val="0"/>
            <w:tcMar>
              <w:top w:w="0" w:type="dxa"/>
              <w:left w:w="0" w:type="dxa"/>
              <w:bottom w:w="0" w:type="dxa"/>
              <w:right w:w="0" w:type="dxa"/>
            </w:tcMar>
            <w:vAlign w:val="center"/>
          </w:tcPr>
          <w:p w14:paraId="3AD288FB">
            <w:pPr>
              <w:widowControl/>
              <w:spacing w:line="240" w:lineRule="exact"/>
              <w:textAlignment w:val="center"/>
              <w:rPr>
                <w:rFonts w:hint="eastAsia" w:ascii="宋体" w:hAnsi="宋体" w:eastAsia="宋体" w:cs="宋体"/>
                <w:b w:val="0"/>
                <w:bCs w:val="0"/>
                <w:kern w:val="0"/>
                <w:sz w:val="18"/>
                <w:szCs w:val="18"/>
                <w:lang w:bidi="ar"/>
              </w:rPr>
            </w:pPr>
          </w:p>
        </w:tc>
        <w:tc>
          <w:tcPr>
            <w:tcW w:w="6027" w:type="dxa"/>
            <w:vMerge w:val="continue"/>
            <w:tcBorders>
              <w:left w:val="single" w:color="auto" w:sz="4" w:space="0"/>
              <w:right w:val="single" w:color="auto" w:sz="4" w:space="0"/>
            </w:tcBorders>
            <w:noWrap w:val="0"/>
            <w:tcMar>
              <w:top w:w="0" w:type="dxa"/>
              <w:left w:w="0" w:type="dxa"/>
              <w:bottom w:w="0" w:type="dxa"/>
              <w:right w:w="0" w:type="dxa"/>
            </w:tcMar>
            <w:vAlign w:val="center"/>
          </w:tcPr>
          <w:p w14:paraId="6E0F17DB">
            <w:pPr>
              <w:widowControl/>
              <w:spacing w:line="240" w:lineRule="exact"/>
              <w:ind w:firstLine="360" w:firstLineChars="200"/>
              <w:textAlignment w:val="center"/>
              <w:rPr>
                <w:rFonts w:hint="eastAsia" w:ascii="宋体" w:hAnsi="宋体" w:eastAsia="宋体" w:cs="宋体"/>
                <w:b w:val="0"/>
                <w:bCs w:val="0"/>
                <w:kern w:val="0"/>
                <w:sz w:val="18"/>
                <w:szCs w:val="18"/>
                <w:lang w:bidi="ar"/>
              </w:rPr>
            </w:pPr>
          </w:p>
        </w:tc>
        <w:tc>
          <w:tcPr>
            <w:tcW w:w="1849" w:type="dxa"/>
            <w:vMerge w:val="continue"/>
            <w:tcBorders>
              <w:left w:val="single" w:color="auto" w:sz="4" w:space="0"/>
              <w:right w:val="single" w:color="auto" w:sz="4" w:space="0"/>
            </w:tcBorders>
            <w:noWrap w:val="0"/>
            <w:tcMar>
              <w:top w:w="0" w:type="dxa"/>
              <w:left w:w="0" w:type="dxa"/>
              <w:bottom w:w="0" w:type="dxa"/>
              <w:right w:w="0" w:type="dxa"/>
            </w:tcMar>
            <w:vAlign w:val="center"/>
          </w:tcPr>
          <w:p w14:paraId="45F26985">
            <w:pPr>
              <w:spacing w:line="240" w:lineRule="exact"/>
              <w:jc w:val="both"/>
              <w:rPr>
                <w:rFonts w:hint="eastAsia" w:ascii="宋体" w:hAnsi="宋体" w:eastAsia="宋体" w:cs="宋体"/>
                <w:b w:val="0"/>
                <w:bCs w:val="0"/>
                <w:sz w:val="18"/>
                <w:szCs w:val="18"/>
              </w:rPr>
            </w:pPr>
          </w:p>
        </w:tc>
        <w:tc>
          <w:tcPr>
            <w:tcW w:w="51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6C64E0B">
            <w:pPr>
              <w:spacing w:line="240" w:lineRule="exact"/>
              <w:jc w:val="center"/>
              <w:rPr>
                <w:rFonts w:hint="eastAsia" w:ascii="宋体" w:hAnsi="宋体" w:eastAsia="宋体" w:cs="宋体"/>
                <w:b w:val="0"/>
                <w:bCs w:val="0"/>
                <w:sz w:val="18"/>
                <w:szCs w:val="18"/>
                <w:lang w:eastAsia="zh-CN"/>
              </w:rPr>
            </w:pPr>
            <w:r>
              <w:rPr>
                <w:rFonts w:hint="eastAsia" w:ascii="宋体" w:hAnsi="宋体" w:eastAsia="宋体" w:cs="宋体"/>
                <w:b w:val="0"/>
                <w:bCs w:val="0"/>
                <w:sz w:val="18"/>
                <w:szCs w:val="18"/>
                <w:lang w:eastAsia="zh-CN"/>
              </w:rPr>
              <w:t>较重</w:t>
            </w:r>
          </w:p>
        </w:tc>
        <w:tc>
          <w:tcPr>
            <w:tcW w:w="242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3BCFE43">
            <w:pPr>
              <w:spacing w:line="240" w:lineRule="exact"/>
              <w:rPr>
                <w:rFonts w:hint="eastAsia" w:ascii="宋体" w:hAnsi="宋体" w:eastAsia="宋体" w:cs="宋体"/>
                <w:b w:val="0"/>
                <w:bCs w:val="0"/>
                <w:sz w:val="18"/>
                <w:szCs w:val="18"/>
                <w:lang w:bidi="ar"/>
              </w:rPr>
            </w:pPr>
            <w:r>
              <w:rPr>
                <w:rStyle w:val="21"/>
                <w:rFonts w:hint="eastAsia" w:ascii="宋体" w:hAnsi="宋体" w:eastAsia="宋体" w:cs="宋体"/>
                <w:b w:val="0"/>
                <w:bCs w:val="0"/>
                <w:color w:val="auto"/>
                <w:sz w:val="18"/>
                <w:szCs w:val="18"/>
                <w:lang w:bidi="ar"/>
              </w:rPr>
              <w:t>非工程管理人员操作闸门及各项设备的</w:t>
            </w:r>
          </w:p>
        </w:tc>
        <w:tc>
          <w:tcPr>
            <w:tcW w:w="1628"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CB1291F">
            <w:pPr>
              <w:spacing w:line="240" w:lineRule="exact"/>
              <w:rPr>
                <w:rFonts w:hint="eastAsia" w:ascii="宋体" w:hAnsi="宋体" w:eastAsia="宋体" w:cs="宋体"/>
                <w:b w:val="0"/>
                <w:bCs w:val="0"/>
                <w:sz w:val="18"/>
                <w:szCs w:val="18"/>
                <w:lang w:bidi="ar"/>
              </w:rPr>
            </w:pPr>
            <w:r>
              <w:rPr>
                <w:rStyle w:val="21"/>
                <w:rFonts w:hint="eastAsia" w:ascii="宋体" w:hAnsi="宋体" w:eastAsia="宋体" w:cs="宋体"/>
                <w:b w:val="0"/>
                <w:bCs w:val="0"/>
                <w:color w:val="auto"/>
                <w:sz w:val="18"/>
                <w:szCs w:val="18"/>
                <w:lang w:bidi="ar"/>
              </w:rPr>
              <w:t>给予警告，处罚款</w:t>
            </w:r>
            <w:r>
              <w:rPr>
                <w:rStyle w:val="21"/>
                <w:rFonts w:hint="eastAsia" w:ascii="宋体" w:hAnsi="宋体" w:eastAsia="宋体" w:cs="宋体"/>
                <w:b w:val="0"/>
                <w:bCs w:val="0"/>
                <w:color w:val="auto"/>
                <w:sz w:val="18"/>
                <w:szCs w:val="18"/>
                <w:lang w:val="en-US" w:eastAsia="zh-CN" w:bidi="ar"/>
              </w:rPr>
              <w:t>400</w:t>
            </w:r>
            <w:r>
              <w:rPr>
                <w:rStyle w:val="21"/>
                <w:rFonts w:hint="eastAsia" w:ascii="宋体" w:hAnsi="宋体" w:eastAsia="宋体" w:cs="宋体"/>
                <w:b w:val="0"/>
                <w:bCs w:val="0"/>
                <w:color w:val="auto"/>
                <w:sz w:val="18"/>
                <w:szCs w:val="18"/>
                <w:lang w:bidi="ar"/>
              </w:rPr>
              <w:t>元以上</w:t>
            </w:r>
            <w:r>
              <w:rPr>
                <w:rStyle w:val="21"/>
                <w:rFonts w:hint="eastAsia" w:ascii="宋体" w:hAnsi="宋体" w:eastAsia="宋体" w:cs="宋体"/>
                <w:b w:val="0"/>
                <w:bCs w:val="0"/>
                <w:color w:val="auto"/>
                <w:sz w:val="18"/>
                <w:szCs w:val="18"/>
                <w:lang w:val="en-US" w:eastAsia="zh-CN" w:bidi="ar"/>
              </w:rPr>
              <w:t>500</w:t>
            </w:r>
            <w:r>
              <w:rPr>
                <w:rStyle w:val="21"/>
                <w:rFonts w:hint="eastAsia" w:ascii="宋体" w:hAnsi="宋体" w:eastAsia="宋体" w:cs="宋体"/>
                <w:b w:val="0"/>
                <w:bCs w:val="0"/>
                <w:color w:val="auto"/>
                <w:sz w:val="18"/>
                <w:szCs w:val="18"/>
                <w:lang w:bidi="ar"/>
              </w:rPr>
              <w:t>元以下</w:t>
            </w:r>
          </w:p>
        </w:tc>
        <w:tc>
          <w:tcPr>
            <w:tcW w:w="739" w:type="dxa"/>
            <w:vMerge w:val="continue"/>
            <w:tcBorders>
              <w:left w:val="single" w:color="auto" w:sz="4" w:space="0"/>
              <w:right w:val="single" w:color="auto" w:sz="4" w:space="0"/>
            </w:tcBorders>
            <w:noWrap w:val="0"/>
            <w:tcMar>
              <w:top w:w="0" w:type="dxa"/>
              <w:left w:w="0" w:type="dxa"/>
              <w:bottom w:w="0" w:type="dxa"/>
              <w:right w:w="0" w:type="dxa"/>
            </w:tcMar>
            <w:vAlign w:val="center"/>
          </w:tcPr>
          <w:p w14:paraId="0085CBE9">
            <w:pPr>
              <w:spacing w:line="240" w:lineRule="exact"/>
              <w:jc w:val="center"/>
              <w:rPr>
                <w:rStyle w:val="21"/>
                <w:rFonts w:hint="eastAsia" w:ascii="宋体" w:hAnsi="宋体" w:eastAsia="宋体" w:cs="宋体"/>
                <w:b w:val="0"/>
                <w:bCs w:val="0"/>
                <w:color w:val="auto"/>
                <w:sz w:val="18"/>
                <w:szCs w:val="18"/>
                <w:lang w:bidi="ar"/>
              </w:rPr>
            </w:pPr>
          </w:p>
        </w:tc>
      </w:tr>
      <w:tr w14:paraId="294006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3" w:hRule="atLeast"/>
          <w:jc w:val="center"/>
        </w:trPr>
        <w:tc>
          <w:tcPr>
            <w:tcW w:w="474" w:type="dxa"/>
            <w:vMerge w:val="continue"/>
            <w:tcBorders>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B111A73">
            <w:pPr>
              <w:spacing w:line="240" w:lineRule="exact"/>
              <w:jc w:val="center"/>
              <w:rPr>
                <w:rFonts w:hint="eastAsia" w:ascii="宋体" w:hAnsi="宋体" w:eastAsia="宋体" w:cs="宋体"/>
                <w:b w:val="0"/>
                <w:bCs w:val="0"/>
                <w:sz w:val="18"/>
                <w:szCs w:val="18"/>
              </w:rPr>
            </w:pPr>
          </w:p>
        </w:tc>
        <w:tc>
          <w:tcPr>
            <w:tcW w:w="1236" w:type="dxa"/>
            <w:vMerge w:val="continue"/>
            <w:tcBorders>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F76AAF3">
            <w:pPr>
              <w:widowControl/>
              <w:spacing w:line="240" w:lineRule="exact"/>
              <w:textAlignment w:val="center"/>
              <w:rPr>
                <w:rFonts w:hint="eastAsia" w:ascii="宋体" w:hAnsi="宋体" w:eastAsia="宋体" w:cs="宋体"/>
                <w:b w:val="0"/>
                <w:bCs w:val="0"/>
                <w:kern w:val="0"/>
                <w:sz w:val="18"/>
                <w:szCs w:val="18"/>
                <w:lang w:bidi="ar"/>
              </w:rPr>
            </w:pPr>
          </w:p>
        </w:tc>
        <w:tc>
          <w:tcPr>
            <w:tcW w:w="6027" w:type="dxa"/>
            <w:vMerge w:val="continue"/>
            <w:tcBorders>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32F8AB3">
            <w:pPr>
              <w:widowControl/>
              <w:spacing w:line="240" w:lineRule="exact"/>
              <w:ind w:firstLine="360" w:firstLineChars="200"/>
              <w:textAlignment w:val="center"/>
              <w:rPr>
                <w:rFonts w:hint="eastAsia" w:ascii="宋体" w:hAnsi="宋体" w:eastAsia="宋体" w:cs="宋体"/>
                <w:b w:val="0"/>
                <w:bCs w:val="0"/>
                <w:kern w:val="0"/>
                <w:sz w:val="18"/>
                <w:szCs w:val="18"/>
                <w:lang w:bidi="ar"/>
              </w:rPr>
            </w:pPr>
          </w:p>
        </w:tc>
        <w:tc>
          <w:tcPr>
            <w:tcW w:w="1849" w:type="dxa"/>
            <w:vMerge w:val="continue"/>
            <w:tcBorders>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6948C09">
            <w:pPr>
              <w:spacing w:line="240" w:lineRule="exact"/>
              <w:jc w:val="both"/>
              <w:rPr>
                <w:rFonts w:hint="eastAsia" w:ascii="宋体" w:hAnsi="宋体" w:eastAsia="宋体" w:cs="宋体"/>
                <w:b w:val="0"/>
                <w:bCs w:val="0"/>
                <w:sz w:val="18"/>
                <w:szCs w:val="18"/>
              </w:rPr>
            </w:pPr>
          </w:p>
        </w:tc>
        <w:tc>
          <w:tcPr>
            <w:tcW w:w="51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4B3786C">
            <w:pPr>
              <w:spacing w:line="240" w:lineRule="exact"/>
              <w:jc w:val="center"/>
              <w:rPr>
                <w:rFonts w:hint="eastAsia" w:ascii="宋体" w:hAnsi="宋体" w:eastAsia="宋体" w:cs="宋体"/>
                <w:b w:val="0"/>
                <w:bCs w:val="0"/>
                <w:sz w:val="18"/>
                <w:szCs w:val="18"/>
              </w:rPr>
            </w:pPr>
            <w:r>
              <w:rPr>
                <w:rFonts w:hint="eastAsia" w:ascii="宋体" w:hAnsi="宋体" w:eastAsia="宋体" w:cs="宋体"/>
                <w:b w:val="0"/>
                <w:bCs w:val="0"/>
                <w:sz w:val="18"/>
                <w:szCs w:val="18"/>
              </w:rPr>
              <w:t>严重</w:t>
            </w:r>
          </w:p>
        </w:tc>
        <w:tc>
          <w:tcPr>
            <w:tcW w:w="242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3DDD20B">
            <w:pPr>
              <w:spacing w:line="240" w:lineRule="exact"/>
              <w:rPr>
                <w:rFonts w:hint="eastAsia" w:ascii="宋体" w:hAnsi="宋体" w:eastAsia="宋体" w:cs="宋体"/>
                <w:b w:val="0"/>
                <w:bCs w:val="0"/>
                <w:sz w:val="18"/>
                <w:szCs w:val="18"/>
                <w:lang w:bidi="ar"/>
              </w:rPr>
            </w:pPr>
            <w:r>
              <w:rPr>
                <w:rStyle w:val="21"/>
                <w:rFonts w:hint="eastAsia" w:ascii="宋体" w:hAnsi="宋体" w:eastAsia="宋体" w:cs="宋体"/>
                <w:b w:val="0"/>
                <w:bCs w:val="0"/>
                <w:color w:val="auto"/>
                <w:sz w:val="18"/>
                <w:szCs w:val="18"/>
                <w:lang w:bidi="ar"/>
              </w:rPr>
              <w:t>干预和阻挠工程管理人员履行职责；拦截、抢占水源，破坏供水、用水、排水秩序的</w:t>
            </w:r>
          </w:p>
        </w:tc>
        <w:tc>
          <w:tcPr>
            <w:tcW w:w="1628"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BFC859E">
            <w:pPr>
              <w:spacing w:line="240" w:lineRule="exact"/>
              <w:rPr>
                <w:rFonts w:hint="default" w:ascii="宋体" w:hAnsi="宋体" w:eastAsia="宋体" w:cs="宋体"/>
                <w:b w:val="0"/>
                <w:bCs w:val="0"/>
                <w:sz w:val="18"/>
                <w:szCs w:val="18"/>
                <w:lang w:val="en-US" w:eastAsia="zh-CN" w:bidi="ar"/>
              </w:rPr>
            </w:pPr>
            <w:r>
              <w:rPr>
                <w:rStyle w:val="21"/>
                <w:rFonts w:hint="eastAsia" w:ascii="宋体" w:hAnsi="宋体" w:eastAsia="宋体" w:cs="宋体"/>
                <w:b w:val="0"/>
                <w:bCs w:val="0"/>
                <w:color w:val="auto"/>
                <w:sz w:val="18"/>
                <w:szCs w:val="18"/>
                <w:lang w:bidi="ar"/>
              </w:rPr>
              <w:t>给予警告，处罚款</w:t>
            </w:r>
            <w:r>
              <w:rPr>
                <w:rStyle w:val="21"/>
                <w:rFonts w:hint="eastAsia" w:ascii="宋体" w:hAnsi="宋体" w:eastAsia="宋体" w:cs="宋体"/>
                <w:b w:val="0"/>
                <w:bCs w:val="0"/>
                <w:color w:val="auto"/>
                <w:sz w:val="18"/>
                <w:szCs w:val="18"/>
                <w:lang w:val="en-US" w:eastAsia="zh-CN" w:bidi="ar"/>
              </w:rPr>
              <w:t>500元</w:t>
            </w:r>
          </w:p>
        </w:tc>
        <w:tc>
          <w:tcPr>
            <w:tcW w:w="739" w:type="dxa"/>
            <w:vMerge w:val="continue"/>
            <w:tcBorders>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135BD69">
            <w:pPr>
              <w:spacing w:line="240" w:lineRule="exact"/>
              <w:jc w:val="center"/>
              <w:rPr>
                <w:rStyle w:val="21"/>
                <w:rFonts w:hint="eastAsia" w:ascii="宋体" w:hAnsi="宋体" w:eastAsia="宋体" w:cs="宋体"/>
                <w:b w:val="0"/>
                <w:bCs w:val="0"/>
                <w:color w:val="auto"/>
                <w:sz w:val="18"/>
                <w:szCs w:val="18"/>
                <w:lang w:bidi="ar"/>
              </w:rPr>
            </w:pPr>
          </w:p>
        </w:tc>
      </w:tr>
      <w:tr w14:paraId="1BCD22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4" w:type="dxa"/>
            <w:vMerge w:val="restart"/>
            <w:tcBorders>
              <w:left w:val="single" w:color="auto" w:sz="4" w:space="0"/>
              <w:right w:val="single" w:color="auto" w:sz="4" w:space="0"/>
            </w:tcBorders>
            <w:noWrap w:val="0"/>
            <w:tcMar>
              <w:top w:w="0" w:type="dxa"/>
              <w:left w:w="0" w:type="dxa"/>
              <w:bottom w:w="0" w:type="dxa"/>
              <w:right w:w="0" w:type="dxa"/>
            </w:tcMar>
            <w:vAlign w:val="center"/>
          </w:tcPr>
          <w:p w14:paraId="7F59BF8A">
            <w:pPr>
              <w:widowControl/>
              <w:spacing w:line="240" w:lineRule="exact"/>
              <w:jc w:val="center"/>
              <w:textAlignment w:val="center"/>
              <w:rPr>
                <w:rFonts w:hint="eastAsia" w:ascii="宋体" w:hAnsi="宋体" w:eastAsia="宋体" w:cs="宋体"/>
                <w:b w:val="0"/>
                <w:bCs w:val="0"/>
                <w:kern w:val="0"/>
                <w:sz w:val="18"/>
                <w:szCs w:val="18"/>
                <w:lang w:eastAsia="zh-CN" w:bidi="ar"/>
              </w:rPr>
            </w:pPr>
            <w:r>
              <w:rPr>
                <w:rFonts w:hint="eastAsia" w:ascii="宋体" w:hAnsi="宋体" w:eastAsia="宋体" w:cs="宋体"/>
                <w:b w:val="0"/>
                <w:bCs w:val="0"/>
                <w:kern w:val="0"/>
                <w:sz w:val="18"/>
                <w:szCs w:val="18"/>
                <w:lang w:bidi="ar"/>
              </w:rPr>
              <w:t>3</w:t>
            </w:r>
            <w:r>
              <w:rPr>
                <w:rFonts w:hint="eastAsia" w:ascii="宋体" w:hAnsi="宋体" w:eastAsia="宋体" w:cs="宋体"/>
                <w:b w:val="0"/>
                <w:bCs w:val="0"/>
                <w:kern w:val="0"/>
                <w:sz w:val="18"/>
                <w:szCs w:val="18"/>
                <w:lang w:val="en-US" w:eastAsia="zh-CN" w:bidi="ar"/>
              </w:rPr>
              <w:t>1</w:t>
            </w:r>
          </w:p>
        </w:tc>
        <w:tc>
          <w:tcPr>
            <w:tcW w:w="1236" w:type="dxa"/>
            <w:vMerge w:val="restart"/>
            <w:tcBorders>
              <w:left w:val="single" w:color="auto" w:sz="4" w:space="0"/>
              <w:right w:val="single" w:color="auto" w:sz="4" w:space="0"/>
            </w:tcBorders>
            <w:noWrap w:val="0"/>
            <w:tcMar>
              <w:top w:w="0" w:type="dxa"/>
              <w:left w:w="0" w:type="dxa"/>
              <w:bottom w:w="0" w:type="dxa"/>
              <w:right w:w="0" w:type="dxa"/>
            </w:tcMar>
            <w:vAlign w:val="center"/>
          </w:tcPr>
          <w:p w14:paraId="281D427B">
            <w:pPr>
              <w:widowControl/>
              <w:spacing w:line="240" w:lineRule="exact"/>
              <w:textAlignment w:val="center"/>
              <w:rPr>
                <w:rFonts w:hint="eastAsia" w:ascii="宋体" w:hAnsi="宋体" w:eastAsia="宋体" w:cs="宋体"/>
                <w:b w:val="0"/>
                <w:bCs w:val="0"/>
                <w:kern w:val="0"/>
                <w:sz w:val="18"/>
                <w:szCs w:val="18"/>
                <w:lang w:bidi="ar"/>
              </w:rPr>
            </w:pPr>
            <w:r>
              <w:rPr>
                <w:rFonts w:hint="eastAsia" w:ascii="宋体" w:hAnsi="宋体" w:eastAsia="宋体" w:cs="宋体"/>
                <w:b w:val="0"/>
                <w:bCs w:val="0"/>
                <w:kern w:val="0"/>
                <w:sz w:val="18"/>
                <w:szCs w:val="18"/>
                <w:lang w:bidi="ar"/>
              </w:rPr>
              <w:t>未对工程设施进行</w:t>
            </w:r>
            <w:r>
              <w:rPr>
                <w:rFonts w:hint="eastAsia" w:ascii="宋体" w:hAnsi="宋体" w:eastAsia="宋体" w:cs="宋体"/>
                <w:b w:val="0"/>
                <w:bCs w:val="0"/>
                <w:kern w:val="0"/>
                <w:sz w:val="18"/>
                <w:szCs w:val="18"/>
                <w:lang w:eastAsia="zh-CN" w:bidi="ar"/>
              </w:rPr>
              <w:t>日</w:t>
            </w:r>
            <w:r>
              <w:rPr>
                <w:rFonts w:hint="eastAsia" w:ascii="宋体" w:hAnsi="宋体" w:eastAsia="宋体" w:cs="宋体"/>
                <w:b w:val="0"/>
                <w:bCs w:val="0"/>
                <w:kern w:val="0"/>
                <w:sz w:val="18"/>
                <w:szCs w:val="18"/>
                <w:lang w:bidi="ar"/>
              </w:rPr>
              <w:t>常检查和维护的行政处罚</w:t>
            </w:r>
          </w:p>
        </w:tc>
        <w:tc>
          <w:tcPr>
            <w:tcW w:w="6027" w:type="dxa"/>
            <w:vMerge w:val="restart"/>
            <w:tcBorders>
              <w:top w:val="single" w:color="auto" w:sz="4" w:space="0"/>
              <w:left w:val="single" w:color="auto" w:sz="4" w:space="0"/>
              <w:right w:val="single" w:color="auto" w:sz="4" w:space="0"/>
            </w:tcBorders>
            <w:noWrap w:val="0"/>
            <w:tcMar>
              <w:top w:w="0" w:type="dxa"/>
              <w:left w:w="0" w:type="dxa"/>
              <w:bottom w:w="0" w:type="dxa"/>
              <w:right w:w="0" w:type="dxa"/>
            </w:tcMar>
            <w:vAlign w:val="center"/>
          </w:tcPr>
          <w:p w14:paraId="65ACFB0F">
            <w:pPr>
              <w:widowControl/>
              <w:spacing w:line="240" w:lineRule="exact"/>
              <w:textAlignment w:val="center"/>
              <w:rPr>
                <w:rFonts w:hint="eastAsia" w:ascii="宋体" w:hAnsi="宋体" w:eastAsia="宋体" w:cs="宋体"/>
                <w:b w:val="0"/>
                <w:bCs w:val="0"/>
                <w:kern w:val="0"/>
                <w:sz w:val="18"/>
                <w:szCs w:val="18"/>
                <w:lang w:bidi="ar"/>
              </w:rPr>
            </w:pPr>
            <w:r>
              <w:rPr>
                <w:rFonts w:hint="eastAsia" w:ascii="宋体" w:hAnsi="宋体" w:eastAsia="宋体" w:cs="宋体"/>
                <w:b w:val="0"/>
                <w:bCs w:val="0"/>
                <w:kern w:val="0"/>
                <w:sz w:val="18"/>
                <w:szCs w:val="18"/>
                <w:lang w:bidi="ar"/>
              </w:rPr>
              <w:t>《河北省河湖保护和治理条例》第四十一条 穿、跨、临河湖以及穿堤的桥梁、码头、道路、渡口、管道、缆线、取水、排水、监测等工程设施的建设单位、产权单位或者使用单位，应当对设施进行</w:t>
            </w:r>
            <w:r>
              <w:rPr>
                <w:rFonts w:hint="eastAsia" w:ascii="宋体" w:hAnsi="宋体" w:eastAsia="宋体" w:cs="宋体"/>
                <w:b w:val="0"/>
                <w:bCs w:val="0"/>
                <w:kern w:val="0"/>
                <w:sz w:val="18"/>
                <w:szCs w:val="18"/>
                <w:lang w:eastAsia="zh-CN" w:bidi="ar"/>
              </w:rPr>
              <w:t>日</w:t>
            </w:r>
            <w:r>
              <w:rPr>
                <w:rFonts w:hint="eastAsia" w:ascii="宋体" w:hAnsi="宋体" w:eastAsia="宋体" w:cs="宋体"/>
                <w:b w:val="0"/>
                <w:bCs w:val="0"/>
                <w:kern w:val="0"/>
                <w:sz w:val="18"/>
                <w:szCs w:val="18"/>
                <w:lang w:bidi="ar"/>
              </w:rPr>
              <w:t>常检查和维护，保证其正常运行，发现危害堤坝安全、影响河势稳定、妨碍行洪畅通等情况的，应当及时进行整改、消除安全隐患。</w:t>
            </w:r>
          </w:p>
          <w:p w14:paraId="7AEA8E00">
            <w:pPr>
              <w:widowControl/>
              <w:spacing w:line="240" w:lineRule="exact"/>
              <w:textAlignment w:val="center"/>
              <w:rPr>
                <w:rFonts w:hint="eastAsia" w:ascii="宋体" w:hAnsi="宋体" w:eastAsia="宋体" w:cs="宋体"/>
                <w:b w:val="0"/>
                <w:bCs w:val="0"/>
                <w:kern w:val="0"/>
                <w:sz w:val="18"/>
                <w:szCs w:val="18"/>
                <w:lang w:bidi="ar"/>
              </w:rPr>
            </w:pPr>
            <w:r>
              <w:rPr>
                <w:rFonts w:hint="eastAsia" w:ascii="宋体" w:hAnsi="宋体" w:eastAsia="宋体" w:cs="宋体"/>
                <w:b w:val="0"/>
                <w:bCs w:val="0"/>
                <w:kern w:val="0"/>
                <w:sz w:val="18"/>
                <w:szCs w:val="18"/>
                <w:lang w:bidi="ar"/>
              </w:rPr>
              <w:t>第六十二条 违反本条例第四十一条规定，未对工程设施进行</w:t>
            </w:r>
            <w:r>
              <w:rPr>
                <w:rFonts w:hint="eastAsia" w:ascii="宋体" w:hAnsi="宋体" w:eastAsia="宋体" w:cs="宋体"/>
                <w:b w:val="0"/>
                <w:bCs w:val="0"/>
                <w:kern w:val="0"/>
                <w:sz w:val="18"/>
                <w:szCs w:val="18"/>
                <w:lang w:eastAsia="zh-CN" w:bidi="ar"/>
              </w:rPr>
              <w:t>日</w:t>
            </w:r>
            <w:r>
              <w:rPr>
                <w:rFonts w:hint="eastAsia" w:ascii="宋体" w:hAnsi="宋体" w:eastAsia="宋体" w:cs="宋体"/>
                <w:b w:val="0"/>
                <w:bCs w:val="0"/>
                <w:kern w:val="0"/>
                <w:sz w:val="18"/>
                <w:szCs w:val="18"/>
                <w:lang w:bidi="ar"/>
              </w:rPr>
              <w:t>常检查和维护的，由县级以上人民政府水行政主管部门责令限期改正，逾期不改正的，处五千元以上一万元以下的罚款。发现危害堤坝安全、影响河势稳定、妨碍行洪畅通等情况，未及时进行整改、消除隐患的，由县级以上人民政府水行政主管部门责令限期改正，逾期不改正的，由水行政主管部门代为消除隐患，所需费用由违法单位或者个人承担，并处二万元以上五万元以下的罚款。</w:t>
            </w:r>
          </w:p>
        </w:tc>
        <w:tc>
          <w:tcPr>
            <w:tcW w:w="1849" w:type="dxa"/>
            <w:vMerge w:val="restart"/>
            <w:tcBorders>
              <w:top w:val="single" w:color="auto" w:sz="4" w:space="0"/>
              <w:left w:val="single" w:color="auto" w:sz="4" w:space="0"/>
              <w:right w:val="single" w:color="auto" w:sz="4" w:space="0"/>
            </w:tcBorders>
            <w:noWrap w:val="0"/>
            <w:tcMar>
              <w:top w:w="0" w:type="dxa"/>
              <w:left w:w="0" w:type="dxa"/>
              <w:bottom w:w="0" w:type="dxa"/>
              <w:right w:w="0" w:type="dxa"/>
            </w:tcMar>
            <w:vAlign w:val="center"/>
          </w:tcPr>
          <w:p w14:paraId="37CF5A58">
            <w:pPr>
              <w:widowControl/>
              <w:spacing w:line="240" w:lineRule="exact"/>
              <w:textAlignment w:val="center"/>
              <w:rPr>
                <w:rFonts w:hint="eastAsia" w:ascii="宋体" w:hAnsi="宋体" w:eastAsia="宋体" w:cs="宋体"/>
                <w:b w:val="0"/>
                <w:bCs w:val="0"/>
                <w:kern w:val="0"/>
                <w:sz w:val="18"/>
                <w:szCs w:val="18"/>
                <w:lang w:val="en-US" w:eastAsia="zh-CN" w:bidi="ar"/>
              </w:rPr>
            </w:pPr>
            <w:r>
              <w:rPr>
                <w:rFonts w:hint="eastAsia" w:ascii="宋体" w:hAnsi="宋体" w:eastAsia="宋体" w:cs="宋体"/>
                <w:b w:val="0"/>
                <w:bCs w:val="0"/>
                <w:kern w:val="0"/>
                <w:sz w:val="18"/>
                <w:szCs w:val="18"/>
                <w:lang w:bidi="ar"/>
              </w:rPr>
              <w:t>未对工程设施进行</w:t>
            </w:r>
            <w:r>
              <w:rPr>
                <w:rFonts w:hint="eastAsia" w:ascii="宋体" w:hAnsi="宋体" w:eastAsia="宋体" w:cs="宋体"/>
                <w:b w:val="0"/>
                <w:bCs w:val="0"/>
                <w:kern w:val="0"/>
                <w:sz w:val="18"/>
                <w:szCs w:val="18"/>
                <w:lang w:eastAsia="zh-CN" w:bidi="ar"/>
              </w:rPr>
              <w:t>日</w:t>
            </w:r>
            <w:r>
              <w:rPr>
                <w:rFonts w:hint="eastAsia" w:ascii="宋体" w:hAnsi="宋体" w:eastAsia="宋体" w:cs="宋体"/>
                <w:b w:val="0"/>
                <w:bCs w:val="0"/>
                <w:kern w:val="0"/>
                <w:sz w:val="18"/>
                <w:szCs w:val="18"/>
                <w:lang w:bidi="ar"/>
              </w:rPr>
              <w:t>常检查和维护</w:t>
            </w:r>
            <w:r>
              <w:rPr>
                <w:rFonts w:hint="eastAsia" w:ascii="宋体" w:hAnsi="宋体" w:eastAsia="宋体" w:cs="宋体"/>
                <w:b w:val="0"/>
                <w:bCs w:val="0"/>
                <w:kern w:val="0"/>
                <w:sz w:val="18"/>
                <w:szCs w:val="18"/>
                <w:lang w:eastAsia="zh-CN" w:bidi="ar"/>
              </w:rPr>
              <w:t>，</w:t>
            </w:r>
            <w:r>
              <w:rPr>
                <w:rFonts w:hint="eastAsia" w:ascii="宋体" w:hAnsi="宋体" w:eastAsia="宋体" w:cs="宋体"/>
                <w:b w:val="0"/>
                <w:bCs w:val="0"/>
                <w:kern w:val="0"/>
                <w:sz w:val="18"/>
                <w:szCs w:val="18"/>
                <w:lang w:val="en-US" w:eastAsia="zh-CN" w:bidi="ar"/>
              </w:rPr>
              <w:t>且</w:t>
            </w:r>
            <w:r>
              <w:rPr>
                <w:rFonts w:hint="eastAsia" w:ascii="宋体" w:hAnsi="宋体" w:eastAsia="宋体" w:cs="宋体"/>
                <w:b w:val="0"/>
                <w:bCs w:val="0"/>
                <w:kern w:val="0"/>
                <w:sz w:val="18"/>
                <w:szCs w:val="18"/>
                <w:lang w:bidi="ar"/>
              </w:rPr>
              <w:t>逾期不改正的</w:t>
            </w:r>
          </w:p>
        </w:tc>
        <w:tc>
          <w:tcPr>
            <w:tcW w:w="51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98D14CD">
            <w:pPr>
              <w:widowControl/>
              <w:spacing w:line="240" w:lineRule="exact"/>
              <w:jc w:val="center"/>
              <w:textAlignment w:val="center"/>
              <w:rPr>
                <w:rFonts w:hint="eastAsia" w:ascii="宋体" w:hAnsi="宋体" w:eastAsia="宋体" w:cs="宋体"/>
                <w:b w:val="0"/>
                <w:bCs w:val="0"/>
                <w:kern w:val="0"/>
                <w:sz w:val="18"/>
                <w:szCs w:val="18"/>
                <w:lang w:bidi="ar"/>
              </w:rPr>
            </w:pPr>
            <w:r>
              <w:rPr>
                <w:rFonts w:hint="eastAsia" w:ascii="宋体" w:hAnsi="宋体" w:eastAsia="宋体" w:cs="宋体"/>
                <w:b w:val="0"/>
                <w:bCs w:val="0"/>
                <w:kern w:val="0"/>
                <w:sz w:val="18"/>
                <w:szCs w:val="18"/>
                <w:lang w:bidi="ar"/>
              </w:rPr>
              <w:t>轻微</w:t>
            </w:r>
          </w:p>
        </w:tc>
        <w:tc>
          <w:tcPr>
            <w:tcW w:w="242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785694F5">
            <w:pPr>
              <w:widowControl/>
              <w:spacing w:line="240" w:lineRule="exact"/>
              <w:textAlignment w:val="center"/>
              <mc:AlternateContent>
                <mc:Choice Requires="wpsCustomData">
                  <wpsCustomData:diagonalParaType/>
                </mc:Choice>
              </mc:AlternateContent>
              <w:rPr>
                <w:rFonts w:hint="eastAsia" w:ascii="宋体" w:hAnsi="宋体" w:eastAsia="宋体" w:cs="宋体"/>
                <w:b w:val="0"/>
                <w:bCs w:val="0"/>
                <w:kern w:val="0"/>
                <w:sz w:val="18"/>
                <w:szCs w:val="18"/>
                <w:lang w:bidi="ar"/>
              </w:rPr>
            </w:pPr>
          </w:p>
          <w:p w14:paraId="35946B73">
            <w:pPr>
              <w:widowControl/>
              <w:spacing w:line="240" w:lineRule="exact"/>
              <w:textAlignment w:val="center"/>
              <w:rPr>
                <w:rFonts w:hint="eastAsia" w:ascii="宋体" w:hAnsi="宋体" w:eastAsia="宋体" w:cs="宋体"/>
                <w:b w:val="0"/>
                <w:bCs w:val="0"/>
                <w:kern w:val="0"/>
                <w:sz w:val="18"/>
                <w:szCs w:val="18"/>
                <w:lang w:bidi="ar"/>
              </w:rPr>
            </w:pPr>
          </w:p>
        </w:tc>
        <w:tc>
          <w:tcPr>
            <w:tcW w:w="1628"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42D4C392">
            <w:pPr>
              <w:widowControl/>
              <w:spacing w:line="240" w:lineRule="exact"/>
              <w:textAlignment w:val="center"/>
              <mc:AlternateContent>
                <mc:Choice Requires="wpsCustomData">
                  <wpsCustomData:diagonalParaType/>
                </mc:Choice>
              </mc:AlternateContent>
              <w:rPr>
                <w:rFonts w:hint="eastAsia" w:ascii="宋体" w:hAnsi="宋体" w:eastAsia="宋体" w:cs="宋体"/>
                <w:b w:val="0"/>
                <w:bCs w:val="0"/>
                <w:kern w:val="0"/>
                <w:sz w:val="18"/>
                <w:szCs w:val="18"/>
                <w:lang w:bidi="ar"/>
              </w:rPr>
            </w:pPr>
          </w:p>
          <w:p w14:paraId="788F49EB">
            <w:pPr>
              <w:widowControl/>
              <w:spacing w:line="240" w:lineRule="exact"/>
              <w:textAlignment w:val="center"/>
              <w:rPr>
                <w:rFonts w:hint="eastAsia" w:ascii="宋体" w:hAnsi="宋体" w:eastAsia="宋体" w:cs="宋体"/>
                <w:b w:val="0"/>
                <w:bCs w:val="0"/>
                <w:kern w:val="0"/>
                <w:sz w:val="18"/>
                <w:szCs w:val="18"/>
                <w:lang w:bidi="ar"/>
              </w:rPr>
            </w:pPr>
          </w:p>
        </w:tc>
        <w:tc>
          <w:tcPr>
            <w:tcW w:w="739" w:type="dxa"/>
            <w:vMerge w:val="restart"/>
            <w:tcBorders>
              <w:top w:val="single" w:color="auto" w:sz="4" w:space="0"/>
              <w:left w:val="single" w:color="auto" w:sz="4" w:space="0"/>
              <w:right w:val="single" w:color="auto" w:sz="4" w:space="0"/>
            </w:tcBorders>
            <w:noWrap w:val="0"/>
            <w:tcMar>
              <w:top w:w="0" w:type="dxa"/>
              <w:left w:w="0" w:type="dxa"/>
              <w:bottom w:w="0" w:type="dxa"/>
              <w:right w:w="0" w:type="dxa"/>
            </w:tcMar>
            <w:vAlign w:val="center"/>
          </w:tcPr>
          <w:p w14:paraId="11DAE390">
            <w:pPr>
              <w:spacing w:line="240" w:lineRule="exact"/>
              <w:jc w:val="center"/>
              <w:rPr>
                <w:rStyle w:val="21"/>
                <w:rFonts w:hint="eastAsia" w:ascii="宋体" w:hAnsi="宋体" w:eastAsia="宋体" w:cs="宋体"/>
                <w:b w:val="0"/>
                <w:bCs w:val="0"/>
                <w:color w:val="auto"/>
                <w:sz w:val="18"/>
                <w:szCs w:val="18"/>
                <w:lang w:bidi="ar"/>
              </w:rPr>
            </w:pPr>
          </w:p>
        </w:tc>
      </w:tr>
      <w:tr w14:paraId="361541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4" w:type="dxa"/>
            <w:vMerge w:val="continue"/>
            <w:tcBorders>
              <w:left w:val="single" w:color="auto" w:sz="4" w:space="0"/>
              <w:right w:val="single" w:color="auto" w:sz="4" w:space="0"/>
            </w:tcBorders>
            <w:noWrap w:val="0"/>
            <w:tcMar>
              <w:top w:w="0" w:type="dxa"/>
              <w:left w:w="0" w:type="dxa"/>
              <w:bottom w:w="0" w:type="dxa"/>
              <w:right w:w="0" w:type="dxa"/>
            </w:tcMar>
            <w:vAlign w:val="center"/>
          </w:tcPr>
          <w:p w14:paraId="744707B8">
            <w:pPr>
              <w:widowControl/>
              <w:spacing w:line="240" w:lineRule="exact"/>
              <w:textAlignment w:val="center"/>
              <w:rPr>
                <w:rFonts w:hint="eastAsia" w:ascii="宋体" w:hAnsi="宋体" w:eastAsia="宋体" w:cs="宋体"/>
                <w:b w:val="0"/>
                <w:bCs w:val="0"/>
                <w:kern w:val="0"/>
                <w:sz w:val="18"/>
                <w:szCs w:val="18"/>
                <w:lang w:bidi="ar"/>
              </w:rPr>
            </w:pPr>
          </w:p>
        </w:tc>
        <w:tc>
          <w:tcPr>
            <w:tcW w:w="1236" w:type="dxa"/>
            <w:vMerge w:val="continue"/>
            <w:tcBorders>
              <w:left w:val="single" w:color="auto" w:sz="4" w:space="0"/>
              <w:right w:val="single" w:color="auto" w:sz="4" w:space="0"/>
            </w:tcBorders>
            <w:noWrap w:val="0"/>
            <w:tcMar>
              <w:top w:w="0" w:type="dxa"/>
              <w:left w:w="0" w:type="dxa"/>
              <w:bottom w:w="0" w:type="dxa"/>
              <w:right w:w="0" w:type="dxa"/>
            </w:tcMar>
            <w:vAlign w:val="center"/>
          </w:tcPr>
          <w:p w14:paraId="207A65E3">
            <w:pPr>
              <w:widowControl/>
              <w:spacing w:line="240" w:lineRule="exact"/>
              <w:textAlignment w:val="center"/>
              <w:rPr>
                <w:rFonts w:hint="eastAsia" w:ascii="宋体" w:hAnsi="宋体" w:eastAsia="宋体" w:cs="宋体"/>
                <w:b w:val="0"/>
                <w:bCs w:val="0"/>
                <w:kern w:val="0"/>
                <w:sz w:val="18"/>
                <w:szCs w:val="18"/>
                <w:lang w:bidi="ar"/>
              </w:rPr>
            </w:pPr>
          </w:p>
        </w:tc>
        <w:tc>
          <w:tcPr>
            <w:tcW w:w="6027" w:type="dxa"/>
            <w:vMerge w:val="continue"/>
            <w:tcBorders>
              <w:left w:val="single" w:color="auto" w:sz="4" w:space="0"/>
              <w:right w:val="single" w:color="auto" w:sz="4" w:space="0"/>
            </w:tcBorders>
            <w:noWrap w:val="0"/>
            <w:tcMar>
              <w:top w:w="0" w:type="dxa"/>
              <w:left w:w="0" w:type="dxa"/>
              <w:bottom w:w="0" w:type="dxa"/>
              <w:right w:w="0" w:type="dxa"/>
            </w:tcMar>
            <w:vAlign w:val="center"/>
          </w:tcPr>
          <w:p w14:paraId="6F6277E6">
            <w:pPr>
              <w:widowControl/>
              <w:spacing w:line="240" w:lineRule="exact"/>
              <w:textAlignment w:val="center"/>
              <w:rPr>
                <w:rFonts w:hint="eastAsia" w:ascii="宋体" w:hAnsi="宋体" w:eastAsia="宋体" w:cs="宋体"/>
                <w:b w:val="0"/>
                <w:bCs w:val="0"/>
                <w:kern w:val="0"/>
                <w:sz w:val="18"/>
                <w:szCs w:val="18"/>
                <w:lang w:bidi="ar"/>
              </w:rPr>
            </w:pPr>
          </w:p>
        </w:tc>
        <w:tc>
          <w:tcPr>
            <w:tcW w:w="1849" w:type="dxa"/>
            <w:vMerge w:val="continue"/>
            <w:tcBorders>
              <w:left w:val="single" w:color="auto" w:sz="4" w:space="0"/>
              <w:right w:val="single" w:color="auto" w:sz="4" w:space="0"/>
            </w:tcBorders>
            <w:noWrap w:val="0"/>
            <w:tcMar>
              <w:top w:w="0" w:type="dxa"/>
              <w:left w:w="0" w:type="dxa"/>
              <w:bottom w:w="0" w:type="dxa"/>
              <w:right w:w="0" w:type="dxa"/>
            </w:tcMar>
            <w:vAlign w:val="center"/>
          </w:tcPr>
          <w:p w14:paraId="2805562B">
            <w:pPr>
              <w:widowControl/>
              <w:spacing w:line="240" w:lineRule="exact"/>
              <w:textAlignment w:val="center"/>
              <w:rPr>
                <w:rFonts w:hint="eastAsia" w:ascii="宋体" w:hAnsi="宋体" w:eastAsia="宋体" w:cs="宋体"/>
                <w:b w:val="0"/>
                <w:bCs w:val="0"/>
                <w:kern w:val="0"/>
                <w:sz w:val="18"/>
                <w:szCs w:val="18"/>
                <w:lang w:bidi="ar"/>
              </w:rPr>
            </w:pPr>
          </w:p>
        </w:tc>
        <w:tc>
          <w:tcPr>
            <w:tcW w:w="51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9B287CE">
            <w:pPr>
              <w:widowControl/>
              <w:spacing w:line="240" w:lineRule="exact"/>
              <w:jc w:val="center"/>
              <w:textAlignment w:val="center"/>
              <w:rPr>
                <w:rFonts w:hint="eastAsia" w:ascii="宋体" w:hAnsi="宋体" w:eastAsia="宋体" w:cs="宋体"/>
                <w:b w:val="0"/>
                <w:bCs w:val="0"/>
                <w:kern w:val="0"/>
                <w:sz w:val="18"/>
                <w:szCs w:val="18"/>
                <w:lang w:bidi="ar"/>
              </w:rPr>
            </w:pPr>
            <w:r>
              <w:rPr>
                <w:rFonts w:hint="eastAsia" w:ascii="宋体" w:hAnsi="宋体" w:eastAsia="宋体" w:cs="宋体"/>
                <w:b w:val="0"/>
                <w:bCs w:val="0"/>
                <w:kern w:val="0"/>
                <w:sz w:val="18"/>
                <w:szCs w:val="18"/>
                <w:lang w:bidi="ar"/>
              </w:rPr>
              <w:t>较轻</w:t>
            </w:r>
          </w:p>
        </w:tc>
        <w:tc>
          <w:tcPr>
            <w:tcW w:w="242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134A63B1">
            <w:pPr>
              <w:widowControl/>
              <w:spacing w:line="240" w:lineRule="exact"/>
              <w:textAlignment w:val="center"/>
              <mc:AlternateContent>
                <mc:Choice Requires="wpsCustomData">
                  <wpsCustomData:diagonalParaType/>
                </mc:Choice>
              </mc:AlternateContent>
              <w:rPr>
                <w:rFonts w:hint="eastAsia" w:ascii="宋体" w:hAnsi="宋体" w:eastAsia="宋体" w:cs="宋体"/>
                <w:b w:val="0"/>
                <w:bCs w:val="0"/>
                <w:kern w:val="0"/>
                <w:sz w:val="18"/>
                <w:szCs w:val="18"/>
                <w:lang w:bidi="ar"/>
              </w:rPr>
            </w:pPr>
          </w:p>
          <w:p w14:paraId="537816F9">
            <w:pPr>
              <w:widowControl/>
              <w:spacing w:line="240" w:lineRule="exact"/>
              <w:textAlignment w:val="center"/>
              <w:rPr>
                <w:rFonts w:hint="eastAsia" w:ascii="宋体" w:hAnsi="宋体" w:eastAsia="宋体" w:cs="宋体"/>
                <w:b w:val="0"/>
                <w:bCs w:val="0"/>
                <w:kern w:val="0"/>
                <w:sz w:val="18"/>
                <w:szCs w:val="18"/>
                <w:lang w:bidi="ar"/>
              </w:rPr>
            </w:pPr>
          </w:p>
        </w:tc>
        <w:tc>
          <w:tcPr>
            <w:tcW w:w="1628"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6FD12627">
            <w:pPr>
              <w:widowControl/>
              <w:spacing w:line="240" w:lineRule="exact"/>
              <w:textAlignment w:val="center"/>
              <mc:AlternateContent>
                <mc:Choice Requires="wpsCustomData">
                  <wpsCustomData:diagonalParaType/>
                </mc:Choice>
              </mc:AlternateContent>
              <w:rPr>
                <w:rFonts w:hint="eastAsia" w:ascii="宋体" w:hAnsi="宋体" w:eastAsia="宋体" w:cs="宋体"/>
                <w:b w:val="0"/>
                <w:bCs w:val="0"/>
                <w:kern w:val="0"/>
                <w:sz w:val="18"/>
                <w:szCs w:val="18"/>
                <w:lang w:bidi="ar"/>
              </w:rPr>
            </w:pPr>
          </w:p>
          <w:p w14:paraId="79541D3C">
            <w:pPr>
              <w:widowControl/>
              <w:spacing w:line="240" w:lineRule="exact"/>
              <w:textAlignment w:val="center"/>
              <w:rPr>
                <w:rFonts w:hint="eastAsia" w:ascii="宋体" w:hAnsi="宋体" w:eastAsia="宋体" w:cs="宋体"/>
                <w:b w:val="0"/>
                <w:bCs w:val="0"/>
                <w:kern w:val="0"/>
                <w:sz w:val="18"/>
                <w:szCs w:val="18"/>
                <w:lang w:bidi="ar"/>
              </w:rPr>
            </w:pPr>
          </w:p>
        </w:tc>
        <w:tc>
          <w:tcPr>
            <w:tcW w:w="739" w:type="dxa"/>
            <w:vMerge w:val="continue"/>
            <w:tcBorders>
              <w:left w:val="single" w:color="auto" w:sz="4" w:space="0"/>
              <w:right w:val="single" w:color="auto" w:sz="4" w:space="0"/>
            </w:tcBorders>
            <w:noWrap w:val="0"/>
            <w:tcMar>
              <w:top w:w="0" w:type="dxa"/>
              <w:left w:w="0" w:type="dxa"/>
              <w:bottom w:w="0" w:type="dxa"/>
              <w:right w:w="0" w:type="dxa"/>
            </w:tcMar>
            <w:vAlign w:val="center"/>
          </w:tcPr>
          <w:p w14:paraId="070E23D9">
            <w:pPr>
              <w:spacing w:line="240" w:lineRule="exact"/>
              <w:jc w:val="center"/>
              <w:rPr>
                <w:rStyle w:val="21"/>
                <w:rFonts w:hint="eastAsia" w:ascii="宋体" w:hAnsi="宋体" w:eastAsia="宋体" w:cs="宋体"/>
                <w:b w:val="0"/>
                <w:bCs w:val="0"/>
                <w:color w:val="auto"/>
                <w:sz w:val="18"/>
                <w:szCs w:val="18"/>
                <w:lang w:bidi="ar"/>
              </w:rPr>
            </w:pPr>
          </w:p>
        </w:tc>
      </w:tr>
      <w:tr w14:paraId="74EBF7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74" w:type="dxa"/>
            <w:vMerge w:val="continue"/>
            <w:tcBorders>
              <w:left w:val="single" w:color="auto" w:sz="4" w:space="0"/>
              <w:right w:val="single" w:color="auto" w:sz="4" w:space="0"/>
            </w:tcBorders>
            <w:noWrap w:val="0"/>
            <w:tcMar>
              <w:top w:w="0" w:type="dxa"/>
              <w:left w:w="0" w:type="dxa"/>
              <w:bottom w:w="0" w:type="dxa"/>
              <w:right w:w="0" w:type="dxa"/>
            </w:tcMar>
            <w:vAlign w:val="center"/>
          </w:tcPr>
          <w:p w14:paraId="05E89AE6">
            <w:pPr>
              <w:widowControl/>
              <w:spacing w:line="240" w:lineRule="exact"/>
              <w:textAlignment w:val="center"/>
              <w:rPr>
                <w:rFonts w:hint="eastAsia" w:ascii="宋体" w:hAnsi="宋体" w:eastAsia="宋体" w:cs="宋体"/>
                <w:b w:val="0"/>
                <w:bCs w:val="0"/>
                <w:kern w:val="0"/>
                <w:sz w:val="18"/>
                <w:szCs w:val="18"/>
                <w:lang w:bidi="ar"/>
              </w:rPr>
            </w:pPr>
          </w:p>
        </w:tc>
        <w:tc>
          <w:tcPr>
            <w:tcW w:w="1236" w:type="dxa"/>
            <w:vMerge w:val="continue"/>
            <w:tcBorders>
              <w:left w:val="single" w:color="auto" w:sz="4" w:space="0"/>
              <w:right w:val="single" w:color="auto" w:sz="4" w:space="0"/>
            </w:tcBorders>
            <w:noWrap w:val="0"/>
            <w:tcMar>
              <w:top w:w="0" w:type="dxa"/>
              <w:left w:w="0" w:type="dxa"/>
              <w:bottom w:w="0" w:type="dxa"/>
              <w:right w:w="0" w:type="dxa"/>
            </w:tcMar>
            <w:vAlign w:val="center"/>
          </w:tcPr>
          <w:p w14:paraId="218EB81F">
            <w:pPr>
              <w:widowControl/>
              <w:spacing w:line="240" w:lineRule="exact"/>
              <w:textAlignment w:val="center"/>
              <w:rPr>
                <w:rFonts w:hint="eastAsia" w:ascii="宋体" w:hAnsi="宋体" w:eastAsia="宋体" w:cs="宋体"/>
                <w:b w:val="0"/>
                <w:bCs w:val="0"/>
                <w:kern w:val="0"/>
                <w:sz w:val="18"/>
                <w:szCs w:val="18"/>
                <w:lang w:bidi="ar"/>
              </w:rPr>
            </w:pPr>
          </w:p>
        </w:tc>
        <w:tc>
          <w:tcPr>
            <w:tcW w:w="6027" w:type="dxa"/>
            <w:vMerge w:val="continue"/>
            <w:tcBorders>
              <w:left w:val="single" w:color="auto" w:sz="4" w:space="0"/>
              <w:right w:val="single" w:color="auto" w:sz="4" w:space="0"/>
            </w:tcBorders>
            <w:noWrap w:val="0"/>
            <w:tcMar>
              <w:top w:w="0" w:type="dxa"/>
              <w:left w:w="0" w:type="dxa"/>
              <w:bottom w:w="0" w:type="dxa"/>
              <w:right w:w="0" w:type="dxa"/>
            </w:tcMar>
            <w:vAlign w:val="center"/>
          </w:tcPr>
          <w:p w14:paraId="0C8CCB11">
            <w:pPr>
              <w:widowControl/>
              <w:spacing w:line="240" w:lineRule="exact"/>
              <w:textAlignment w:val="center"/>
              <w:rPr>
                <w:rFonts w:hint="eastAsia" w:ascii="宋体" w:hAnsi="宋体" w:eastAsia="宋体" w:cs="宋体"/>
                <w:b w:val="0"/>
                <w:bCs w:val="0"/>
                <w:kern w:val="0"/>
                <w:sz w:val="18"/>
                <w:szCs w:val="18"/>
                <w:lang w:bidi="ar"/>
              </w:rPr>
            </w:pPr>
          </w:p>
        </w:tc>
        <w:tc>
          <w:tcPr>
            <w:tcW w:w="1849" w:type="dxa"/>
            <w:vMerge w:val="continue"/>
            <w:tcBorders>
              <w:left w:val="single" w:color="auto" w:sz="4" w:space="0"/>
              <w:right w:val="single" w:color="auto" w:sz="4" w:space="0"/>
            </w:tcBorders>
            <w:noWrap w:val="0"/>
            <w:tcMar>
              <w:top w:w="0" w:type="dxa"/>
              <w:left w:w="0" w:type="dxa"/>
              <w:bottom w:w="0" w:type="dxa"/>
              <w:right w:w="0" w:type="dxa"/>
            </w:tcMar>
            <w:vAlign w:val="center"/>
          </w:tcPr>
          <w:p w14:paraId="2A60508A">
            <w:pPr>
              <w:widowControl/>
              <w:spacing w:line="240" w:lineRule="exact"/>
              <w:textAlignment w:val="center"/>
              <w:rPr>
                <w:rFonts w:hint="eastAsia" w:ascii="宋体" w:hAnsi="宋体" w:eastAsia="宋体" w:cs="宋体"/>
                <w:b w:val="0"/>
                <w:bCs w:val="0"/>
                <w:kern w:val="0"/>
                <w:sz w:val="18"/>
                <w:szCs w:val="18"/>
                <w:lang w:bidi="ar"/>
              </w:rPr>
            </w:pPr>
          </w:p>
        </w:tc>
        <w:tc>
          <w:tcPr>
            <w:tcW w:w="51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AD32800">
            <w:pPr>
              <w:widowControl/>
              <w:spacing w:line="240" w:lineRule="exact"/>
              <w:jc w:val="center"/>
              <w:textAlignment w:val="center"/>
              <w:rPr>
                <w:rFonts w:hint="eastAsia" w:ascii="宋体" w:hAnsi="宋体" w:eastAsia="宋体" w:cs="宋体"/>
                <w:b w:val="0"/>
                <w:bCs w:val="0"/>
                <w:kern w:val="0"/>
                <w:sz w:val="18"/>
                <w:szCs w:val="18"/>
                <w:lang w:bidi="ar"/>
              </w:rPr>
            </w:pPr>
            <w:r>
              <w:rPr>
                <w:rFonts w:hint="eastAsia" w:ascii="宋体" w:hAnsi="宋体" w:eastAsia="宋体" w:cs="宋体"/>
                <w:b w:val="0"/>
                <w:bCs w:val="0"/>
                <w:kern w:val="0"/>
                <w:sz w:val="18"/>
                <w:szCs w:val="18"/>
                <w:lang w:bidi="ar"/>
              </w:rPr>
              <w:t>一般</w:t>
            </w:r>
          </w:p>
        </w:tc>
        <w:tc>
          <w:tcPr>
            <w:tcW w:w="242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5281642">
            <w:pPr>
              <w:widowControl/>
              <w:spacing w:line="240" w:lineRule="exact"/>
              <w:textAlignment w:val="center"/>
              <w:rPr>
                <w:rFonts w:hint="eastAsia" w:ascii="宋体" w:hAnsi="宋体" w:eastAsia="宋体" w:cs="宋体"/>
                <w:b w:val="0"/>
                <w:bCs w:val="0"/>
                <w:kern w:val="0"/>
                <w:sz w:val="18"/>
                <w:szCs w:val="18"/>
                <w:lang w:bidi="ar"/>
              </w:rPr>
            </w:pPr>
            <w:r>
              <w:rPr>
                <w:rFonts w:hint="eastAsia" w:ascii="宋体" w:hAnsi="宋体" w:eastAsia="宋体" w:cs="宋体"/>
                <w:b w:val="0"/>
                <w:bCs w:val="0"/>
                <w:kern w:val="0"/>
                <w:sz w:val="18"/>
                <w:szCs w:val="18"/>
                <w:lang w:bidi="ar"/>
              </w:rPr>
              <w:t>疏于对工程设施</w:t>
            </w:r>
            <w:r>
              <w:rPr>
                <w:rFonts w:hint="eastAsia" w:ascii="宋体" w:hAnsi="宋体" w:eastAsia="宋体" w:cs="宋体"/>
                <w:b w:val="0"/>
                <w:bCs w:val="0"/>
                <w:kern w:val="0"/>
                <w:sz w:val="18"/>
                <w:szCs w:val="18"/>
                <w:lang w:eastAsia="zh-CN" w:bidi="ar"/>
              </w:rPr>
              <w:t>日</w:t>
            </w:r>
            <w:r>
              <w:rPr>
                <w:rFonts w:hint="eastAsia" w:ascii="宋体" w:hAnsi="宋体" w:eastAsia="宋体" w:cs="宋体"/>
                <w:b w:val="0"/>
                <w:bCs w:val="0"/>
                <w:kern w:val="0"/>
                <w:sz w:val="18"/>
                <w:szCs w:val="18"/>
                <w:lang w:bidi="ar"/>
              </w:rPr>
              <w:t>常检查和维护，但尚未造成对堤坝安全、河势稳定、行洪畅通等影响的</w:t>
            </w:r>
          </w:p>
        </w:tc>
        <w:tc>
          <w:tcPr>
            <w:tcW w:w="1628"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70B1474">
            <w:pPr>
              <w:widowControl/>
              <w:spacing w:line="240" w:lineRule="exact"/>
              <w:textAlignment w:val="center"/>
              <w:rPr>
                <w:rFonts w:hint="eastAsia" w:ascii="宋体" w:hAnsi="宋体" w:eastAsia="宋体" w:cs="宋体"/>
                <w:b w:val="0"/>
                <w:bCs w:val="0"/>
                <w:kern w:val="0"/>
                <w:sz w:val="18"/>
                <w:szCs w:val="18"/>
                <w:lang w:bidi="ar"/>
              </w:rPr>
            </w:pPr>
            <w:r>
              <w:rPr>
                <w:rFonts w:hint="eastAsia" w:ascii="宋体" w:hAnsi="宋体" w:eastAsia="宋体" w:cs="宋体"/>
                <w:b w:val="0"/>
                <w:bCs w:val="0"/>
                <w:kern w:val="0"/>
                <w:sz w:val="18"/>
                <w:szCs w:val="18"/>
                <w:lang w:bidi="ar"/>
              </w:rPr>
              <w:t>处</w:t>
            </w:r>
            <w:r>
              <w:rPr>
                <w:rFonts w:hint="eastAsia" w:ascii="宋体" w:hAnsi="宋体" w:eastAsia="宋体" w:cs="宋体"/>
                <w:b w:val="0"/>
                <w:bCs w:val="0"/>
                <w:kern w:val="0"/>
                <w:sz w:val="18"/>
                <w:szCs w:val="18"/>
                <w:lang w:val="en-US" w:eastAsia="zh-CN" w:bidi="ar"/>
              </w:rPr>
              <w:t>5</w:t>
            </w:r>
            <w:r>
              <w:rPr>
                <w:rFonts w:hint="eastAsia" w:ascii="宋体" w:hAnsi="宋体" w:eastAsia="宋体" w:cs="宋体"/>
                <w:b w:val="0"/>
                <w:bCs w:val="0"/>
                <w:kern w:val="0"/>
                <w:sz w:val="18"/>
                <w:szCs w:val="18"/>
                <w:lang w:bidi="ar"/>
              </w:rPr>
              <w:t>千元以上</w:t>
            </w:r>
            <w:r>
              <w:rPr>
                <w:rFonts w:hint="eastAsia" w:ascii="宋体" w:hAnsi="宋体" w:eastAsia="宋体" w:cs="宋体"/>
                <w:b w:val="0"/>
                <w:bCs w:val="0"/>
                <w:kern w:val="0"/>
                <w:sz w:val="18"/>
                <w:szCs w:val="18"/>
                <w:lang w:val="en-US" w:eastAsia="zh-CN" w:bidi="ar"/>
              </w:rPr>
              <w:t>6</w:t>
            </w:r>
            <w:r>
              <w:rPr>
                <w:rFonts w:hint="eastAsia" w:ascii="宋体" w:hAnsi="宋体" w:eastAsia="宋体" w:cs="宋体"/>
                <w:b w:val="0"/>
                <w:bCs w:val="0"/>
                <w:kern w:val="0"/>
                <w:sz w:val="18"/>
                <w:szCs w:val="18"/>
                <w:lang w:bidi="ar"/>
              </w:rPr>
              <w:t>千元以下罚款</w:t>
            </w:r>
          </w:p>
        </w:tc>
        <w:tc>
          <w:tcPr>
            <w:tcW w:w="739" w:type="dxa"/>
            <w:vMerge w:val="continue"/>
            <w:tcBorders>
              <w:left w:val="single" w:color="auto" w:sz="4" w:space="0"/>
              <w:right w:val="single" w:color="auto" w:sz="4" w:space="0"/>
            </w:tcBorders>
            <w:noWrap w:val="0"/>
            <w:tcMar>
              <w:top w:w="0" w:type="dxa"/>
              <w:left w:w="0" w:type="dxa"/>
              <w:bottom w:w="0" w:type="dxa"/>
              <w:right w:w="0" w:type="dxa"/>
            </w:tcMar>
            <w:vAlign w:val="center"/>
          </w:tcPr>
          <w:p w14:paraId="6F1B9147">
            <w:pPr>
              <w:spacing w:line="240" w:lineRule="exact"/>
              <w:jc w:val="center"/>
              <w:rPr>
                <w:rStyle w:val="21"/>
                <w:rFonts w:hint="eastAsia" w:ascii="宋体" w:hAnsi="宋体" w:eastAsia="宋体" w:cs="宋体"/>
                <w:b w:val="0"/>
                <w:bCs w:val="0"/>
                <w:color w:val="auto"/>
                <w:sz w:val="18"/>
                <w:szCs w:val="18"/>
                <w:lang w:bidi="ar"/>
              </w:rPr>
            </w:pPr>
          </w:p>
        </w:tc>
      </w:tr>
      <w:tr w14:paraId="6DAD99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74" w:type="dxa"/>
            <w:vMerge w:val="continue"/>
            <w:tcBorders>
              <w:left w:val="single" w:color="auto" w:sz="4" w:space="0"/>
              <w:right w:val="single" w:color="auto" w:sz="4" w:space="0"/>
            </w:tcBorders>
            <w:noWrap w:val="0"/>
            <w:tcMar>
              <w:top w:w="0" w:type="dxa"/>
              <w:left w:w="0" w:type="dxa"/>
              <w:bottom w:w="0" w:type="dxa"/>
              <w:right w:w="0" w:type="dxa"/>
            </w:tcMar>
            <w:vAlign w:val="center"/>
          </w:tcPr>
          <w:p w14:paraId="74B95DC0">
            <w:pPr>
              <w:widowControl/>
              <w:spacing w:line="240" w:lineRule="exact"/>
              <w:textAlignment w:val="center"/>
              <w:rPr>
                <w:rFonts w:hint="eastAsia" w:ascii="宋体" w:hAnsi="宋体" w:eastAsia="宋体" w:cs="宋体"/>
                <w:b w:val="0"/>
                <w:bCs w:val="0"/>
                <w:kern w:val="0"/>
                <w:sz w:val="18"/>
                <w:szCs w:val="18"/>
                <w:lang w:bidi="ar"/>
              </w:rPr>
            </w:pPr>
          </w:p>
        </w:tc>
        <w:tc>
          <w:tcPr>
            <w:tcW w:w="1236" w:type="dxa"/>
            <w:vMerge w:val="continue"/>
            <w:tcBorders>
              <w:left w:val="single" w:color="auto" w:sz="4" w:space="0"/>
              <w:right w:val="single" w:color="auto" w:sz="4" w:space="0"/>
            </w:tcBorders>
            <w:noWrap w:val="0"/>
            <w:tcMar>
              <w:top w:w="0" w:type="dxa"/>
              <w:left w:w="0" w:type="dxa"/>
              <w:bottom w:w="0" w:type="dxa"/>
              <w:right w:w="0" w:type="dxa"/>
            </w:tcMar>
            <w:vAlign w:val="center"/>
          </w:tcPr>
          <w:p w14:paraId="3E84F3B2">
            <w:pPr>
              <w:widowControl/>
              <w:spacing w:line="240" w:lineRule="exact"/>
              <w:textAlignment w:val="center"/>
              <w:rPr>
                <w:rFonts w:hint="eastAsia" w:ascii="宋体" w:hAnsi="宋体" w:eastAsia="宋体" w:cs="宋体"/>
                <w:b w:val="0"/>
                <w:bCs w:val="0"/>
                <w:kern w:val="0"/>
                <w:sz w:val="18"/>
                <w:szCs w:val="18"/>
                <w:lang w:bidi="ar"/>
              </w:rPr>
            </w:pPr>
          </w:p>
        </w:tc>
        <w:tc>
          <w:tcPr>
            <w:tcW w:w="6027" w:type="dxa"/>
            <w:vMerge w:val="continue"/>
            <w:tcBorders>
              <w:left w:val="single" w:color="auto" w:sz="4" w:space="0"/>
              <w:right w:val="single" w:color="auto" w:sz="4" w:space="0"/>
            </w:tcBorders>
            <w:noWrap w:val="0"/>
            <w:tcMar>
              <w:top w:w="0" w:type="dxa"/>
              <w:left w:w="0" w:type="dxa"/>
              <w:bottom w:w="0" w:type="dxa"/>
              <w:right w:w="0" w:type="dxa"/>
            </w:tcMar>
            <w:vAlign w:val="center"/>
          </w:tcPr>
          <w:p w14:paraId="321BDECF">
            <w:pPr>
              <w:widowControl/>
              <w:spacing w:line="240" w:lineRule="exact"/>
              <w:textAlignment w:val="center"/>
              <w:rPr>
                <w:rFonts w:hint="eastAsia" w:ascii="宋体" w:hAnsi="宋体" w:eastAsia="宋体" w:cs="宋体"/>
                <w:b w:val="0"/>
                <w:bCs w:val="0"/>
                <w:kern w:val="0"/>
                <w:sz w:val="18"/>
                <w:szCs w:val="18"/>
                <w:lang w:bidi="ar"/>
              </w:rPr>
            </w:pPr>
          </w:p>
        </w:tc>
        <w:tc>
          <w:tcPr>
            <w:tcW w:w="1849" w:type="dxa"/>
            <w:vMerge w:val="continue"/>
            <w:tcBorders>
              <w:left w:val="single" w:color="auto" w:sz="4" w:space="0"/>
              <w:right w:val="single" w:color="auto" w:sz="4" w:space="0"/>
            </w:tcBorders>
            <w:noWrap w:val="0"/>
            <w:tcMar>
              <w:top w:w="0" w:type="dxa"/>
              <w:left w:w="0" w:type="dxa"/>
              <w:bottom w:w="0" w:type="dxa"/>
              <w:right w:w="0" w:type="dxa"/>
            </w:tcMar>
            <w:vAlign w:val="center"/>
          </w:tcPr>
          <w:p w14:paraId="238CD662">
            <w:pPr>
              <w:widowControl/>
              <w:spacing w:line="240" w:lineRule="exact"/>
              <w:textAlignment w:val="center"/>
              <w:rPr>
                <w:rFonts w:hint="eastAsia" w:ascii="宋体" w:hAnsi="宋体" w:eastAsia="宋体" w:cs="宋体"/>
                <w:b w:val="0"/>
                <w:bCs w:val="0"/>
                <w:kern w:val="0"/>
                <w:sz w:val="18"/>
                <w:szCs w:val="18"/>
                <w:lang w:bidi="ar"/>
              </w:rPr>
            </w:pPr>
          </w:p>
        </w:tc>
        <w:tc>
          <w:tcPr>
            <w:tcW w:w="51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3EEDD22">
            <w:pPr>
              <w:widowControl/>
              <w:spacing w:line="240" w:lineRule="exact"/>
              <w:jc w:val="center"/>
              <w:textAlignment w:val="center"/>
              <w:rPr>
                <w:rFonts w:hint="eastAsia" w:ascii="宋体" w:hAnsi="宋体" w:eastAsia="宋体" w:cs="宋体"/>
                <w:b w:val="0"/>
                <w:bCs w:val="0"/>
                <w:kern w:val="0"/>
                <w:sz w:val="18"/>
                <w:szCs w:val="18"/>
                <w:lang w:eastAsia="zh-CN" w:bidi="ar"/>
              </w:rPr>
            </w:pPr>
            <w:r>
              <w:rPr>
                <w:rFonts w:hint="eastAsia" w:ascii="宋体" w:hAnsi="宋体" w:eastAsia="宋体" w:cs="宋体"/>
                <w:b w:val="0"/>
                <w:bCs w:val="0"/>
                <w:kern w:val="0"/>
                <w:sz w:val="18"/>
                <w:szCs w:val="18"/>
                <w:lang w:eastAsia="zh-CN" w:bidi="ar"/>
              </w:rPr>
              <w:t>较重</w:t>
            </w:r>
          </w:p>
        </w:tc>
        <w:tc>
          <w:tcPr>
            <w:tcW w:w="242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9B80A0F">
            <w:pPr>
              <w:widowControl/>
              <w:spacing w:line="240" w:lineRule="exact"/>
              <w:textAlignment w:val="center"/>
              <w:rPr>
                <w:rFonts w:hint="eastAsia" w:ascii="宋体" w:hAnsi="宋体" w:eastAsia="宋体" w:cs="宋体"/>
                <w:b w:val="0"/>
                <w:bCs w:val="0"/>
                <w:kern w:val="0"/>
                <w:sz w:val="18"/>
                <w:szCs w:val="18"/>
                <w:lang w:bidi="ar"/>
              </w:rPr>
            </w:pPr>
            <w:r>
              <w:rPr>
                <w:rFonts w:hint="eastAsia" w:ascii="宋体" w:hAnsi="宋体" w:eastAsia="宋体" w:cs="宋体"/>
                <w:b w:val="0"/>
                <w:bCs w:val="0"/>
                <w:kern w:val="0"/>
                <w:sz w:val="18"/>
                <w:szCs w:val="18"/>
                <w:lang w:bidi="ar"/>
              </w:rPr>
              <w:t>疏于对工程设施</w:t>
            </w:r>
            <w:r>
              <w:rPr>
                <w:rFonts w:hint="eastAsia" w:ascii="宋体" w:hAnsi="宋体" w:eastAsia="宋体" w:cs="宋体"/>
                <w:b w:val="0"/>
                <w:bCs w:val="0"/>
                <w:kern w:val="0"/>
                <w:sz w:val="18"/>
                <w:szCs w:val="18"/>
                <w:lang w:eastAsia="zh-CN" w:bidi="ar"/>
              </w:rPr>
              <w:t>日</w:t>
            </w:r>
            <w:r>
              <w:rPr>
                <w:rFonts w:hint="eastAsia" w:ascii="宋体" w:hAnsi="宋体" w:eastAsia="宋体" w:cs="宋体"/>
                <w:b w:val="0"/>
                <w:bCs w:val="0"/>
                <w:kern w:val="0"/>
                <w:sz w:val="18"/>
                <w:szCs w:val="18"/>
                <w:lang w:bidi="ar"/>
              </w:rPr>
              <w:t>常检查和维护，造成对堤坝安全、河势稳定、行洪畅通等影响的</w:t>
            </w:r>
          </w:p>
        </w:tc>
        <w:tc>
          <w:tcPr>
            <w:tcW w:w="1628"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9677914">
            <w:pPr>
              <w:widowControl/>
              <w:spacing w:line="240" w:lineRule="exact"/>
              <w:textAlignment w:val="center"/>
              <w:rPr>
                <w:rFonts w:hint="eastAsia" w:ascii="宋体" w:hAnsi="宋体" w:eastAsia="宋体" w:cs="宋体"/>
                <w:b w:val="0"/>
                <w:bCs w:val="0"/>
                <w:kern w:val="0"/>
                <w:sz w:val="18"/>
                <w:szCs w:val="18"/>
                <w:lang w:bidi="ar"/>
              </w:rPr>
            </w:pPr>
            <w:r>
              <w:rPr>
                <w:rFonts w:hint="eastAsia" w:ascii="宋体" w:hAnsi="宋体" w:eastAsia="宋体" w:cs="宋体"/>
                <w:b w:val="0"/>
                <w:bCs w:val="0"/>
                <w:kern w:val="0"/>
                <w:sz w:val="18"/>
                <w:szCs w:val="18"/>
                <w:lang w:bidi="ar"/>
              </w:rPr>
              <w:t>处</w:t>
            </w:r>
            <w:r>
              <w:rPr>
                <w:rFonts w:hint="eastAsia" w:ascii="宋体" w:hAnsi="宋体" w:eastAsia="宋体" w:cs="宋体"/>
                <w:b w:val="0"/>
                <w:bCs w:val="0"/>
                <w:kern w:val="0"/>
                <w:sz w:val="18"/>
                <w:szCs w:val="18"/>
                <w:lang w:val="en-US" w:eastAsia="zh-CN" w:bidi="ar"/>
              </w:rPr>
              <w:t>6</w:t>
            </w:r>
            <w:r>
              <w:rPr>
                <w:rFonts w:hint="eastAsia" w:ascii="宋体" w:hAnsi="宋体" w:eastAsia="宋体" w:cs="宋体"/>
                <w:b w:val="0"/>
                <w:bCs w:val="0"/>
                <w:kern w:val="0"/>
                <w:sz w:val="18"/>
                <w:szCs w:val="18"/>
                <w:lang w:bidi="ar"/>
              </w:rPr>
              <w:t>千元以上</w:t>
            </w:r>
            <w:r>
              <w:rPr>
                <w:rFonts w:hint="eastAsia" w:ascii="宋体" w:hAnsi="宋体" w:eastAsia="宋体" w:cs="宋体"/>
                <w:b w:val="0"/>
                <w:bCs w:val="0"/>
                <w:kern w:val="0"/>
                <w:sz w:val="18"/>
                <w:szCs w:val="18"/>
                <w:lang w:val="en-US" w:eastAsia="zh-CN" w:bidi="ar"/>
              </w:rPr>
              <w:t>1</w:t>
            </w:r>
            <w:r>
              <w:rPr>
                <w:rFonts w:hint="eastAsia" w:ascii="宋体" w:hAnsi="宋体" w:eastAsia="宋体" w:cs="宋体"/>
                <w:b w:val="0"/>
                <w:bCs w:val="0"/>
                <w:kern w:val="0"/>
                <w:sz w:val="18"/>
                <w:szCs w:val="18"/>
                <w:lang w:bidi="ar"/>
              </w:rPr>
              <w:t>万元以下罚款</w:t>
            </w:r>
          </w:p>
        </w:tc>
        <w:tc>
          <w:tcPr>
            <w:tcW w:w="739" w:type="dxa"/>
            <w:vMerge w:val="continue"/>
            <w:tcBorders>
              <w:left w:val="single" w:color="auto" w:sz="4" w:space="0"/>
              <w:right w:val="single" w:color="auto" w:sz="4" w:space="0"/>
            </w:tcBorders>
            <w:noWrap w:val="0"/>
            <w:tcMar>
              <w:top w:w="0" w:type="dxa"/>
              <w:left w:w="0" w:type="dxa"/>
              <w:bottom w:w="0" w:type="dxa"/>
              <w:right w:w="0" w:type="dxa"/>
            </w:tcMar>
            <w:vAlign w:val="center"/>
          </w:tcPr>
          <w:p w14:paraId="27D89578">
            <w:pPr>
              <w:spacing w:line="240" w:lineRule="exact"/>
              <w:jc w:val="center"/>
              <w:rPr>
                <w:rStyle w:val="21"/>
                <w:rFonts w:hint="eastAsia" w:ascii="宋体" w:hAnsi="宋体" w:eastAsia="宋体" w:cs="宋体"/>
                <w:b w:val="0"/>
                <w:bCs w:val="0"/>
                <w:color w:val="auto"/>
                <w:sz w:val="18"/>
                <w:szCs w:val="18"/>
                <w:lang w:bidi="ar"/>
              </w:rPr>
            </w:pPr>
          </w:p>
        </w:tc>
      </w:tr>
      <w:tr w14:paraId="3AA3FC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4" w:type="dxa"/>
            <w:vMerge w:val="continue"/>
            <w:tcBorders>
              <w:left w:val="single" w:color="auto" w:sz="4" w:space="0"/>
              <w:right w:val="single" w:color="auto" w:sz="4" w:space="0"/>
            </w:tcBorders>
            <w:noWrap w:val="0"/>
            <w:tcMar>
              <w:top w:w="0" w:type="dxa"/>
              <w:left w:w="0" w:type="dxa"/>
              <w:bottom w:w="0" w:type="dxa"/>
              <w:right w:w="0" w:type="dxa"/>
            </w:tcMar>
            <w:vAlign w:val="center"/>
          </w:tcPr>
          <w:p w14:paraId="7BA83D18">
            <w:pPr>
              <w:widowControl/>
              <w:spacing w:line="240" w:lineRule="exact"/>
              <w:textAlignment w:val="center"/>
              <w:rPr>
                <w:rFonts w:hint="eastAsia" w:ascii="宋体" w:hAnsi="宋体" w:eastAsia="宋体" w:cs="宋体"/>
                <w:b w:val="0"/>
                <w:bCs w:val="0"/>
                <w:kern w:val="0"/>
                <w:sz w:val="18"/>
                <w:szCs w:val="18"/>
                <w:lang w:bidi="ar"/>
              </w:rPr>
            </w:pPr>
          </w:p>
        </w:tc>
        <w:tc>
          <w:tcPr>
            <w:tcW w:w="1236" w:type="dxa"/>
            <w:vMerge w:val="continue"/>
            <w:tcBorders>
              <w:left w:val="single" w:color="auto" w:sz="4" w:space="0"/>
              <w:right w:val="single" w:color="auto" w:sz="4" w:space="0"/>
            </w:tcBorders>
            <w:noWrap w:val="0"/>
            <w:tcMar>
              <w:top w:w="0" w:type="dxa"/>
              <w:left w:w="0" w:type="dxa"/>
              <w:bottom w:w="0" w:type="dxa"/>
              <w:right w:w="0" w:type="dxa"/>
            </w:tcMar>
            <w:vAlign w:val="center"/>
          </w:tcPr>
          <w:p w14:paraId="6B479A04">
            <w:pPr>
              <w:widowControl/>
              <w:spacing w:line="240" w:lineRule="exact"/>
              <w:textAlignment w:val="center"/>
              <w:rPr>
                <w:rFonts w:hint="eastAsia" w:ascii="宋体" w:hAnsi="宋体" w:eastAsia="宋体" w:cs="宋体"/>
                <w:b w:val="0"/>
                <w:bCs w:val="0"/>
                <w:kern w:val="0"/>
                <w:sz w:val="18"/>
                <w:szCs w:val="18"/>
                <w:lang w:bidi="ar"/>
              </w:rPr>
            </w:pPr>
          </w:p>
        </w:tc>
        <w:tc>
          <w:tcPr>
            <w:tcW w:w="6027" w:type="dxa"/>
            <w:vMerge w:val="continue"/>
            <w:tcBorders>
              <w:left w:val="single" w:color="auto" w:sz="4" w:space="0"/>
              <w:right w:val="single" w:color="auto" w:sz="4" w:space="0"/>
            </w:tcBorders>
            <w:noWrap w:val="0"/>
            <w:tcMar>
              <w:top w:w="0" w:type="dxa"/>
              <w:left w:w="0" w:type="dxa"/>
              <w:bottom w:w="0" w:type="dxa"/>
              <w:right w:w="0" w:type="dxa"/>
            </w:tcMar>
            <w:vAlign w:val="center"/>
          </w:tcPr>
          <w:p w14:paraId="59805D5F">
            <w:pPr>
              <w:widowControl/>
              <w:spacing w:line="240" w:lineRule="exact"/>
              <w:textAlignment w:val="center"/>
              <w:rPr>
                <w:rFonts w:hint="eastAsia" w:ascii="宋体" w:hAnsi="宋体" w:eastAsia="宋体" w:cs="宋体"/>
                <w:b w:val="0"/>
                <w:bCs w:val="0"/>
                <w:kern w:val="0"/>
                <w:sz w:val="18"/>
                <w:szCs w:val="18"/>
                <w:lang w:bidi="ar"/>
              </w:rPr>
            </w:pPr>
          </w:p>
        </w:tc>
        <w:tc>
          <w:tcPr>
            <w:tcW w:w="1849" w:type="dxa"/>
            <w:vMerge w:val="continue"/>
            <w:tcBorders>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FF61969">
            <w:pPr>
              <w:widowControl/>
              <w:spacing w:line="240" w:lineRule="exact"/>
              <w:textAlignment w:val="center"/>
              <w:rPr>
                <w:rFonts w:hint="eastAsia" w:ascii="宋体" w:hAnsi="宋体" w:eastAsia="宋体" w:cs="宋体"/>
                <w:b w:val="0"/>
                <w:bCs w:val="0"/>
                <w:kern w:val="0"/>
                <w:sz w:val="18"/>
                <w:szCs w:val="18"/>
                <w:lang w:bidi="ar"/>
              </w:rPr>
            </w:pPr>
          </w:p>
        </w:tc>
        <w:tc>
          <w:tcPr>
            <w:tcW w:w="51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9B4F0B8">
            <w:pPr>
              <w:widowControl/>
              <w:spacing w:line="240" w:lineRule="exact"/>
              <w:jc w:val="center"/>
              <w:textAlignment w:val="center"/>
              <w:rPr>
                <w:rFonts w:hint="eastAsia" w:ascii="宋体" w:hAnsi="宋体" w:eastAsia="宋体" w:cs="宋体"/>
                <w:b w:val="0"/>
                <w:bCs w:val="0"/>
                <w:kern w:val="0"/>
                <w:sz w:val="18"/>
                <w:szCs w:val="18"/>
                <w:lang w:bidi="ar"/>
              </w:rPr>
            </w:pPr>
            <w:r>
              <w:rPr>
                <w:rFonts w:hint="eastAsia" w:ascii="宋体" w:hAnsi="宋体" w:eastAsia="宋体" w:cs="宋体"/>
                <w:b w:val="0"/>
                <w:bCs w:val="0"/>
                <w:kern w:val="0"/>
                <w:sz w:val="18"/>
                <w:szCs w:val="18"/>
                <w:lang w:bidi="ar"/>
              </w:rPr>
              <w:t>严重</w:t>
            </w:r>
          </w:p>
        </w:tc>
        <w:tc>
          <w:tcPr>
            <w:tcW w:w="242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1516718A">
            <w:pPr>
              <w:widowControl/>
              <w:spacing w:line="240" w:lineRule="exact"/>
              <w:textAlignment w:val="center"/>
              <mc:AlternateContent>
                <mc:Choice Requires="wpsCustomData">
                  <wpsCustomData:diagonalParaType/>
                </mc:Choice>
              </mc:AlternateContent>
              <w:rPr>
                <w:rFonts w:hint="eastAsia" w:ascii="宋体" w:hAnsi="宋体" w:eastAsia="宋体" w:cs="宋体"/>
                <w:b w:val="0"/>
                <w:bCs w:val="0"/>
                <w:kern w:val="0"/>
                <w:sz w:val="18"/>
                <w:szCs w:val="18"/>
                <w:lang w:bidi="ar"/>
              </w:rPr>
            </w:pPr>
          </w:p>
          <w:p w14:paraId="26A8D649">
            <w:pPr>
              <w:widowControl/>
              <w:spacing w:line="240" w:lineRule="exact"/>
              <w:textAlignment w:val="center"/>
              <w:rPr>
                <w:rFonts w:hint="eastAsia" w:ascii="宋体" w:hAnsi="宋体" w:eastAsia="宋体" w:cs="宋体"/>
                <w:b w:val="0"/>
                <w:bCs w:val="0"/>
                <w:kern w:val="0"/>
                <w:sz w:val="18"/>
                <w:szCs w:val="18"/>
                <w:lang w:bidi="ar"/>
              </w:rPr>
            </w:pPr>
          </w:p>
        </w:tc>
        <w:tc>
          <w:tcPr>
            <w:tcW w:w="1628"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79D5DC51">
            <w:pPr>
              <w:widowControl/>
              <w:spacing w:line="240" w:lineRule="exact"/>
              <w:textAlignment w:val="center"/>
              <mc:AlternateContent>
                <mc:Choice Requires="wpsCustomData">
                  <wpsCustomData:diagonalParaType/>
                </mc:Choice>
              </mc:AlternateContent>
              <w:rPr>
                <w:rFonts w:hint="eastAsia" w:ascii="宋体" w:hAnsi="宋体" w:eastAsia="宋体" w:cs="宋体"/>
                <w:b w:val="0"/>
                <w:bCs w:val="0"/>
                <w:kern w:val="0"/>
                <w:sz w:val="18"/>
                <w:szCs w:val="18"/>
                <w:lang w:bidi="ar"/>
              </w:rPr>
            </w:pPr>
          </w:p>
          <w:p w14:paraId="7D8F03E0">
            <w:pPr>
              <w:widowControl/>
              <w:spacing w:line="240" w:lineRule="exact"/>
              <w:textAlignment w:val="center"/>
              <w:rPr>
                <w:rFonts w:hint="eastAsia" w:ascii="宋体" w:hAnsi="宋体" w:eastAsia="宋体" w:cs="宋体"/>
                <w:b w:val="0"/>
                <w:bCs w:val="0"/>
                <w:kern w:val="0"/>
                <w:sz w:val="18"/>
                <w:szCs w:val="18"/>
                <w:lang w:bidi="ar"/>
              </w:rPr>
            </w:pPr>
          </w:p>
        </w:tc>
        <w:tc>
          <w:tcPr>
            <w:tcW w:w="739" w:type="dxa"/>
            <w:vMerge w:val="continue"/>
            <w:tcBorders>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C927FA1">
            <w:pPr>
              <w:spacing w:line="240" w:lineRule="exact"/>
              <w:jc w:val="center"/>
              <w:rPr>
                <w:rStyle w:val="21"/>
                <w:rFonts w:hint="eastAsia" w:ascii="宋体" w:hAnsi="宋体" w:eastAsia="宋体" w:cs="宋体"/>
                <w:b w:val="0"/>
                <w:bCs w:val="0"/>
                <w:color w:val="auto"/>
                <w:sz w:val="18"/>
                <w:szCs w:val="18"/>
                <w:lang w:bidi="ar"/>
              </w:rPr>
            </w:pPr>
          </w:p>
        </w:tc>
      </w:tr>
      <w:tr w14:paraId="470A46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4" w:type="dxa"/>
            <w:vMerge w:val="continue"/>
            <w:tcBorders>
              <w:left w:val="single" w:color="auto" w:sz="4" w:space="0"/>
              <w:right w:val="single" w:color="auto" w:sz="4" w:space="0"/>
            </w:tcBorders>
            <w:noWrap w:val="0"/>
            <w:tcMar>
              <w:top w:w="0" w:type="dxa"/>
              <w:left w:w="0" w:type="dxa"/>
              <w:bottom w:w="0" w:type="dxa"/>
              <w:right w:w="0" w:type="dxa"/>
            </w:tcMar>
            <w:vAlign w:val="center"/>
          </w:tcPr>
          <w:p w14:paraId="516ED3CD">
            <w:pPr>
              <w:widowControl/>
              <w:spacing w:line="240" w:lineRule="exact"/>
              <w:textAlignment w:val="center"/>
              <w:rPr>
                <w:rFonts w:hint="eastAsia" w:ascii="宋体" w:hAnsi="宋体" w:eastAsia="宋体" w:cs="宋体"/>
                <w:b w:val="0"/>
                <w:bCs w:val="0"/>
                <w:kern w:val="0"/>
                <w:sz w:val="18"/>
                <w:szCs w:val="18"/>
                <w:lang w:bidi="ar"/>
              </w:rPr>
            </w:pPr>
          </w:p>
        </w:tc>
        <w:tc>
          <w:tcPr>
            <w:tcW w:w="1236" w:type="dxa"/>
            <w:vMerge w:val="continue"/>
            <w:tcBorders>
              <w:left w:val="single" w:color="auto" w:sz="4" w:space="0"/>
              <w:right w:val="single" w:color="auto" w:sz="4" w:space="0"/>
            </w:tcBorders>
            <w:noWrap w:val="0"/>
            <w:tcMar>
              <w:top w:w="0" w:type="dxa"/>
              <w:left w:w="0" w:type="dxa"/>
              <w:bottom w:w="0" w:type="dxa"/>
              <w:right w:w="0" w:type="dxa"/>
            </w:tcMar>
            <w:vAlign w:val="center"/>
          </w:tcPr>
          <w:p w14:paraId="5D72F3C4">
            <w:pPr>
              <w:widowControl/>
              <w:spacing w:line="240" w:lineRule="exact"/>
              <w:textAlignment w:val="center"/>
              <w:rPr>
                <w:rFonts w:hint="eastAsia" w:ascii="宋体" w:hAnsi="宋体" w:eastAsia="宋体" w:cs="宋体"/>
                <w:b w:val="0"/>
                <w:bCs w:val="0"/>
                <w:kern w:val="0"/>
                <w:sz w:val="18"/>
                <w:szCs w:val="18"/>
                <w:lang w:bidi="ar"/>
              </w:rPr>
            </w:pPr>
          </w:p>
        </w:tc>
        <w:tc>
          <w:tcPr>
            <w:tcW w:w="6027" w:type="dxa"/>
            <w:vMerge w:val="continue"/>
            <w:tcBorders>
              <w:left w:val="single" w:color="auto" w:sz="4" w:space="0"/>
              <w:right w:val="single" w:color="auto" w:sz="4" w:space="0"/>
            </w:tcBorders>
            <w:noWrap w:val="0"/>
            <w:tcMar>
              <w:top w:w="0" w:type="dxa"/>
              <w:left w:w="0" w:type="dxa"/>
              <w:bottom w:w="0" w:type="dxa"/>
              <w:right w:w="0" w:type="dxa"/>
            </w:tcMar>
            <w:vAlign w:val="center"/>
          </w:tcPr>
          <w:p w14:paraId="3E65DEBC">
            <w:pPr>
              <w:widowControl/>
              <w:spacing w:line="240" w:lineRule="exact"/>
              <w:textAlignment w:val="center"/>
              <w:rPr>
                <w:rFonts w:hint="eastAsia" w:ascii="宋体" w:hAnsi="宋体" w:eastAsia="宋体" w:cs="宋体"/>
                <w:b w:val="0"/>
                <w:bCs w:val="0"/>
                <w:kern w:val="0"/>
                <w:sz w:val="18"/>
                <w:szCs w:val="18"/>
                <w:lang w:bidi="ar"/>
              </w:rPr>
            </w:pPr>
          </w:p>
        </w:tc>
        <w:tc>
          <w:tcPr>
            <w:tcW w:w="1849" w:type="dxa"/>
            <w:vMerge w:val="restart"/>
            <w:tcBorders>
              <w:left w:val="single" w:color="auto" w:sz="4" w:space="0"/>
              <w:right w:val="single" w:color="auto" w:sz="4" w:space="0"/>
            </w:tcBorders>
            <w:noWrap w:val="0"/>
            <w:tcMar>
              <w:top w:w="0" w:type="dxa"/>
              <w:left w:w="0" w:type="dxa"/>
              <w:bottom w:w="0" w:type="dxa"/>
              <w:right w:w="0" w:type="dxa"/>
            </w:tcMar>
            <w:vAlign w:val="center"/>
          </w:tcPr>
          <w:p w14:paraId="7C3ECEA0">
            <w:pPr>
              <w:widowControl/>
              <w:spacing w:line="240" w:lineRule="exact"/>
              <w:textAlignment w:val="center"/>
              <w:rPr>
                <w:rFonts w:hint="eastAsia" w:ascii="宋体" w:hAnsi="宋体" w:eastAsia="宋体" w:cs="宋体"/>
                <w:b w:val="0"/>
                <w:bCs w:val="0"/>
                <w:kern w:val="0"/>
                <w:sz w:val="18"/>
                <w:szCs w:val="18"/>
                <w:lang w:val="en-US" w:eastAsia="zh-CN" w:bidi="ar"/>
              </w:rPr>
            </w:pPr>
            <w:r>
              <w:rPr>
                <w:rFonts w:hint="eastAsia" w:ascii="宋体" w:hAnsi="宋体" w:eastAsia="宋体" w:cs="宋体"/>
                <w:b w:val="0"/>
                <w:bCs w:val="0"/>
                <w:kern w:val="0"/>
                <w:sz w:val="18"/>
                <w:szCs w:val="18"/>
                <w:lang w:bidi="ar"/>
              </w:rPr>
              <w:t>发现危害堤坝安全、影响河势稳定、妨碍行洪畅通等情况，未及时进行整改、消除隐患</w:t>
            </w:r>
            <w:r>
              <w:rPr>
                <w:rFonts w:hint="eastAsia" w:ascii="宋体" w:hAnsi="宋体" w:eastAsia="宋体" w:cs="宋体"/>
                <w:b w:val="0"/>
                <w:bCs w:val="0"/>
                <w:kern w:val="0"/>
                <w:sz w:val="18"/>
                <w:szCs w:val="18"/>
                <w:lang w:eastAsia="zh-CN" w:bidi="ar"/>
              </w:rPr>
              <w:t>，</w:t>
            </w:r>
            <w:r>
              <w:rPr>
                <w:rFonts w:hint="eastAsia" w:ascii="宋体" w:hAnsi="宋体" w:eastAsia="宋体" w:cs="宋体"/>
                <w:b w:val="0"/>
                <w:bCs w:val="0"/>
                <w:kern w:val="0"/>
                <w:sz w:val="18"/>
                <w:szCs w:val="18"/>
                <w:lang w:val="en-US" w:eastAsia="zh-CN" w:bidi="ar"/>
              </w:rPr>
              <w:t>且</w:t>
            </w:r>
            <w:r>
              <w:rPr>
                <w:rFonts w:hint="eastAsia" w:ascii="宋体" w:hAnsi="宋体" w:eastAsia="宋体" w:cs="宋体"/>
                <w:b w:val="0"/>
                <w:bCs w:val="0"/>
                <w:kern w:val="0"/>
                <w:sz w:val="18"/>
                <w:szCs w:val="18"/>
                <w:lang w:bidi="ar"/>
              </w:rPr>
              <w:t>逾期不改正的</w:t>
            </w:r>
          </w:p>
        </w:tc>
        <w:tc>
          <w:tcPr>
            <w:tcW w:w="51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0263DB7">
            <w:pPr>
              <w:widowControl/>
              <w:spacing w:line="240" w:lineRule="exact"/>
              <w:jc w:val="center"/>
              <w:textAlignment w:val="center"/>
              <w:rPr>
                <w:rFonts w:hint="eastAsia" w:ascii="宋体" w:hAnsi="宋体" w:eastAsia="宋体" w:cs="宋体"/>
                <w:b w:val="0"/>
                <w:bCs w:val="0"/>
                <w:kern w:val="0"/>
                <w:sz w:val="18"/>
                <w:szCs w:val="18"/>
                <w:lang w:bidi="ar"/>
              </w:rPr>
            </w:pPr>
            <w:r>
              <w:rPr>
                <w:rFonts w:hint="eastAsia" w:ascii="宋体" w:hAnsi="宋体" w:eastAsia="宋体" w:cs="宋体"/>
                <w:b w:val="0"/>
                <w:bCs w:val="0"/>
                <w:kern w:val="0"/>
                <w:sz w:val="18"/>
                <w:szCs w:val="18"/>
                <w:lang w:bidi="ar"/>
              </w:rPr>
              <w:t>轻微</w:t>
            </w:r>
          </w:p>
        </w:tc>
        <w:tc>
          <w:tcPr>
            <w:tcW w:w="242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4197F725">
            <w:pPr>
              <w:widowControl/>
              <w:spacing w:line="240" w:lineRule="exact"/>
              <w:textAlignment w:val="center"/>
              <mc:AlternateContent>
                <mc:Choice Requires="wpsCustomData">
                  <wpsCustomData:diagonalParaType/>
                </mc:Choice>
              </mc:AlternateContent>
              <w:rPr>
                <w:rFonts w:hint="eastAsia" w:ascii="宋体" w:hAnsi="宋体" w:eastAsia="宋体" w:cs="宋体"/>
                <w:b w:val="0"/>
                <w:bCs w:val="0"/>
                <w:kern w:val="0"/>
                <w:sz w:val="18"/>
                <w:szCs w:val="18"/>
                <w:lang w:bidi="ar"/>
              </w:rPr>
            </w:pPr>
          </w:p>
          <w:p w14:paraId="370D0B2B">
            <w:pPr>
              <w:widowControl/>
              <w:spacing w:line="240" w:lineRule="exact"/>
              <w:textAlignment w:val="center"/>
              <w:rPr>
                <w:rFonts w:hint="eastAsia" w:ascii="宋体" w:hAnsi="宋体" w:eastAsia="宋体" w:cs="宋体"/>
                <w:b w:val="0"/>
                <w:bCs w:val="0"/>
                <w:kern w:val="0"/>
                <w:sz w:val="18"/>
                <w:szCs w:val="18"/>
                <w:lang w:bidi="ar"/>
              </w:rPr>
            </w:pPr>
          </w:p>
        </w:tc>
        <w:tc>
          <w:tcPr>
            <w:tcW w:w="1628"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61E55A41">
            <w:pPr>
              <w:widowControl/>
              <w:spacing w:line="240" w:lineRule="exact"/>
              <w:textAlignment w:val="center"/>
              <mc:AlternateContent>
                <mc:Choice Requires="wpsCustomData">
                  <wpsCustomData:diagonalParaType/>
                </mc:Choice>
              </mc:AlternateContent>
              <w:rPr>
                <w:rFonts w:hint="eastAsia" w:ascii="宋体" w:hAnsi="宋体" w:eastAsia="宋体" w:cs="宋体"/>
                <w:b w:val="0"/>
                <w:bCs w:val="0"/>
                <w:kern w:val="0"/>
                <w:sz w:val="18"/>
                <w:szCs w:val="18"/>
                <w:lang w:bidi="ar"/>
              </w:rPr>
            </w:pPr>
          </w:p>
          <w:p w14:paraId="31DB592D">
            <w:pPr>
              <w:widowControl/>
              <w:spacing w:line="240" w:lineRule="exact"/>
              <w:textAlignment w:val="center"/>
              <w:rPr>
                <w:rFonts w:hint="eastAsia" w:ascii="宋体" w:hAnsi="宋体" w:eastAsia="宋体" w:cs="宋体"/>
                <w:b w:val="0"/>
                <w:bCs w:val="0"/>
                <w:kern w:val="0"/>
                <w:sz w:val="18"/>
                <w:szCs w:val="18"/>
                <w:lang w:bidi="ar"/>
              </w:rPr>
            </w:pPr>
          </w:p>
        </w:tc>
        <w:tc>
          <w:tcPr>
            <w:tcW w:w="739" w:type="dxa"/>
            <w:vMerge w:val="restart"/>
            <w:tcBorders>
              <w:top w:val="single" w:color="auto" w:sz="4" w:space="0"/>
              <w:left w:val="single" w:color="auto" w:sz="4" w:space="0"/>
              <w:right w:val="single" w:color="auto" w:sz="4" w:space="0"/>
            </w:tcBorders>
            <w:noWrap w:val="0"/>
            <w:tcMar>
              <w:top w:w="0" w:type="dxa"/>
              <w:left w:w="0" w:type="dxa"/>
              <w:bottom w:w="0" w:type="dxa"/>
              <w:right w:w="0" w:type="dxa"/>
            </w:tcMar>
            <w:vAlign w:val="center"/>
          </w:tcPr>
          <w:p w14:paraId="067FED82">
            <w:pPr>
              <w:spacing w:line="240" w:lineRule="exact"/>
              <w:jc w:val="center"/>
              <w:rPr>
                <w:rStyle w:val="21"/>
                <w:rFonts w:hint="eastAsia" w:ascii="宋体" w:hAnsi="宋体" w:eastAsia="宋体" w:cs="宋体"/>
                <w:b w:val="0"/>
                <w:bCs w:val="0"/>
                <w:color w:val="auto"/>
                <w:sz w:val="18"/>
                <w:szCs w:val="18"/>
                <w:lang w:bidi="ar"/>
              </w:rPr>
            </w:pPr>
          </w:p>
        </w:tc>
      </w:tr>
      <w:tr w14:paraId="2B51AB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4" w:type="dxa"/>
            <w:vMerge w:val="continue"/>
            <w:tcBorders>
              <w:left w:val="single" w:color="auto" w:sz="4" w:space="0"/>
              <w:right w:val="single" w:color="auto" w:sz="4" w:space="0"/>
            </w:tcBorders>
            <w:noWrap w:val="0"/>
            <w:tcMar>
              <w:top w:w="0" w:type="dxa"/>
              <w:left w:w="0" w:type="dxa"/>
              <w:bottom w:w="0" w:type="dxa"/>
              <w:right w:w="0" w:type="dxa"/>
            </w:tcMar>
            <w:vAlign w:val="center"/>
          </w:tcPr>
          <w:p w14:paraId="7A435E43">
            <w:pPr>
              <w:widowControl/>
              <w:spacing w:line="240" w:lineRule="exact"/>
              <w:textAlignment w:val="center"/>
              <w:rPr>
                <w:rFonts w:hint="eastAsia" w:ascii="宋体" w:hAnsi="宋体" w:eastAsia="宋体" w:cs="宋体"/>
                <w:b w:val="0"/>
                <w:bCs w:val="0"/>
                <w:kern w:val="0"/>
                <w:sz w:val="18"/>
                <w:szCs w:val="18"/>
                <w:lang w:bidi="ar"/>
              </w:rPr>
            </w:pPr>
          </w:p>
        </w:tc>
        <w:tc>
          <w:tcPr>
            <w:tcW w:w="1236" w:type="dxa"/>
            <w:vMerge w:val="continue"/>
            <w:tcBorders>
              <w:left w:val="single" w:color="auto" w:sz="4" w:space="0"/>
              <w:right w:val="single" w:color="auto" w:sz="4" w:space="0"/>
            </w:tcBorders>
            <w:noWrap w:val="0"/>
            <w:tcMar>
              <w:top w:w="0" w:type="dxa"/>
              <w:left w:w="0" w:type="dxa"/>
              <w:bottom w:w="0" w:type="dxa"/>
              <w:right w:w="0" w:type="dxa"/>
            </w:tcMar>
            <w:vAlign w:val="center"/>
          </w:tcPr>
          <w:p w14:paraId="78E8B11D">
            <w:pPr>
              <w:widowControl/>
              <w:spacing w:line="240" w:lineRule="exact"/>
              <w:textAlignment w:val="center"/>
              <w:rPr>
                <w:rFonts w:hint="eastAsia" w:ascii="宋体" w:hAnsi="宋体" w:eastAsia="宋体" w:cs="宋体"/>
                <w:b w:val="0"/>
                <w:bCs w:val="0"/>
                <w:kern w:val="0"/>
                <w:sz w:val="18"/>
                <w:szCs w:val="18"/>
                <w:lang w:bidi="ar"/>
              </w:rPr>
            </w:pPr>
          </w:p>
        </w:tc>
        <w:tc>
          <w:tcPr>
            <w:tcW w:w="6027" w:type="dxa"/>
            <w:vMerge w:val="continue"/>
            <w:tcBorders>
              <w:left w:val="single" w:color="auto" w:sz="4" w:space="0"/>
              <w:right w:val="single" w:color="auto" w:sz="4" w:space="0"/>
            </w:tcBorders>
            <w:noWrap w:val="0"/>
            <w:tcMar>
              <w:top w:w="0" w:type="dxa"/>
              <w:left w:w="0" w:type="dxa"/>
              <w:bottom w:w="0" w:type="dxa"/>
              <w:right w:w="0" w:type="dxa"/>
            </w:tcMar>
            <w:vAlign w:val="center"/>
          </w:tcPr>
          <w:p w14:paraId="572D9C1D">
            <w:pPr>
              <w:widowControl/>
              <w:spacing w:line="240" w:lineRule="exact"/>
              <w:textAlignment w:val="center"/>
              <w:rPr>
                <w:rFonts w:hint="eastAsia" w:ascii="宋体" w:hAnsi="宋体" w:eastAsia="宋体" w:cs="宋体"/>
                <w:b w:val="0"/>
                <w:bCs w:val="0"/>
                <w:kern w:val="0"/>
                <w:sz w:val="18"/>
                <w:szCs w:val="18"/>
                <w:lang w:bidi="ar"/>
              </w:rPr>
            </w:pPr>
          </w:p>
        </w:tc>
        <w:tc>
          <w:tcPr>
            <w:tcW w:w="1849" w:type="dxa"/>
            <w:vMerge w:val="continue"/>
            <w:tcBorders>
              <w:left w:val="single" w:color="auto" w:sz="4" w:space="0"/>
              <w:right w:val="single" w:color="auto" w:sz="4" w:space="0"/>
            </w:tcBorders>
            <w:noWrap w:val="0"/>
            <w:tcMar>
              <w:top w:w="0" w:type="dxa"/>
              <w:left w:w="0" w:type="dxa"/>
              <w:bottom w:w="0" w:type="dxa"/>
              <w:right w:w="0" w:type="dxa"/>
            </w:tcMar>
            <w:vAlign w:val="center"/>
          </w:tcPr>
          <w:p w14:paraId="59A26865">
            <w:pPr>
              <w:widowControl/>
              <w:spacing w:line="240" w:lineRule="exact"/>
              <w:textAlignment w:val="center"/>
              <w:rPr>
                <w:rFonts w:hint="eastAsia" w:ascii="宋体" w:hAnsi="宋体" w:eastAsia="宋体" w:cs="宋体"/>
                <w:b w:val="0"/>
                <w:bCs w:val="0"/>
                <w:kern w:val="0"/>
                <w:sz w:val="18"/>
                <w:szCs w:val="18"/>
                <w:lang w:bidi="ar"/>
              </w:rPr>
            </w:pPr>
          </w:p>
        </w:tc>
        <w:tc>
          <w:tcPr>
            <w:tcW w:w="51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69DDFD0">
            <w:pPr>
              <w:widowControl/>
              <w:spacing w:line="240" w:lineRule="exact"/>
              <w:jc w:val="center"/>
              <w:textAlignment w:val="center"/>
              <w:rPr>
                <w:rFonts w:hint="eastAsia" w:ascii="宋体" w:hAnsi="宋体" w:eastAsia="宋体" w:cs="宋体"/>
                <w:b w:val="0"/>
                <w:bCs w:val="0"/>
                <w:kern w:val="0"/>
                <w:sz w:val="18"/>
                <w:szCs w:val="18"/>
                <w:lang w:bidi="ar"/>
              </w:rPr>
            </w:pPr>
            <w:r>
              <w:rPr>
                <w:rFonts w:hint="eastAsia" w:ascii="宋体" w:hAnsi="宋体" w:eastAsia="宋体" w:cs="宋体"/>
                <w:b w:val="0"/>
                <w:bCs w:val="0"/>
                <w:kern w:val="0"/>
                <w:sz w:val="18"/>
                <w:szCs w:val="18"/>
                <w:lang w:bidi="ar"/>
              </w:rPr>
              <w:t>较轻</w:t>
            </w:r>
          </w:p>
        </w:tc>
        <w:tc>
          <w:tcPr>
            <w:tcW w:w="242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3AE68A44">
            <w:pPr>
              <w:widowControl/>
              <w:spacing w:line="240" w:lineRule="exact"/>
              <w:textAlignment w:val="center"/>
              <mc:AlternateContent>
                <mc:Choice Requires="wpsCustomData">
                  <wpsCustomData:diagonalParaType/>
                </mc:Choice>
              </mc:AlternateContent>
              <w:rPr>
                <w:rFonts w:hint="eastAsia" w:ascii="宋体" w:hAnsi="宋体" w:eastAsia="宋体" w:cs="宋体"/>
                <w:b w:val="0"/>
                <w:bCs w:val="0"/>
                <w:kern w:val="0"/>
                <w:sz w:val="18"/>
                <w:szCs w:val="18"/>
                <w:lang w:bidi="ar"/>
              </w:rPr>
            </w:pPr>
          </w:p>
          <w:p w14:paraId="0734E7FE">
            <w:pPr>
              <w:widowControl/>
              <w:spacing w:line="240" w:lineRule="exact"/>
              <w:textAlignment w:val="center"/>
              <w:rPr>
                <w:rFonts w:hint="eastAsia" w:ascii="宋体" w:hAnsi="宋体" w:eastAsia="宋体" w:cs="宋体"/>
                <w:b w:val="0"/>
                <w:bCs w:val="0"/>
                <w:kern w:val="0"/>
                <w:sz w:val="18"/>
                <w:szCs w:val="18"/>
                <w:lang w:bidi="ar"/>
              </w:rPr>
            </w:pPr>
          </w:p>
        </w:tc>
        <w:tc>
          <w:tcPr>
            <w:tcW w:w="1628"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06434E11">
            <w:pPr>
              <w:widowControl/>
              <w:spacing w:line="240" w:lineRule="exact"/>
              <w:textAlignment w:val="center"/>
              <mc:AlternateContent>
                <mc:Choice Requires="wpsCustomData">
                  <wpsCustomData:diagonalParaType/>
                </mc:Choice>
              </mc:AlternateContent>
              <w:rPr>
                <w:rFonts w:hint="eastAsia" w:ascii="宋体" w:hAnsi="宋体" w:eastAsia="宋体" w:cs="宋体"/>
                <w:b w:val="0"/>
                <w:bCs w:val="0"/>
                <w:kern w:val="0"/>
                <w:sz w:val="18"/>
                <w:szCs w:val="18"/>
                <w:lang w:bidi="ar"/>
              </w:rPr>
            </w:pPr>
          </w:p>
          <w:p w14:paraId="591534E3">
            <w:pPr>
              <w:widowControl/>
              <w:spacing w:line="240" w:lineRule="exact"/>
              <w:textAlignment w:val="center"/>
              <w:rPr>
                <w:rFonts w:hint="eastAsia" w:ascii="宋体" w:hAnsi="宋体" w:eastAsia="宋体" w:cs="宋体"/>
                <w:b w:val="0"/>
                <w:bCs w:val="0"/>
                <w:kern w:val="0"/>
                <w:sz w:val="18"/>
                <w:szCs w:val="18"/>
                <w:lang w:bidi="ar"/>
              </w:rPr>
            </w:pPr>
          </w:p>
        </w:tc>
        <w:tc>
          <w:tcPr>
            <w:tcW w:w="739" w:type="dxa"/>
            <w:vMerge w:val="continue"/>
            <w:tcBorders>
              <w:left w:val="single" w:color="auto" w:sz="4" w:space="0"/>
              <w:right w:val="single" w:color="auto" w:sz="4" w:space="0"/>
            </w:tcBorders>
            <w:noWrap w:val="0"/>
            <w:tcMar>
              <w:top w:w="0" w:type="dxa"/>
              <w:left w:w="0" w:type="dxa"/>
              <w:bottom w:w="0" w:type="dxa"/>
              <w:right w:w="0" w:type="dxa"/>
            </w:tcMar>
            <w:vAlign w:val="center"/>
          </w:tcPr>
          <w:p w14:paraId="7708719E">
            <w:pPr>
              <w:spacing w:line="240" w:lineRule="exact"/>
              <w:jc w:val="center"/>
              <w:rPr>
                <w:rStyle w:val="21"/>
                <w:rFonts w:hint="eastAsia" w:ascii="宋体" w:hAnsi="宋体" w:eastAsia="宋体" w:cs="宋体"/>
                <w:b w:val="0"/>
                <w:bCs w:val="0"/>
                <w:color w:val="auto"/>
                <w:sz w:val="18"/>
                <w:szCs w:val="18"/>
                <w:lang w:bidi="ar"/>
              </w:rPr>
            </w:pPr>
          </w:p>
        </w:tc>
      </w:tr>
      <w:tr w14:paraId="04334D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74" w:type="dxa"/>
            <w:vMerge w:val="continue"/>
            <w:tcBorders>
              <w:left w:val="single" w:color="auto" w:sz="4" w:space="0"/>
              <w:right w:val="single" w:color="auto" w:sz="4" w:space="0"/>
            </w:tcBorders>
            <w:noWrap w:val="0"/>
            <w:tcMar>
              <w:top w:w="0" w:type="dxa"/>
              <w:left w:w="0" w:type="dxa"/>
              <w:bottom w:w="0" w:type="dxa"/>
              <w:right w:w="0" w:type="dxa"/>
            </w:tcMar>
            <w:vAlign w:val="center"/>
          </w:tcPr>
          <w:p w14:paraId="2B3AFC3B">
            <w:pPr>
              <w:widowControl/>
              <w:spacing w:line="240" w:lineRule="exact"/>
              <w:textAlignment w:val="center"/>
              <w:rPr>
                <w:rFonts w:hint="eastAsia" w:ascii="宋体" w:hAnsi="宋体" w:eastAsia="宋体" w:cs="宋体"/>
                <w:b w:val="0"/>
                <w:bCs w:val="0"/>
                <w:kern w:val="0"/>
                <w:sz w:val="18"/>
                <w:szCs w:val="18"/>
                <w:lang w:bidi="ar"/>
              </w:rPr>
            </w:pPr>
          </w:p>
        </w:tc>
        <w:tc>
          <w:tcPr>
            <w:tcW w:w="1236" w:type="dxa"/>
            <w:vMerge w:val="continue"/>
            <w:tcBorders>
              <w:left w:val="single" w:color="auto" w:sz="4" w:space="0"/>
              <w:right w:val="single" w:color="auto" w:sz="4" w:space="0"/>
            </w:tcBorders>
            <w:noWrap w:val="0"/>
            <w:tcMar>
              <w:top w:w="0" w:type="dxa"/>
              <w:left w:w="0" w:type="dxa"/>
              <w:bottom w:w="0" w:type="dxa"/>
              <w:right w:w="0" w:type="dxa"/>
            </w:tcMar>
            <w:vAlign w:val="center"/>
          </w:tcPr>
          <w:p w14:paraId="17232D15">
            <w:pPr>
              <w:widowControl/>
              <w:spacing w:line="240" w:lineRule="exact"/>
              <w:textAlignment w:val="center"/>
              <w:rPr>
                <w:rFonts w:hint="eastAsia" w:ascii="宋体" w:hAnsi="宋体" w:eastAsia="宋体" w:cs="宋体"/>
                <w:b w:val="0"/>
                <w:bCs w:val="0"/>
                <w:kern w:val="0"/>
                <w:sz w:val="18"/>
                <w:szCs w:val="18"/>
                <w:lang w:bidi="ar"/>
              </w:rPr>
            </w:pPr>
          </w:p>
        </w:tc>
        <w:tc>
          <w:tcPr>
            <w:tcW w:w="6027" w:type="dxa"/>
            <w:vMerge w:val="continue"/>
            <w:tcBorders>
              <w:left w:val="single" w:color="auto" w:sz="4" w:space="0"/>
              <w:right w:val="single" w:color="auto" w:sz="4" w:space="0"/>
            </w:tcBorders>
            <w:noWrap w:val="0"/>
            <w:tcMar>
              <w:top w:w="0" w:type="dxa"/>
              <w:left w:w="0" w:type="dxa"/>
              <w:bottom w:w="0" w:type="dxa"/>
              <w:right w:w="0" w:type="dxa"/>
            </w:tcMar>
            <w:vAlign w:val="center"/>
          </w:tcPr>
          <w:p w14:paraId="5AAD9973">
            <w:pPr>
              <w:widowControl/>
              <w:spacing w:line="240" w:lineRule="exact"/>
              <w:textAlignment w:val="center"/>
              <w:rPr>
                <w:rFonts w:hint="eastAsia" w:ascii="宋体" w:hAnsi="宋体" w:eastAsia="宋体" w:cs="宋体"/>
                <w:b w:val="0"/>
                <w:bCs w:val="0"/>
                <w:kern w:val="0"/>
                <w:sz w:val="18"/>
                <w:szCs w:val="18"/>
                <w:lang w:bidi="ar"/>
              </w:rPr>
            </w:pPr>
          </w:p>
        </w:tc>
        <w:tc>
          <w:tcPr>
            <w:tcW w:w="1849" w:type="dxa"/>
            <w:vMerge w:val="continue"/>
            <w:tcBorders>
              <w:left w:val="single" w:color="auto" w:sz="4" w:space="0"/>
              <w:right w:val="single" w:color="auto" w:sz="4" w:space="0"/>
            </w:tcBorders>
            <w:noWrap w:val="0"/>
            <w:tcMar>
              <w:top w:w="0" w:type="dxa"/>
              <w:left w:w="0" w:type="dxa"/>
              <w:bottom w:w="0" w:type="dxa"/>
              <w:right w:w="0" w:type="dxa"/>
            </w:tcMar>
            <w:vAlign w:val="center"/>
          </w:tcPr>
          <w:p w14:paraId="1AF7FBA6">
            <w:pPr>
              <w:widowControl/>
              <w:spacing w:line="240" w:lineRule="exact"/>
              <w:textAlignment w:val="center"/>
              <w:rPr>
                <w:rFonts w:hint="eastAsia" w:ascii="宋体" w:hAnsi="宋体" w:eastAsia="宋体" w:cs="宋体"/>
                <w:b w:val="0"/>
                <w:bCs w:val="0"/>
                <w:kern w:val="0"/>
                <w:sz w:val="18"/>
                <w:szCs w:val="18"/>
                <w:lang w:bidi="ar"/>
              </w:rPr>
            </w:pPr>
          </w:p>
        </w:tc>
        <w:tc>
          <w:tcPr>
            <w:tcW w:w="51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860BFDA">
            <w:pPr>
              <w:widowControl/>
              <w:spacing w:line="240" w:lineRule="exact"/>
              <w:jc w:val="center"/>
              <w:textAlignment w:val="center"/>
              <w:rPr>
                <w:rFonts w:hint="eastAsia" w:ascii="宋体" w:hAnsi="宋体" w:eastAsia="宋体" w:cs="宋体"/>
                <w:b w:val="0"/>
                <w:bCs w:val="0"/>
                <w:kern w:val="0"/>
                <w:sz w:val="18"/>
                <w:szCs w:val="18"/>
                <w:lang w:bidi="ar"/>
              </w:rPr>
            </w:pPr>
            <w:r>
              <w:rPr>
                <w:rFonts w:hint="eastAsia" w:ascii="宋体" w:hAnsi="宋体" w:eastAsia="宋体" w:cs="宋体"/>
                <w:b w:val="0"/>
                <w:bCs w:val="0"/>
                <w:kern w:val="0"/>
                <w:sz w:val="18"/>
                <w:szCs w:val="18"/>
                <w:lang w:bidi="ar"/>
              </w:rPr>
              <w:t>一般</w:t>
            </w:r>
          </w:p>
        </w:tc>
        <w:tc>
          <w:tcPr>
            <w:tcW w:w="242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2FC5B5E">
            <w:pPr>
              <w:widowControl/>
              <w:spacing w:line="240" w:lineRule="exact"/>
              <w:textAlignment w:val="center"/>
              <w:rPr>
                <w:rFonts w:hint="eastAsia" w:ascii="宋体" w:hAnsi="宋体" w:eastAsia="宋体" w:cs="宋体"/>
                <w:b w:val="0"/>
                <w:bCs w:val="0"/>
                <w:kern w:val="0"/>
                <w:sz w:val="18"/>
                <w:szCs w:val="18"/>
                <w:lang w:bidi="ar"/>
              </w:rPr>
            </w:pPr>
            <w:r>
              <w:rPr>
                <w:rFonts w:hint="eastAsia" w:ascii="宋体" w:hAnsi="宋体" w:eastAsia="宋体" w:cs="宋体"/>
                <w:b w:val="0"/>
                <w:bCs w:val="0"/>
                <w:kern w:val="0"/>
                <w:sz w:val="18"/>
                <w:szCs w:val="18"/>
                <w:lang w:bidi="ar"/>
              </w:rPr>
              <w:t>对堤坝安全、河势稳定、行洪畅通等影响较小，未造成危害后果的</w:t>
            </w:r>
          </w:p>
        </w:tc>
        <w:tc>
          <w:tcPr>
            <w:tcW w:w="1628"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DD36954">
            <w:pPr>
              <w:widowControl/>
              <w:spacing w:line="240" w:lineRule="exact"/>
              <w:textAlignment w:val="center"/>
              <w:rPr>
                <w:rFonts w:hint="eastAsia" w:ascii="宋体" w:hAnsi="宋体" w:eastAsia="宋体" w:cs="宋体"/>
                <w:b w:val="0"/>
                <w:bCs w:val="0"/>
                <w:kern w:val="0"/>
                <w:sz w:val="18"/>
                <w:szCs w:val="18"/>
                <w:lang w:bidi="ar"/>
              </w:rPr>
            </w:pPr>
            <w:r>
              <w:rPr>
                <w:rFonts w:hint="eastAsia" w:ascii="宋体" w:hAnsi="宋体" w:eastAsia="宋体" w:cs="宋体"/>
                <w:b w:val="0"/>
                <w:bCs w:val="0"/>
                <w:kern w:val="0"/>
                <w:sz w:val="18"/>
                <w:szCs w:val="18"/>
                <w:lang w:bidi="ar"/>
              </w:rPr>
              <w:t>处</w:t>
            </w:r>
            <w:r>
              <w:rPr>
                <w:rFonts w:hint="eastAsia" w:ascii="宋体" w:hAnsi="宋体" w:eastAsia="宋体" w:cs="宋体"/>
                <w:b w:val="0"/>
                <w:bCs w:val="0"/>
                <w:kern w:val="0"/>
                <w:sz w:val="18"/>
                <w:szCs w:val="18"/>
                <w:lang w:val="en-US" w:eastAsia="zh-CN" w:bidi="ar"/>
              </w:rPr>
              <w:t>2</w:t>
            </w:r>
            <w:r>
              <w:rPr>
                <w:rFonts w:hint="eastAsia" w:ascii="宋体" w:hAnsi="宋体" w:eastAsia="宋体" w:cs="宋体"/>
                <w:b w:val="0"/>
                <w:bCs w:val="0"/>
                <w:kern w:val="0"/>
                <w:sz w:val="18"/>
                <w:szCs w:val="18"/>
                <w:lang w:bidi="ar"/>
              </w:rPr>
              <w:t>万元以上</w:t>
            </w:r>
            <w:r>
              <w:rPr>
                <w:rFonts w:hint="eastAsia" w:ascii="宋体" w:hAnsi="宋体" w:eastAsia="宋体" w:cs="宋体"/>
                <w:b w:val="0"/>
                <w:bCs w:val="0"/>
                <w:kern w:val="0"/>
                <w:sz w:val="18"/>
                <w:szCs w:val="18"/>
                <w:lang w:val="en-US" w:eastAsia="zh-CN" w:bidi="ar"/>
              </w:rPr>
              <w:t>3</w:t>
            </w:r>
            <w:r>
              <w:rPr>
                <w:rFonts w:hint="eastAsia" w:ascii="宋体" w:hAnsi="宋体" w:eastAsia="宋体" w:cs="宋体"/>
                <w:b w:val="0"/>
                <w:bCs w:val="0"/>
                <w:kern w:val="0"/>
                <w:sz w:val="18"/>
                <w:szCs w:val="18"/>
                <w:lang w:bidi="ar"/>
              </w:rPr>
              <w:t>万元以下罚款</w:t>
            </w:r>
          </w:p>
        </w:tc>
        <w:tc>
          <w:tcPr>
            <w:tcW w:w="739" w:type="dxa"/>
            <w:vMerge w:val="continue"/>
            <w:tcBorders>
              <w:left w:val="single" w:color="auto" w:sz="4" w:space="0"/>
              <w:right w:val="single" w:color="auto" w:sz="4" w:space="0"/>
            </w:tcBorders>
            <w:noWrap w:val="0"/>
            <w:tcMar>
              <w:top w:w="0" w:type="dxa"/>
              <w:left w:w="0" w:type="dxa"/>
              <w:bottom w:w="0" w:type="dxa"/>
              <w:right w:w="0" w:type="dxa"/>
            </w:tcMar>
            <w:vAlign w:val="center"/>
          </w:tcPr>
          <w:p w14:paraId="2C019DA5">
            <w:pPr>
              <w:spacing w:line="240" w:lineRule="exact"/>
              <w:jc w:val="center"/>
              <w:rPr>
                <w:rStyle w:val="21"/>
                <w:rFonts w:hint="eastAsia" w:ascii="宋体" w:hAnsi="宋体" w:eastAsia="宋体" w:cs="宋体"/>
                <w:b w:val="0"/>
                <w:bCs w:val="0"/>
                <w:color w:val="auto"/>
                <w:sz w:val="18"/>
                <w:szCs w:val="18"/>
                <w:lang w:bidi="ar"/>
              </w:rPr>
            </w:pPr>
          </w:p>
        </w:tc>
      </w:tr>
      <w:tr w14:paraId="75A868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74" w:type="dxa"/>
            <w:vMerge w:val="continue"/>
            <w:tcBorders>
              <w:left w:val="single" w:color="auto" w:sz="4" w:space="0"/>
              <w:right w:val="single" w:color="auto" w:sz="4" w:space="0"/>
            </w:tcBorders>
            <w:noWrap w:val="0"/>
            <w:tcMar>
              <w:top w:w="0" w:type="dxa"/>
              <w:left w:w="0" w:type="dxa"/>
              <w:bottom w:w="0" w:type="dxa"/>
              <w:right w:w="0" w:type="dxa"/>
            </w:tcMar>
            <w:vAlign w:val="center"/>
          </w:tcPr>
          <w:p w14:paraId="2D361C50">
            <w:pPr>
              <w:widowControl/>
              <w:spacing w:line="240" w:lineRule="exact"/>
              <w:textAlignment w:val="center"/>
              <w:rPr>
                <w:rFonts w:hint="eastAsia" w:ascii="宋体" w:hAnsi="宋体" w:eastAsia="宋体" w:cs="宋体"/>
                <w:b w:val="0"/>
                <w:bCs w:val="0"/>
                <w:kern w:val="0"/>
                <w:sz w:val="18"/>
                <w:szCs w:val="18"/>
                <w:lang w:bidi="ar"/>
              </w:rPr>
            </w:pPr>
          </w:p>
        </w:tc>
        <w:tc>
          <w:tcPr>
            <w:tcW w:w="1236" w:type="dxa"/>
            <w:vMerge w:val="continue"/>
            <w:tcBorders>
              <w:left w:val="single" w:color="auto" w:sz="4" w:space="0"/>
              <w:right w:val="single" w:color="auto" w:sz="4" w:space="0"/>
            </w:tcBorders>
            <w:noWrap w:val="0"/>
            <w:tcMar>
              <w:top w:w="0" w:type="dxa"/>
              <w:left w:w="0" w:type="dxa"/>
              <w:bottom w:w="0" w:type="dxa"/>
              <w:right w:w="0" w:type="dxa"/>
            </w:tcMar>
            <w:vAlign w:val="center"/>
          </w:tcPr>
          <w:p w14:paraId="58B77F4C">
            <w:pPr>
              <w:widowControl/>
              <w:spacing w:line="240" w:lineRule="exact"/>
              <w:textAlignment w:val="center"/>
              <w:rPr>
                <w:rFonts w:hint="eastAsia" w:ascii="宋体" w:hAnsi="宋体" w:eastAsia="宋体" w:cs="宋体"/>
                <w:b w:val="0"/>
                <w:bCs w:val="0"/>
                <w:kern w:val="0"/>
                <w:sz w:val="18"/>
                <w:szCs w:val="18"/>
                <w:lang w:bidi="ar"/>
              </w:rPr>
            </w:pPr>
          </w:p>
        </w:tc>
        <w:tc>
          <w:tcPr>
            <w:tcW w:w="6027" w:type="dxa"/>
            <w:vMerge w:val="continue"/>
            <w:tcBorders>
              <w:left w:val="single" w:color="auto" w:sz="4" w:space="0"/>
              <w:right w:val="single" w:color="auto" w:sz="4" w:space="0"/>
            </w:tcBorders>
            <w:noWrap w:val="0"/>
            <w:tcMar>
              <w:top w:w="0" w:type="dxa"/>
              <w:left w:w="0" w:type="dxa"/>
              <w:bottom w:w="0" w:type="dxa"/>
              <w:right w:w="0" w:type="dxa"/>
            </w:tcMar>
            <w:vAlign w:val="center"/>
          </w:tcPr>
          <w:p w14:paraId="2AD2F657">
            <w:pPr>
              <w:widowControl/>
              <w:spacing w:line="240" w:lineRule="exact"/>
              <w:textAlignment w:val="center"/>
              <w:rPr>
                <w:rFonts w:hint="eastAsia" w:ascii="宋体" w:hAnsi="宋体" w:eastAsia="宋体" w:cs="宋体"/>
                <w:b w:val="0"/>
                <w:bCs w:val="0"/>
                <w:kern w:val="0"/>
                <w:sz w:val="18"/>
                <w:szCs w:val="18"/>
                <w:lang w:bidi="ar"/>
              </w:rPr>
            </w:pPr>
          </w:p>
        </w:tc>
        <w:tc>
          <w:tcPr>
            <w:tcW w:w="1849" w:type="dxa"/>
            <w:vMerge w:val="continue"/>
            <w:tcBorders>
              <w:left w:val="single" w:color="auto" w:sz="4" w:space="0"/>
              <w:right w:val="single" w:color="auto" w:sz="4" w:space="0"/>
            </w:tcBorders>
            <w:noWrap w:val="0"/>
            <w:tcMar>
              <w:top w:w="0" w:type="dxa"/>
              <w:left w:w="0" w:type="dxa"/>
              <w:bottom w:w="0" w:type="dxa"/>
              <w:right w:w="0" w:type="dxa"/>
            </w:tcMar>
            <w:vAlign w:val="center"/>
          </w:tcPr>
          <w:p w14:paraId="50694137">
            <w:pPr>
              <w:widowControl/>
              <w:spacing w:line="240" w:lineRule="exact"/>
              <w:textAlignment w:val="center"/>
              <w:rPr>
                <w:rFonts w:hint="eastAsia" w:ascii="宋体" w:hAnsi="宋体" w:eastAsia="宋体" w:cs="宋体"/>
                <w:b w:val="0"/>
                <w:bCs w:val="0"/>
                <w:kern w:val="0"/>
                <w:sz w:val="18"/>
                <w:szCs w:val="18"/>
                <w:lang w:bidi="ar"/>
              </w:rPr>
            </w:pPr>
          </w:p>
        </w:tc>
        <w:tc>
          <w:tcPr>
            <w:tcW w:w="51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B0A5E97">
            <w:pPr>
              <w:widowControl/>
              <w:spacing w:line="240" w:lineRule="exact"/>
              <w:jc w:val="center"/>
              <w:textAlignment w:val="center"/>
              <w:rPr>
                <w:rFonts w:hint="eastAsia" w:ascii="宋体" w:hAnsi="宋体" w:eastAsia="宋体" w:cs="宋体"/>
                <w:b w:val="0"/>
                <w:bCs w:val="0"/>
                <w:kern w:val="0"/>
                <w:sz w:val="18"/>
                <w:szCs w:val="18"/>
                <w:lang w:eastAsia="zh-CN" w:bidi="ar"/>
              </w:rPr>
            </w:pPr>
            <w:r>
              <w:rPr>
                <w:rFonts w:hint="eastAsia" w:ascii="宋体" w:hAnsi="宋体" w:eastAsia="宋体" w:cs="宋体"/>
                <w:b w:val="0"/>
                <w:bCs w:val="0"/>
                <w:kern w:val="0"/>
                <w:sz w:val="18"/>
                <w:szCs w:val="18"/>
                <w:lang w:eastAsia="zh-CN" w:bidi="ar"/>
              </w:rPr>
              <w:t>较重</w:t>
            </w:r>
          </w:p>
        </w:tc>
        <w:tc>
          <w:tcPr>
            <w:tcW w:w="242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7CC6C86">
            <w:pPr>
              <w:widowControl/>
              <w:spacing w:line="240" w:lineRule="exact"/>
              <w:textAlignment w:val="center"/>
              <w:rPr>
                <w:rFonts w:hint="eastAsia" w:ascii="宋体" w:hAnsi="宋体" w:eastAsia="宋体" w:cs="宋体"/>
                <w:b w:val="0"/>
                <w:bCs w:val="0"/>
                <w:kern w:val="0"/>
                <w:sz w:val="18"/>
                <w:szCs w:val="18"/>
                <w:lang w:bidi="ar"/>
              </w:rPr>
            </w:pPr>
            <w:r>
              <w:rPr>
                <w:rFonts w:hint="eastAsia" w:ascii="宋体" w:hAnsi="宋体" w:eastAsia="宋体" w:cs="宋体"/>
                <w:b w:val="0"/>
                <w:bCs w:val="0"/>
                <w:kern w:val="0"/>
                <w:sz w:val="18"/>
                <w:szCs w:val="18"/>
                <w:lang w:bidi="ar"/>
              </w:rPr>
              <w:t>对堤坝安全、河势稳定、行洪畅通等影响较大，造成危害后果的</w:t>
            </w:r>
          </w:p>
        </w:tc>
        <w:tc>
          <w:tcPr>
            <w:tcW w:w="1628"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87C4036">
            <w:pPr>
              <w:widowControl/>
              <w:spacing w:line="240" w:lineRule="exact"/>
              <w:textAlignment w:val="center"/>
              <w:rPr>
                <w:rFonts w:hint="eastAsia" w:ascii="宋体" w:hAnsi="宋体" w:eastAsia="宋体" w:cs="宋体"/>
                <w:b w:val="0"/>
                <w:bCs w:val="0"/>
                <w:kern w:val="0"/>
                <w:sz w:val="18"/>
                <w:szCs w:val="18"/>
                <w:lang w:bidi="ar"/>
              </w:rPr>
            </w:pPr>
            <w:r>
              <w:rPr>
                <w:rFonts w:hint="eastAsia" w:ascii="宋体" w:hAnsi="宋体" w:eastAsia="宋体" w:cs="宋体"/>
                <w:b w:val="0"/>
                <w:bCs w:val="0"/>
                <w:kern w:val="0"/>
                <w:sz w:val="18"/>
                <w:szCs w:val="18"/>
                <w:lang w:bidi="ar"/>
              </w:rPr>
              <w:t>处</w:t>
            </w:r>
            <w:r>
              <w:rPr>
                <w:rFonts w:hint="eastAsia" w:ascii="宋体" w:hAnsi="宋体" w:eastAsia="宋体" w:cs="宋体"/>
                <w:b w:val="0"/>
                <w:bCs w:val="0"/>
                <w:kern w:val="0"/>
                <w:sz w:val="18"/>
                <w:szCs w:val="18"/>
                <w:lang w:val="en-US" w:eastAsia="zh-CN" w:bidi="ar"/>
              </w:rPr>
              <w:t>3</w:t>
            </w:r>
            <w:r>
              <w:rPr>
                <w:rFonts w:hint="eastAsia" w:ascii="宋体" w:hAnsi="宋体" w:eastAsia="宋体" w:cs="宋体"/>
                <w:b w:val="0"/>
                <w:bCs w:val="0"/>
                <w:kern w:val="0"/>
                <w:sz w:val="18"/>
                <w:szCs w:val="18"/>
                <w:lang w:bidi="ar"/>
              </w:rPr>
              <w:t>万元以上</w:t>
            </w:r>
            <w:r>
              <w:rPr>
                <w:rFonts w:hint="eastAsia" w:ascii="宋体" w:hAnsi="宋体" w:eastAsia="宋体" w:cs="宋体"/>
                <w:b w:val="0"/>
                <w:bCs w:val="0"/>
                <w:kern w:val="0"/>
                <w:sz w:val="18"/>
                <w:szCs w:val="18"/>
                <w:lang w:val="en-US" w:eastAsia="zh-CN" w:bidi="ar"/>
              </w:rPr>
              <w:t>5</w:t>
            </w:r>
            <w:r>
              <w:rPr>
                <w:rFonts w:hint="eastAsia" w:ascii="宋体" w:hAnsi="宋体" w:eastAsia="宋体" w:cs="宋体"/>
                <w:b w:val="0"/>
                <w:bCs w:val="0"/>
                <w:kern w:val="0"/>
                <w:sz w:val="18"/>
                <w:szCs w:val="18"/>
                <w:lang w:bidi="ar"/>
              </w:rPr>
              <w:t>万元以下罚款</w:t>
            </w:r>
          </w:p>
        </w:tc>
        <w:tc>
          <w:tcPr>
            <w:tcW w:w="739" w:type="dxa"/>
            <w:vMerge w:val="continue"/>
            <w:tcBorders>
              <w:left w:val="single" w:color="auto" w:sz="4" w:space="0"/>
              <w:right w:val="single" w:color="auto" w:sz="4" w:space="0"/>
            </w:tcBorders>
            <w:noWrap w:val="0"/>
            <w:tcMar>
              <w:top w:w="0" w:type="dxa"/>
              <w:left w:w="0" w:type="dxa"/>
              <w:bottom w:w="0" w:type="dxa"/>
              <w:right w:w="0" w:type="dxa"/>
            </w:tcMar>
            <w:vAlign w:val="center"/>
          </w:tcPr>
          <w:p w14:paraId="5E55520F">
            <w:pPr>
              <w:spacing w:line="240" w:lineRule="exact"/>
              <w:jc w:val="center"/>
              <w:rPr>
                <w:rStyle w:val="21"/>
                <w:rFonts w:hint="eastAsia" w:ascii="宋体" w:hAnsi="宋体" w:eastAsia="宋体" w:cs="宋体"/>
                <w:b w:val="0"/>
                <w:bCs w:val="0"/>
                <w:color w:val="auto"/>
                <w:sz w:val="18"/>
                <w:szCs w:val="18"/>
                <w:lang w:bidi="ar"/>
              </w:rPr>
            </w:pPr>
          </w:p>
        </w:tc>
      </w:tr>
      <w:tr w14:paraId="52AC76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4" w:type="dxa"/>
            <w:vMerge w:val="continue"/>
            <w:tcBorders>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3F3DB9E">
            <w:pPr>
              <w:widowControl/>
              <w:spacing w:line="240" w:lineRule="exact"/>
              <w:textAlignment w:val="center"/>
              <w:rPr>
                <w:rFonts w:hint="eastAsia" w:ascii="宋体" w:hAnsi="宋体" w:eastAsia="宋体" w:cs="宋体"/>
                <w:b w:val="0"/>
                <w:bCs w:val="0"/>
                <w:kern w:val="0"/>
                <w:sz w:val="18"/>
                <w:szCs w:val="18"/>
                <w:lang w:bidi="ar"/>
              </w:rPr>
            </w:pPr>
          </w:p>
        </w:tc>
        <w:tc>
          <w:tcPr>
            <w:tcW w:w="1236" w:type="dxa"/>
            <w:vMerge w:val="continue"/>
            <w:tcBorders>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8384917">
            <w:pPr>
              <w:widowControl/>
              <w:spacing w:line="240" w:lineRule="exact"/>
              <w:textAlignment w:val="center"/>
              <w:rPr>
                <w:rFonts w:hint="eastAsia" w:ascii="宋体" w:hAnsi="宋体" w:eastAsia="宋体" w:cs="宋体"/>
                <w:b w:val="0"/>
                <w:bCs w:val="0"/>
                <w:kern w:val="0"/>
                <w:sz w:val="18"/>
                <w:szCs w:val="18"/>
                <w:lang w:bidi="ar"/>
              </w:rPr>
            </w:pPr>
          </w:p>
        </w:tc>
        <w:tc>
          <w:tcPr>
            <w:tcW w:w="6027" w:type="dxa"/>
            <w:vMerge w:val="continue"/>
            <w:tcBorders>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40EC5B8">
            <w:pPr>
              <w:widowControl/>
              <w:spacing w:line="240" w:lineRule="exact"/>
              <w:textAlignment w:val="center"/>
              <w:rPr>
                <w:rFonts w:hint="eastAsia" w:ascii="宋体" w:hAnsi="宋体" w:eastAsia="宋体" w:cs="宋体"/>
                <w:b w:val="0"/>
                <w:bCs w:val="0"/>
                <w:kern w:val="0"/>
                <w:sz w:val="18"/>
                <w:szCs w:val="18"/>
                <w:lang w:bidi="ar"/>
              </w:rPr>
            </w:pPr>
          </w:p>
        </w:tc>
        <w:tc>
          <w:tcPr>
            <w:tcW w:w="1849" w:type="dxa"/>
            <w:vMerge w:val="continue"/>
            <w:tcBorders>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AAD77BB">
            <w:pPr>
              <w:widowControl/>
              <w:spacing w:line="240" w:lineRule="exact"/>
              <w:textAlignment w:val="center"/>
              <w:rPr>
                <w:rFonts w:hint="eastAsia" w:ascii="宋体" w:hAnsi="宋体" w:eastAsia="宋体" w:cs="宋体"/>
                <w:b w:val="0"/>
                <w:bCs w:val="0"/>
                <w:kern w:val="0"/>
                <w:sz w:val="18"/>
                <w:szCs w:val="18"/>
                <w:lang w:bidi="ar"/>
              </w:rPr>
            </w:pPr>
          </w:p>
        </w:tc>
        <w:tc>
          <w:tcPr>
            <w:tcW w:w="51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801AB38">
            <w:pPr>
              <w:widowControl/>
              <w:spacing w:line="240" w:lineRule="exact"/>
              <w:jc w:val="center"/>
              <w:textAlignment w:val="center"/>
              <w:rPr>
                <w:rFonts w:hint="eastAsia" w:ascii="宋体" w:hAnsi="宋体" w:eastAsia="宋体" w:cs="宋体"/>
                <w:b w:val="0"/>
                <w:bCs w:val="0"/>
                <w:kern w:val="0"/>
                <w:sz w:val="18"/>
                <w:szCs w:val="18"/>
                <w:lang w:bidi="ar"/>
              </w:rPr>
            </w:pPr>
            <w:r>
              <w:rPr>
                <w:rFonts w:hint="eastAsia" w:ascii="宋体" w:hAnsi="宋体" w:eastAsia="宋体" w:cs="宋体"/>
                <w:b w:val="0"/>
                <w:bCs w:val="0"/>
                <w:kern w:val="0"/>
                <w:sz w:val="18"/>
                <w:szCs w:val="18"/>
                <w:lang w:bidi="ar"/>
              </w:rPr>
              <w:t>严重</w:t>
            </w:r>
          </w:p>
        </w:tc>
        <w:tc>
          <w:tcPr>
            <w:tcW w:w="242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2CB812F3">
            <w:pPr>
              <w:widowControl/>
              <w:spacing w:line="240" w:lineRule="exact"/>
              <w:textAlignment w:val="center"/>
              <mc:AlternateContent>
                <mc:Choice Requires="wpsCustomData">
                  <wpsCustomData:diagonalParaType/>
                </mc:Choice>
              </mc:AlternateContent>
              <w:rPr>
                <w:rFonts w:hint="eastAsia" w:ascii="宋体" w:hAnsi="宋体" w:eastAsia="宋体" w:cs="宋体"/>
                <w:b w:val="0"/>
                <w:bCs w:val="0"/>
                <w:kern w:val="0"/>
                <w:sz w:val="18"/>
                <w:szCs w:val="18"/>
                <w:lang w:bidi="ar"/>
              </w:rPr>
            </w:pPr>
          </w:p>
          <w:p w14:paraId="09B66C06">
            <w:pPr>
              <w:widowControl/>
              <w:spacing w:line="240" w:lineRule="exact"/>
              <w:textAlignment w:val="center"/>
              <w:rPr>
                <w:rFonts w:hint="eastAsia" w:ascii="宋体" w:hAnsi="宋体" w:eastAsia="宋体" w:cs="宋体"/>
                <w:b w:val="0"/>
                <w:bCs w:val="0"/>
                <w:kern w:val="0"/>
                <w:sz w:val="18"/>
                <w:szCs w:val="18"/>
                <w:lang w:bidi="ar"/>
              </w:rPr>
            </w:pPr>
          </w:p>
        </w:tc>
        <w:tc>
          <w:tcPr>
            <w:tcW w:w="1628"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0C4B6AA9">
            <w:pPr>
              <w:widowControl/>
              <w:spacing w:line="240" w:lineRule="exact"/>
              <w:textAlignment w:val="center"/>
              <mc:AlternateContent>
                <mc:Choice Requires="wpsCustomData">
                  <wpsCustomData:diagonalParaType/>
                </mc:Choice>
              </mc:AlternateContent>
              <w:rPr>
                <w:rFonts w:hint="eastAsia" w:ascii="宋体" w:hAnsi="宋体" w:eastAsia="宋体" w:cs="宋体"/>
                <w:b w:val="0"/>
                <w:bCs w:val="0"/>
                <w:kern w:val="0"/>
                <w:sz w:val="18"/>
                <w:szCs w:val="18"/>
                <w:lang w:bidi="ar"/>
              </w:rPr>
            </w:pPr>
          </w:p>
          <w:p w14:paraId="215343DD">
            <w:pPr>
              <w:widowControl/>
              <w:spacing w:line="240" w:lineRule="exact"/>
              <w:textAlignment w:val="center"/>
              <w:rPr>
                <w:rFonts w:hint="eastAsia" w:ascii="宋体" w:hAnsi="宋体" w:eastAsia="宋体" w:cs="宋体"/>
                <w:b w:val="0"/>
                <w:bCs w:val="0"/>
                <w:kern w:val="0"/>
                <w:sz w:val="18"/>
                <w:szCs w:val="18"/>
                <w:lang w:bidi="ar"/>
              </w:rPr>
            </w:pPr>
          </w:p>
        </w:tc>
        <w:tc>
          <w:tcPr>
            <w:tcW w:w="739" w:type="dxa"/>
            <w:vMerge w:val="continue"/>
            <w:tcBorders>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12DE51A">
            <w:pPr>
              <w:spacing w:line="240" w:lineRule="exact"/>
              <w:jc w:val="center"/>
              <w:rPr>
                <w:rStyle w:val="21"/>
                <w:rFonts w:hint="eastAsia" w:ascii="宋体" w:hAnsi="宋体" w:eastAsia="宋体" w:cs="宋体"/>
                <w:b w:val="0"/>
                <w:bCs w:val="0"/>
                <w:color w:val="auto"/>
                <w:sz w:val="18"/>
                <w:szCs w:val="18"/>
                <w:lang w:bidi="ar"/>
              </w:rPr>
            </w:pPr>
          </w:p>
        </w:tc>
      </w:tr>
      <w:tr w14:paraId="76391A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4" w:type="dxa"/>
            <w:vMerge w:val="restart"/>
            <w:tcBorders>
              <w:left w:val="single" w:color="auto" w:sz="4" w:space="0"/>
              <w:right w:val="single" w:color="auto" w:sz="4" w:space="0"/>
            </w:tcBorders>
            <w:noWrap w:val="0"/>
            <w:tcMar>
              <w:top w:w="0" w:type="dxa"/>
              <w:left w:w="0" w:type="dxa"/>
              <w:bottom w:w="0" w:type="dxa"/>
              <w:right w:w="0" w:type="dxa"/>
            </w:tcMar>
            <w:vAlign w:val="center"/>
          </w:tcPr>
          <w:p w14:paraId="7FD13DD6">
            <w:pPr>
              <w:widowControl/>
              <w:spacing w:line="240" w:lineRule="exact"/>
              <w:jc w:val="center"/>
              <w:textAlignment w:val="center"/>
              <w:rPr>
                <w:rFonts w:hint="eastAsia" w:ascii="宋体" w:hAnsi="宋体" w:eastAsia="宋体" w:cs="宋体"/>
                <w:b w:val="0"/>
                <w:bCs w:val="0"/>
                <w:sz w:val="18"/>
                <w:szCs w:val="18"/>
                <w:lang w:eastAsia="zh-CN"/>
              </w:rPr>
            </w:pPr>
            <w:r>
              <w:rPr>
                <w:rFonts w:hint="eastAsia" w:ascii="宋体" w:hAnsi="宋体" w:eastAsia="宋体" w:cs="宋体"/>
                <w:b w:val="0"/>
                <w:bCs w:val="0"/>
                <w:kern w:val="0"/>
                <w:sz w:val="18"/>
                <w:szCs w:val="18"/>
                <w:lang w:bidi="ar"/>
              </w:rPr>
              <w:t>3</w:t>
            </w:r>
            <w:r>
              <w:rPr>
                <w:rFonts w:hint="eastAsia" w:ascii="宋体" w:hAnsi="宋体" w:eastAsia="宋体" w:cs="宋体"/>
                <w:b w:val="0"/>
                <w:bCs w:val="0"/>
                <w:kern w:val="0"/>
                <w:sz w:val="18"/>
                <w:szCs w:val="18"/>
                <w:lang w:val="en-US" w:eastAsia="zh-CN" w:bidi="ar"/>
              </w:rPr>
              <w:t>2</w:t>
            </w:r>
          </w:p>
        </w:tc>
        <w:tc>
          <w:tcPr>
            <w:tcW w:w="1236" w:type="dxa"/>
            <w:vMerge w:val="restart"/>
            <w:tcBorders>
              <w:left w:val="single" w:color="auto" w:sz="4" w:space="0"/>
              <w:right w:val="single" w:color="auto" w:sz="4" w:space="0"/>
            </w:tcBorders>
            <w:noWrap w:val="0"/>
            <w:tcMar>
              <w:top w:w="0" w:type="dxa"/>
              <w:left w:w="0" w:type="dxa"/>
              <w:bottom w:w="0" w:type="dxa"/>
              <w:right w:w="0" w:type="dxa"/>
            </w:tcMar>
            <w:vAlign w:val="center"/>
          </w:tcPr>
          <w:p w14:paraId="7BAECC36">
            <w:pPr>
              <w:widowControl/>
              <w:spacing w:line="240" w:lineRule="exact"/>
              <w:jc w:val="both"/>
              <w:textAlignment w:val="center"/>
              <w:rPr>
                <w:rFonts w:hint="eastAsia" w:ascii="宋体" w:hAnsi="宋体" w:eastAsia="宋体" w:cs="宋体"/>
                <w:b w:val="0"/>
                <w:bCs w:val="0"/>
                <w:kern w:val="0"/>
                <w:sz w:val="18"/>
                <w:szCs w:val="18"/>
                <w:lang w:bidi="ar"/>
              </w:rPr>
            </w:pPr>
            <w:r>
              <w:rPr>
                <w:rFonts w:hint="eastAsia" w:ascii="宋体" w:hAnsi="宋体" w:eastAsia="宋体" w:cs="宋体"/>
                <w:b w:val="0"/>
                <w:bCs w:val="0"/>
                <w:kern w:val="0"/>
                <w:sz w:val="18"/>
                <w:szCs w:val="18"/>
                <w:lang w:bidi="ar"/>
              </w:rPr>
              <w:t>对侵占国家所有的水利工程管理范围内的水域和依法已经办理手续的土地的管理权和使用权的行政处罚</w:t>
            </w:r>
          </w:p>
        </w:tc>
        <w:tc>
          <w:tcPr>
            <w:tcW w:w="6027" w:type="dxa"/>
            <w:vMerge w:val="restart"/>
            <w:tcBorders>
              <w:top w:val="single" w:color="auto" w:sz="4" w:space="0"/>
              <w:left w:val="single" w:color="auto" w:sz="4" w:space="0"/>
              <w:right w:val="single" w:color="auto" w:sz="4" w:space="0"/>
            </w:tcBorders>
            <w:noWrap w:val="0"/>
            <w:tcMar>
              <w:top w:w="0" w:type="dxa"/>
              <w:left w:w="0" w:type="dxa"/>
              <w:bottom w:w="0" w:type="dxa"/>
              <w:right w:w="0" w:type="dxa"/>
            </w:tcMar>
            <w:vAlign w:val="center"/>
          </w:tcPr>
          <w:p w14:paraId="2E44783D">
            <w:pPr>
              <w:widowControl/>
              <w:spacing w:line="240" w:lineRule="exact"/>
              <w:textAlignment w:val="center"/>
              <w:rPr>
                <w:rFonts w:hint="eastAsia" w:ascii="宋体" w:hAnsi="宋体" w:eastAsia="宋体" w:cs="宋体"/>
                <w:b w:val="0"/>
                <w:bCs w:val="0"/>
                <w:kern w:val="0"/>
                <w:sz w:val="18"/>
                <w:szCs w:val="18"/>
                <w:lang w:bidi="ar"/>
              </w:rPr>
            </w:pPr>
            <w:r>
              <w:rPr>
                <w:rFonts w:hint="eastAsia" w:ascii="宋体" w:hAnsi="宋体" w:eastAsia="宋体" w:cs="宋体"/>
                <w:b w:val="0"/>
                <w:bCs w:val="0"/>
                <w:kern w:val="0"/>
                <w:sz w:val="18"/>
                <w:szCs w:val="18"/>
                <w:lang w:bidi="ar"/>
              </w:rPr>
              <w:t>《河北省水利工程管理条例》第二十四条 国家所有的水利工程管理范围内的水域和依照本条例已经办理手续的土地的管理权和使用权，属于水利工程管理单位，任何单位和个人不得侵占。</w:t>
            </w:r>
          </w:p>
          <w:p w14:paraId="5C5AAC72">
            <w:pPr>
              <w:widowControl/>
              <w:spacing w:line="240" w:lineRule="exact"/>
              <w:textAlignment w:val="center"/>
              <w:rPr>
                <w:rFonts w:hint="eastAsia" w:ascii="宋体" w:hAnsi="宋体" w:eastAsia="宋体" w:cs="宋体"/>
                <w:b w:val="0"/>
                <w:bCs w:val="0"/>
                <w:kern w:val="0"/>
                <w:sz w:val="18"/>
                <w:szCs w:val="18"/>
                <w:lang w:bidi="ar"/>
              </w:rPr>
            </w:pPr>
            <w:r>
              <w:rPr>
                <w:rFonts w:hint="eastAsia" w:ascii="宋体" w:hAnsi="宋体" w:eastAsia="宋体" w:cs="宋体"/>
                <w:b w:val="0"/>
                <w:bCs w:val="0"/>
                <w:kern w:val="0"/>
                <w:sz w:val="18"/>
                <w:szCs w:val="18"/>
                <w:lang w:bidi="ar"/>
              </w:rPr>
              <w:t>第四十四条　违反本条例第二十四条规定的，责令其纠正违法行为，没收违法所得，限期排除障碍或者采取补救措施，可以并处五百元以上五千元以下的罚款。</w:t>
            </w:r>
          </w:p>
        </w:tc>
        <w:tc>
          <w:tcPr>
            <w:tcW w:w="1849" w:type="dxa"/>
            <w:vMerge w:val="restart"/>
            <w:tcBorders>
              <w:top w:val="single" w:color="auto" w:sz="4" w:space="0"/>
              <w:left w:val="single" w:color="auto" w:sz="4" w:space="0"/>
              <w:right w:val="single" w:color="auto" w:sz="4" w:space="0"/>
            </w:tcBorders>
            <w:noWrap w:val="0"/>
            <w:tcMar>
              <w:top w:w="0" w:type="dxa"/>
              <w:left w:w="0" w:type="dxa"/>
              <w:bottom w:w="0" w:type="dxa"/>
              <w:right w:w="0" w:type="dxa"/>
            </w:tcMar>
            <w:vAlign w:val="center"/>
          </w:tcPr>
          <w:p w14:paraId="0B59DD15">
            <w:pPr>
              <w:spacing w:line="240" w:lineRule="exact"/>
              <w:jc w:val="both"/>
              <w:rPr>
                <w:rFonts w:hint="eastAsia" w:ascii="宋体" w:hAnsi="宋体" w:eastAsia="宋体" w:cs="宋体"/>
                <w:b w:val="0"/>
                <w:bCs w:val="0"/>
                <w:sz w:val="18"/>
                <w:szCs w:val="18"/>
              </w:rPr>
            </w:pPr>
            <w:r>
              <w:rPr>
                <w:rFonts w:hint="eastAsia" w:ascii="宋体" w:hAnsi="宋体" w:eastAsia="宋体" w:cs="宋体"/>
                <w:b w:val="0"/>
                <w:bCs w:val="0"/>
                <w:kern w:val="0"/>
                <w:sz w:val="18"/>
                <w:szCs w:val="18"/>
                <w:lang w:bidi="ar"/>
              </w:rPr>
              <w:t>侵占国家所有的水利工程管理范围内的水域和依法已经办理手续的土地的管理权和使用权的</w:t>
            </w:r>
          </w:p>
        </w:tc>
        <w:tc>
          <w:tcPr>
            <w:tcW w:w="51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7F0454D">
            <w:pPr>
              <w:spacing w:line="240" w:lineRule="exact"/>
              <w:jc w:val="center"/>
              <w:rPr>
                <w:rFonts w:hint="eastAsia" w:ascii="宋体" w:hAnsi="宋体" w:eastAsia="宋体" w:cs="宋体"/>
                <w:b w:val="0"/>
                <w:bCs w:val="0"/>
                <w:sz w:val="18"/>
                <w:szCs w:val="18"/>
              </w:rPr>
            </w:pPr>
            <w:r>
              <w:rPr>
                <w:rFonts w:hint="eastAsia" w:ascii="宋体" w:hAnsi="宋体" w:eastAsia="宋体" w:cs="宋体"/>
                <w:b w:val="0"/>
                <w:bCs w:val="0"/>
                <w:sz w:val="18"/>
                <w:szCs w:val="18"/>
              </w:rPr>
              <w:t>轻微</w:t>
            </w:r>
          </w:p>
        </w:tc>
        <w:tc>
          <w:tcPr>
            <w:tcW w:w="242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11C1E239">
            <w:pPr>
              <w:snapToGrid w:val="0"/>
              <w:spacing w:line="240" w:lineRule="exact"/>
              <mc:AlternateContent>
                <mc:Choice Requires="wpsCustomData">
                  <wpsCustomData:diagonalParaType/>
                </mc:Choice>
              </mc:AlternateContent>
              <w:rPr>
                <w:rStyle w:val="21"/>
                <w:rFonts w:hint="eastAsia" w:ascii="宋体" w:hAnsi="宋体" w:eastAsia="宋体" w:cs="宋体"/>
                <w:b w:val="0"/>
                <w:bCs w:val="0"/>
                <w:color w:val="auto"/>
                <w:sz w:val="18"/>
                <w:szCs w:val="18"/>
                <w:lang w:bidi="ar"/>
              </w:rPr>
            </w:pPr>
          </w:p>
          <w:p w14:paraId="28AD34B7">
            <w:pPr>
              <w:spacing w:line="240" w:lineRule="exact"/>
              <w:rPr>
                <w:rStyle w:val="21"/>
                <w:rFonts w:hint="eastAsia" w:ascii="宋体" w:hAnsi="宋体" w:eastAsia="宋体" w:cs="宋体"/>
                <w:b w:val="0"/>
                <w:bCs w:val="0"/>
                <w:color w:val="auto"/>
                <w:sz w:val="18"/>
                <w:szCs w:val="18"/>
                <w:lang w:bidi="ar"/>
              </w:rPr>
            </w:pPr>
          </w:p>
        </w:tc>
        <w:tc>
          <w:tcPr>
            <w:tcW w:w="1628"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11001643">
            <w:pPr>
              <w:snapToGrid w:val="0"/>
              <w:spacing w:line="240" w:lineRule="exact"/>
              <mc:AlternateContent>
                <mc:Choice Requires="wpsCustomData">
                  <wpsCustomData:diagonalParaType/>
                </mc:Choice>
              </mc:AlternateContent>
              <w:rPr>
                <w:rStyle w:val="21"/>
                <w:rFonts w:hint="eastAsia" w:ascii="宋体" w:hAnsi="宋体" w:eastAsia="宋体" w:cs="宋体"/>
                <w:b w:val="0"/>
                <w:bCs w:val="0"/>
                <w:color w:val="auto"/>
                <w:sz w:val="18"/>
                <w:szCs w:val="18"/>
                <w:lang w:bidi="ar"/>
              </w:rPr>
            </w:pPr>
          </w:p>
          <w:p w14:paraId="3FFC3370">
            <w:pPr>
              <w:spacing w:line="240" w:lineRule="exact"/>
              <w:rPr>
                <w:rStyle w:val="21"/>
                <w:rFonts w:hint="eastAsia" w:ascii="宋体" w:hAnsi="宋体" w:eastAsia="宋体" w:cs="宋体"/>
                <w:b w:val="0"/>
                <w:bCs w:val="0"/>
                <w:color w:val="auto"/>
                <w:sz w:val="18"/>
                <w:szCs w:val="18"/>
                <w:lang w:bidi="ar"/>
              </w:rPr>
            </w:pPr>
          </w:p>
        </w:tc>
        <w:tc>
          <w:tcPr>
            <w:tcW w:w="739" w:type="dxa"/>
            <w:vMerge w:val="restart"/>
            <w:tcBorders>
              <w:top w:val="single" w:color="auto" w:sz="4" w:space="0"/>
              <w:left w:val="single" w:color="auto" w:sz="4" w:space="0"/>
              <w:right w:val="single" w:color="auto" w:sz="4" w:space="0"/>
            </w:tcBorders>
            <w:noWrap w:val="0"/>
            <w:tcMar>
              <w:top w:w="0" w:type="dxa"/>
              <w:left w:w="0" w:type="dxa"/>
              <w:bottom w:w="0" w:type="dxa"/>
              <w:right w:w="0" w:type="dxa"/>
            </w:tcMar>
            <w:vAlign w:val="center"/>
          </w:tcPr>
          <w:p w14:paraId="1F3D5C12">
            <w:pPr>
              <w:spacing w:line="240" w:lineRule="exact"/>
              <w:jc w:val="center"/>
              <w:rPr>
                <w:rStyle w:val="21"/>
                <w:rFonts w:hint="eastAsia" w:ascii="宋体" w:hAnsi="宋体" w:eastAsia="宋体" w:cs="宋体"/>
                <w:b w:val="0"/>
                <w:bCs w:val="0"/>
                <w:color w:val="auto"/>
                <w:sz w:val="18"/>
                <w:szCs w:val="18"/>
                <w:lang w:bidi="ar"/>
              </w:rPr>
            </w:pPr>
          </w:p>
        </w:tc>
      </w:tr>
      <w:tr w14:paraId="054E3B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74" w:type="dxa"/>
            <w:vMerge w:val="continue"/>
            <w:tcBorders>
              <w:left w:val="single" w:color="auto" w:sz="4" w:space="0"/>
              <w:right w:val="single" w:color="auto" w:sz="4" w:space="0"/>
            </w:tcBorders>
            <w:noWrap w:val="0"/>
            <w:tcMar>
              <w:top w:w="0" w:type="dxa"/>
              <w:left w:w="0" w:type="dxa"/>
              <w:bottom w:w="0" w:type="dxa"/>
              <w:right w:w="0" w:type="dxa"/>
            </w:tcMar>
            <w:vAlign w:val="center"/>
          </w:tcPr>
          <w:p w14:paraId="41E7D5DE">
            <w:pPr>
              <w:spacing w:line="240" w:lineRule="exact"/>
              <w:jc w:val="center"/>
              <w:rPr>
                <w:rFonts w:hint="eastAsia" w:ascii="宋体" w:hAnsi="宋体" w:eastAsia="宋体" w:cs="宋体"/>
                <w:b w:val="0"/>
                <w:bCs w:val="0"/>
                <w:sz w:val="18"/>
                <w:szCs w:val="18"/>
              </w:rPr>
            </w:pPr>
          </w:p>
        </w:tc>
        <w:tc>
          <w:tcPr>
            <w:tcW w:w="1236" w:type="dxa"/>
            <w:vMerge w:val="continue"/>
            <w:tcBorders>
              <w:left w:val="single" w:color="auto" w:sz="4" w:space="0"/>
              <w:right w:val="single" w:color="auto" w:sz="4" w:space="0"/>
            </w:tcBorders>
            <w:noWrap w:val="0"/>
            <w:tcMar>
              <w:top w:w="0" w:type="dxa"/>
              <w:left w:w="0" w:type="dxa"/>
              <w:bottom w:w="0" w:type="dxa"/>
              <w:right w:w="0" w:type="dxa"/>
            </w:tcMar>
            <w:vAlign w:val="center"/>
          </w:tcPr>
          <w:p w14:paraId="41E7B375">
            <w:pPr>
              <w:widowControl/>
              <w:spacing w:line="240" w:lineRule="exact"/>
              <w:textAlignment w:val="center"/>
              <w:rPr>
                <w:rFonts w:hint="eastAsia" w:ascii="宋体" w:hAnsi="宋体" w:eastAsia="宋体" w:cs="宋体"/>
                <w:b w:val="0"/>
                <w:bCs w:val="0"/>
                <w:kern w:val="0"/>
                <w:sz w:val="18"/>
                <w:szCs w:val="18"/>
                <w:lang w:bidi="ar"/>
              </w:rPr>
            </w:pPr>
          </w:p>
        </w:tc>
        <w:tc>
          <w:tcPr>
            <w:tcW w:w="6027" w:type="dxa"/>
            <w:vMerge w:val="continue"/>
            <w:tcBorders>
              <w:left w:val="single" w:color="auto" w:sz="4" w:space="0"/>
              <w:right w:val="single" w:color="auto" w:sz="4" w:space="0"/>
            </w:tcBorders>
            <w:noWrap w:val="0"/>
            <w:tcMar>
              <w:top w:w="0" w:type="dxa"/>
              <w:left w:w="0" w:type="dxa"/>
              <w:bottom w:w="0" w:type="dxa"/>
              <w:right w:w="0" w:type="dxa"/>
            </w:tcMar>
            <w:vAlign w:val="center"/>
          </w:tcPr>
          <w:p w14:paraId="16807FE7">
            <w:pPr>
              <w:widowControl/>
              <w:spacing w:line="240" w:lineRule="exact"/>
              <w:ind w:firstLine="360" w:firstLineChars="200"/>
              <w:textAlignment w:val="center"/>
              <w:rPr>
                <w:rFonts w:hint="eastAsia" w:ascii="宋体" w:hAnsi="宋体" w:eastAsia="宋体" w:cs="宋体"/>
                <w:b w:val="0"/>
                <w:bCs w:val="0"/>
                <w:kern w:val="0"/>
                <w:sz w:val="18"/>
                <w:szCs w:val="18"/>
                <w:lang w:bidi="ar"/>
              </w:rPr>
            </w:pPr>
          </w:p>
        </w:tc>
        <w:tc>
          <w:tcPr>
            <w:tcW w:w="1849" w:type="dxa"/>
            <w:vMerge w:val="continue"/>
            <w:tcBorders>
              <w:left w:val="single" w:color="auto" w:sz="4" w:space="0"/>
              <w:right w:val="single" w:color="auto" w:sz="4" w:space="0"/>
            </w:tcBorders>
            <w:noWrap w:val="0"/>
            <w:tcMar>
              <w:top w:w="0" w:type="dxa"/>
              <w:left w:w="0" w:type="dxa"/>
              <w:bottom w:w="0" w:type="dxa"/>
              <w:right w:w="0" w:type="dxa"/>
            </w:tcMar>
            <w:vAlign w:val="center"/>
          </w:tcPr>
          <w:p w14:paraId="195458CC">
            <w:pPr>
              <w:spacing w:line="240" w:lineRule="exact"/>
              <w:jc w:val="both"/>
              <w:rPr>
                <w:rFonts w:hint="eastAsia" w:ascii="宋体" w:hAnsi="宋体" w:eastAsia="宋体" w:cs="宋体"/>
                <w:b w:val="0"/>
                <w:bCs w:val="0"/>
                <w:sz w:val="18"/>
                <w:szCs w:val="18"/>
              </w:rPr>
            </w:pPr>
          </w:p>
        </w:tc>
        <w:tc>
          <w:tcPr>
            <w:tcW w:w="51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A943269">
            <w:pPr>
              <w:spacing w:line="240" w:lineRule="exact"/>
              <w:jc w:val="center"/>
              <w:rPr>
                <w:rFonts w:hint="eastAsia" w:ascii="宋体" w:hAnsi="宋体" w:eastAsia="宋体" w:cs="宋体"/>
                <w:b w:val="0"/>
                <w:bCs w:val="0"/>
                <w:sz w:val="18"/>
                <w:szCs w:val="18"/>
              </w:rPr>
            </w:pPr>
            <w:r>
              <w:rPr>
                <w:rFonts w:hint="eastAsia" w:ascii="宋体" w:hAnsi="宋体" w:eastAsia="宋体" w:cs="宋体"/>
                <w:b w:val="0"/>
                <w:bCs w:val="0"/>
                <w:sz w:val="18"/>
                <w:szCs w:val="18"/>
              </w:rPr>
              <w:t>较轻</w:t>
            </w:r>
          </w:p>
        </w:tc>
        <w:tc>
          <w:tcPr>
            <w:tcW w:w="242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237EC44">
            <w:pPr>
              <w:spacing w:line="220" w:lineRule="exact"/>
              <w:rPr>
                <w:rFonts w:hint="eastAsia" w:ascii="宋体" w:hAnsi="宋体" w:eastAsia="宋体" w:cs="宋体"/>
                <w:b w:val="0"/>
                <w:bCs w:val="0"/>
                <w:sz w:val="18"/>
                <w:szCs w:val="18"/>
                <w:lang w:bidi="ar"/>
              </w:rPr>
            </w:pPr>
            <w:r>
              <w:rPr>
                <w:rStyle w:val="21"/>
                <w:rFonts w:hint="eastAsia" w:ascii="宋体" w:hAnsi="宋体" w:eastAsia="宋体" w:cs="宋体"/>
                <w:b w:val="0"/>
                <w:bCs w:val="0"/>
                <w:color w:val="auto"/>
                <w:sz w:val="18"/>
                <w:szCs w:val="18"/>
                <w:lang w:bidi="ar"/>
              </w:rPr>
              <w:t>侵占情节轻微，立即停止违法行为、采取补救措施的</w:t>
            </w:r>
          </w:p>
        </w:tc>
        <w:tc>
          <w:tcPr>
            <w:tcW w:w="1628"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4E4FD0B">
            <w:pPr>
              <w:spacing w:line="220" w:lineRule="exact"/>
              <w:rPr>
                <w:rFonts w:hint="eastAsia" w:ascii="宋体" w:hAnsi="宋体" w:eastAsia="宋体" w:cs="宋体"/>
                <w:b w:val="0"/>
                <w:bCs w:val="0"/>
                <w:sz w:val="18"/>
                <w:szCs w:val="18"/>
                <w:lang w:bidi="ar"/>
              </w:rPr>
            </w:pPr>
            <w:r>
              <w:rPr>
                <w:rStyle w:val="21"/>
                <w:rFonts w:hint="eastAsia" w:ascii="宋体" w:hAnsi="宋体" w:eastAsia="宋体" w:cs="宋体"/>
                <w:b w:val="0"/>
                <w:bCs w:val="0"/>
                <w:color w:val="auto"/>
                <w:sz w:val="18"/>
                <w:szCs w:val="18"/>
                <w:lang w:bidi="ar"/>
              </w:rPr>
              <w:t>没收违法所得，并处</w:t>
            </w:r>
            <w:r>
              <w:rPr>
                <w:rStyle w:val="21"/>
                <w:rFonts w:hint="eastAsia" w:ascii="宋体" w:hAnsi="宋体" w:eastAsia="宋体" w:cs="宋体"/>
                <w:b w:val="0"/>
                <w:bCs w:val="0"/>
                <w:color w:val="auto"/>
                <w:sz w:val="18"/>
                <w:szCs w:val="18"/>
                <w:lang w:val="en-US" w:eastAsia="zh-CN" w:bidi="ar"/>
              </w:rPr>
              <w:t>500</w:t>
            </w:r>
            <w:r>
              <w:rPr>
                <w:rStyle w:val="21"/>
                <w:rFonts w:hint="eastAsia" w:ascii="宋体" w:hAnsi="宋体" w:eastAsia="宋体" w:cs="宋体"/>
                <w:b w:val="0"/>
                <w:bCs w:val="0"/>
                <w:color w:val="auto"/>
                <w:sz w:val="18"/>
                <w:szCs w:val="18"/>
                <w:lang w:bidi="ar"/>
              </w:rPr>
              <w:t>元罚款</w:t>
            </w:r>
          </w:p>
        </w:tc>
        <w:tc>
          <w:tcPr>
            <w:tcW w:w="739" w:type="dxa"/>
            <w:vMerge w:val="continue"/>
            <w:tcBorders>
              <w:left w:val="single" w:color="auto" w:sz="4" w:space="0"/>
              <w:right w:val="single" w:color="auto" w:sz="4" w:space="0"/>
            </w:tcBorders>
            <w:noWrap w:val="0"/>
            <w:tcMar>
              <w:top w:w="0" w:type="dxa"/>
              <w:left w:w="0" w:type="dxa"/>
              <w:bottom w:w="0" w:type="dxa"/>
              <w:right w:w="0" w:type="dxa"/>
            </w:tcMar>
            <w:vAlign w:val="center"/>
          </w:tcPr>
          <w:p w14:paraId="4CAE9C47">
            <w:pPr>
              <w:spacing w:line="240" w:lineRule="exact"/>
              <w:jc w:val="center"/>
              <w:rPr>
                <w:rStyle w:val="21"/>
                <w:rFonts w:hint="eastAsia" w:ascii="宋体" w:hAnsi="宋体" w:eastAsia="宋体" w:cs="宋体"/>
                <w:b w:val="0"/>
                <w:bCs w:val="0"/>
                <w:color w:val="auto"/>
                <w:sz w:val="18"/>
                <w:szCs w:val="18"/>
                <w:lang w:bidi="ar"/>
              </w:rPr>
            </w:pPr>
          </w:p>
        </w:tc>
      </w:tr>
      <w:tr w14:paraId="2B616E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74" w:type="dxa"/>
            <w:vMerge w:val="continue"/>
            <w:tcBorders>
              <w:left w:val="single" w:color="auto" w:sz="4" w:space="0"/>
              <w:right w:val="single" w:color="auto" w:sz="4" w:space="0"/>
            </w:tcBorders>
            <w:noWrap w:val="0"/>
            <w:tcMar>
              <w:top w:w="0" w:type="dxa"/>
              <w:left w:w="0" w:type="dxa"/>
              <w:bottom w:w="0" w:type="dxa"/>
              <w:right w:w="0" w:type="dxa"/>
            </w:tcMar>
            <w:vAlign w:val="center"/>
          </w:tcPr>
          <w:p w14:paraId="2DD0D9F1">
            <w:pPr>
              <w:spacing w:line="240" w:lineRule="exact"/>
              <w:jc w:val="center"/>
              <w:rPr>
                <w:rFonts w:hint="eastAsia" w:ascii="宋体" w:hAnsi="宋体" w:eastAsia="宋体" w:cs="宋体"/>
                <w:b w:val="0"/>
                <w:bCs w:val="0"/>
                <w:sz w:val="18"/>
                <w:szCs w:val="18"/>
              </w:rPr>
            </w:pPr>
          </w:p>
        </w:tc>
        <w:tc>
          <w:tcPr>
            <w:tcW w:w="1236" w:type="dxa"/>
            <w:vMerge w:val="continue"/>
            <w:tcBorders>
              <w:left w:val="single" w:color="auto" w:sz="4" w:space="0"/>
              <w:right w:val="single" w:color="auto" w:sz="4" w:space="0"/>
            </w:tcBorders>
            <w:noWrap w:val="0"/>
            <w:tcMar>
              <w:top w:w="0" w:type="dxa"/>
              <w:left w:w="0" w:type="dxa"/>
              <w:bottom w:w="0" w:type="dxa"/>
              <w:right w:w="0" w:type="dxa"/>
            </w:tcMar>
            <w:vAlign w:val="center"/>
          </w:tcPr>
          <w:p w14:paraId="321C93A8">
            <w:pPr>
              <w:widowControl/>
              <w:spacing w:line="240" w:lineRule="exact"/>
              <w:textAlignment w:val="center"/>
              <w:rPr>
                <w:rFonts w:hint="eastAsia" w:ascii="宋体" w:hAnsi="宋体" w:eastAsia="宋体" w:cs="宋体"/>
                <w:b w:val="0"/>
                <w:bCs w:val="0"/>
                <w:kern w:val="0"/>
                <w:sz w:val="18"/>
                <w:szCs w:val="18"/>
                <w:lang w:bidi="ar"/>
              </w:rPr>
            </w:pPr>
          </w:p>
        </w:tc>
        <w:tc>
          <w:tcPr>
            <w:tcW w:w="6027" w:type="dxa"/>
            <w:vMerge w:val="continue"/>
            <w:tcBorders>
              <w:left w:val="single" w:color="auto" w:sz="4" w:space="0"/>
              <w:right w:val="single" w:color="auto" w:sz="4" w:space="0"/>
            </w:tcBorders>
            <w:noWrap w:val="0"/>
            <w:tcMar>
              <w:top w:w="0" w:type="dxa"/>
              <w:left w:w="0" w:type="dxa"/>
              <w:bottom w:w="0" w:type="dxa"/>
              <w:right w:w="0" w:type="dxa"/>
            </w:tcMar>
            <w:vAlign w:val="center"/>
          </w:tcPr>
          <w:p w14:paraId="1C9F9ABA">
            <w:pPr>
              <w:widowControl/>
              <w:spacing w:line="240" w:lineRule="exact"/>
              <w:ind w:firstLine="360" w:firstLineChars="200"/>
              <w:textAlignment w:val="center"/>
              <w:rPr>
                <w:rFonts w:hint="eastAsia" w:ascii="宋体" w:hAnsi="宋体" w:eastAsia="宋体" w:cs="宋体"/>
                <w:b w:val="0"/>
                <w:bCs w:val="0"/>
                <w:kern w:val="0"/>
                <w:sz w:val="18"/>
                <w:szCs w:val="18"/>
                <w:lang w:bidi="ar"/>
              </w:rPr>
            </w:pPr>
          </w:p>
        </w:tc>
        <w:tc>
          <w:tcPr>
            <w:tcW w:w="1849" w:type="dxa"/>
            <w:vMerge w:val="continue"/>
            <w:tcBorders>
              <w:left w:val="single" w:color="auto" w:sz="4" w:space="0"/>
              <w:right w:val="single" w:color="auto" w:sz="4" w:space="0"/>
            </w:tcBorders>
            <w:noWrap w:val="0"/>
            <w:tcMar>
              <w:top w:w="0" w:type="dxa"/>
              <w:left w:w="0" w:type="dxa"/>
              <w:bottom w:w="0" w:type="dxa"/>
              <w:right w:w="0" w:type="dxa"/>
            </w:tcMar>
            <w:vAlign w:val="center"/>
          </w:tcPr>
          <w:p w14:paraId="3BACA2DD">
            <w:pPr>
              <w:spacing w:line="240" w:lineRule="exact"/>
              <w:jc w:val="both"/>
              <w:rPr>
                <w:rFonts w:hint="eastAsia" w:ascii="宋体" w:hAnsi="宋体" w:eastAsia="宋体" w:cs="宋体"/>
                <w:b w:val="0"/>
                <w:bCs w:val="0"/>
                <w:sz w:val="18"/>
                <w:szCs w:val="18"/>
              </w:rPr>
            </w:pPr>
          </w:p>
        </w:tc>
        <w:tc>
          <w:tcPr>
            <w:tcW w:w="51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DFFB38E">
            <w:pPr>
              <w:spacing w:line="240" w:lineRule="exact"/>
              <w:jc w:val="center"/>
              <w:rPr>
                <w:rFonts w:hint="eastAsia" w:ascii="宋体" w:hAnsi="宋体" w:eastAsia="宋体" w:cs="宋体"/>
                <w:b w:val="0"/>
                <w:bCs w:val="0"/>
                <w:sz w:val="18"/>
                <w:szCs w:val="18"/>
              </w:rPr>
            </w:pPr>
            <w:r>
              <w:rPr>
                <w:rFonts w:hint="eastAsia" w:ascii="宋体" w:hAnsi="宋体" w:eastAsia="宋体" w:cs="宋体"/>
                <w:b w:val="0"/>
                <w:bCs w:val="0"/>
                <w:sz w:val="18"/>
                <w:szCs w:val="18"/>
              </w:rPr>
              <w:t>一般</w:t>
            </w:r>
          </w:p>
        </w:tc>
        <w:tc>
          <w:tcPr>
            <w:tcW w:w="242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BCCBA53">
            <w:pPr>
              <w:spacing w:line="220" w:lineRule="exact"/>
              <w:rPr>
                <w:rFonts w:hint="eastAsia" w:ascii="宋体" w:hAnsi="宋体" w:eastAsia="宋体" w:cs="宋体"/>
                <w:b w:val="0"/>
                <w:bCs w:val="0"/>
                <w:sz w:val="18"/>
                <w:szCs w:val="18"/>
                <w:lang w:bidi="ar"/>
              </w:rPr>
            </w:pPr>
            <w:r>
              <w:rPr>
                <w:rStyle w:val="21"/>
                <w:rFonts w:hint="eastAsia" w:ascii="宋体" w:hAnsi="宋体" w:eastAsia="宋体" w:cs="宋体"/>
                <w:b w:val="0"/>
                <w:bCs w:val="0"/>
                <w:color w:val="auto"/>
                <w:sz w:val="18"/>
                <w:szCs w:val="18"/>
                <w:lang w:bidi="ar"/>
              </w:rPr>
              <w:t>侵占情节较轻的，或者立即停止违法行为，但未在限期内采取补救措施的</w:t>
            </w:r>
          </w:p>
        </w:tc>
        <w:tc>
          <w:tcPr>
            <w:tcW w:w="1628"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7676257">
            <w:pPr>
              <w:spacing w:line="220" w:lineRule="exact"/>
              <w:rPr>
                <w:rFonts w:hint="eastAsia" w:ascii="宋体" w:hAnsi="宋体" w:eastAsia="宋体" w:cs="宋体"/>
                <w:b w:val="0"/>
                <w:bCs w:val="0"/>
                <w:sz w:val="18"/>
                <w:szCs w:val="18"/>
                <w:lang w:bidi="ar"/>
              </w:rPr>
            </w:pPr>
            <w:r>
              <w:rPr>
                <w:rStyle w:val="21"/>
                <w:rFonts w:hint="eastAsia" w:ascii="宋体" w:hAnsi="宋体" w:eastAsia="宋体" w:cs="宋体"/>
                <w:b w:val="0"/>
                <w:bCs w:val="0"/>
                <w:color w:val="auto"/>
                <w:sz w:val="18"/>
                <w:szCs w:val="18"/>
                <w:lang w:bidi="ar"/>
              </w:rPr>
              <w:t>没收违法所的，并处</w:t>
            </w:r>
            <w:r>
              <w:rPr>
                <w:rStyle w:val="21"/>
                <w:rFonts w:hint="eastAsia" w:ascii="宋体" w:hAnsi="宋体" w:eastAsia="宋体" w:cs="宋体"/>
                <w:b w:val="0"/>
                <w:bCs w:val="0"/>
                <w:color w:val="auto"/>
                <w:sz w:val="18"/>
                <w:szCs w:val="18"/>
                <w:lang w:val="en-US" w:eastAsia="zh-CN" w:bidi="ar"/>
              </w:rPr>
              <w:t>500</w:t>
            </w:r>
            <w:r>
              <w:rPr>
                <w:rStyle w:val="21"/>
                <w:rFonts w:hint="eastAsia" w:ascii="宋体" w:hAnsi="宋体" w:eastAsia="宋体" w:cs="宋体"/>
                <w:b w:val="0"/>
                <w:bCs w:val="0"/>
                <w:color w:val="auto"/>
                <w:sz w:val="18"/>
                <w:szCs w:val="18"/>
                <w:lang w:bidi="ar"/>
              </w:rPr>
              <w:t>元以上</w:t>
            </w:r>
            <w:r>
              <w:rPr>
                <w:rStyle w:val="21"/>
                <w:rFonts w:hint="eastAsia" w:ascii="宋体" w:hAnsi="宋体" w:eastAsia="宋体" w:cs="宋体"/>
                <w:b w:val="0"/>
                <w:bCs w:val="0"/>
                <w:color w:val="auto"/>
                <w:sz w:val="18"/>
                <w:szCs w:val="18"/>
                <w:lang w:val="en-US" w:eastAsia="zh-CN" w:bidi="ar"/>
              </w:rPr>
              <w:t>2</w:t>
            </w:r>
            <w:r>
              <w:rPr>
                <w:rStyle w:val="21"/>
                <w:rFonts w:hint="eastAsia" w:ascii="宋体" w:hAnsi="宋体" w:eastAsia="宋体" w:cs="宋体"/>
                <w:b w:val="0"/>
                <w:bCs w:val="0"/>
                <w:color w:val="auto"/>
                <w:sz w:val="18"/>
                <w:szCs w:val="18"/>
                <w:lang w:bidi="ar"/>
              </w:rPr>
              <w:t>千元以下的罚款</w:t>
            </w:r>
          </w:p>
        </w:tc>
        <w:tc>
          <w:tcPr>
            <w:tcW w:w="739" w:type="dxa"/>
            <w:vMerge w:val="continue"/>
            <w:tcBorders>
              <w:left w:val="single" w:color="auto" w:sz="4" w:space="0"/>
              <w:right w:val="single" w:color="auto" w:sz="4" w:space="0"/>
            </w:tcBorders>
            <w:noWrap w:val="0"/>
            <w:tcMar>
              <w:top w:w="0" w:type="dxa"/>
              <w:left w:w="0" w:type="dxa"/>
              <w:bottom w:w="0" w:type="dxa"/>
              <w:right w:w="0" w:type="dxa"/>
            </w:tcMar>
            <w:vAlign w:val="center"/>
          </w:tcPr>
          <w:p w14:paraId="27E2969D">
            <w:pPr>
              <w:spacing w:line="240" w:lineRule="exact"/>
              <w:jc w:val="center"/>
              <w:rPr>
                <w:rStyle w:val="21"/>
                <w:rFonts w:hint="eastAsia" w:ascii="宋体" w:hAnsi="宋体" w:eastAsia="宋体" w:cs="宋体"/>
                <w:b w:val="0"/>
                <w:bCs w:val="0"/>
                <w:color w:val="auto"/>
                <w:sz w:val="18"/>
                <w:szCs w:val="18"/>
                <w:lang w:bidi="ar"/>
              </w:rPr>
            </w:pPr>
          </w:p>
        </w:tc>
      </w:tr>
      <w:tr w14:paraId="32A9F4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74" w:type="dxa"/>
            <w:vMerge w:val="continue"/>
            <w:tcBorders>
              <w:left w:val="single" w:color="auto" w:sz="4" w:space="0"/>
              <w:right w:val="single" w:color="auto" w:sz="4" w:space="0"/>
            </w:tcBorders>
            <w:noWrap w:val="0"/>
            <w:tcMar>
              <w:top w:w="0" w:type="dxa"/>
              <w:left w:w="0" w:type="dxa"/>
              <w:bottom w:w="0" w:type="dxa"/>
              <w:right w:w="0" w:type="dxa"/>
            </w:tcMar>
            <w:vAlign w:val="center"/>
          </w:tcPr>
          <w:p w14:paraId="49F2B3CE">
            <w:pPr>
              <w:spacing w:line="240" w:lineRule="exact"/>
              <w:jc w:val="center"/>
              <w:rPr>
                <w:rFonts w:hint="eastAsia" w:ascii="宋体" w:hAnsi="宋体" w:eastAsia="宋体" w:cs="宋体"/>
                <w:b w:val="0"/>
                <w:bCs w:val="0"/>
                <w:sz w:val="18"/>
                <w:szCs w:val="18"/>
              </w:rPr>
            </w:pPr>
          </w:p>
        </w:tc>
        <w:tc>
          <w:tcPr>
            <w:tcW w:w="1236" w:type="dxa"/>
            <w:vMerge w:val="continue"/>
            <w:tcBorders>
              <w:left w:val="single" w:color="auto" w:sz="4" w:space="0"/>
              <w:right w:val="single" w:color="auto" w:sz="4" w:space="0"/>
            </w:tcBorders>
            <w:noWrap w:val="0"/>
            <w:tcMar>
              <w:top w:w="0" w:type="dxa"/>
              <w:left w:w="0" w:type="dxa"/>
              <w:bottom w:w="0" w:type="dxa"/>
              <w:right w:w="0" w:type="dxa"/>
            </w:tcMar>
            <w:vAlign w:val="center"/>
          </w:tcPr>
          <w:p w14:paraId="29DA0DA9">
            <w:pPr>
              <w:widowControl/>
              <w:spacing w:line="240" w:lineRule="exact"/>
              <w:textAlignment w:val="center"/>
              <w:rPr>
                <w:rFonts w:hint="eastAsia" w:ascii="宋体" w:hAnsi="宋体" w:eastAsia="宋体" w:cs="宋体"/>
                <w:b w:val="0"/>
                <w:bCs w:val="0"/>
                <w:kern w:val="0"/>
                <w:sz w:val="18"/>
                <w:szCs w:val="18"/>
                <w:lang w:bidi="ar"/>
              </w:rPr>
            </w:pPr>
          </w:p>
        </w:tc>
        <w:tc>
          <w:tcPr>
            <w:tcW w:w="6027" w:type="dxa"/>
            <w:vMerge w:val="continue"/>
            <w:tcBorders>
              <w:left w:val="single" w:color="auto" w:sz="4" w:space="0"/>
              <w:right w:val="single" w:color="auto" w:sz="4" w:space="0"/>
            </w:tcBorders>
            <w:noWrap w:val="0"/>
            <w:tcMar>
              <w:top w:w="0" w:type="dxa"/>
              <w:left w:w="0" w:type="dxa"/>
              <w:bottom w:w="0" w:type="dxa"/>
              <w:right w:w="0" w:type="dxa"/>
            </w:tcMar>
            <w:vAlign w:val="center"/>
          </w:tcPr>
          <w:p w14:paraId="581B985B">
            <w:pPr>
              <w:widowControl/>
              <w:spacing w:line="240" w:lineRule="exact"/>
              <w:ind w:firstLine="360" w:firstLineChars="200"/>
              <w:textAlignment w:val="center"/>
              <w:rPr>
                <w:rFonts w:hint="eastAsia" w:ascii="宋体" w:hAnsi="宋体" w:eastAsia="宋体" w:cs="宋体"/>
                <w:b w:val="0"/>
                <w:bCs w:val="0"/>
                <w:kern w:val="0"/>
                <w:sz w:val="18"/>
                <w:szCs w:val="18"/>
                <w:lang w:bidi="ar"/>
              </w:rPr>
            </w:pPr>
          </w:p>
        </w:tc>
        <w:tc>
          <w:tcPr>
            <w:tcW w:w="1849" w:type="dxa"/>
            <w:vMerge w:val="continue"/>
            <w:tcBorders>
              <w:left w:val="single" w:color="auto" w:sz="4" w:space="0"/>
              <w:right w:val="single" w:color="auto" w:sz="4" w:space="0"/>
            </w:tcBorders>
            <w:noWrap w:val="0"/>
            <w:tcMar>
              <w:top w:w="0" w:type="dxa"/>
              <w:left w:w="0" w:type="dxa"/>
              <w:bottom w:w="0" w:type="dxa"/>
              <w:right w:w="0" w:type="dxa"/>
            </w:tcMar>
            <w:vAlign w:val="center"/>
          </w:tcPr>
          <w:p w14:paraId="0B697162">
            <w:pPr>
              <w:spacing w:line="240" w:lineRule="exact"/>
              <w:jc w:val="both"/>
              <w:rPr>
                <w:rFonts w:hint="eastAsia" w:ascii="宋体" w:hAnsi="宋体" w:eastAsia="宋体" w:cs="宋体"/>
                <w:b w:val="0"/>
                <w:bCs w:val="0"/>
                <w:sz w:val="18"/>
                <w:szCs w:val="18"/>
              </w:rPr>
            </w:pPr>
          </w:p>
        </w:tc>
        <w:tc>
          <w:tcPr>
            <w:tcW w:w="51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C10AFDF">
            <w:pPr>
              <w:spacing w:line="240" w:lineRule="exact"/>
              <w:jc w:val="center"/>
              <w:rPr>
                <w:rFonts w:hint="eastAsia" w:ascii="宋体" w:hAnsi="宋体" w:eastAsia="宋体" w:cs="宋体"/>
                <w:b w:val="0"/>
                <w:bCs w:val="0"/>
                <w:sz w:val="18"/>
                <w:szCs w:val="18"/>
                <w:lang w:eastAsia="zh-CN"/>
              </w:rPr>
            </w:pPr>
            <w:r>
              <w:rPr>
                <w:rFonts w:hint="eastAsia" w:ascii="宋体" w:hAnsi="宋体" w:eastAsia="宋体" w:cs="宋体"/>
                <w:b w:val="0"/>
                <w:bCs w:val="0"/>
                <w:sz w:val="18"/>
                <w:szCs w:val="18"/>
                <w:lang w:eastAsia="zh-CN"/>
              </w:rPr>
              <w:t>较重</w:t>
            </w:r>
          </w:p>
        </w:tc>
        <w:tc>
          <w:tcPr>
            <w:tcW w:w="242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84ECC8F">
            <w:pPr>
              <w:spacing w:line="220" w:lineRule="exact"/>
              <w:rPr>
                <w:rFonts w:hint="eastAsia" w:ascii="宋体" w:hAnsi="宋体" w:eastAsia="宋体" w:cs="宋体"/>
                <w:b w:val="0"/>
                <w:bCs w:val="0"/>
                <w:sz w:val="18"/>
                <w:szCs w:val="18"/>
                <w:lang w:bidi="ar"/>
              </w:rPr>
            </w:pPr>
            <w:r>
              <w:rPr>
                <w:rStyle w:val="21"/>
                <w:rFonts w:hint="eastAsia" w:ascii="宋体" w:hAnsi="宋体" w:eastAsia="宋体" w:cs="宋体"/>
                <w:b w:val="0"/>
                <w:bCs w:val="0"/>
                <w:color w:val="auto"/>
                <w:sz w:val="18"/>
                <w:szCs w:val="18"/>
                <w:lang w:bidi="ar"/>
              </w:rPr>
              <w:t>侵占情节</w:t>
            </w:r>
            <w:r>
              <w:rPr>
                <w:rStyle w:val="21"/>
                <w:rFonts w:hint="eastAsia" w:ascii="宋体" w:hAnsi="宋体" w:eastAsia="宋体" w:cs="宋体"/>
                <w:b w:val="0"/>
                <w:bCs w:val="0"/>
                <w:color w:val="auto"/>
                <w:sz w:val="18"/>
                <w:szCs w:val="18"/>
                <w:lang w:eastAsia="zh-CN" w:bidi="ar"/>
              </w:rPr>
              <w:t>较重</w:t>
            </w:r>
            <w:r>
              <w:rPr>
                <w:rStyle w:val="21"/>
                <w:rFonts w:hint="eastAsia" w:ascii="宋体" w:hAnsi="宋体" w:eastAsia="宋体" w:cs="宋体"/>
                <w:b w:val="0"/>
                <w:bCs w:val="0"/>
                <w:color w:val="auto"/>
                <w:sz w:val="18"/>
                <w:szCs w:val="18"/>
                <w:lang w:bidi="ar"/>
              </w:rPr>
              <w:t>的，或者未在限期内停止违法行为、采取补救措施的</w:t>
            </w:r>
          </w:p>
        </w:tc>
        <w:tc>
          <w:tcPr>
            <w:tcW w:w="1628"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0483E90">
            <w:pPr>
              <w:spacing w:line="220" w:lineRule="exact"/>
              <w:rPr>
                <w:rFonts w:hint="eastAsia" w:ascii="宋体" w:hAnsi="宋体" w:eastAsia="宋体" w:cs="宋体"/>
                <w:b w:val="0"/>
                <w:bCs w:val="0"/>
                <w:sz w:val="18"/>
                <w:szCs w:val="18"/>
                <w:lang w:bidi="ar"/>
              </w:rPr>
            </w:pPr>
            <w:r>
              <w:rPr>
                <w:rStyle w:val="21"/>
                <w:rFonts w:hint="eastAsia" w:ascii="宋体" w:hAnsi="宋体" w:eastAsia="宋体" w:cs="宋体"/>
                <w:b w:val="0"/>
                <w:bCs w:val="0"/>
                <w:color w:val="auto"/>
                <w:sz w:val="18"/>
                <w:szCs w:val="18"/>
                <w:lang w:bidi="ar"/>
              </w:rPr>
              <w:t>没收违法所得，并处</w:t>
            </w:r>
            <w:r>
              <w:rPr>
                <w:rStyle w:val="21"/>
                <w:rFonts w:hint="eastAsia" w:ascii="宋体" w:hAnsi="宋体" w:eastAsia="宋体" w:cs="宋体"/>
                <w:b w:val="0"/>
                <w:bCs w:val="0"/>
                <w:color w:val="auto"/>
                <w:sz w:val="18"/>
                <w:szCs w:val="18"/>
                <w:lang w:val="en-US" w:eastAsia="zh-CN" w:bidi="ar"/>
              </w:rPr>
              <w:t>2</w:t>
            </w:r>
            <w:r>
              <w:rPr>
                <w:rStyle w:val="21"/>
                <w:rFonts w:hint="eastAsia" w:ascii="宋体" w:hAnsi="宋体" w:eastAsia="宋体" w:cs="宋体"/>
                <w:b w:val="0"/>
                <w:bCs w:val="0"/>
                <w:color w:val="auto"/>
                <w:sz w:val="18"/>
                <w:szCs w:val="18"/>
                <w:lang w:bidi="ar"/>
              </w:rPr>
              <w:t>千元以上</w:t>
            </w:r>
            <w:r>
              <w:rPr>
                <w:rStyle w:val="21"/>
                <w:rFonts w:hint="eastAsia" w:ascii="宋体" w:hAnsi="宋体" w:eastAsia="宋体" w:cs="宋体"/>
                <w:b w:val="0"/>
                <w:bCs w:val="0"/>
                <w:color w:val="auto"/>
                <w:sz w:val="18"/>
                <w:szCs w:val="18"/>
                <w:lang w:val="en-US" w:eastAsia="zh-CN" w:bidi="ar"/>
              </w:rPr>
              <w:t>4</w:t>
            </w:r>
            <w:r>
              <w:rPr>
                <w:rStyle w:val="21"/>
                <w:rFonts w:hint="eastAsia" w:ascii="宋体" w:hAnsi="宋体" w:eastAsia="宋体" w:cs="宋体"/>
                <w:b w:val="0"/>
                <w:bCs w:val="0"/>
                <w:color w:val="auto"/>
                <w:sz w:val="18"/>
                <w:szCs w:val="18"/>
                <w:lang w:bidi="ar"/>
              </w:rPr>
              <w:t>千元以下的罚款</w:t>
            </w:r>
          </w:p>
        </w:tc>
        <w:tc>
          <w:tcPr>
            <w:tcW w:w="739" w:type="dxa"/>
            <w:vMerge w:val="continue"/>
            <w:tcBorders>
              <w:left w:val="single" w:color="auto" w:sz="4" w:space="0"/>
              <w:right w:val="single" w:color="auto" w:sz="4" w:space="0"/>
            </w:tcBorders>
            <w:noWrap w:val="0"/>
            <w:tcMar>
              <w:top w:w="0" w:type="dxa"/>
              <w:left w:w="0" w:type="dxa"/>
              <w:bottom w:w="0" w:type="dxa"/>
              <w:right w:w="0" w:type="dxa"/>
            </w:tcMar>
            <w:vAlign w:val="center"/>
          </w:tcPr>
          <w:p w14:paraId="28D30110">
            <w:pPr>
              <w:spacing w:line="240" w:lineRule="exact"/>
              <w:jc w:val="center"/>
              <w:rPr>
                <w:rStyle w:val="21"/>
                <w:rFonts w:hint="eastAsia" w:ascii="宋体" w:hAnsi="宋体" w:eastAsia="宋体" w:cs="宋体"/>
                <w:b w:val="0"/>
                <w:bCs w:val="0"/>
                <w:color w:val="auto"/>
                <w:sz w:val="18"/>
                <w:szCs w:val="18"/>
                <w:lang w:bidi="ar"/>
              </w:rPr>
            </w:pPr>
          </w:p>
        </w:tc>
      </w:tr>
      <w:tr w14:paraId="762075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74" w:type="dxa"/>
            <w:vMerge w:val="continue"/>
            <w:tcBorders>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B9E983C">
            <w:pPr>
              <w:spacing w:line="240" w:lineRule="exact"/>
              <w:jc w:val="center"/>
              <w:rPr>
                <w:rFonts w:hint="eastAsia" w:ascii="宋体" w:hAnsi="宋体" w:eastAsia="宋体" w:cs="宋体"/>
                <w:b w:val="0"/>
                <w:bCs w:val="0"/>
                <w:sz w:val="18"/>
                <w:szCs w:val="18"/>
              </w:rPr>
            </w:pPr>
          </w:p>
        </w:tc>
        <w:tc>
          <w:tcPr>
            <w:tcW w:w="1236" w:type="dxa"/>
            <w:vMerge w:val="continue"/>
            <w:tcBorders>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9BA5FC3">
            <w:pPr>
              <w:widowControl/>
              <w:spacing w:line="240" w:lineRule="exact"/>
              <w:textAlignment w:val="center"/>
              <w:rPr>
                <w:rFonts w:hint="eastAsia" w:ascii="宋体" w:hAnsi="宋体" w:eastAsia="宋体" w:cs="宋体"/>
                <w:b w:val="0"/>
                <w:bCs w:val="0"/>
                <w:kern w:val="0"/>
                <w:sz w:val="18"/>
                <w:szCs w:val="18"/>
                <w:lang w:bidi="ar"/>
              </w:rPr>
            </w:pPr>
          </w:p>
        </w:tc>
        <w:tc>
          <w:tcPr>
            <w:tcW w:w="6027" w:type="dxa"/>
            <w:vMerge w:val="continue"/>
            <w:tcBorders>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752BF89">
            <w:pPr>
              <w:widowControl/>
              <w:spacing w:line="240" w:lineRule="exact"/>
              <w:ind w:firstLine="360" w:firstLineChars="200"/>
              <w:textAlignment w:val="center"/>
              <w:rPr>
                <w:rFonts w:hint="eastAsia" w:ascii="宋体" w:hAnsi="宋体" w:eastAsia="宋体" w:cs="宋体"/>
                <w:b w:val="0"/>
                <w:bCs w:val="0"/>
                <w:kern w:val="0"/>
                <w:sz w:val="18"/>
                <w:szCs w:val="18"/>
                <w:lang w:bidi="ar"/>
              </w:rPr>
            </w:pPr>
          </w:p>
        </w:tc>
        <w:tc>
          <w:tcPr>
            <w:tcW w:w="1849" w:type="dxa"/>
            <w:vMerge w:val="continue"/>
            <w:tcBorders>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393CC77">
            <w:pPr>
              <w:spacing w:line="240" w:lineRule="exact"/>
              <w:jc w:val="both"/>
              <w:rPr>
                <w:rFonts w:hint="eastAsia" w:ascii="宋体" w:hAnsi="宋体" w:eastAsia="宋体" w:cs="宋体"/>
                <w:b w:val="0"/>
                <w:bCs w:val="0"/>
                <w:sz w:val="18"/>
                <w:szCs w:val="18"/>
              </w:rPr>
            </w:pPr>
          </w:p>
        </w:tc>
        <w:tc>
          <w:tcPr>
            <w:tcW w:w="51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34FAFF9">
            <w:pPr>
              <w:spacing w:line="240" w:lineRule="exact"/>
              <w:jc w:val="center"/>
              <w:rPr>
                <w:rFonts w:hint="eastAsia" w:ascii="宋体" w:hAnsi="宋体" w:eastAsia="宋体" w:cs="宋体"/>
                <w:b w:val="0"/>
                <w:bCs w:val="0"/>
                <w:sz w:val="18"/>
                <w:szCs w:val="18"/>
              </w:rPr>
            </w:pPr>
            <w:r>
              <w:rPr>
                <w:rFonts w:hint="eastAsia" w:ascii="宋体" w:hAnsi="宋体" w:eastAsia="宋体" w:cs="宋体"/>
                <w:b w:val="0"/>
                <w:bCs w:val="0"/>
                <w:sz w:val="18"/>
                <w:szCs w:val="18"/>
              </w:rPr>
              <w:t>严重</w:t>
            </w:r>
          </w:p>
        </w:tc>
        <w:tc>
          <w:tcPr>
            <w:tcW w:w="242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E3F943C">
            <w:pPr>
              <w:spacing w:line="220" w:lineRule="exact"/>
              <w:rPr>
                <w:rFonts w:hint="eastAsia" w:ascii="宋体" w:hAnsi="宋体" w:eastAsia="宋体" w:cs="宋体"/>
                <w:b w:val="0"/>
                <w:bCs w:val="0"/>
                <w:sz w:val="18"/>
                <w:szCs w:val="18"/>
                <w:lang w:bidi="ar"/>
              </w:rPr>
            </w:pPr>
            <w:r>
              <w:rPr>
                <w:rStyle w:val="21"/>
                <w:rFonts w:hint="eastAsia" w:ascii="宋体" w:hAnsi="宋体" w:eastAsia="宋体" w:cs="宋体"/>
                <w:b w:val="0"/>
                <w:bCs w:val="0"/>
                <w:color w:val="auto"/>
                <w:sz w:val="18"/>
                <w:szCs w:val="18"/>
                <w:lang w:bidi="ar"/>
              </w:rPr>
              <w:t>侵占情节严重，或者拒不停止违法行为、采取补救措施的</w:t>
            </w:r>
          </w:p>
        </w:tc>
        <w:tc>
          <w:tcPr>
            <w:tcW w:w="1628"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BE4DCA0">
            <w:pPr>
              <w:spacing w:line="220" w:lineRule="exact"/>
              <w:rPr>
                <w:rFonts w:hint="eastAsia" w:ascii="宋体" w:hAnsi="宋体" w:eastAsia="宋体" w:cs="宋体"/>
                <w:b w:val="0"/>
                <w:bCs w:val="0"/>
                <w:sz w:val="18"/>
                <w:szCs w:val="18"/>
                <w:lang w:bidi="ar"/>
              </w:rPr>
            </w:pPr>
            <w:r>
              <w:rPr>
                <w:rStyle w:val="21"/>
                <w:rFonts w:hint="eastAsia" w:ascii="宋体" w:hAnsi="宋体" w:eastAsia="宋体" w:cs="宋体"/>
                <w:b w:val="0"/>
                <w:bCs w:val="0"/>
                <w:color w:val="auto"/>
                <w:sz w:val="18"/>
                <w:szCs w:val="18"/>
                <w:lang w:bidi="ar"/>
              </w:rPr>
              <w:t>没收违法所得，并处</w:t>
            </w:r>
            <w:r>
              <w:rPr>
                <w:rStyle w:val="21"/>
                <w:rFonts w:hint="eastAsia" w:ascii="宋体" w:hAnsi="宋体" w:eastAsia="宋体" w:cs="宋体"/>
                <w:b w:val="0"/>
                <w:bCs w:val="0"/>
                <w:color w:val="auto"/>
                <w:sz w:val="18"/>
                <w:szCs w:val="18"/>
                <w:lang w:val="en-US" w:eastAsia="zh-CN" w:bidi="ar"/>
              </w:rPr>
              <w:t>4</w:t>
            </w:r>
            <w:r>
              <w:rPr>
                <w:rStyle w:val="21"/>
                <w:rFonts w:hint="eastAsia" w:ascii="宋体" w:hAnsi="宋体" w:eastAsia="宋体" w:cs="宋体"/>
                <w:b w:val="0"/>
                <w:bCs w:val="0"/>
                <w:color w:val="auto"/>
                <w:sz w:val="18"/>
                <w:szCs w:val="18"/>
                <w:lang w:bidi="ar"/>
              </w:rPr>
              <w:t>千元以上</w:t>
            </w:r>
            <w:r>
              <w:rPr>
                <w:rStyle w:val="21"/>
                <w:rFonts w:hint="eastAsia" w:ascii="宋体" w:hAnsi="宋体" w:eastAsia="宋体" w:cs="宋体"/>
                <w:b w:val="0"/>
                <w:bCs w:val="0"/>
                <w:color w:val="auto"/>
                <w:sz w:val="18"/>
                <w:szCs w:val="18"/>
                <w:lang w:val="en-US" w:eastAsia="zh-CN" w:bidi="ar"/>
              </w:rPr>
              <w:t>5</w:t>
            </w:r>
            <w:r>
              <w:rPr>
                <w:rStyle w:val="21"/>
                <w:rFonts w:hint="eastAsia" w:ascii="宋体" w:hAnsi="宋体" w:eastAsia="宋体" w:cs="宋体"/>
                <w:b w:val="0"/>
                <w:bCs w:val="0"/>
                <w:color w:val="auto"/>
                <w:sz w:val="18"/>
                <w:szCs w:val="18"/>
                <w:lang w:bidi="ar"/>
              </w:rPr>
              <w:t>千元以下的罚款</w:t>
            </w:r>
          </w:p>
        </w:tc>
        <w:tc>
          <w:tcPr>
            <w:tcW w:w="739" w:type="dxa"/>
            <w:vMerge w:val="continue"/>
            <w:tcBorders>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FD4FC7A">
            <w:pPr>
              <w:spacing w:line="240" w:lineRule="exact"/>
              <w:jc w:val="center"/>
              <w:rPr>
                <w:rStyle w:val="21"/>
                <w:rFonts w:hint="eastAsia" w:ascii="宋体" w:hAnsi="宋体" w:eastAsia="宋体" w:cs="宋体"/>
                <w:b w:val="0"/>
                <w:bCs w:val="0"/>
                <w:color w:val="auto"/>
                <w:sz w:val="18"/>
                <w:szCs w:val="18"/>
                <w:lang w:bidi="ar"/>
              </w:rPr>
            </w:pPr>
          </w:p>
        </w:tc>
      </w:tr>
      <w:tr w14:paraId="7DA563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74" w:type="dxa"/>
            <w:vMerge w:val="restart"/>
            <w:tcBorders>
              <w:left w:val="single" w:color="auto" w:sz="4" w:space="0"/>
              <w:right w:val="single" w:color="auto" w:sz="4" w:space="0"/>
            </w:tcBorders>
            <w:noWrap w:val="0"/>
            <w:tcMar>
              <w:top w:w="0" w:type="dxa"/>
              <w:left w:w="0" w:type="dxa"/>
              <w:bottom w:w="0" w:type="dxa"/>
              <w:right w:w="0" w:type="dxa"/>
            </w:tcMar>
            <w:vAlign w:val="center"/>
          </w:tcPr>
          <w:p w14:paraId="16CA677C">
            <w:pPr>
              <w:widowControl/>
              <w:spacing w:line="240" w:lineRule="exact"/>
              <w:jc w:val="center"/>
              <w:textAlignment w:val="center"/>
              <w:rPr>
                <w:rFonts w:hint="eastAsia" w:ascii="宋体" w:hAnsi="宋体" w:eastAsia="宋体" w:cs="宋体"/>
                <w:b w:val="0"/>
                <w:bCs w:val="0"/>
                <w:sz w:val="18"/>
                <w:szCs w:val="18"/>
                <w:lang w:eastAsia="zh-CN"/>
              </w:rPr>
            </w:pPr>
            <w:r>
              <w:rPr>
                <w:rFonts w:hint="eastAsia" w:ascii="宋体" w:hAnsi="宋体" w:eastAsia="宋体" w:cs="宋体"/>
                <w:b w:val="0"/>
                <w:bCs w:val="0"/>
                <w:kern w:val="0"/>
                <w:sz w:val="18"/>
                <w:szCs w:val="18"/>
                <w:lang w:bidi="ar"/>
              </w:rPr>
              <w:t>3</w:t>
            </w:r>
            <w:r>
              <w:rPr>
                <w:rFonts w:hint="eastAsia" w:ascii="宋体" w:hAnsi="宋体" w:eastAsia="宋体" w:cs="宋体"/>
                <w:b w:val="0"/>
                <w:bCs w:val="0"/>
                <w:kern w:val="0"/>
                <w:sz w:val="18"/>
                <w:szCs w:val="18"/>
                <w:lang w:val="en-US" w:eastAsia="zh-CN" w:bidi="ar"/>
              </w:rPr>
              <w:t>3</w:t>
            </w:r>
          </w:p>
        </w:tc>
        <w:tc>
          <w:tcPr>
            <w:tcW w:w="1236" w:type="dxa"/>
            <w:vMerge w:val="restart"/>
            <w:tcBorders>
              <w:left w:val="single" w:color="auto" w:sz="4" w:space="0"/>
              <w:right w:val="single" w:color="auto" w:sz="4" w:space="0"/>
            </w:tcBorders>
            <w:noWrap w:val="0"/>
            <w:tcMar>
              <w:top w:w="0" w:type="dxa"/>
              <w:left w:w="0" w:type="dxa"/>
              <w:bottom w:w="0" w:type="dxa"/>
              <w:right w:w="0" w:type="dxa"/>
            </w:tcMar>
            <w:vAlign w:val="center"/>
          </w:tcPr>
          <w:p w14:paraId="34DD37C7">
            <w:pPr>
              <w:widowControl/>
              <w:spacing w:line="280" w:lineRule="exact"/>
              <w:jc w:val="both"/>
              <w:textAlignment w:val="center"/>
              <w:rPr>
                <w:rFonts w:hint="eastAsia" w:ascii="宋体" w:hAnsi="宋体" w:eastAsia="宋体" w:cs="宋体"/>
                <w:b w:val="0"/>
                <w:bCs w:val="0"/>
                <w:kern w:val="0"/>
                <w:sz w:val="18"/>
                <w:szCs w:val="18"/>
                <w:lang w:bidi="ar"/>
              </w:rPr>
            </w:pPr>
            <w:r>
              <w:rPr>
                <w:rFonts w:hint="eastAsia" w:ascii="宋体" w:hAnsi="宋体" w:eastAsia="宋体" w:cs="宋体"/>
                <w:b w:val="0"/>
                <w:bCs w:val="0"/>
                <w:kern w:val="0"/>
                <w:sz w:val="18"/>
                <w:szCs w:val="18"/>
                <w:lang w:bidi="ar"/>
              </w:rPr>
              <w:t>对在洪泛区、蓄滞洪区内建设非防洪建设项目，未编制洪水影响评价报告或者洪水影响评价报告未经审查批准开工建设等行为的行政处罚</w:t>
            </w:r>
          </w:p>
        </w:tc>
        <w:tc>
          <w:tcPr>
            <w:tcW w:w="6027" w:type="dxa"/>
            <w:vMerge w:val="restart"/>
            <w:tcBorders>
              <w:top w:val="single" w:color="auto" w:sz="4" w:space="0"/>
              <w:left w:val="single" w:color="auto" w:sz="4" w:space="0"/>
              <w:right w:val="single" w:color="auto" w:sz="4" w:space="0"/>
            </w:tcBorders>
            <w:noWrap w:val="0"/>
            <w:tcMar>
              <w:top w:w="0" w:type="dxa"/>
              <w:left w:w="0" w:type="dxa"/>
              <w:bottom w:w="0" w:type="dxa"/>
              <w:right w:w="0" w:type="dxa"/>
            </w:tcMar>
            <w:vAlign w:val="center"/>
          </w:tcPr>
          <w:p w14:paraId="12A483A8">
            <w:pPr>
              <w:widowControl/>
              <w:spacing w:line="280" w:lineRule="exact"/>
              <w:textAlignment w:val="center"/>
              <w:rPr>
                <w:rFonts w:hint="eastAsia" w:ascii="宋体" w:hAnsi="宋体" w:eastAsia="宋体" w:cs="宋体"/>
                <w:b w:val="0"/>
                <w:bCs w:val="0"/>
                <w:kern w:val="0"/>
                <w:sz w:val="18"/>
                <w:szCs w:val="18"/>
                <w:lang w:bidi="ar"/>
              </w:rPr>
            </w:pPr>
            <w:r>
              <w:rPr>
                <w:rFonts w:hint="eastAsia" w:ascii="宋体" w:hAnsi="宋体" w:eastAsia="宋体" w:cs="宋体"/>
                <w:b w:val="0"/>
                <w:bCs w:val="0"/>
                <w:kern w:val="0"/>
                <w:sz w:val="18"/>
                <w:szCs w:val="18"/>
                <w:lang w:bidi="ar"/>
              </w:rPr>
              <w:t>《中华人民共和国防洪法》第五十八条第一款 违反本法第三十三条第一款规定，在洪泛区、蓄滞洪区内建设非防洪建设项目，未编制洪水影响评价报告的，责令限期改正；逾期不改正的，处五万元以下的罚款。违反本法第三十三条第二款规定，防洪工程设施未经验收，即将建设项目投入生产或者使用的，责令停止生产或者使用，限期验收防洪工程设施，可以处五万元以下的罚款。</w:t>
            </w:r>
          </w:p>
        </w:tc>
        <w:tc>
          <w:tcPr>
            <w:tcW w:w="1849" w:type="dxa"/>
            <w:vMerge w:val="restart"/>
            <w:tcBorders>
              <w:top w:val="single" w:color="auto" w:sz="4" w:space="0"/>
              <w:left w:val="single" w:color="auto" w:sz="4" w:space="0"/>
              <w:right w:val="single" w:color="auto" w:sz="4" w:space="0"/>
            </w:tcBorders>
            <w:noWrap w:val="0"/>
            <w:tcMar>
              <w:top w:w="0" w:type="dxa"/>
              <w:left w:w="0" w:type="dxa"/>
              <w:bottom w:w="0" w:type="dxa"/>
              <w:right w:w="0" w:type="dxa"/>
            </w:tcMar>
            <w:vAlign w:val="center"/>
          </w:tcPr>
          <w:p w14:paraId="0B7B59CC">
            <w:pPr>
              <w:spacing w:line="240" w:lineRule="exact"/>
              <w:jc w:val="both"/>
              <w:rPr>
                <w:rFonts w:hint="eastAsia" w:ascii="宋体" w:hAnsi="宋体" w:eastAsia="宋体" w:cs="宋体"/>
                <w:b w:val="0"/>
                <w:bCs w:val="0"/>
                <w:sz w:val="18"/>
                <w:szCs w:val="18"/>
                <w:lang w:val="en-US" w:eastAsia="zh-CN"/>
              </w:rPr>
            </w:pPr>
            <w:r>
              <w:rPr>
                <w:rFonts w:hint="eastAsia" w:ascii="宋体" w:hAnsi="宋体" w:eastAsia="宋体" w:cs="宋体"/>
                <w:b w:val="0"/>
                <w:bCs w:val="0"/>
                <w:kern w:val="0"/>
                <w:sz w:val="18"/>
                <w:szCs w:val="18"/>
                <w:lang w:bidi="ar"/>
              </w:rPr>
              <w:t>在洪泛区、蓄滞洪区内建设非防洪建设项目，未编制洪水影响评价报告</w:t>
            </w:r>
            <w:r>
              <w:rPr>
                <w:rFonts w:hint="eastAsia" w:ascii="宋体" w:hAnsi="宋体" w:eastAsia="宋体" w:cs="宋体"/>
                <w:b w:val="0"/>
                <w:bCs w:val="0"/>
                <w:kern w:val="0"/>
                <w:sz w:val="18"/>
                <w:szCs w:val="18"/>
                <w:lang w:eastAsia="zh-CN" w:bidi="ar"/>
              </w:rPr>
              <w:t>，</w:t>
            </w:r>
            <w:r>
              <w:rPr>
                <w:rFonts w:hint="eastAsia" w:ascii="宋体" w:hAnsi="宋体" w:eastAsia="宋体" w:cs="宋体"/>
                <w:b w:val="0"/>
                <w:bCs w:val="0"/>
                <w:kern w:val="0"/>
                <w:sz w:val="18"/>
                <w:szCs w:val="18"/>
                <w:lang w:bidi="ar"/>
              </w:rPr>
              <w:t>未编制洪水影响评价报告</w:t>
            </w:r>
            <w:r>
              <w:rPr>
                <w:rFonts w:hint="eastAsia" w:ascii="宋体" w:hAnsi="宋体" w:eastAsia="宋体" w:cs="宋体"/>
                <w:b w:val="0"/>
                <w:bCs w:val="0"/>
                <w:kern w:val="0"/>
                <w:sz w:val="18"/>
                <w:szCs w:val="18"/>
                <w:lang w:eastAsia="zh-CN" w:bidi="ar"/>
              </w:rPr>
              <w:t>，</w:t>
            </w:r>
            <w:r>
              <w:rPr>
                <w:rFonts w:hint="eastAsia" w:ascii="宋体" w:hAnsi="宋体" w:eastAsia="宋体" w:cs="宋体"/>
                <w:b w:val="0"/>
                <w:bCs w:val="0"/>
                <w:kern w:val="0"/>
                <w:sz w:val="18"/>
                <w:szCs w:val="18"/>
                <w:lang w:val="en-US" w:eastAsia="zh-CN" w:bidi="ar"/>
              </w:rPr>
              <w:t>且逾期不改正的</w:t>
            </w:r>
          </w:p>
        </w:tc>
        <w:tc>
          <w:tcPr>
            <w:tcW w:w="51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8020B57">
            <w:pPr>
              <w:spacing w:line="240" w:lineRule="exact"/>
              <w:jc w:val="center"/>
              <w:rPr>
                <w:rFonts w:hint="eastAsia" w:ascii="宋体" w:hAnsi="宋体" w:eastAsia="宋体" w:cs="宋体"/>
                <w:b w:val="0"/>
                <w:bCs w:val="0"/>
                <w:sz w:val="18"/>
                <w:szCs w:val="18"/>
              </w:rPr>
            </w:pPr>
            <w:r>
              <w:rPr>
                <w:rFonts w:hint="eastAsia" w:ascii="宋体" w:hAnsi="宋体" w:eastAsia="宋体" w:cs="宋体"/>
                <w:b w:val="0"/>
                <w:bCs w:val="0"/>
                <w:sz w:val="18"/>
                <w:szCs w:val="18"/>
              </w:rPr>
              <w:t>轻微</w:t>
            </w:r>
          </w:p>
        </w:tc>
        <w:tc>
          <w:tcPr>
            <w:tcW w:w="242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64892AB1">
            <w:pPr>
              <w:snapToGrid w:val="0"/>
              <w:spacing w:line="240" w:lineRule="exact"/>
              <mc:AlternateContent>
                <mc:Choice Requires="wpsCustomData">
                  <wpsCustomData:diagonalParaType/>
                </mc:Choice>
              </mc:AlternateContent>
              <w:rPr>
                <w:rStyle w:val="21"/>
                <w:rFonts w:hint="eastAsia" w:ascii="宋体" w:hAnsi="宋体" w:eastAsia="宋体" w:cs="宋体"/>
                <w:b w:val="0"/>
                <w:bCs w:val="0"/>
                <w:color w:val="auto"/>
                <w:sz w:val="18"/>
                <w:szCs w:val="18"/>
                <w:lang w:bidi="ar"/>
              </w:rPr>
            </w:pPr>
          </w:p>
          <w:p w14:paraId="5CE16B14">
            <w:pPr>
              <w:spacing w:line="240" w:lineRule="exact"/>
              <w:rPr>
                <w:rStyle w:val="21"/>
                <w:rFonts w:hint="eastAsia" w:ascii="宋体" w:hAnsi="宋体" w:eastAsia="宋体" w:cs="宋体"/>
                <w:b w:val="0"/>
                <w:bCs w:val="0"/>
                <w:color w:val="auto"/>
                <w:sz w:val="18"/>
                <w:szCs w:val="18"/>
                <w:lang w:bidi="ar"/>
              </w:rPr>
            </w:pPr>
          </w:p>
        </w:tc>
        <w:tc>
          <w:tcPr>
            <w:tcW w:w="1628"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6C5C1D85">
            <w:pPr>
              <w:snapToGrid w:val="0"/>
              <w:spacing w:line="240" w:lineRule="exact"/>
              <mc:AlternateContent>
                <mc:Choice Requires="wpsCustomData">
                  <wpsCustomData:diagonalParaType/>
                </mc:Choice>
              </mc:AlternateContent>
              <w:rPr>
                <w:rStyle w:val="21"/>
                <w:rFonts w:hint="eastAsia" w:ascii="宋体" w:hAnsi="宋体" w:eastAsia="宋体" w:cs="宋体"/>
                <w:b w:val="0"/>
                <w:bCs w:val="0"/>
                <w:color w:val="auto"/>
                <w:sz w:val="18"/>
                <w:szCs w:val="18"/>
                <w:lang w:bidi="ar"/>
              </w:rPr>
            </w:pPr>
          </w:p>
          <w:p w14:paraId="3812B63E">
            <w:pPr>
              <w:spacing w:line="240" w:lineRule="exact"/>
              <w:rPr>
                <w:rStyle w:val="21"/>
                <w:rFonts w:hint="eastAsia" w:ascii="宋体" w:hAnsi="宋体" w:eastAsia="宋体" w:cs="宋体"/>
                <w:b w:val="0"/>
                <w:bCs w:val="0"/>
                <w:color w:val="auto"/>
                <w:sz w:val="18"/>
                <w:szCs w:val="18"/>
                <w:lang w:bidi="ar"/>
              </w:rPr>
            </w:pPr>
          </w:p>
        </w:tc>
        <w:tc>
          <w:tcPr>
            <w:tcW w:w="739" w:type="dxa"/>
            <w:vMerge w:val="restart"/>
            <w:tcBorders>
              <w:top w:val="single" w:color="auto" w:sz="4" w:space="0"/>
              <w:left w:val="single" w:color="auto" w:sz="4" w:space="0"/>
              <w:right w:val="single" w:color="auto" w:sz="4" w:space="0"/>
            </w:tcBorders>
            <w:noWrap w:val="0"/>
            <w:tcMar>
              <w:top w:w="0" w:type="dxa"/>
              <w:left w:w="0" w:type="dxa"/>
              <w:bottom w:w="0" w:type="dxa"/>
              <w:right w:w="0" w:type="dxa"/>
            </w:tcMar>
            <w:vAlign w:val="center"/>
          </w:tcPr>
          <w:p w14:paraId="4C7C4B4A">
            <w:pPr>
              <w:spacing w:line="240" w:lineRule="exact"/>
              <w:jc w:val="center"/>
              <w:rPr>
                <w:rStyle w:val="21"/>
                <w:rFonts w:hint="eastAsia" w:ascii="宋体" w:hAnsi="宋体" w:eastAsia="宋体" w:cs="宋体"/>
                <w:b w:val="0"/>
                <w:bCs w:val="0"/>
                <w:color w:val="auto"/>
                <w:sz w:val="18"/>
                <w:szCs w:val="18"/>
                <w:lang w:bidi="ar"/>
              </w:rPr>
            </w:pPr>
          </w:p>
        </w:tc>
      </w:tr>
      <w:tr w14:paraId="49A6FE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474" w:type="dxa"/>
            <w:vMerge w:val="continue"/>
            <w:tcBorders>
              <w:left w:val="single" w:color="auto" w:sz="4" w:space="0"/>
              <w:right w:val="single" w:color="auto" w:sz="4" w:space="0"/>
            </w:tcBorders>
            <w:noWrap w:val="0"/>
            <w:tcMar>
              <w:top w:w="0" w:type="dxa"/>
              <w:left w:w="0" w:type="dxa"/>
              <w:bottom w:w="0" w:type="dxa"/>
              <w:right w:w="0" w:type="dxa"/>
            </w:tcMar>
            <w:vAlign w:val="center"/>
          </w:tcPr>
          <w:p w14:paraId="1F83122A">
            <w:pPr>
              <w:widowControl/>
              <w:spacing w:line="240" w:lineRule="exact"/>
              <w:jc w:val="center"/>
              <w:textAlignment w:val="center"/>
              <w:rPr>
                <w:rFonts w:hint="eastAsia" w:ascii="宋体" w:hAnsi="宋体" w:eastAsia="宋体" w:cs="宋体"/>
                <w:b w:val="0"/>
                <w:bCs w:val="0"/>
                <w:sz w:val="18"/>
                <w:szCs w:val="18"/>
              </w:rPr>
            </w:pPr>
          </w:p>
        </w:tc>
        <w:tc>
          <w:tcPr>
            <w:tcW w:w="1236" w:type="dxa"/>
            <w:vMerge w:val="continue"/>
            <w:tcBorders>
              <w:left w:val="single" w:color="auto" w:sz="4" w:space="0"/>
              <w:right w:val="single" w:color="auto" w:sz="4" w:space="0"/>
            </w:tcBorders>
            <w:noWrap w:val="0"/>
            <w:tcMar>
              <w:top w:w="0" w:type="dxa"/>
              <w:left w:w="0" w:type="dxa"/>
              <w:bottom w:w="0" w:type="dxa"/>
              <w:right w:w="0" w:type="dxa"/>
            </w:tcMar>
            <w:vAlign w:val="center"/>
          </w:tcPr>
          <w:p w14:paraId="037084C8">
            <w:pPr>
              <w:widowControl/>
              <w:spacing w:line="240" w:lineRule="exact"/>
              <w:jc w:val="both"/>
              <w:textAlignment w:val="center"/>
              <w:rPr>
                <w:rFonts w:hint="eastAsia" w:ascii="宋体" w:hAnsi="宋体" w:eastAsia="宋体" w:cs="宋体"/>
                <w:b w:val="0"/>
                <w:bCs w:val="0"/>
                <w:kern w:val="0"/>
                <w:sz w:val="18"/>
                <w:szCs w:val="18"/>
                <w:lang w:bidi="ar"/>
              </w:rPr>
            </w:pPr>
          </w:p>
        </w:tc>
        <w:tc>
          <w:tcPr>
            <w:tcW w:w="6027" w:type="dxa"/>
            <w:vMerge w:val="continue"/>
            <w:tcBorders>
              <w:left w:val="single" w:color="auto" w:sz="4" w:space="0"/>
              <w:right w:val="single" w:color="auto" w:sz="4" w:space="0"/>
            </w:tcBorders>
            <w:noWrap w:val="0"/>
            <w:tcMar>
              <w:top w:w="0" w:type="dxa"/>
              <w:left w:w="0" w:type="dxa"/>
              <w:bottom w:w="0" w:type="dxa"/>
              <w:right w:w="0" w:type="dxa"/>
            </w:tcMar>
            <w:vAlign w:val="center"/>
          </w:tcPr>
          <w:p w14:paraId="7DBE0B19">
            <w:pPr>
              <w:widowControl/>
              <w:spacing w:line="240" w:lineRule="exact"/>
              <w:textAlignment w:val="center"/>
              <w:rPr>
                <w:rFonts w:hint="eastAsia" w:ascii="宋体" w:hAnsi="宋体" w:eastAsia="宋体" w:cs="宋体"/>
                <w:b w:val="0"/>
                <w:bCs w:val="0"/>
                <w:kern w:val="0"/>
                <w:sz w:val="18"/>
                <w:szCs w:val="18"/>
                <w:lang w:bidi="ar"/>
              </w:rPr>
            </w:pPr>
          </w:p>
        </w:tc>
        <w:tc>
          <w:tcPr>
            <w:tcW w:w="1849" w:type="dxa"/>
            <w:vMerge w:val="continue"/>
            <w:tcBorders>
              <w:left w:val="single" w:color="auto" w:sz="4" w:space="0"/>
              <w:right w:val="single" w:color="auto" w:sz="4" w:space="0"/>
            </w:tcBorders>
            <w:noWrap w:val="0"/>
            <w:tcMar>
              <w:top w:w="0" w:type="dxa"/>
              <w:left w:w="0" w:type="dxa"/>
              <w:bottom w:w="0" w:type="dxa"/>
              <w:right w:w="0" w:type="dxa"/>
            </w:tcMar>
            <w:vAlign w:val="center"/>
          </w:tcPr>
          <w:p w14:paraId="5B9BB4E2">
            <w:pPr>
              <w:spacing w:line="240" w:lineRule="exact"/>
              <w:jc w:val="both"/>
              <w:rPr>
                <w:rFonts w:hint="eastAsia" w:ascii="宋体" w:hAnsi="宋体" w:eastAsia="宋体" w:cs="宋体"/>
                <w:b w:val="0"/>
                <w:bCs w:val="0"/>
                <w:sz w:val="18"/>
                <w:szCs w:val="18"/>
              </w:rPr>
            </w:pPr>
          </w:p>
        </w:tc>
        <w:tc>
          <w:tcPr>
            <w:tcW w:w="51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8E04D7C">
            <w:pPr>
              <w:spacing w:line="240" w:lineRule="exact"/>
              <w:jc w:val="center"/>
              <w:rPr>
                <w:rFonts w:hint="eastAsia" w:ascii="宋体" w:hAnsi="宋体" w:eastAsia="宋体" w:cs="宋体"/>
                <w:b w:val="0"/>
                <w:bCs w:val="0"/>
                <w:sz w:val="18"/>
                <w:szCs w:val="18"/>
              </w:rPr>
            </w:pPr>
            <w:r>
              <w:rPr>
                <w:rFonts w:hint="eastAsia" w:ascii="宋体" w:hAnsi="宋体" w:eastAsia="宋体" w:cs="宋体"/>
                <w:b w:val="0"/>
                <w:bCs w:val="0"/>
                <w:sz w:val="18"/>
                <w:szCs w:val="18"/>
              </w:rPr>
              <w:t>较轻</w:t>
            </w:r>
          </w:p>
        </w:tc>
        <w:tc>
          <w:tcPr>
            <w:tcW w:w="242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38A01173">
            <w:pPr>
              <w:snapToGrid w:val="0"/>
              <w:spacing w:line="240" w:lineRule="auto"/>
              <mc:AlternateContent>
                <mc:Choice Requires="wpsCustomData">
                  <wpsCustomData:diagonalParaType/>
                </mc:Choice>
              </mc:AlternateContent>
              <w:rPr>
                <w:rFonts w:hint="eastAsia" w:ascii="宋体" w:hAnsi="宋体" w:eastAsia="宋体" w:cs="宋体"/>
                <w:b w:val="0"/>
                <w:bCs w:val="0"/>
                <w:sz w:val="18"/>
                <w:szCs w:val="18"/>
                <w:lang w:bidi="ar"/>
              </w:rPr>
            </w:pPr>
          </w:p>
          <w:p w14:paraId="21513247">
            <w:pPr>
              <w:spacing w:line="240" w:lineRule="exact"/>
              <w:rPr>
                <w:rFonts w:hint="eastAsia" w:ascii="宋体" w:hAnsi="宋体" w:eastAsia="宋体" w:cs="宋体"/>
                <w:b w:val="0"/>
                <w:bCs w:val="0"/>
                <w:sz w:val="18"/>
                <w:szCs w:val="18"/>
                <w:lang w:bidi="ar"/>
              </w:rPr>
            </w:pPr>
          </w:p>
        </w:tc>
        <w:tc>
          <w:tcPr>
            <w:tcW w:w="1628"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39CE6F80">
            <w:pPr>
              <w:snapToGrid w:val="0"/>
              <w:spacing w:line="240" w:lineRule="auto"/>
              <mc:AlternateContent>
                <mc:Choice Requires="wpsCustomData">
                  <wpsCustomData:diagonalParaType/>
                </mc:Choice>
              </mc:AlternateContent>
              <w:rPr>
                <w:rFonts w:hint="eastAsia" w:ascii="宋体" w:hAnsi="宋体" w:eastAsia="宋体" w:cs="宋体"/>
                <w:b w:val="0"/>
                <w:bCs w:val="0"/>
                <w:sz w:val="18"/>
                <w:szCs w:val="18"/>
                <w:lang w:bidi="ar"/>
              </w:rPr>
            </w:pPr>
          </w:p>
          <w:p w14:paraId="62656DF6">
            <w:pPr>
              <w:spacing w:line="240" w:lineRule="exact"/>
              <w:rPr>
                <w:rFonts w:hint="eastAsia" w:ascii="宋体" w:hAnsi="宋体" w:eastAsia="宋体" w:cs="宋体"/>
                <w:b w:val="0"/>
                <w:bCs w:val="0"/>
                <w:sz w:val="18"/>
                <w:szCs w:val="18"/>
                <w:lang w:bidi="ar"/>
              </w:rPr>
            </w:pPr>
          </w:p>
        </w:tc>
        <w:tc>
          <w:tcPr>
            <w:tcW w:w="739" w:type="dxa"/>
            <w:vMerge w:val="continue"/>
            <w:tcBorders>
              <w:left w:val="single" w:color="auto" w:sz="4" w:space="0"/>
              <w:right w:val="single" w:color="auto" w:sz="4" w:space="0"/>
            </w:tcBorders>
            <w:noWrap w:val="0"/>
            <w:tcMar>
              <w:top w:w="0" w:type="dxa"/>
              <w:left w:w="0" w:type="dxa"/>
              <w:bottom w:w="0" w:type="dxa"/>
              <w:right w:w="0" w:type="dxa"/>
            </w:tcMar>
            <w:vAlign w:val="center"/>
          </w:tcPr>
          <w:p w14:paraId="2FCEAA48">
            <w:pPr>
              <w:spacing w:line="240" w:lineRule="exact"/>
              <w:jc w:val="center"/>
              <w:rPr>
                <w:rStyle w:val="21"/>
                <w:rFonts w:hint="eastAsia" w:ascii="宋体" w:hAnsi="宋体" w:eastAsia="宋体" w:cs="宋体"/>
                <w:b w:val="0"/>
                <w:bCs w:val="0"/>
                <w:color w:val="auto"/>
                <w:sz w:val="18"/>
                <w:szCs w:val="18"/>
                <w:lang w:bidi="ar"/>
              </w:rPr>
            </w:pPr>
          </w:p>
        </w:tc>
      </w:tr>
      <w:tr w14:paraId="079C72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474" w:type="dxa"/>
            <w:vMerge w:val="continue"/>
            <w:tcBorders>
              <w:left w:val="single" w:color="auto" w:sz="4" w:space="0"/>
              <w:right w:val="single" w:color="auto" w:sz="4" w:space="0"/>
            </w:tcBorders>
            <w:noWrap w:val="0"/>
            <w:tcMar>
              <w:top w:w="0" w:type="dxa"/>
              <w:left w:w="0" w:type="dxa"/>
              <w:bottom w:w="0" w:type="dxa"/>
              <w:right w:w="0" w:type="dxa"/>
            </w:tcMar>
            <w:vAlign w:val="center"/>
          </w:tcPr>
          <w:p w14:paraId="76EFE4CE">
            <w:pPr>
              <w:widowControl/>
              <w:spacing w:line="240" w:lineRule="exact"/>
              <w:jc w:val="center"/>
              <w:textAlignment w:val="center"/>
              <w:rPr>
                <w:rFonts w:hint="eastAsia" w:ascii="宋体" w:hAnsi="宋体" w:eastAsia="宋体" w:cs="宋体"/>
                <w:b w:val="0"/>
                <w:bCs w:val="0"/>
                <w:sz w:val="18"/>
                <w:szCs w:val="18"/>
              </w:rPr>
            </w:pPr>
          </w:p>
        </w:tc>
        <w:tc>
          <w:tcPr>
            <w:tcW w:w="1236" w:type="dxa"/>
            <w:vMerge w:val="continue"/>
            <w:tcBorders>
              <w:left w:val="single" w:color="auto" w:sz="4" w:space="0"/>
              <w:right w:val="single" w:color="auto" w:sz="4" w:space="0"/>
            </w:tcBorders>
            <w:noWrap w:val="0"/>
            <w:tcMar>
              <w:top w:w="0" w:type="dxa"/>
              <w:left w:w="0" w:type="dxa"/>
              <w:bottom w:w="0" w:type="dxa"/>
              <w:right w:w="0" w:type="dxa"/>
            </w:tcMar>
            <w:vAlign w:val="center"/>
          </w:tcPr>
          <w:p w14:paraId="77B337D4">
            <w:pPr>
              <w:widowControl/>
              <w:spacing w:line="240" w:lineRule="exact"/>
              <w:jc w:val="both"/>
              <w:textAlignment w:val="center"/>
              <w:rPr>
                <w:rFonts w:hint="eastAsia" w:ascii="宋体" w:hAnsi="宋体" w:eastAsia="宋体" w:cs="宋体"/>
                <w:b w:val="0"/>
                <w:bCs w:val="0"/>
                <w:kern w:val="0"/>
                <w:sz w:val="18"/>
                <w:szCs w:val="18"/>
                <w:lang w:bidi="ar"/>
              </w:rPr>
            </w:pPr>
          </w:p>
        </w:tc>
        <w:tc>
          <w:tcPr>
            <w:tcW w:w="6027" w:type="dxa"/>
            <w:vMerge w:val="continue"/>
            <w:tcBorders>
              <w:left w:val="single" w:color="auto" w:sz="4" w:space="0"/>
              <w:right w:val="single" w:color="auto" w:sz="4" w:space="0"/>
            </w:tcBorders>
            <w:noWrap w:val="0"/>
            <w:tcMar>
              <w:top w:w="0" w:type="dxa"/>
              <w:left w:w="0" w:type="dxa"/>
              <w:bottom w:w="0" w:type="dxa"/>
              <w:right w:w="0" w:type="dxa"/>
            </w:tcMar>
            <w:vAlign w:val="center"/>
          </w:tcPr>
          <w:p w14:paraId="4935B303">
            <w:pPr>
              <w:widowControl/>
              <w:spacing w:line="240" w:lineRule="exact"/>
              <w:textAlignment w:val="center"/>
              <w:rPr>
                <w:rFonts w:hint="eastAsia" w:ascii="宋体" w:hAnsi="宋体" w:eastAsia="宋体" w:cs="宋体"/>
                <w:b w:val="0"/>
                <w:bCs w:val="0"/>
                <w:kern w:val="0"/>
                <w:sz w:val="18"/>
                <w:szCs w:val="18"/>
                <w:lang w:bidi="ar"/>
              </w:rPr>
            </w:pPr>
          </w:p>
        </w:tc>
        <w:tc>
          <w:tcPr>
            <w:tcW w:w="1849" w:type="dxa"/>
            <w:vMerge w:val="continue"/>
            <w:tcBorders>
              <w:left w:val="single" w:color="auto" w:sz="4" w:space="0"/>
              <w:right w:val="single" w:color="auto" w:sz="4" w:space="0"/>
            </w:tcBorders>
            <w:noWrap w:val="0"/>
            <w:tcMar>
              <w:top w:w="0" w:type="dxa"/>
              <w:left w:w="0" w:type="dxa"/>
              <w:bottom w:w="0" w:type="dxa"/>
              <w:right w:w="0" w:type="dxa"/>
            </w:tcMar>
            <w:vAlign w:val="center"/>
          </w:tcPr>
          <w:p w14:paraId="7B72822F">
            <w:pPr>
              <w:spacing w:line="240" w:lineRule="exact"/>
              <w:jc w:val="both"/>
              <w:rPr>
                <w:rFonts w:hint="eastAsia" w:ascii="宋体" w:hAnsi="宋体" w:eastAsia="宋体" w:cs="宋体"/>
                <w:b w:val="0"/>
                <w:bCs w:val="0"/>
                <w:sz w:val="18"/>
                <w:szCs w:val="18"/>
              </w:rPr>
            </w:pPr>
          </w:p>
        </w:tc>
        <w:tc>
          <w:tcPr>
            <w:tcW w:w="51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31D070E">
            <w:pPr>
              <w:spacing w:line="240" w:lineRule="exact"/>
              <w:jc w:val="center"/>
              <w:rPr>
                <w:rFonts w:hint="eastAsia" w:ascii="宋体" w:hAnsi="宋体" w:eastAsia="宋体" w:cs="宋体"/>
                <w:b w:val="0"/>
                <w:bCs w:val="0"/>
                <w:sz w:val="18"/>
                <w:szCs w:val="18"/>
              </w:rPr>
            </w:pPr>
            <w:r>
              <w:rPr>
                <w:rFonts w:hint="eastAsia" w:ascii="宋体" w:hAnsi="宋体" w:eastAsia="宋体" w:cs="宋体"/>
                <w:b w:val="0"/>
                <w:bCs w:val="0"/>
                <w:sz w:val="18"/>
                <w:szCs w:val="18"/>
              </w:rPr>
              <w:t>一般</w:t>
            </w:r>
          </w:p>
        </w:tc>
        <w:tc>
          <w:tcPr>
            <w:tcW w:w="242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4D17B07">
            <w:pPr>
              <w:spacing w:line="320" w:lineRule="exact"/>
              <w:rPr>
                <w:rFonts w:hint="eastAsia" w:ascii="宋体" w:hAnsi="宋体" w:eastAsia="宋体" w:cs="宋体"/>
                <w:b w:val="0"/>
                <w:bCs w:val="0"/>
                <w:sz w:val="18"/>
                <w:szCs w:val="18"/>
                <w:highlight w:val="none"/>
                <w:lang w:bidi="ar"/>
              </w:rPr>
            </w:pPr>
            <w:r>
              <w:rPr>
                <w:rStyle w:val="21"/>
                <w:rFonts w:hint="eastAsia" w:ascii="宋体" w:hAnsi="宋体" w:eastAsia="宋体" w:cs="宋体"/>
                <w:color w:val="auto"/>
                <w:sz w:val="18"/>
                <w:szCs w:val="18"/>
                <w:highlight w:val="none"/>
                <w:lang w:bidi="ar"/>
              </w:rPr>
              <w:t>逾期</w:t>
            </w:r>
            <w:r>
              <w:rPr>
                <w:rStyle w:val="21"/>
                <w:rFonts w:hint="eastAsia" w:ascii="宋体" w:hAnsi="宋体" w:eastAsia="宋体" w:cs="宋体"/>
                <w:color w:val="auto"/>
                <w:sz w:val="18"/>
                <w:szCs w:val="18"/>
                <w:highlight w:val="none"/>
                <w:lang w:val="en-US" w:eastAsia="zh-CN" w:bidi="ar"/>
              </w:rPr>
              <w:t>30日内</w:t>
            </w:r>
            <w:r>
              <w:rPr>
                <w:rStyle w:val="21"/>
                <w:rFonts w:hint="eastAsia" w:ascii="宋体" w:hAnsi="宋体" w:eastAsia="宋体" w:cs="宋体"/>
                <w:color w:val="auto"/>
                <w:sz w:val="18"/>
                <w:szCs w:val="18"/>
                <w:highlight w:val="none"/>
                <w:lang w:bidi="ar"/>
              </w:rPr>
              <w:t>改正的</w:t>
            </w:r>
          </w:p>
        </w:tc>
        <w:tc>
          <w:tcPr>
            <w:tcW w:w="1628"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51892A5">
            <w:pPr>
              <w:spacing w:line="320" w:lineRule="exact"/>
              <w:rPr>
                <w:rFonts w:hint="eastAsia" w:ascii="宋体" w:hAnsi="宋体" w:eastAsia="宋体" w:cs="宋体"/>
                <w:b w:val="0"/>
                <w:bCs w:val="0"/>
                <w:sz w:val="18"/>
                <w:szCs w:val="18"/>
                <w:highlight w:val="none"/>
                <w:lang w:bidi="ar"/>
              </w:rPr>
            </w:pPr>
            <w:r>
              <w:rPr>
                <w:rStyle w:val="21"/>
                <w:rFonts w:hint="eastAsia" w:ascii="宋体" w:hAnsi="宋体" w:eastAsia="宋体" w:cs="宋体"/>
                <w:color w:val="auto"/>
                <w:sz w:val="18"/>
                <w:szCs w:val="18"/>
                <w:highlight w:val="none"/>
                <w:lang w:bidi="ar"/>
              </w:rPr>
              <w:t>处</w:t>
            </w:r>
            <w:r>
              <w:rPr>
                <w:rStyle w:val="21"/>
                <w:rFonts w:hint="eastAsia" w:ascii="宋体" w:hAnsi="宋体" w:eastAsia="宋体" w:cs="宋体"/>
                <w:color w:val="auto"/>
                <w:sz w:val="18"/>
                <w:szCs w:val="18"/>
                <w:highlight w:val="none"/>
                <w:lang w:val="en-US" w:eastAsia="zh-CN" w:bidi="ar"/>
              </w:rPr>
              <w:t>2</w:t>
            </w:r>
            <w:r>
              <w:rPr>
                <w:rStyle w:val="21"/>
                <w:rFonts w:hint="eastAsia" w:ascii="宋体" w:hAnsi="宋体" w:eastAsia="宋体" w:cs="宋体"/>
                <w:color w:val="auto"/>
                <w:sz w:val="18"/>
                <w:szCs w:val="18"/>
                <w:highlight w:val="none"/>
                <w:lang w:bidi="ar"/>
              </w:rPr>
              <w:t>万元以下的罚款</w:t>
            </w:r>
          </w:p>
        </w:tc>
        <w:tc>
          <w:tcPr>
            <w:tcW w:w="739" w:type="dxa"/>
            <w:vMerge w:val="continue"/>
            <w:tcBorders>
              <w:left w:val="single" w:color="auto" w:sz="4" w:space="0"/>
              <w:right w:val="single" w:color="auto" w:sz="4" w:space="0"/>
            </w:tcBorders>
            <w:noWrap w:val="0"/>
            <w:tcMar>
              <w:top w:w="0" w:type="dxa"/>
              <w:left w:w="0" w:type="dxa"/>
              <w:bottom w:w="0" w:type="dxa"/>
              <w:right w:w="0" w:type="dxa"/>
            </w:tcMar>
            <w:vAlign w:val="center"/>
          </w:tcPr>
          <w:p w14:paraId="68D8132C">
            <w:pPr>
              <w:spacing w:line="240" w:lineRule="exact"/>
              <w:jc w:val="center"/>
              <w:rPr>
                <w:rStyle w:val="21"/>
                <w:rFonts w:hint="eastAsia" w:ascii="宋体" w:hAnsi="宋体" w:eastAsia="宋体" w:cs="宋体"/>
                <w:b w:val="0"/>
                <w:bCs w:val="0"/>
                <w:color w:val="auto"/>
                <w:sz w:val="18"/>
                <w:szCs w:val="18"/>
                <w:lang w:bidi="ar"/>
              </w:rPr>
            </w:pPr>
          </w:p>
        </w:tc>
      </w:tr>
      <w:tr w14:paraId="637594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474" w:type="dxa"/>
            <w:vMerge w:val="continue"/>
            <w:tcBorders>
              <w:left w:val="single" w:color="auto" w:sz="4" w:space="0"/>
              <w:right w:val="single" w:color="auto" w:sz="4" w:space="0"/>
            </w:tcBorders>
            <w:noWrap w:val="0"/>
            <w:tcMar>
              <w:top w:w="0" w:type="dxa"/>
              <w:left w:w="0" w:type="dxa"/>
              <w:bottom w:w="0" w:type="dxa"/>
              <w:right w:w="0" w:type="dxa"/>
            </w:tcMar>
            <w:vAlign w:val="center"/>
          </w:tcPr>
          <w:p w14:paraId="4ADDEEBC">
            <w:pPr>
              <w:widowControl/>
              <w:spacing w:line="240" w:lineRule="exact"/>
              <w:jc w:val="center"/>
              <w:textAlignment w:val="center"/>
              <w:rPr>
                <w:rFonts w:hint="eastAsia" w:ascii="宋体" w:hAnsi="宋体" w:eastAsia="宋体" w:cs="宋体"/>
                <w:b w:val="0"/>
                <w:bCs w:val="0"/>
                <w:sz w:val="18"/>
                <w:szCs w:val="18"/>
              </w:rPr>
            </w:pPr>
          </w:p>
        </w:tc>
        <w:tc>
          <w:tcPr>
            <w:tcW w:w="1236" w:type="dxa"/>
            <w:vMerge w:val="continue"/>
            <w:tcBorders>
              <w:left w:val="single" w:color="auto" w:sz="4" w:space="0"/>
              <w:right w:val="single" w:color="auto" w:sz="4" w:space="0"/>
            </w:tcBorders>
            <w:noWrap w:val="0"/>
            <w:tcMar>
              <w:top w:w="0" w:type="dxa"/>
              <w:left w:w="0" w:type="dxa"/>
              <w:bottom w:w="0" w:type="dxa"/>
              <w:right w:w="0" w:type="dxa"/>
            </w:tcMar>
            <w:vAlign w:val="center"/>
          </w:tcPr>
          <w:p w14:paraId="2DF72355">
            <w:pPr>
              <w:widowControl/>
              <w:spacing w:line="240" w:lineRule="exact"/>
              <w:jc w:val="both"/>
              <w:textAlignment w:val="center"/>
              <w:rPr>
                <w:rFonts w:hint="eastAsia" w:ascii="宋体" w:hAnsi="宋体" w:eastAsia="宋体" w:cs="宋体"/>
                <w:b w:val="0"/>
                <w:bCs w:val="0"/>
                <w:kern w:val="0"/>
                <w:sz w:val="18"/>
                <w:szCs w:val="18"/>
                <w:lang w:bidi="ar"/>
              </w:rPr>
            </w:pPr>
          </w:p>
        </w:tc>
        <w:tc>
          <w:tcPr>
            <w:tcW w:w="6027" w:type="dxa"/>
            <w:vMerge w:val="continue"/>
            <w:tcBorders>
              <w:left w:val="single" w:color="auto" w:sz="4" w:space="0"/>
              <w:right w:val="single" w:color="auto" w:sz="4" w:space="0"/>
            </w:tcBorders>
            <w:noWrap w:val="0"/>
            <w:tcMar>
              <w:top w:w="0" w:type="dxa"/>
              <w:left w:w="0" w:type="dxa"/>
              <w:bottom w:w="0" w:type="dxa"/>
              <w:right w:w="0" w:type="dxa"/>
            </w:tcMar>
            <w:vAlign w:val="center"/>
          </w:tcPr>
          <w:p w14:paraId="073FD10E">
            <w:pPr>
              <w:widowControl/>
              <w:spacing w:line="240" w:lineRule="exact"/>
              <w:textAlignment w:val="center"/>
              <w:rPr>
                <w:rFonts w:hint="eastAsia" w:ascii="宋体" w:hAnsi="宋体" w:eastAsia="宋体" w:cs="宋体"/>
                <w:b w:val="0"/>
                <w:bCs w:val="0"/>
                <w:kern w:val="0"/>
                <w:sz w:val="18"/>
                <w:szCs w:val="18"/>
                <w:lang w:bidi="ar"/>
              </w:rPr>
            </w:pPr>
          </w:p>
        </w:tc>
        <w:tc>
          <w:tcPr>
            <w:tcW w:w="1849" w:type="dxa"/>
            <w:vMerge w:val="continue"/>
            <w:tcBorders>
              <w:left w:val="single" w:color="auto" w:sz="4" w:space="0"/>
              <w:right w:val="single" w:color="auto" w:sz="4" w:space="0"/>
            </w:tcBorders>
            <w:noWrap w:val="0"/>
            <w:tcMar>
              <w:top w:w="0" w:type="dxa"/>
              <w:left w:w="0" w:type="dxa"/>
              <w:bottom w:w="0" w:type="dxa"/>
              <w:right w:w="0" w:type="dxa"/>
            </w:tcMar>
            <w:vAlign w:val="center"/>
          </w:tcPr>
          <w:p w14:paraId="334B7EF2">
            <w:pPr>
              <w:spacing w:line="240" w:lineRule="exact"/>
              <w:jc w:val="both"/>
              <w:rPr>
                <w:rFonts w:hint="eastAsia" w:ascii="宋体" w:hAnsi="宋体" w:eastAsia="宋体" w:cs="宋体"/>
                <w:b w:val="0"/>
                <w:bCs w:val="0"/>
                <w:sz w:val="18"/>
                <w:szCs w:val="18"/>
              </w:rPr>
            </w:pPr>
          </w:p>
        </w:tc>
        <w:tc>
          <w:tcPr>
            <w:tcW w:w="51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ABD65B7">
            <w:pPr>
              <w:spacing w:line="240" w:lineRule="exact"/>
              <w:jc w:val="center"/>
              <w:rPr>
                <w:rFonts w:hint="eastAsia" w:ascii="宋体" w:hAnsi="宋体" w:eastAsia="宋体" w:cs="宋体"/>
                <w:b w:val="0"/>
                <w:bCs w:val="0"/>
                <w:sz w:val="18"/>
                <w:szCs w:val="18"/>
                <w:lang w:eastAsia="zh-CN"/>
              </w:rPr>
            </w:pPr>
            <w:r>
              <w:rPr>
                <w:rFonts w:hint="eastAsia" w:ascii="宋体" w:hAnsi="宋体" w:eastAsia="宋体" w:cs="宋体"/>
                <w:b w:val="0"/>
                <w:bCs w:val="0"/>
                <w:sz w:val="18"/>
                <w:szCs w:val="18"/>
                <w:lang w:eastAsia="zh-CN"/>
              </w:rPr>
              <w:t>较重</w:t>
            </w:r>
          </w:p>
        </w:tc>
        <w:tc>
          <w:tcPr>
            <w:tcW w:w="242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81CB303">
            <w:pPr>
              <w:spacing w:line="320" w:lineRule="exact"/>
              <w:rPr>
                <w:rFonts w:hint="eastAsia" w:ascii="宋体" w:hAnsi="宋体" w:eastAsia="宋体" w:cs="宋体"/>
                <w:b w:val="0"/>
                <w:bCs w:val="0"/>
                <w:sz w:val="18"/>
                <w:szCs w:val="18"/>
                <w:highlight w:val="none"/>
                <w:lang w:bidi="ar"/>
              </w:rPr>
            </w:pPr>
            <w:r>
              <w:rPr>
                <w:rStyle w:val="21"/>
                <w:rFonts w:hint="eastAsia" w:ascii="宋体" w:hAnsi="宋体" w:eastAsia="宋体" w:cs="宋体"/>
                <w:color w:val="auto"/>
                <w:sz w:val="18"/>
                <w:szCs w:val="18"/>
                <w:highlight w:val="none"/>
                <w:lang w:bidi="ar"/>
              </w:rPr>
              <w:t>逾期</w:t>
            </w:r>
            <w:r>
              <w:rPr>
                <w:rStyle w:val="21"/>
                <w:rFonts w:hint="eastAsia" w:ascii="宋体" w:hAnsi="宋体" w:eastAsia="宋体" w:cs="宋体"/>
                <w:color w:val="auto"/>
                <w:sz w:val="18"/>
                <w:szCs w:val="18"/>
                <w:highlight w:val="none"/>
                <w:lang w:val="en-US" w:eastAsia="zh-CN" w:bidi="ar"/>
              </w:rPr>
              <w:t>30日以上60日以内</w:t>
            </w:r>
            <w:r>
              <w:rPr>
                <w:rStyle w:val="21"/>
                <w:rFonts w:hint="eastAsia" w:ascii="宋体" w:hAnsi="宋体" w:eastAsia="宋体" w:cs="宋体"/>
                <w:color w:val="auto"/>
                <w:sz w:val="18"/>
                <w:szCs w:val="18"/>
                <w:highlight w:val="none"/>
                <w:lang w:bidi="ar"/>
              </w:rPr>
              <w:t>改正的</w:t>
            </w:r>
          </w:p>
        </w:tc>
        <w:tc>
          <w:tcPr>
            <w:tcW w:w="1628"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A479D49">
            <w:pPr>
              <w:spacing w:line="320" w:lineRule="exact"/>
              <w:rPr>
                <w:rFonts w:hint="eastAsia" w:ascii="宋体" w:hAnsi="宋体" w:eastAsia="宋体" w:cs="宋体"/>
                <w:b w:val="0"/>
                <w:bCs w:val="0"/>
                <w:sz w:val="18"/>
                <w:szCs w:val="18"/>
                <w:highlight w:val="none"/>
                <w:lang w:bidi="ar"/>
              </w:rPr>
            </w:pPr>
            <w:r>
              <w:rPr>
                <w:rStyle w:val="21"/>
                <w:rFonts w:hint="eastAsia" w:ascii="宋体" w:hAnsi="宋体" w:eastAsia="宋体" w:cs="宋体"/>
                <w:color w:val="auto"/>
                <w:sz w:val="18"/>
                <w:szCs w:val="18"/>
                <w:highlight w:val="none"/>
                <w:lang w:bidi="ar"/>
              </w:rPr>
              <w:t>处</w:t>
            </w:r>
            <w:r>
              <w:rPr>
                <w:rStyle w:val="21"/>
                <w:rFonts w:hint="eastAsia" w:ascii="宋体" w:hAnsi="宋体" w:eastAsia="宋体" w:cs="宋体"/>
                <w:color w:val="auto"/>
                <w:sz w:val="18"/>
                <w:szCs w:val="18"/>
                <w:highlight w:val="none"/>
                <w:lang w:val="en-US" w:eastAsia="zh-CN" w:bidi="ar"/>
              </w:rPr>
              <w:t>2</w:t>
            </w:r>
            <w:r>
              <w:rPr>
                <w:rStyle w:val="21"/>
                <w:rFonts w:hint="eastAsia" w:ascii="宋体" w:hAnsi="宋体" w:eastAsia="宋体" w:cs="宋体"/>
                <w:color w:val="auto"/>
                <w:sz w:val="18"/>
                <w:szCs w:val="18"/>
                <w:highlight w:val="none"/>
                <w:lang w:bidi="ar"/>
              </w:rPr>
              <w:t>万元以上</w:t>
            </w:r>
            <w:r>
              <w:rPr>
                <w:rStyle w:val="21"/>
                <w:rFonts w:hint="eastAsia" w:ascii="宋体" w:hAnsi="宋体" w:eastAsia="宋体" w:cs="宋体"/>
                <w:color w:val="auto"/>
                <w:sz w:val="18"/>
                <w:szCs w:val="18"/>
                <w:highlight w:val="none"/>
                <w:lang w:val="en-US" w:eastAsia="zh-CN" w:bidi="ar"/>
              </w:rPr>
              <w:t>4</w:t>
            </w:r>
            <w:r>
              <w:rPr>
                <w:rStyle w:val="21"/>
                <w:rFonts w:hint="eastAsia" w:ascii="宋体" w:hAnsi="宋体" w:eastAsia="宋体" w:cs="宋体"/>
                <w:color w:val="auto"/>
                <w:sz w:val="18"/>
                <w:szCs w:val="18"/>
                <w:highlight w:val="none"/>
                <w:lang w:bidi="ar"/>
              </w:rPr>
              <w:t>万元以下的罚款</w:t>
            </w:r>
          </w:p>
        </w:tc>
        <w:tc>
          <w:tcPr>
            <w:tcW w:w="739" w:type="dxa"/>
            <w:vMerge w:val="continue"/>
            <w:tcBorders>
              <w:left w:val="single" w:color="auto" w:sz="4" w:space="0"/>
              <w:right w:val="single" w:color="auto" w:sz="4" w:space="0"/>
            </w:tcBorders>
            <w:noWrap w:val="0"/>
            <w:tcMar>
              <w:top w:w="0" w:type="dxa"/>
              <w:left w:w="0" w:type="dxa"/>
              <w:bottom w:w="0" w:type="dxa"/>
              <w:right w:w="0" w:type="dxa"/>
            </w:tcMar>
            <w:vAlign w:val="center"/>
          </w:tcPr>
          <w:p w14:paraId="3E3F2C7F">
            <w:pPr>
              <w:spacing w:line="240" w:lineRule="exact"/>
              <w:jc w:val="center"/>
              <w:rPr>
                <w:rStyle w:val="21"/>
                <w:rFonts w:hint="eastAsia" w:ascii="宋体" w:hAnsi="宋体" w:eastAsia="宋体" w:cs="宋体"/>
                <w:b w:val="0"/>
                <w:bCs w:val="0"/>
                <w:color w:val="auto"/>
                <w:sz w:val="18"/>
                <w:szCs w:val="18"/>
                <w:lang w:bidi="ar"/>
              </w:rPr>
            </w:pPr>
          </w:p>
        </w:tc>
      </w:tr>
      <w:tr w14:paraId="74E98F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474" w:type="dxa"/>
            <w:vMerge w:val="continue"/>
            <w:tcBorders>
              <w:left w:val="single" w:color="auto" w:sz="4" w:space="0"/>
              <w:right w:val="single" w:color="auto" w:sz="4" w:space="0"/>
            </w:tcBorders>
            <w:noWrap w:val="0"/>
            <w:tcMar>
              <w:top w:w="0" w:type="dxa"/>
              <w:left w:w="0" w:type="dxa"/>
              <w:bottom w:w="0" w:type="dxa"/>
              <w:right w:w="0" w:type="dxa"/>
            </w:tcMar>
            <w:vAlign w:val="center"/>
          </w:tcPr>
          <w:p w14:paraId="6D61970B">
            <w:pPr>
              <w:widowControl/>
              <w:spacing w:line="240" w:lineRule="exact"/>
              <w:jc w:val="center"/>
              <w:textAlignment w:val="center"/>
              <w:rPr>
                <w:rFonts w:hint="eastAsia" w:ascii="宋体" w:hAnsi="宋体" w:eastAsia="宋体" w:cs="宋体"/>
                <w:b w:val="0"/>
                <w:bCs w:val="0"/>
                <w:sz w:val="18"/>
                <w:szCs w:val="18"/>
              </w:rPr>
            </w:pPr>
          </w:p>
        </w:tc>
        <w:tc>
          <w:tcPr>
            <w:tcW w:w="1236" w:type="dxa"/>
            <w:vMerge w:val="continue"/>
            <w:tcBorders>
              <w:left w:val="single" w:color="auto" w:sz="4" w:space="0"/>
              <w:right w:val="single" w:color="auto" w:sz="4" w:space="0"/>
            </w:tcBorders>
            <w:noWrap w:val="0"/>
            <w:tcMar>
              <w:top w:w="0" w:type="dxa"/>
              <w:left w:w="0" w:type="dxa"/>
              <w:bottom w:w="0" w:type="dxa"/>
              <w:right w:w="0" w:type="dxa"/>
            </w:tcMar>
            <w:vAlign w:val="center"/>
          </w:tcPr>
          <w:p w14:paraId="3BDFAE6F">
            <w:pPr>
              <w:widowControl/>
              <w:spacing w:line="240" w:lineRule="exact"/>
              <w:jc w:val="both"/>
              <w:textAlignment w:val="center"/>
              <w:rPr>
                <w:rFonts w:hint="eastAsia" w:ascii="宋体" w:hAnsi="宋体" w:eastAsia="宋体" w:cs="宋体"/>
                <w:b w:val="0"/>
                <w:bCs w:val="0"/>
                <w:kern w:val="0"/>
                <w:sz w:val="18"/>
                <w:szCs w:val="18"/>
                <w:lang w:bidi="ar"/>
              </w:rPr>
            </w:pPr>
          </w:p>
        </w:tc>
        <w:tc>
          <w:tcPr>
            <w:tcW w:w="6027" w:type="dxa"/>
            <w:vMerge w:val="continue"/>
            <w:tcBorders>
              <w:left w:val="single" w:color="auto" w:sz="4" w:space="0"/>
              <w:right w:val="single" w:color="auto" w:sz="4" w:space="0"/>
            </w:tcBorders>
            <w:noWrap w:val="0"/>
            <w:tcMar>
              <w:top w:w="0" w:type="dxa"/>
              <w:left w:w="0" w:type="dxa"/>
              <w:bottom w:w="0" w:type="dxa"/>
              <w:right w:w="0" w:type="dxa"/>
            </w:tcMar>
            <w:vAlign w:val="center"/>
          </w:tcPr>
          <w:p w14:paraId="6AE849CC">
            <w:pPr>
              <w:widowControl/>
              <w:spacing w:line="240" w:lineRule="exact"/>
              <w:textAlignment w:val="center"/>
              <w:rPr>
                <w:rFonts w:hint="eastAsia" w:ascii="宋体" w:hAnsi="宋体" w:eastAsia="宋体" w:cs="宋体"/>
                <w:b w:val="0"/>
                <w:bCs w:val="0"/>
                <w:kern w:val="0"/>
                <w:sz w:val="18"/>
                <w:szCs w:val="18"/>
                <w:lang w:bidi="ar"/>
              </w:rPr>
            </w:pPr>
          </w:p>
        </w:tc>
        <w:tc>
          <w:tcPr>
            <w:tcW w:w="1849" w:type="dxa"/>
            <w:vMerge w:val="continue"/>
            <w:tcBorders>
              <w:left w:val="single" w:color="auto" w:sz="4" w:space="0"/>
              <w:right w:val="single" w:color="auto" w:sz="4" w:space="0"/>
            </w:tcBorders>
            <w:noWrap w:val="0"/>
            <w:tcMar>
              <w:top w:w="0" w:type="dxa"/>
              <w:left w:w="0" w:type="dxa"/>
              <w:bottom w:w="0" w:type="dxa"/>
              <w:right w:w="0" w:type="dxa"/>
            </w:tcMar>
            <w:vAlign w:val="center"/>
          </w:tcPr>
          <w:p w14:paraId="1D1C7E51">
            <w:pPr>
              <w:spacing w:line="240" w:lineRule="exact"/>
              <w:jc w:val="both"/>
              <w:rPr>
                <w:rFonts w:hint="eastAsia" w:ascii="宋体" w:hAnsi="宋体" w:eastAsia="宋体" w:cs="宋体"/>
                <w:b w:val="0"/>
                <w:bCs w:val="0"/>
                <w:sz w:val="18"/>
                <w:szCs w:val="18"/>
              </w:rPr>
            </w:pPr>
          </w:p>
        </w:tc>
        <w:tc>
          <w:tcPr>
            <w:tcW w:w="51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7D4113B">
            <w:pPr>
              <w:spacing w:line="240" w:lineRule="exact"/>
              <w:jc w:val="center"/>
              <w:rPr>
                <w:rFonts w:hint="eastAsia" w:ascii="宋体" w:hAnsi="宋体" w:eastAsia="宋体" w:cs="宋体"/>
                <w:b w:val="0"/>
                <w:bCs w:val="0"/>
                <w:sz w:val="18"/>
                <w:szCs w:val="18"/>
              </w:rPr>
            </w:pPr>
            <w:r>
              <w:rPr>
                <w:rFonts w:hint="eastAsia" w:ascii="宋体" w:hAnsi="宋体" w:eastAsia="宋体" w:cs="宋体"/>
                <w:b w:val="0"/>
                <w:bCs w:val="0"/>
                <w:sz w:val="18"/>
                <w:szCs w:val="18"/>
              </w:rPr>
              <w:t>严重</w:t>
            </w:r>
          </w:p>
        </w:tc>
        <w:tc>
          <w:tcPr>
            <w:tcW w:w="242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11206D0">
            <w:pPr>
              <w:spacing w:line="320" w:lineRule="exact"/>
              <w:rPr>
                <w:rFonts w:hint="eastAsia" w:ascii="宋体" w:hAnsi="宋体" w:eastAsia="宋体" w:cs="宋体"/>
                <w:b w:val="0"/>
                <w:bCs w:val="0"/>
                <w:sz w:val="18"/>
                <w:szCs w:val="18"/>
                <w:highlight w:val="none"/>
                <w:lang w:bidi="ar"/>
              </w:rPr>
            </w:pPr>
            <w:r>
              <w:rPr>
                <w:rStyle w:val="21"/>
                <w:rFonts w:hint="eastAsia" w:ascii="宋体" w:hAnsi="宋体" w:eastAsia="宋体" w:cs="宋体"/>
                <w:color w:val="auto"/>
                <w:sz w:val="18"/>
                <w:szCs w:val="18"/>
                <w:highlight w:val="none"/>
                <w:lang w:val="en-US" w:eastAsia="zh-CN" w:bidi="ar"/>
              </w:rPr>
              <w:t>逾期60日内未改正的</w:t>
            </w:r>
          </w:p>
        </w:tc>
        <w:tc>
          <w:tcPr>
            <w:tcW w:w="1628"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07DB954">
            <w:pPr>
              <w:spacing w:line="320" w:lineRule="exact"/>
              <w:rPr>
                <w:rFonts w:hint="eastAsia" w:ascii="宋体" w:hAnsi="宋体" w:eastAsia="宋体" w:cs="宋体"/>
                <w:b w:val="0"/>
                <w:bCs w:val="0"/>
                <w:sz w:val="18"/>
                <w:szCs w:val="18"/>
                <w:highlight w:val="none"/>
                <w:lang w:bidi="ar"/>
              </w:rPr>
            </w:pPr>
            <w:r>
              <w:rPr>
                <w:rStyle w:val="21"/>
                <w:rFonts w:hint="eastAsia" w:ascii="宋体" w:hAnsi="宋体" w:eastAsia="宋体" w:cs="宋体"/>
                <w:color w:val="auto"/>
                <w:sz w:val="18"/>
                <w:szCs w:val="18"/>
                <w:highlight w:val="none"/>
                <w:lang w:val="en-US" w:eastAsia="zh-CN" w:bidi="ar"/>
              </w:rPr>
              <w:t>处4万元以上5万元以下罚款</w:t>
            </w:r>
          </w:p>
        </w:tc>
        <w:tc>
          <w:tcPr>
            <w:tcW w:w="739" w:type="dxa"/>
            <w:vMerge w:val="continue"/>
            <w:tcBorders>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8BB12E5">
            <w:pPr>
              <w:spacing w:line="240" w:lineRule="exact"/>
              <w:jc w:val="center"/>
              <w:rPr>
                <w:rStyle w:val="21"/>
                <w:rFonts w:hint="eastAsia" w:ascii="宋体" w:hAnsi="宋体" w:eastAsia="宋体" w:cs="宋体"/>
                <w:b w:val="0"/>
                <w:bCs w:val="0"/>
                <w:color w:val="auto"/>
                <w:sz w:val="18"/>
                <w:szCs w:val="18"/>
                <w:lang w:bidi="ar"/>
              </w:rPr>
            </w:pPr>
          </w:p>
        </w:tc>
      </w:tr>
      <w:tr w14:paraId="3A63FE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74" w:type="dxa"/>
            <w:vMerge w:val="continue"/>
            <w:tcBorders>
              <w:left w:val="single" w:color="auto" w:sz="4" w:space="0"/>
              <w:right w:val="single" w:color="auto" w:sz="4" w:space="0"/>
            </w:tcBorders>
            <w:noWrap w:val="0"/>
            <w:tcMar>
              <w:top w:w="0" w:type="dxa"/>
              <w:left w:w="0" w:type="dxa"/>
              <w:bottom w:w="0" w:type="dxa"/>
              <w:right w:w="0" w:type="dxa"/>
            </w:tcMar>
            <w:vAlign w:val="center"/>
          </w:tcPr>
          <w:p w14:paraId="49085952">
            <w:pPr>
              <w:widowControl/>
              <w:spacing w:line="240" w:lineRule="exact"/>
              <w:jc w:val="center"/>
              <w:textAlignment w:val="center"/>
              <w:rPr>
                <w:rFonts w:hint="eastAsia" w:ascii="宋体" w:hAnsi="宋体" w:eastAsia="宋体" w:cs="宋体"/>
                <w:b w:val="0"/>
                <w:bCs w:val="0"/>
                <w:sz w:val="18"/>
                <w:szCs w:val="18"/>
              </w:rPr>
            </w:pPr>
          </w:p>
        </w:tc>
        <w:tc>
          <w:tcPr>
            <w:tcW w:w="1236" w:type="dxa"/>
            <w:vMerge w:val="continue"/>
            <w:tcBorders>
              <w:left w:val="single" w:color="auto" w:sz="4" w:space="0"/>
              <w:right w:val="single" w:color="auto" w:sz="4" w:space="0"/>
            </w:tcBorders>
            <w:noWrap w:val="0"/>
            <w:tcMar>
              <w:top w:w="0" w:type="dxa"/>
              <w:left w:w="0" w:type="dxa"/>
              <w:bottom w:w="0" w:type="dxa"/>
              <w:right w:w="0" w:type="dxa"/>
            </w:tcMar>
            <w:vAlign w:val="center"/>
          </w:tcPr>
          <w:p w14:paraId="77ABB1B8">
            <w:pPr>
              <w:widowControl/>
              <w:spacing w:line="240" w:lineRule="exact"/>
              <w:jc w:val="both"/>
              <w:textAlignment w:val="center"/>
              <w:rPr>
                <w:rFonts w:hint="eastAsia" w:ascii="宋体" w:hAnsi="宋体" w:eastAsia="宋体" w:cs="宋体"/>
                <w:b w:val="0"/>
                <w:bCs w:val="0"/>
                <w:kern w:val="0"/>
                <w:sz w:val="18"/>
                <w:szCs w:val="18"/>
                <w:lang w:bidi="ar"/>
              </w:rPr>
            </w:pPr>
          </w:p>
        </w:tc>
        <w:tc>
          <w:tcPr>
            <w:tcW w:w="6027" w:type="dxa"/>
            <w:vMerge w:val="continue"/>
            <w:tcBorders>
              <w:left w:val="single" w:color="auto" w:sz="4" w:space="0"/>
              <w:right w:val="single" w:color="auto" w:sz="4" w:space="0"/>
            </w:tcBorders>
            <w:noWrap w:val="0"/>
            <w:tcMar>
              <w:top w:w="0" w:type="dxa"/>
              <w:left w:w="0" w:type="dxa"/>
              <w:bottom w:w="0" w:type="dxa"/>
              <w:right w:w="0" w:type="dxa"/>
            </w:tcMar>
            <w:vAlign w:val="center"/>
          </w:tcPr>
          <w:p w14:paraId="61E43FAF">
            <w:pPr>
              <w:widowControl/>
              <w:spacing w:line="240" w:lineRule="exact"/>
              <w:textAlignment w:val="center"/>
              <w:rPr>
                <w:rFonts w:hint="eastAsia" w:ascii="宋体" w:hAnsi="宋体" w:eastAsia="宋体" w:cs="宋体"/>
                <w:b w:val="0"/>
                <w:bCs w:val="0"/>
                <w:kern w:val="0"/>
                <w:sz w:val="18"/>
                <w:szCs w:val="18"/>
                <w:lang w:bidi="ar"/>
              </w:rPr>
            </w:pPr>
          </w:p>
        </w:tc>
        <w:tc>
          <w:tcPr>
            <w:tcW w:w="1849" w:type="dxa"/>
            <w:vMerge w:val="restart"/>
            <w:tcBorders>
              <w:top w:val="single" w:color="auto" w:sz="4" w:space="0"/>
              <w:left w:val="single" w:color="auto" w:sz="4" w:space="0"/>
              <w:right w:val="single" w:color="auto" w:sz="4" w:space="0"/>
            </w:tcBorders>
            <w:noWrap w:val="0"/>
            <w:tcMar>
              <w:top w:w="0" w:type="dxa"/>
              <w:left w:w="0" w:type="dxa"/>
              <w:bottom w:w="0" w:type="dxa"/>
              <w:right w:w="0" w:type="dxa"/>
            </w:tcMar>
            <w:vAlign w:val="center"/>
          </w:tcPr>
          <w:p w14:paraId="3704BC44">
            <w:pPr>
              <w:spacing w:line="240" w:lineRule="exact"/>
              <w:jc w:val="both"/>
              <w:rPr>
                <w:rFonts w:hint="eastAsia" w:ascii="宋体" w:hAnsi="宋体" w:eastAsia="宋体" w:cs="宋体"/>
                <w:b w:val="0"/>
                <w:bCs w:val="0"/>
                <w:sz w:val="18"/>
                <w:szCs w:val="18"/>
              </w:rPr>
            </w:pPr>
            <w:r>
              <w:rPr>
                <w:rFonts w:hint="eastAsia" w:ascii="宋体" w:hAnsi="宋体" w:eastAsia="宋体" w:cs="宋体"/>
                <w:b w:val="0"/>
                <w:bCs w:val="0"/>
                <w:kern w:val="0"/>
                <w:sz w:val="18"/>
                <w:szCs w:val="18"/>
                <w:lang w:bidi="ar"/>
              </w:rPr>
              <w:t>防洪工程设施未经验收，即将建设项目投入生产或者使用的</w:t>
            </w:r>
          </w:p>
        </w:tc>
        <w:tc>
          <w:tcPr>
            <w:tcW w:w="51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098FB1A">
            <w:pPr>
              <w:spacing w:line="240" w:lineRule="exact"/>
              <w:jc w:val="center"/>
              <w:rPr>
                <w:rFonts w:hint="eastAsia" w:ascii="宋体" w:hAnsi="宋体" w:eastAsia="宋体" w:cs="宋体"/>
                <w:b w:val="0"/>
                <w:bCs w:val="0"/>
                <w:sz w:val="18"/>
                <w:szCs w:val="18"/>
              </w:rPr>
            </w:pPr>
            <w:r>
              <w:rPr>
                <w:rFonts w:hint="eastAsia" w:ascii="宋体" w:hAnsi="宋体" w:eastAsia="宋体" w:cs="宋体"/>
                <w:b w:val="0"/>
                <w:bCs w:val="0"/>
                <w:sz w:val="18"/>
                <w:szCs w:val="18"/>
              </w:rPr>
              <w:t>轻微</w:t>
            </w:r>
          </w:p>
        </w:tc>
        <w:tc>
          <w:tcPr>
            <w:tcW w:w="242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2D84C738">
            <w:pPr>
              <w:snapToGrid w:val="0"/>
              <w:spacing w:line="240" w:lineRule="exact"/>
              <mc:AlternateContent>
                <mc:Choice Requires="wpsCustomData">
                  <wpsCustomData:diagonalParaType/>
                </mc:Choice>
              </mc:AlternateContent>
              <w:rPr>
                <w:rStyle w:val="21"/>
                <w:rFonts w:hint="eastAsia" w:ascii="宋体" w:hAnsi="宋体" w:eastAsia="宋体" w:cs="宋体"/>
                <w:b w:val="0"/>
                <w:bCs w:val="0"/>
                <w:color w:val="auto"/>
                <w:sz w:val="18"/>
                <w:szCs w:val="18"/>
                <w:lang w:bidi="ar"/>
              </w:rPr>
            </w:pPr>
          </w:p>
          <w:p w14:paraId="5070969F">
            <w:pPr>
              <w:spacing w:line="240" w:lineRule="exact"/>
              <w:rPr>
                <w:rStyle w:val="21"/>
                <w:rFonts w:hint="eastAsia" w:ascii="宋体" w:hAnsi="宋体" w:eastAsia="宋体" w:cs="宋体"/>
                <w:b w:val="0"/>
                <w:bCs w:val="0"/>
                <w:color w:val="auto"/>
                <w:sz w:val="18"/>
                <w:szCs w:val="18"/>
                <w:lang w:bidi="ar"/>
              </w:rPr>
            </w:pPr>
          </w:p>
        </w:tc>
        <w:tc>
          <w:tcPr>
            <w:tcW w:w="1628"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3BACEBD8">
            <w:pPr>
              <w:snapToGrid w:val="0"/>
              <w:spacing w:line="240" w:lineRule="exact"/>
              <mc:AlternateContent>
                <mc:Choice Requires="wpsCustomData">
                  <wpsCustomData:diagonalParaType/>
                </mc:Choice>
              </mc:AlternateContent>
              <w:rPr>
                <w:rStyle w:val="21"/>
                <w:rFonts w:hint="eastAsia" w:ascii="宋体" w:hAnsi="宋体" w:eastAsia="宋体" w:cs="宋体"/>
                <w:b w:val="0"/>
                <w:bCs w:val="0"/>
                <w:color w:val="auto"/>
                <w:sz w:val="18"/>
                <w:szCs w:val="18"/>
                <w:lang w:bidi="ar"/>
              </w:rPr>
            </w:pPr>
          </w:p>
          <w:p w14:paraId="22643593">
            <w:pPr>
              <w:spacing w:line="240" w:lineRule="exact"/>
              <w:rPr>
                <w:rStyle w:val="21"/>
                <w:rFonts w:hint="eastAsia" w:ascii="宋体" w:hAnsi="宋体" w:eastAsia="宋体" w:cs="宋体"/>
                <w:b w:val="0"/>
                <w:bCs w:val="0"/>
                <w:color w:val="auto"/>
                <w:sz w:val="18"/>
                <w:szCs w:val="18"/>
                <w:lang w:bidi="ar"/>
              </w:rPr>
            </w:pPr>
          </w:p>
        </w:tc>
        <w:tc>
          <w:tcPr>
            <w:tcW w:w="739" w:type="dxa"/>
            <w:vMerge w:val="restart"/>
            <w:tcBorders>
              <w:top w:val="single" w:color="auto" w:sz="4" w:space="0"/>
              <w:left w:val="single" w:color="auto" w:sz="4" w:space="0"/>
              <w:right w:val="single" w:color="auto" w:sz="4" w:space="0"/>
            </w:tcBorders>
            <w:noWrap w:val="0"/>
            <w:tcMar>
              <w:top w:w="0" w:type="dxa"/>
              <w:left w:w="0" w:type="dxa"/>
              <w:bottom w:w="0" w:type="dxa"/>
              <w:right w:w="0" w:type="dxa"/>
            </w:tcMar>
            <w:vAlign w:val="center"/>
          </w:tcPr>
          <w:p w14:paraId="3C3EB548">
            <w:pPr>
              <w:spacing w:line="240" w:lineRule="exact"/>
              <w:jc w:val="center"/>
              <w:rPr>
                <w:rStyle w:val="21"/>
                <w:rFonts w:hint="eastAsia" w:ascii="宋体" w:hAnsi="宋体" w:eastAsia="宋体" w:cs="宋体"/>
                <w:b w:val="0"/>
                <w:bCs w:val="0"/>
                <w:color w:val="auto"/>
                <w:sz w:val="18"/>
                <w:szCs w:val="18"/>
                <w:lang w:bidi="ar"/>
              </w:rPr>
            </w:pPr>
          </w:p>
        </w:tc>
      </w:tr>
      <w:tr w14:paraId="009837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jc w:val="center"/>
        </w:trPr>
        <w:tc>
          <w:tcPr>
            <w:tcW w:w="474" w:type="dxa"/>
            <w:vMerge w:val="continue"/>
            <w:tcBorders>
              <w:left w:val="single" w:color="auto" w:sz="4" w:space="0"/>
              <w:right w:val="single" w:color="auto" w:sz="4" w:space="0"/>
            </w:tcBorders>
            <w:noWrap w:val="0"/>
            <w:tcMar>
              <w:top w:w="0" w:type="dxa"/>
              <w:left w:w="0" w:type="dxa"/>
              <w:bottom w:w="0" w:type="dxa"/>
              <w:right w:w="0" w:type="dxa"/>
            </w:tcMar>
            <w:vAlign w:val="center"/>
          </w:tcPr>
          <w:p w14:paraId="5457ED2E">
            <w:pPr>
              <w:spacing w:line="240" w:lineRule="exact"/>
              <w:jc w:val="center"/>
              <w:rPr>
                <w:rFonts w:hint="eastAsia" w:ascii="宋体" w:hAnsi="宋体" w:eastAsia="宋体" w:cs="宋体"/>
                <w:b w:val="0"/>
                <w:bCs w:val="0"/>
                <w:sz w:val="18"/>
                <w:szCs w:val="18"/>
              </w:rPr>
            </w:pPr>
          </w:p>
        </w:tc>
        <w:tc>
          <w:tcPr>
            <w:tcW w:w="1236" w:type="dxa"/>
            <w:vMerge w:val="continue"/>
            <w:tcBorders>
              <w:left w:val="single" w:color="auto" w:sz="4" w:space="0"/>
              <w:right w:val="single" w:color="auto" w:sz="4" w:space="0"/>
            </w:tcBorders>
            <w:noWrap w:val="0"/>
            <w:tcMar>
              <w:top w:w="0" w:type="dxa"/>
              <w:left w:w="0" w:type="dxa"/>
              <w:bottom w:w="0" w:type="dxa"/>
              <w:right w:w="0" w:type="dxa"/>
            </w:tcMar>
            <w:vAlign w:val="center"/>
          </w:tcPr>
          <w:p w14:paraId="14C0B209">
            <w:pPr>
              <w:widowControl/>
              <w:spacing w:line="240" w:lineRule="exact"/>
              <w:textAlignment w:val="center"/>
              <w:rPr>
                <w:rFonts w:hint="eastAsia" w:ascii="宋体" w:hAnsi="宋体" w:eastAsia="宋体" w:cs="宋体"/>
                <w:b w:val="0"/>
                <w:bCs w:val="0"/>
                <w:kern w:val="0"/>
                <w:sz w:val="18"/>
                <w:szCs w:val="18"/>
                <w:lang w:bidi="ar"/>
              </w:rPr>
            </w:pPr>
          </w:p>
        </w:tc>
        <w:tc>
          <w:tcPr>
            <w:tcW w:w="6027" w:type="dxa"/>
            <w:vMerge w:val="continue"/>
            <w:tcBorders>
              <w:left w:val="single" w:color="auto" w:sz="4" w:space="0"/>
              <w:right w:val="single" w:color="auto" w:sz="4" w:space="0"/>
            </w:tcBorders>
            <w:noWrap w:val="0"/>
            <w:tcMar>
              <w:top w:w="0" w:type="dxa"/>
              <w:left w:w="0" w:type="dxa"/>
              <w:bottom w:w="0" w:type="dxa"/>
              <w:right w:w="0" w:type="dxa"/>
            </w:tcMar>
            <w:vAlign w:val="center"/>
          </w:tcPr>
          <w:p w14:paraId="4415B01A">
            <w:pPr>
              <w:widowControl/>
              <w:spacing w:line="240" w:lineRule="exact"/>
              <w:ind w:firstLine="360" w:firstLineChars="200"/>
              <w:textAlignment w:val="center"/>
              <w:rPr>
                <w:rFonts w:hint="eastAsia" w:ascii="宋体" w:hAnsi="宋体" w:eastAsia="宋体" w:cs="宋体"/>
                <w:b w:val="0"/>
                <w:bCs w:val="0"/>
                <w:kern w:val="0"/>
                <w:sz w:val="18"/>
                <w:szCs w:val="18"/>
                <w:lang w:bidi="ar"/>
              </w:rPr>
            </w:pPr>
          </w:p>
        </w:tc>
        <w:tc>
          <w:tcPr>
            <w:tcW w:w="1849" w:type="dxa"/>
            <w:vMerge w:val="continue"/>
            <w:tcBorders>
              <w:left w:val="single" w:color="auto" w:sz="4" w:space="0"/>
              <w:right w:val="single" w:color="auto" w:sz="4" w:space="0"/>
            </w:tcBorders>
            <w:noWrap w:val="0"/>
            <w:tcMar>
              <w:top w:w="0" w:type="dxa"/>
              <w:left w:w="0" w:type="dxa"/>
              <w:bottom w:w="0" w:type="dxa"/>
              <w:right w:w="0" w:type="dxa"/>
            </w:tcMar>
            <w:vAlign w:val="center"/>
          </w:tcPr>
          <w:p w14:paraId="1EBCCA56">
            <w:pPr>
              <w:spacing w:line="240" w:lineRule="exact"/>
              <w:jc w:val="both"/>
              <w:rPr>
                <w:rFonts w:hint="eastAsia" w:ascii="宋体" w:hAnsi="宋体" w:eastAsia="宋体" w:cs="宋体"/>
                <w:b w:val="0"/>
                <w:bCs w:val="0"/>
                <w:sz w:val="18"/>
                <w:szCs w:val="18"/>
              </w:rPr>
            </w:pPr>
          </w:p>
        </w:tc>
        <w:tc>
          <w:tcPr>
            <w:tcW w:w="51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9911D56">
            <w:pPr>
              <w:spacing w:line="240" w:lineRule="exact"/>
              <w:jc w:val="center"/>
              <w:rPr>
                <w:rFonts w:hint="eastAsia" w:ascii="宋体" w:hAnsi="宋体" w:eastAsia="宋体" w:cs="宋体"/>
                <w:b w:val="0"/>
                <w:bCs w:val="0"/>
                <w:sz w:val="18"/>
                <w:szCs w:val="18"/>
              </w:rPr>
            </w:pPr>
            <w:r>
              <w:rPr>
                <w:rFonts w:hint="eastAsia" w:ascii="宋体" w:hAnsi="宋体" w:eastAsia="宋体" w:cs="宋体"/>
                <w:b w:val="0"/>
                <w:bCs w:val="0"/>
                <w:sz w:val="18"/>
                <w:szCs w:val="18"/>
              </w:rPr>
              <w:t>较轻</w:t>
            </w:r>
          </w:p>
        </w:tc>
        <w:tc>
          <w:tcPr>
            <w:tcW w:w="242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1B2E3AF">
            <w:pPr>
              <w:spacing w:line="240" w:lineRule="exact"/>
              <w:rPr>
                <w:rFonts w:hint="eastAsia" w:ascii="宋体" w:hAnsi="宋体" w:eastAsia="宋体" w:cs="宋体"/>
                <w:b w:val="0"/>
                <w:bCs w:val="0"/>
                <w:sz w:val="18"/>
                <w:szCs w:val="18"/>
                <w:lang w:bidi="ar"/>
              </w:rPr>
            </w:pPr>
            <w:r>
              <w:rPr>
                <w:rStyle w:val="21"/>
                <w:rFonts w:hint="eastAsia" w:ascii="宋体" w:hAnsi="宋体" w:eastAsia="宋体" w:cs="宋体"/>
                <w:b w:val="0"/>
                <w:bCs w:val="0"/>
                <w:color w:val="auto"/>
                <w:sz w:val="18"/>
                <w:szCs w:val="18"/>
                <w:lang w:bidi="ar"/>
              </w:rPr>
              <w:t>立即停止生产或使用并在限期内通过验收，投资额在</w:t>
            </w:r>
            <w:r>
              <w:rPr>
                <w:rStyle w:val="21"/>
                <w:rFonts w:hint="eastAsia" w:ascii="宋体" w:hAnsi="宋体" w:eastAsia="宋体" w:cs="宋体"/>
                <w:b w:val="0"/>
                <w:bCs w:val="0"/>
                <w:color w:val="auto"/>
                <w:sz w:val="18"/>
                <w:szCs w:val="18"/>
                <w:lang w:val="en-US" w:eastAsia="zh-CN" w:bidi="ar"/>
              </w:rPr>
              <w:t>10</w:t>
            </w:r>
            <w:r>
              <w:rPr>
                <w:rStyle w:val="21"/>
                <w:rFonts w:hint="eastAsia" w:ascii="宋体" w:hAnsi="宋体" w:eastAsia="宋体" w:cs="宋体"/>
                <w:b w:val="0"/>
                <w:bCs w:val="0"/>
                <w:color w:val="auto"/>
                <w:sz w:val="18"/>
                <w:szCs w:val="18"/>
                <w:lang w:bidi="ar"/>
              </w:rPr>
              <w:t>万元以下的</w:t>
            </w:r>
          </w:p>
        </w:tc>
        <w:tc>
          <w:tcPr>
            <w:tcW w:w="1628"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4F01647">
            <w:pPr>
              <w:spacing w:line="240" w:lineRule="exact"/>
              <w:rPr>
                <w:rFonts w:hint="eastAsia" w:ascii="宋体" w:hAnsi="宋体" w:eastAsia="宋体" w:cs="宋体"/>
                <w:b w:val="0"/>
                <w:bCs w:val="0"/>
                <w:sz w:val="18"/>
                <w:szCs w:val="18"/>
                <w:lang w:bidi="ar"/>
              </w:rPr>
            </w:pPr>
            <w:r>
              <w:rPr>
                <w:rStyle w:val="21"/>
                <w:rFonts w:hint="eastAsia" w:ascii="宋体" w:hAnsi="宋体" w:eastAsia="宋体" w:cs="宋体"/>
                <w:b w:val="0"/>
                <w:bCs w:val="0"/>
                <w:color w:val="auto"/>
                <w:sz w:val="18"/>
                <w:szCs w:val="18"/>
                <w:lang w:bidi="ar"/>
              </w:rPr>
              <w:t>处</w:t>
            </w:r>
            <w:r>
              <w:rPr>
                <w:rStyle w:val="21"/>
                <w:rFonts w:hint="eastAsia" w:ascii="宋体" w:hAnsi="宋体" w:eastAsia="宋体" w:cs="宋体"/>
                <w:b w:val="0"/>
                <w:bCs w:val="0"/>
                <w:color w:val="auto"/>
                <w:sz w:val="18"/>
                <w:szCs w:val="18"/>
                <w:lang w:val="en-US" w:eastAsia="zh-CN" w:bidi="ar"/>
              </w:rPr>
              <w:t>1</w:t>
            </w:r>
            <w:r>
              <w:rPr>
                <w:rStyle w:val="21"/>
                <w:rFonts w:hint="eastAsia" w:ascii="宋体" w:hAnsi="宋体" w:eastAsia="宋体" w:cs="宋体"/>
                <w:b w:val="0"/>
                <w:bCs w:val="0"/>
                <w:color w:val="auto"/>
                <w:sz w:val="18"/>
                <w:szCs w:val="18"/>
                <w:lang w:bidi="ar"/>
              </w:rPr>
              <w:t>万元以下罚款</w:t>
            </w:r>
          </w:p>
        </w:tc>
        <w:tc>
          <w:tcPr>
            <w:tcW w:w="739" w:type="dxa"/>
            <w:vMerge w:val="continue"/>
            <w:tcBorders>
              <w:left w:val="single" w:color="auto" w:sz="4" w:space="0"/>
              <w:right w:val="single" w:color="auto" w:sz="4" w:space="0"/>
            </w:tcBorders>
            <w:noWrap w:val="0"/>
            <w:tcMar>
              <w:top w:w="0" w:type="dxa"/>
              <w:left w:w="0" w:type="dxa"/>
              <w:bottom w:w="0" w:type="dxa"/>
              <w:right w:w="0" w:type="dxa"/>
            </w:tcMar>
            <w:vAlign w:val="center"/>
          </w:tcPr>
          <w:p w14:paraId="65286CB2">
            <w:pPr>
              <w:spacing w:line="240" w:lineRule="exact"/>
              <w:jc w:val="center"/>
              <w:rPr>
                <w:rStyle w:val="21"/>
                <w:rFonts w:hint="eastAsia" w:ascii="宋体" w:hAnsi="宋体" w:eastAsia="宋体" w:cs="宋体"/>
                <w:b w:val="0"/>
                <w:bCs w:val="0"/>
                <w:color w:val="auto"/>
                <w:sz w:val="18"/>
                <w:szCs w:val="18"/>
                <w:lang w:bidi="ar"/>
              </w:rPr>
            </w:pPr>
          </w:p>
        </w:tc>
      </w:tr>
      <w:tr w14:paraId="4A5EF4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jc w:val="center"/>
        </w:trPr>
        <w:tc>
          <w:tcPr>
            <w:tcW w:w="474" w:type="dxa"/>
            <w:vMerge w:val="continue"/>
            <w:tcBorders>
              <w:left w:val="single" w:color="auto" w:sz="4" w:space="0"/>
              <w:right w:val="single" w:color="auto" w:sz="4" w:space="0"/>
            </w:tcBorders>
            <w:noWrap w:val="0"/>
            <w:tcMar>
              <w:top w:w="0" w:type="dxa"/>
              <w:left w:w="0" w:type="dxa"/>
              <w:bottom w:w="0" w:type="dxa"/>
              <w:right w:w="0" w:type="dxa"/>
            </w:tcMar>
            <w:vAlign w:val="center"/>
          </w:tcPr>
          <w:p w14:paraId="73486172">
            <w:pPr>
              <w:spacing w:line="240" w:lineRule="exact"/>
              <w:jc w:val="center"/>
              <w:rPr>
                <w:rFonts w:hint="eastAsia" w:ascii="宋体" w:hAnsi="宋体" w:eastAsia="宋体" w:cs="宋体"/>
                <w:b w:val="0"/>
                <w:bCs w:val="0"/>
                <w:sz w:val="18"/>
                <w:szCs w:val="18"/>
              </w:rPr>
            </w:pPr>
          </w:p>
        </w:tc>
        <w:tc>
          <w:tcPr>
            <w:tcW w:w="1236" w:type="dxa"/>
            <w:vMerge w:val="continue"/>
            <w:tcBorders>
              <w:left w:val="single" w:color="auto" w:sz="4" w:space="0"/>
              <w:right w:val="single" w:color="auto" w:sz="4" w:space="0"/>
            </w:tcBorders>
            <w:noWrap w:val="0"/>
            <w:tcMar>
              <w:top w:w="0" w:type="dxa"/>
              <w:left w:w="0" w:type="dxa"/>
              <w:bottom w:w="0" w:type="dxa"/>
              <w:right w:w="0" w:type="dxa"/>
            </w:tcMar>
            <w:vAlign w:val="center"/>
          </w:tcPr>
          <w:p w14:paraId="17D91215">
            <w:pPr>
              <w:widowControl/>
              <w:spacing w:line="240" w:lineRule="exact"/>
              <w:textAlignment w:val="center"/>
              <w:rPr>
                <w:rFonts w:hint="eastAsia" w:ascii="宋体" w:hAnsi="宋体" w:eastAsia="宋体" w:cs="宋体"/>
                <w:b w:val="0"/>
                <w:bCs w:val="0"/>
                <w:kern w:val="0"/>
                <w:sz w:val="18"/>
                <w:szCs w:val="18"/>
                <w:lang w:bidi="ar"/>
              </w:rPr>
            </w:pPr>
          </w:p>
        </w:tc>
        <w:tc>
          <w:tcPr>
            <w:tcW w:w="6027" w:type="dxa"/>
            <w:vMerge w:val="continue"/>
            <w:tcBorders>
              <w:left w:val="single" w:color="auto" w:sz="4" w:space="0"/>
              <w:right w:val="single" w:color="auto" w:sz="4" w:space="0"/>
            </w:tcBorders>
            <w:noWrap w:val="0"/>
            <w:tcMar>
              <w:top w:w="0" w:type="dxa"/>
              <w:left w:w="0" w:type="dxa"/>
              <w:bottom w:w="0" w:type="dxa"/>
              <w:right w:w="0" w:type="dxa"/>
            </w:tcMar>
            <w:vAlign w:val="center"/>
          </w:tcPr>
          <w:p w14:paraId="0599D2D0">
            <w:pPr>
              <w:widowControl/>
              <w:spacing w:line="240" w:lineRule="exact"/>
              <w:ind w:firstLine="360" w:firstLineChars="200"/>
              <w:textAlignment w:val="center"/>
              <w:rPr>
                <w:rFonts w:hint="eastAsia" w:ascii="宋体" w:hAnsi="宋体" w:eastAsia="宋体" w:cs="宋体"/>
                <w:b w:val="0"/>
                <w:bCs w:val="0"/>
                <w:kern w:val="0"/>
                <w:sz w:val="18"/>
                <w:szCs w:val="18"/>
                <w:lang w:bidi="ar"/>
              </w:rPr>
            </w:pPr>
          </w:p>
        </w:tc>
        <w:tc>
          <w:tcPr>
            <w:tcW w:w="1849" w:type="dxa"/>
            <w:vMerge w:val="continue"/>
            <w:tcBorders>
              <w:left w:val="single" w:color="auto" w:sz="4" w:space="0"/>
              <w:right w:val="single" w:color="auto" w:sz="4" w:space="0"/>
            </w:tcBorders>
            <w:noWrap w:val="0"/>
            <w:tcMar>
              <w:top w:w="0" w:type="dxa"/>
              <w:left w:w="0" w:type="dxa"/>
              <w:bottom w:w="0" w:type="dxa"/>
              <w:right w:w="0" w:type="dxa"/>
            </w:tcMar>
            <w:vAlign w:val="center"/>
          </w:tcPr>
          <w:p w14:paraId="4D360673">
            <w:pPr>
              <w:spacing w:line="240" w:lineRule="exact"/>
              <w:jc w:val="both"/>
              <w:rPr>
                <w:rFonts w:hint="eastAsia" w:ascii="宋体" w:hAnsi="宋体" w:eastAsia="宋体" w:cs="宋体"/>
                <w:b w:val="0"/>
                <w:bCs w:val="0"/>
                <w:sz w:val="18"/>
                <w:szCs w:val="18"/>
              </w:rPr>
            </w:pPr>
          </w:p>
        </w:tc>
        <w:tc>
          <w:tcPr>
            <w:tcW w:w="51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B92FCD0">
            <w:pPr>
              <w:spacing w:line="240" w:lineRule="exact"/>
              <w:jc w:val="center"/>
              <w:rPr>
                <w:rFonts w:hint="eastAsia" w:ascii="宋体" w:hAnsi="宋体" w:eastAsia="宋体" w:cs="宋体"/>
                <w:b w:val="0"/>
                <w:bCs w:val="0"/>
                <w:sz w:val="18"/>
                <w:szCs w:val="18"/>
              </w:rPr>
            </w:pPr>
            <w:r>
              <w:rPr>
                <w:rFonts w:hint="eastAsia" w:ascii="宋体" w:hAnsi="宋体" w:eastAsia="宋体" w:cs="宋体"/>
                <w:b w:val="0"/>
                <w:bCs w:val="0"/>
                <w:sz w:val="18"/>
                <w:szCs w:val="18"/>
              </w:rPr>
              <w:t>一般</w:t>
            </w:r>
          </w:p>
        </w:tc>
        <w:tc>
          <w:tcPr>
            <w:tcW w:w="242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89C64FA">
            <w:pPr>
              <w:spacing w:line="240" w:lineRule="exact"/>
              <w:rPr>
                <w:rFonts w:hint="eastAsia" w:ascii="宋体" w:hAnsi="宋体" w:eastAsia="宋体" w:cs="宋体"/>
                <w:b w:val="0"/>
                <w:bCs w:val="0"/>
                <w:sz w:val="18"/>
                <w:szCs w:val="18"/>
                <w:lang w:bidi="ar"/>
              </w:rPr>
            </w:pPr>
            <w:r>
              <w:rPr>
                <w:rStyle w:val="21"/>
                <w:rFonts w:hint="eastAsia" w:ascii="宋体" w:hAnsi="宋体" w:eastAsia="宋体" w:cs="宋体"/>
                <w:b w:val="0"/>
                <w:bCs w:val="0"/>
                <w:color w:val="auto"/>
                <w:sz w:val="18"/>
                <w:szCs w:val="18"/>
                <w:lang w:bidi="ar"/>
              </w:rPr>
              <w:t>立即停止生产或使用并在限期内通过验收，投资额在</w:t>
            </w:r>
            <w:r>
              <w:rPr>
                <w:rStyle w:val="21"/>
                <w:rFonts w:hint="eastAsia" w:ascii="宋体" w:hAnsi="宋体" w:eastAsia="宋体" w:cs="宋体"/>
                <w:b w:val="0"/>
                <w:bCs w:val="0"/>
                <w:color w:val="auto"/>
                <w:sz w:val="18"/>
                <w:szCs w:val="18"/>
                <w:lang w:val="en-US" w:eastAsia="zh-CN" w:bidi="ar"/>
              </w:rPr>
              <w:t>10</w:t>
            </w:r>
            <w:r>
              <w:rPr>
                <w:rStyle w:val="21"/>
                <w:rFonts w:hint="eastAsia" w:ascii="宋体" w:hAnsi="宋体" w:eastAsia="宋体" w:cs="宋体"/>
                <w:b w:val="0"/>
                <w:bCs w:val="0"/>
                <w:color w:val="auto"/>
                <w:sz w:val="18"/>
                <w:szCs w:val="18"/>
                <w:lang w:bidi="ar"/>
              </w:rPr>
              <w:t>万元以上</w:t>
            </w:r>
            <w:r>
              <w:rPr>
                <w:rStyle w:val="21"/>
                <w:rFonts w:hint="eastAsia" w:ascii="宋体" w:hAnsi="宋体" w:eastAsia="宋体" w:cs="宋体"/>
                <w:b w:val="0"/>
                <w:bCs w:val="0"/>
                <w:color w:val="auto"/>
                <w:sz w:val="18"/>
                <w:szCs w:val="18"/>
                <w:lang w:val="en-US" w:eastAsia="zh-CN" w:bidi="ar"/>
              </w:rPr>
              <w:t>30</w:t>
            </w:r>
            <w:r>
              <w:rPr>
                <w:rStyle w:val="21"/>
                <w:rFonts w:hint="eastAsia" w:ascii="宋体" w:hAnsi="宋体" w:eastAsia="宋体" w:cs="宋体"/>
                <w:b w:val="0"/>
                <w:bCs w:val="0"/>
                <w:color w:val="auto"/>
                <w:sz w:val="18"/>
                <w:szCs w:val="18"/>
                <w:lang w:bidi="ar"/>
              </w:rPr>
              <w:t>万元以下的</w:t>
            </w:r>
          </w:p>
        </w:tc>
        <w:tc>
          <w:tcPr>
            <w:tcW w:w="1628"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D7AE29C">
            <w:pPr>
              <w:spacing w:line="240" w:lineRule="exact"/>
              <w:rPr>
                <w:rFonts w:hint="eastAsia" w:ascii="宋体" w:hAnsi="宋体" w:eastAsia="宋体" w:cs="宋体"/>
                <w:b w:val="0"/>
                <w:bCs w:val="0"/>
                <w:sz w:val="18"/>
                <w:szCs w:val="18"/>
                <w:lang w:bidi="ar"/>
              </w:rPr>
            </w:pPr>
            <w:r>
              <w:rPr>
                <w:rStyle w:val="21"/>
                <w:rFonts w:hint="eastAsia" w:ascii="宋体" w:hAnsi="宋体" w:eastAsia="宋体" w:cs="宋体"/>
                <w:b w:val="0"/>
                <w:bCs w:val="0"/>
                <w:color w:val="auto"/>
                <w:sz w:val="18"/>
                <w:szCs w:val="18"/>
                <w:lang w:bidi="ar"/>
              </w:rPr>
              <w:t>处</w:t>
            </w:r>
            <w:r>
              <w:rPr>
                <w:rStyle w:val="21"/>
                <w:rFonts w:hint="eastAsia" w:ascii="宋体" w:hAnsi="宋体" w:eastAsia="宋体" w:cs="宋体"/>
                <w:b w:val="0"/>
                <w:bCs w:val="0"/>
                <w:color w:val="auto"/>
                <w:sz w:val="18"/>
                <w:szCs w:val="18"/>
                <w:lang w:val="en-US" w:eastAsia="zh-CN" w:bidi="ar"/>
              </w:rPr>
              <w:t>1</w:t>
            </w:r>
            <w:r>
              <w:rPr>
                <w:rStyle w:val="21"/>
                <w:rFonts w:hint="eastAsia" w:ascii="宋体" w:hAnsi="宋体" w:eastAsia="宋体" w:cs="宋体"/>
                <w:b w:val="0"/>
                <w:bCs w:val="0"/>
                <w:color w:val="auto"/>
                <w:sz w:val="18"/>
                <w:szCs w:val="18"/>
                <w:lang w:bidi="ar"/>
              </w:rPr>
              <w:t>万元以上</w:t>
            </w:r>
            <w:r>
              <w:rPr>
                <w:rStyle w:val="21"/>
                <w:rFonts w:hint="eastAsia" w:ascii="宋体" w:hAnsi="宋体" w:eastAsia="宋体" w:cs="宋体"/>
                <w:b w:val="0"/>
                <w:bCs w:val="0"/>
                <w:color w:val="auto"/>
                <w:sz w:val="18"/>
                <w:szCs w:val="18"/>
                <w:lang w:val="en-US" w:eastAsia="zh-CN" w:bidi="ar"/>
              </w:rPr>
              <w:t>3</w:t>
            </w:r>
            <w:r>
              <w:rPr>
                <w:rStyle w:val="21"/>
                <w:rFonts w:hint="eastAsia" w:ascii="宋体" w:hAnsi="宋体" w:eastAsia="宋体" w:cs="宋体"/>
                <w:b w:val="0"/>
                <w:bCs w:val="0"/>
                <w:color w:val="auto"/>
                <w:sz w:val="18"/>
                <w:szCs w:val="18"/>
                <w:lang w:bidi="ar"/>
              </w:rPr>
              <w:t>万元以下的罚款</w:t>
            </w:r>
          </w:p>
        </w:tc>
        <w:tc>
          <w:tcPr>
            <w:tcW w:w="739" w:type="dxa"/>
            <w:vMerge w:val="continue"/>
            <w:tcBorders>
              <w:left w:val="single" w:color="auto" w:sz="4" w:space="0"/>
              <w:right w:val="single" w:color="auto" w:sz="4" w:space="0"/>
            </w:tcBorders>
            <w:noWrap w:val="0"/>
            <w:tcMar>
              <w:top w:w="0" w:type="dxa"/>
              <w:left w:w="0" w:type="dxa"/>
              <w:bottom w:w="0" w:type="dxa"/>
              <w:right w:w="0" w:type="dxa"/>
            </w:tcMar>
            <w:vAlign w:val="center"/>
          </w:tcPr>
          <w:p w14:paraId="2489A784">
            <w:pPr>
              <w:spacing w:line="240" w:lineRule="exact"/>
              <w:jc w:val="center"/>
              <w:rPr>
                <w:rStyle w:val="21"/>
                <w:rFonts w:hint="eastAsia" w:ascii="宋体" w:hAnsi="宋体" w:eastAsia="宋体" w:cs="宋体"/>
                <w:b w:val="0"/>
                <w:bCs w:val="0"/>
                <w:color w:val="auto"/>
                <w:sz w:val="18"/>
                <w:szCs w:val="18"/>
                <w:lang w:bidi="ar"/>
              </w:rPr>
            </w:pPr>
          </w:p>
        </w:tc>
      </w:tr>
      <w:tr w14:paraId="6AA6C1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jc w:val="center"/>
        </w:trPr>
        <w:tc>
          <w:tcPr>
            <w:tcW w:w="474" w:type="dxa"/>
            <w:vMerge w:val="continue"/>
            <w:tcBorders>
              <w:left w:val="single" w:color="auto" w:sz="4" w:space="0"/>
              <w:right w:val="single" w:color="auto" w:sz="4" w:space="0"/>
            </w:tcBorders>
            <w:noWrap w:val="0"/>
            <w:tcMar>
              <w:top w:w="0" w:type="dxa"/>
              <w:left w:w="0" w:type="dxa"/>
              <w:bottom w:w="0" w:type="dxa"/>
              <w:right w:w="0" w:type="dxa"/>
            </w:tcMar>
            <w:vAlign w:val="center"/>
          </w:tcPr>
          <w:p w14:paraId="38A46463">
            <w:pPr>
              <w:spacing w:line="240" w:lineRule="exact"/>
              <w:jc w:val="center"/>
              <w:rPr>
                <w:rFonts w:hint="eastAsia" w:ascii="宋体" w:hAnsi="宋体" w:eastAsia="宋体" w:cs="宋体"/>
                <w:b w:val="0"/>
                <w:bCs w:val="0"/>
                <w:sz w:val="18"/>
                <w:szCs w:val="18"/>
              </w:rPr>
            </w:pPr>
          </w:p>
        </w:tc>
        <w:tc>
          <w:tcPr>
            <w:tcW w:w="1236" w:type="dxa"/>
            <w:vMerge w:val="continue"/>
            <w:tcBorders>
              <w:left w:val="single" w:color="auto" w:sz="4" w:space="0"/>
              <w:right w:val="single" w:color="auto" w:sz="4" w:space="0"/>
            </w:tcBorders>
            <w:noWrap w:val="0"/>
            <w:tcMar>
              <w:top w:w="0" w:type="dxa"/>
              <w:left w:w="0" w:type="dxa"/>
              <w:bottom w:w="0" w:type="dxa"/>
              <w:right w:w="0" w:type="dxa"/>
            </w:tcMar>
            <w:vAlign w:val="center"/>
          </w:tcPr>
          <w:p w14:paraId="4A100D29">
            <w:pPr>
              <w:widowControl/>
              <w:spacing w:line="240" w:lineRule="exact"/>
              <w:textAlignment w:val="center"/>
              <w:rPr>
                <w:rFonts w:hint="eastAsia" w:ascii="宋体" w:hAnsi="宋体" w:eastAsia="宋体" w:cs="宋体"/>
                <w:b w:val="0"/>
                <w:bCs w:val="0"/>
                <w:kern w:val="0"/>
                <w:sz w:val="18"/>
                <w:szCs w:val="18"/>
                <w:lang w:bidi="ar"/>
              </w:rPr>
            </w:pPr>
          </w:p>
        </w:tc>
        <w:tc>
          <w:tcPr>
            <w:tcW w:w="6027" w:type="dxa"/>
            <w:vMerge w:val="continue"/>
            <w:tcBorders>
              <w:left w:val="single" w:color="auto" w:sz="4" w:space="0"/>
              <w:right w:val="single" w:color="auto" w:sz="4" w:space="0"/>
            </w:tcBorders>
            <w:noWrap w:val="0"/>
            <w:tcMar>
              <w:top w:w="0" w:type="dxa"/>
              <w:left w:w="0" w:type="dxa"/>
              <w:bottom w:w="0" w:type="dxa"/>
              <w:right w:w="0" w:type="dxa"/>
            </w:tcMar>
            <w:vAlign w:val="center"/>
          </w:tcPr>
          <w:p w14:paraId="4A6270BE">
            <w:pPr>
              <w:widowControl/>
              <w:spacing w:line="240" w:lineRule="exact"/>
              <w:ind w:firstLine="360" w:firstLineChars="200"/>
              <w:textAlignment w:val="center"/>
              <w:rPr>
                <w:rFonts w:hint="eastAsia" w:ascii="宋体" w:hAnsi="宋体" w:eastAsia="宋体" w:cs="宋体"/>
                <w:b w:val="0"/>
                <w:bCs w:val="0"/>
                <w:kern w:val="0"/>
                <w:sz w:val="18"/>
                <w:szCs w:val="18"/>
                <w:lang w:bidi="ar"/>
              </w:rPr>
            </w:pPr>
          </w:p>
        </w:tc>
        <w:tc>
          <w:tcPr>
            <w:tcW w:w="1849" w:type="dxa"/>
            <w:vMerge w:val="continue"/>
            <w:tcBorders>
              <w:left w:val="single" w:color="auto" w:sz="4" w:space="0"/>
              <w:right w:val="single" w:color="auto" w:sz="4" w:space="0"/>
            </w:tcBorders>
            <w:noWrap w:val="0"/>
            <w:tcMar>
              <w:top w:w="0" w:type="dxa"/>
              <w:left w:w="0" w:type="dxa"/>
              <w:bottom w:w="0" w:type="dxa"/>
              <w:right w:w="0" w:type="dxa"/>
            </w:tcMar>
            <w:vAlign w:val="center"/>
          </w:tcPr>
          <w:p w14:paraId="029F24EB">
            <w:pPr>
              <w:spacing w:line="240" w:lineRule="exact"/>
              <w:jc w:val="both"/>
              <w:rPr>
                <w:rFonts w:hint="eastAsia" w:ascii="宋体" w:hAnsi="宋体" w:eastAsia="宋体" w:cs="宋体"/>
                <w:b w:val="0"/>
                <w:bCs w:val="0"/>
                <w:sz w:val="18"/>
                <w:szCs w:val="18"/>
              </w:rPr>
            </w:pPr>
          </w:p>
        </w:tc>
        <w:tc>
          <w:tcPr>
            <w:tcW w:w="51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E6A5189">
            <w:pPr>
              <w:spacing w:line="240" w:lineRule="exact"/>
              <w:jc w:val="center"/>
              <w:rPr>
                <w:rFonts w:hint="eastAsia" w:ascii="宋体" w:hAnsi="宋体" w:eastAsia="宋体" w:cs="宋体"/>
                <w:b w:val="0"/>
                <w:bCs w:val="0"/>
                <w:sz w:val="18"/>
                <w:szCs w:val="18"/>
                <w:lang w:eastAsia="zh-CN"/>
              </w:rPr>
            </w:pPr>
            <w:r>
              <w:rPr>
                <w:rFonts w:hint="eastAsia" w:ascii="宋体" w:hAnsi="宋体" w:eastAsia="宋体" w:cs="宋体"/>
                <w:b w:val="0"/>
                <w:bCs w:val="0"/>
                <w:sz w:val="18"/>
                <w:szCs w:val="18"/>
                <w:lang w:eastAsia="zh-CN"/>
              </w:rPr>
              <w:t>较重</w:t>
            </w:r>
          </w:p>
        </w:tc>
        <w:tc>
          <w:tcPr>
            <w:tcW w:w="242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EC51A64">
            <w:pPr>
              <w:spacing w:line="240" w:lineRule="exact"/>
              <w:rPr>
                <w:rFonts w:hint="eastAsia" w:ascii="宋体" w:hAnsi="宋体" w:eastAsia="宋体" w:cs="宋体"/>
                <w:b w:val="0"/>
                <w:bCs w:val="0"/>
                <w:sz w:val="18"/>
                <w:szCs w:val="18"/>
                <w:lang w:bidi="ar"/>
              </w:rPr>
            </w:pPr>
            <w:r>
              <w:rPr>
                <w:rStyle w:val="21"/>
                <w:rFonts w:hint="eastAsia" w:ascii="宋体" w:hAnsi="宋体" w:eastAsia="宋体" w:cs="宋体"/>
                <w:b w:val="0"/>
                <w:bCs w:val="0"/>
                <w:color w:val="auto"/>
                <w:sz w:val="18"/>
                <w:szCs w:val="18"/>
                <w:lang w:bidi="ar"/>
              </w:rPr>
              <w:t>立即停止生产或使用并在限期内通过验收，投资额在</w:t>
            </w:r>
            <w:r>
              <w:rPr>
                <w:rStyle w:val="21"/>
                <w:rFonts w:hint="eastAsia" w:ascii="宋体" w:hAnsi="宋体" w:eastAsia="宋体" w:cs="宋体"/>
                <w:b w:val="0"/>
                <w:bCs w:val="0"/>
                <w:color w:val="auto"/>
                <w:sz w:val="18"/>
                <w:szCs w:val="18"/>
                <w:lang w:val="en-US" w:eastAsia="zh-CN" w:bidi="ar"/>
              </w:rPr>
              <w:t>30</w:t>
            </w:r>
            <w:r>
              <w:rPr>
                <w:rStyle w:val="21"/>
                <w:rFonts w:hint="eastAsia" w:ascii="宋体" w:hAnsi="宋体" w:eastAsia="宋体" w:cs="宋体"/>
                <w:b w:val="0"/>
                <w:bCs w:val="0"/>
                <w:color w:val="auto"/>
                <w:sz w:val="18"/>
                <w:szCs w:val="18"/>
                <w:lang w:bidi="ar"/>
              </w:rPr>
              <w:t>万元以上的</w:t>
            </w:r>
          </w:p>
        </w:tc>
        <w:tc>
          <w:tcPr>
            <w:tcW w:w="1628"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B01A924">
            <w:pPr>
              <w:spacing w:line="240" w:lineRule="exact"/>
              <w:rPr>
                <w:rFonts w:hint="eastAsia" w:ascii="宋体" w:hAnsi="宋体" w:eastAsia="宋体" w:cs="宋体"/>
                <w:b w:val="0"/>
                <w:bCs w:val="0"/>
                <w:sz w:val="18"/>
                <w:szCs w:val="18"/>
                <w:lang w:bidi="ar"/>
              </w:rPr>
            </w:pPr>
            <w:r>
              <w:rPr>
                <w:rStyle w:val="21"/>
                <w:rFonts w:hint="eastAsia" w:ascii="宋体" w:hAnsi="宋体" w:eastAsia="宋体" w:cs="宋体"/>
                <w:b w:val="0"/>
                <w:bCs w:val="0"/>
                <w:color w:val="auto"/>
                <w:sz w:val="18"/>
                <w:szCs w:val="18"/>
                <w:lang w:bidi="ar"/>
              </w:rPr>
              <w:t>处</w:t>
            </w:r>
            <w:r>
              <w:rPr>
                <w:rStyle w:val="21"/>
                <w:rFonts w:hint="eastAsia" w:ascii="宋体" w:hAnsi="宋体" w:eastAsia="宋体" w:cs="宋体"/>
                <w:b w:val="0"/>
                <w:bCs w:val="0"/>
                <w:color w:val="auto"/>
                <w:sz w:val="18"/>
                <w:szCs w:val="18"/>
                <w:lang w:val="en-US" w:eastAsia="zh-CN" w:bidi="ar"/>
              </w:rPr>
              <w:t>3</w:t>
            </w:r>
            <w:r>
              <w:rPr>
                <w:rStyle w:val="21"/>
                <w:rFonts w:hint="eastAsia" w:ascii="宋体" w:hAnsi="宋体" w:eastAsia="宋体" w:cs="宋体"/>
                <w:b w:val="0"/>
                <w:bCs w:val="0"/>
                <w:color w:val="auto"/>
                <w:sz w:val="18"/>
                <w:szCs w:val="18"/>
                <w:lang w:bidi="ar"/>
              </w:rPr>
              <w:t>万元以上</w:t>
            </w:r>
            <w:r>
              <w:rPr>
                <w:rStyle w:val="21"/>
                <w:rFonts w:hint="eastAsia" w:ascii="宋体" w:hAnsi="宋体" w:eastAsia="宋体" w:cs="宋体"/>
                <w:b w:val="0"/>
                <w:bCs w:val="0"/>
                <w:color w:val="auto"/>
                <w:sz w:val="18"/>
                <w:szCs w:val="18"/>
                <w:lang w:val="en-US" w:eastAsia="zh-CN" w:bidi="ar"/>
              </w:rPr>
              <w:t>4</w:t>
            </w:r>
            <w:r>
              <w:rPr>
                <w:rStyle w:val="21"/>
                <w:rFonts w:hint="eastAsia" w:ascii="宋体" w:hAnsi="宋体" w:eastAsia="宋体" w:cs="宋体"/>
                <w:b w:val="0"/>
                <w:bCs w:val="0"/>
                <w:color w:val="auto"/>
                <w:sz w:val="18"/>
                <w:szCs w:val="18"/>
                <w:lang w:bidi="ar"/>
              </w:rPr>
              <w:t>万元以下的罚款</w:t>
            </w:r>
          </w:p>
        </w:tc>
        <w:tc>
          <w:tcPr>
            <w:tcW w:w="739" w:type="dxa"/>
            <w:vMerge w:val="continue"/>
            <w:tcBorders>
              <w:left w:val="single" w:color="auto" w:sz="4" w:space="0"/>
              <w:right w:val="single" w:color="auto" w:sz="4" w:space="0"/>
            </w:tcBorders>
            <w:noWrap w:val="0"/>
            <w:tcMar>
              <w:top w:w="0" w:type="dxa"/>
              <w:left w:w="0" w:type="dxa"/>
              <w:bottom w:w="0" w:type="dxa"/>
              <w:right w:w="0" w:type="dxa"/>
            </w:tcMar>
            <w:vAlign w:val="center"/>
          </w:tcPr>
          <w:p w14:paraId="7FDD3FF9">
            <w:pPr>
              <w:spacing w:line="240" w:lineRule="exact"/>
              <w:jc w:val="center"/>
              <w:rPr>
                <w:rStyle w:val="21"/>
                <w:rFonts w:hint="eastAsia" w:ascii="宋体" w:hAnsi="宋体" w:eastAsia="宋体" w:cs="宋体"/>
                <w:b w:val="0"/>
                <w:bCs w:val="0"/>
                <w:color w:val="auto"/>
                <w:sz w:val="18"/>
                <w:szCs w:val="18"/>
                <w:lang w:bidi="ar"/>
              </w:rPr>
            </w:pPr>
          </w:p>
        </w:tc>
      </w:tr>
      <w:tr w14:paraId="52EF24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474" w:type="dxa"/>
            <w:vMerge w:val="continue"/>
            <w:tcBorders>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200B6FD">
            <w:pPr>
              <w:spacing w:line="240" w:lineRule="exact"/>
              <w:jc w:val="center"/>
              <w:rPr>
                <w:rFonts w:hint="eastAsia" w:ascii="宋体" w:hAnsi="宋体" w:eastAsia="宋体" w:cs="宋体"/>
                <w:b w:val="0"/>
                <w:bCs w:val="0"/>
                <w:sz w:val="18"/>
                <w:szCs w:val="18"/>
              </w:rPr>
            </w:pPr>
          </w:p>
        </w:tc>
        <w:tc>
          <w:tcPr>
            <w:tcW w:w="1236" w:type="dxa"/>
            <w:vMerge w:val="continue"/>
            <w:tcBorders>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978BA0C">
            <w:pPr>
              <w:widowControl/>
              <w:spacing w:line="240" w:lineRule="exact"/>
              <w:textAlignment w:val="center"/>
              <w:rPr>
                <w:rFonts w:hint="eastAsia" w:ascii="宋体" w:hAnsi="宋体" w:eastAsia="宋体" w:cs="宋体"/>
                <w:b w:val="0"/>
                <w:bCs w:val="0"/>
                <w:kern w:val="0"/>
                <w:sz w:val="18"/>
                <w:szCs w:val="18"/>
                <w:lang w:bidi="ar"/>
              </w:rPr>
            </w:pPr>
          </w:p>
        </w:tc>
        <w:tc>
          <w:tcPr>
            <w:tcW w:w="6027" w:type="dxa"/>
            <w:vMerge w:val="continue"/>
            <w:tcBorders>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93F72C7">
            <w:pPr>
              <w:widowControl/>
              <w:spacing w:line="240" w:lineRule="exact"/>
              <w:ind w:firstLine="360" w:firstLineChars="200"/>
              <w:textAlignment w:val="center"/>
              <w:rPr>
                <w:rFonts w:hint="eastAsia" w:ascii="宋体" w:hAnsi="宋体" w:eastAsia="宋体" w:cs="宋体"/>
                <w:b w:val="0"/>
                <w:bCs w:val="0"/>
                <w:kern w:val="0"/>
                <w:sz w:val="18"/>
                <w:szCs w:val="18"/>
                <w:lang w:bidi="ar"/>
              </w:rPr>
            </w:pPr>
          </w:p>
        </w:tc>
        <w:tc>
          <w:tcPr>
            <w:tcW w:w="1849" w:type="dxa"/>
            <w:vMerge w:val="continue"/>
            <w:tcBorders>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136F8B3">
            <w:pPr>
              <w:spacing w:line="240" w:lineRule="exact"/>
              <w:jc w:val="both"/>
              <w:rPr>
                <w:rFonts w:hint="eastAsia" w:ascii="宋体" w:hAnsi="宋体" w:eastAsia="宋体" w:cs="宋体"/>
                <w:b w:val="0"/>
                <w:bCs w:val="0"/>
                <w:sz w:val="18"/>
                <w:szCs w:val="18"/>
              </w:rPr>
            </w:pPr>
          </w:p>
        </w:tc>
        <w:tc>
          <w:tcPr>
            <w:tcW w:w="51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4E7FCCD">
            <w:pPr>
              <w:spacing w:line="240" w:lineRule="exact"/>
              <w:jc w:val="center"/>
              <w:rPr>
                <w:rFonts w:hint="eastAsia" w:ascii="宋体" w:hAnsi="宋体" w:eastAsia="宋体" w:cs="宋体"/>
                <w:b w:val="0"/>
                <w:bCs w:val="0"/>
                <w:sz w:val="18"/>
                <w:szCs w:val="18"/>
              </w:rPr>
            </w:pPr>
            <w:r>
              <w:rPr>
                <w:rFonts w:hint="eastAsia" w:ascii="宋体" w:hAnsi="宋体" w:eastAsia="宋体" w:cs="宋体"/>
                <w:b w:val="0"/>
                <w:bCs w:val="0"/>
                <w:sz w:val="18"/>
                <w:szCs w:val="18"/>
              </w:rPr>
              <w:t>严重</w:t>
            </w:r>
          </w:p>
        </w:tc>
        <w:tc>
          <w:tcPr>
            <w:tcW w:w="242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360A459">
            <w:pPr>
              <w:spacing w:line="240" w:lineRule="exact"/>
              <w:rPr>
                <w:rFonts w:hint="eastAsia" w:ascii="宋体" w:hAnsi="宋体" w:eastAsia="宋体" w:cs="宋体"/>
                <w:b w:val="0"/>
                <w:bCs w:val="0"/>
                <w:sz w:val="18"/>
                <w:szCs w:val="18"/>
                <w:lang w:bidi="ar"/>
              </w:rPr>
            </w:pPr>
            <w:r>
              <w:rPr>
                <w:rStyle w:val="21"/>
                <w:rFonts w:hint="eastAsia" w:ascii="宋体" w:hAnsi="宋体" w:eastAsia="宋体" w:cs="宋体"/>
                <w:b w:val="0"/>
                <w:bCs w:val="0"/>
                <w:color w:val="auto"/>
                <w:sz w:val="18"/>
                <w:szCs w:val="18"/>
                <w:lang w:bidi="ar"/>
              </w:rPr>
              <w:t>拒不停止生产、使用或拒绝验收的</w:t>
            </w:r>
          </w:p>
        </w:tc>
        <w:tc>
          <w:tcPr>
            <w:tcW w:w="1628"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3E13AC2">
            <w:pPr>
              <w:spacing w:line="240" w:lineRule="exact"/>
              <w:rPr>
                <w:rFonts w:hint="eastAsia" w:ascii="宋体" w:hAnsi="宋体" w:eastAsia="宋体" w:cs="宋体"/>
                <w:b w:val="0"/>
                <w:bCs w:val="0"/>
                <w:sz w:val="18"/>
                <w:szCs w:val="18"/>
                <w:lang w:bidi="ar"/>
              </w:rPr>
            </w:pPr>
            <w:r>
              <w:rPr>
                <w:rStyle w:val="21"/>
                <w:rFonts w:hint="eastAsia" w:ascii="宋体" w:hAnsi="宋体" w:eastAsia="宋体" w:cs="宋体"/>
                <w:b w:val="0"/>
                <w:bCs w:val="0"/>
                <w:color w:val="auto"/>
                <w:sz w:val="18"/>
                <w:szCs w:val="18"/>
                <w:lang w:bidi="ar"/>
              </w:rPr>
              <w:t>处</w:t>
            </w:r>
            <w:r>
              <w:rPr>
                <w:rStyle w:val="21"/>
                <w:rFonts w:hint="eastAsia" w:ascii="宋体" w:hAnsi="宋体" w:eastAsia="宋体" w:cs="宋体"/>
                <w:b w:val="0"/>
                <w:bCs w:val="0"/>
                <w:color w:val="auto"/>
                <w:sz w:val="18"/>
                <w:szCs w:val="18"/>
                <w:lang w:val="en-US" w:eastAsia="zh-CN" w:bidi="ar"/>
              </w:rPr>
              <w:t>4</w:t>
            </w:r>
            <w:r>
              <w:rPr>
                <w:rStyle w:val="21"/>
                <w:rFonts w:hint="eastAsia" w:ascii="宋体" w:hAnsi="宋体" w:eastAsia="宋体" w:cs="宋体"/>
                <w:b w:val="0"/>
                <w:bCs w:val="0"/>
                <w:color w:val="auto"/>
                <w:sz w:val="18"/>
                <w:szCs w:val="18"/>
                <w:lang w:bidi="ar"/>
              </w:rPr>
              <w:t>万元以上</w:t>
            </w:r>
            <w:r>
              <w:rPr>
                <w:rStyle w:val="21"/>
                <w:rFonts w:hint="eastAsia" w:ascii="宋体" w:hAnsi="宋体" w:eastAsia="宋体" w:cs="宋体"/>
                <w:b w:val="0"/>
                <w:bCs w:val="0"/>
                <w:color w:val="auto"/>
                <w:sz w:val="18"/>
                <w:szCs w:val="18"/>
                <w:lang w:val="en-US" w:eastAsia="zh-CN" w:bidi="ar"/>
              </w:rPr>
              <w:t>5</w:t>
            </w:r>
            <w:r>
              <w:rPr>
                <w:rStyle w:val="21"/>
                <w:rFonts w:hint="eastAsia" w:ascii="宋体" w:hAnsi="宋体" w:eastAsia="宋体" w:cs="宋体"/>
                <w:b w:val="0"/>
                <w:bCs w:val="0"/>
                <w:color w:val="auto"/>
                <w:sz w:val="18"/>
                <w:szCs w:val="18"/>
                <w:lang w:bidi="ar"/>
              </w:rPr>
              <w:t>万元以下罚款</w:t>
            </w:r>
          </w:p>
        </w:tc>
        <w:tc>
          <w:tcPr>
            <w:tcW w:w="739" w:type="dxa"/>
            <w:vMerge w:val="continue"/>
            <w:tcBorders>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8C2B733">
            <w:pPr>
              <w:spacing w:line="240" w:lineRule="exact"/>
              <w:jc w:val="center"/>
              <w:rPr>
                <w:rStyle w:val="21"/>
                <w:rFonts w:hint="eastAsia" w:ascii="宋体" w:hAnsi="宋体" w:eastAsia="宋体" w:cs="宋体"/>
                <w:b w:val="0"/>
                <w:bCs w:val="0"/>
                <w:color w:val="auto"/>
                <w:sz w:val="18"/>
                <w:szCs w:val="18"/>
                <w:lang w:bidi="ar"/>
              </w:rPr>
            </w:pPr>
          </w:p>
        </w:tc>
      </w:tr>
      <w:tr w14:paraId="5FE4A7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1" w:hRule="atLeast"/>
          <w:jc w:val="center"/>
        </w:trPr>
        <w:tc>
          <w:tcPr>
            <w:tcW w:w="474" w:type="dxa"/>
            <w:tcBorders>
              <w:left w:val="single" w:color="auto" w:sz="4" w:space="0"/>
              <w:right w:val="single" w:color="auto" w:sz="4" w:space="0"/>
            </w:tcBorders>
            <w:noWrap w:val="0"/>
            <w:tcMar>
              <w:top w:w="0" w:type="dxa"/>
              <w:left w:w="0" w:type="dxa"/>
              <w:bottom w:w="0" w:type="dxa"/>
              <w:right w:w="0" w:type="dxa"/>
            </w:tcMar>
            <w:vAlign w:val="center"/>
          </w:tcPr>
          <w:p w14:paraId="5D1936A5">
            <w:pPr>
              <w:widowControl/>
              <w:spacing w:line="280" w:lineRule="exact"/>
              <w:jc w:val="center"/>
              <w:textAlignment w:val="center"/>
              <w:rPr>
                <w:rFonts w:hint="eastAsia" w:ascii="宋体" w:hAnsi="宋体" w:eastAsia="宋体" w:cs="宋体"/>
                <w:b w:val="0"/>
                <w:bCs w:val="0"/>
                <w:kern w:val="0"/>
                <w:sz w:val="18"/>
                <w:szCs w:val="18"/>
                <w:lang w:eastAsia="zh-CN" w:bidi="ar"/>
              </w:rPr>
            </w:pPr>
            <w:r>
              <w:rPr>
                <w:rFonts w:hint="eastAsia" w:ascii="宋体" w:hAnsi="宋体" w:eastAsia="宋体" w:cs="宋体"/>
                <w:b w:val="0"/>
                <w:bCs w:val="0"/>
                <w:kern w:val="0"/>
                <w:sz w:val="18"/>
                <w:szCs w:val="18"/>
                <w:lang w:bidi="ar"/>
              </w:rPr>
              <w:t>3</w:t>
            </w:r>
            <w:r>
              <w:rPr>
                <w:rFonts w:hint="eastAsia" w:ascii="宋体" w:hAnsi="宋体" w:eastAsia="宋体" w:cs="宋体"/>
                <w:b w:val="0"/>
                <w:bCs w:val="0"/>
                <w:kern w:val="0"/>
                <w:sz w:val="18"/>
                <w:szCs w:val="18"/>
                <w:lang w:val="en-US" w:eastAsia="zh-CN" w:bidi="ar"/>
              </w:rPr>
              <w:t>4</w:t>
            </w:r>
          </w:p>
        </w:tc>
        <w:tc>
          <w:tcPr>
            <w:tcW w:w="1236" w:type="dxa"/>
            <w:tcBorders>
              <w:left w:val="single" w:color="auto" w:sz="4" w:space="0"/>
              <w:right w:val="single" w:color="auto" w:sz="4" w:space="0"/>
            </w:tcBorders>
            <w:noWrap w:val="0"/>
            <w:tcMar>
              <w:top w:w="0" w:type="dxa"/>
              <w:left w:w="0" w:type="dxa"/>
              <w:bottom w:w="0" w:type="dxa"/>
              <w:right w:w="0" w:type="dxa"/>
            </w:tcMar>
            <w:vAlign w:val="center"/>
          </w:tcPr>
          <w:p w14:paraId="21ECE7B3">
            <w:pPr>
              <w:widowControl/>
              <w:spacing w:line="280" w:lineRule="exact"/>
              <w:jc w:val="both"/>
              <w:textAlignment w:val="center"/>
              <w:rPr>
                <w:rFonts w:hint="eastAsia" w:ascii="宋体" w:hAnsi="宋体" w:eastAsia="宋体" w:cs="宋体"/>
                <w:b w:val="0"/>
                <w:bCs w:val="0"/>
                <w:kern w:val="0"/>
                <w:sz w:val="18"/>
                <w:szCs w:val="18"/>
                <w:lang w:val="en-US" w:eastAsia="zh-CN" w:bidi="ar"/>
              </w:rPr>
            </w:pPr>
            <w:r>
              <w:rPr>
                <w:rFonts w:hint="eastAsia" w:ascii="宋体" w:hAnsi="宋体" w:eastAsia="宋体" w:cs="宋体"/>
                <w:b w:val="0"/>
                <w:bCs w:val="0"/>
                <w:kern w:val="0"/>
                <w:sz w:val="18"/>
                <w:szCs w:val="18"/>
                <w:lang w:bidi="ar"/>
              </w:rPr>
              <w:t>对汛期违反防汛指挥部的规定或者指令的行政处罚</w:t>
            </w:r>
          </w:p>
        </w:tc>
        <w:tc>
          <w:tcPr>
            <w:tcW w:w="6027" w:type="dxa"/>
            <w:tcBorders>
              <w:top w:val="single" w:color="auto" w:sz="4" w:space="0"/>
              <w:left w:val="single" w:color="auto" w:sz="4" w:space="0"/>
              <w:right w:val="single" w:color="auto" w:sz="4" w:space="0"/>
            </w:tcBorders>
            <w:noWrap w:val="0"/>
            <w:tcMar>
              <w:top w:w="0" w:type="dxa"/>
              <w:left w:w="0" w:type="dxa"/>
              <w:bottom w:w="0" w:type="dxa"/>
              <w:right w:w="0" w:type="dxa"/>
            </w:tcMar>
            <w:vAlign w:val="center"/>
          </w:tcPr>
          <w:p w14:paraId="4CEA24FB">
            <w:pPr>
              <w:widowControl/>
              <w:spacing w:line="280" w:lineRule="exact"/>
              <w:jc w:val="both"/>
              <w:textAlignment w:val="center"/>
              <w:rPr>
                <w:rFonts w:hint="eastAsia" w:ascii="宋体" w:hAnsi="宋体" w:eastAsia="宋体" w:cs="宋体"/>
                <w:b w:val="0"/>
                <w:bCs w:val="0"/>
                <w:kern w:val="0"/>
                <w:sz w:val="18"/>
                <w:szCs w:val="18"/>
                <w:lang w:bidi="ar"/>
              </w:rPr>
            </w:pPr>
            <w:r>
              <w:rPr>
                <w:rFonts w:hint="eastAsia" w:ascii="宋体" w:hAnsi="宋体" w:eastAsia="宋体" w:cs="宋体"/>
                <w:b w:val="0"/>
                <w:bCs w:val="0"/>
                <w:kern w:val="0"/>
                <w:sz w:val="18"/>
                <w:szCs w:val="18"/>
                <w:lang w:bidi="ar"/>
              </w:rPr>
              <w:t>《中华人民共和国河道管理条例》第四十四条 违反本条例规定，有下列行为之一的，县级以上地方人民政府河道主管机关除责令其纠正违法行为、采取补救措施外，可以并处警告、罚款、没收非法所得；对有关责任人员，由其所在单位或者上级主管机关给予行政处分；构成犯罪的，依法追究刑事责任：</w:t>
            </w:r>
          </w:p>
          <w:p w14:paraId="421DECB9">
            <w:pPr>
              <w:widowControl/>
              <w:spacing w:line="280" w:lineRule="exact"/>
              <w:jc w:val="both"/>
              <w:textAlignment w:val="center"/>
              <w:rPr>
                <w:rFonts w:hint="eastAsia" w:ascii="宋体" w:hAnsi="宋体" w:eastAsia="宋体" w:cs="宋体"/>
                <w:b w:val="0"/>
                <w:bCs w:val="0"/>
                <w:kern w:val="0"/>
                <w:sz w:val="18"/>
                <w:szCs w:val="18"/>
                <w:lang w:bidi="ar"/>
              </w:rPr>
            </w:pPr>
            <w:r>
              <w:rPr>
                <w:rFonts w:hint="eastAsia" w:ascii="宋体" w:hAnsi="宋体" w:eastAsia="宋体" w:cs="宋体"/>
                <w:b w:val="0"/>
                <w:bCs w:val="0"/>
                <w:kern w:val="0"/>
                <w:sz w:val="18"/>
                <w:szCs w:val="18"/>
                <w:lang w:bidi="ar"/>
              </w:rPr>
              <w:t>（八）汛期违反防汛指挥部的规定或者指令的。</w:t>
            </w:r>
          </w:p>
        </w:tc>
        <w:tc>
          <w:tcPr>
            <w:tcW w:w="1849" w:type="dxa"/>
            <w:tcBorders>
              <w:top w:val="single" w:color="auto" w:sz="4" w:space="0"/>
              <w:left w:val="single" w:color="auto" w:sz="4" w:space="0"/>
              <w:right w:val="single" w:color="auto" w:sz="4" w:space="0"/>
            </w:tcBorders>
            <w:noWrap w:val="0"/>
            <w:tcMar>
              <w:top w:w="0" w:type="dxa"/>
              <w:left w:w="0" w:type="dxa"/>
              <w:bottom w:w="0" w:type="dxa"/>
              <w:right w:w="0" w:type="dxa"/>
            </w:tcMar>
            <w:vAlign w:val="center"/>
          </w:tcPr>
          <w:p w14:paraId="54D7729B">
            <w:pPr>
              <w:widowControl/>
              <w:spacing w:line="280" w:lineRule="exact"/>
              <w:jc w:val="both"/>
              <w:textAlignment w:val="center"/>
              <w:rPr>
                <w:rFonts w:hint="eastAsia" w:ascii="宋体" w:hAnsi="宋体" w:eastAsia="宋体" w:cs="宋体"/>
                <w:b w:val="0"/>
                <w:bCs w:val="0"/>
                <w:kern w:val="0"/>
                <w:sz w:val="18"/>
                <w:szCs w:val="18"/>
                <w:lang w:val="en-US" w:eastAsia="zh-CN" w:bidi="ar"/>
              </w:rPr>
            </w:pPr>
            <w:r>
              <w:rPr>
                <w:rFonts w:hint="eastAsia" w:ascii="宋体" w:hAnsi="宋体" w:eastAsia="宋体" w:cs="宋体"/>
                <w:b w:val="0"/>
                <w:bCs w:val="0"/>
                <w:kern w:val="0"/>
                <w:sz w:val="18"/>
                <w:szCs w:val="18"/>
                <w:lang w:bidi="ar"/>
              </w:rPr>
              <w:t>汛期违反防汛指挥部的规定或者指令的</w:t>
            </w:r>
          </w:p>
        </w:tc>
        <w:tc>
          <w:tcPr>
            <w:tcW w:w="517" w:type="dxa"/>
            <w:tcBorders>
              <w:top w:val="single" w:color="auto" w:sz="4" w:space="0"/>
              <w:left w:val="single" w:color="auto" w:sz="4" w:space="0"/>
              <w:right w:val="single" w:color="auto" w:sz="4" w:space="0"/>
            </w:tcBorders>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7CAC1A28">
            <w:pPr>
              <w:widowControl/>
              <w:spacing w:line="280" w:lineRule="exact"/>
              <w:jc w:val="both"/>
              <w:textAlignment w:val="center"/>
              <mc:AlternateContent>
                <mc:Choice Requires="wpsCustomData">
                  <wpsCustomData:diagonalParaType/>
                </mc:Choice>
              </mc:AlternateContent>
              <w:rPr>
                <w:rFonts w:hint="eastAsia" w:ascii="宋体" w:hAnsi="宋体" w:eastAsia="宋体" w:cs="宋体"/>
                <w:b w:val="0"/>
                <w:bCs w:val="0"/>
                <w:kern w:val="0"/>
                <w:sz w:val="18"/>
                <w:szCs w:val="18"/>
                <w:lang w:bidi="ar"/>
              </w:rPr>
            </w:pPr>
          </w:p>
          <w:p w14:paraId="2B594490">
            <w:pPr>
              <w:widowControl/>
              <w:spacing w:line="280" w:lineRule="exact"/>
              <w:jc w:val="both"/>
              <w:textAlignment w:val="center"/>
              <w:rPr>
                <w:rFonts w:hint="eastAsia" w:ascii="宋体" w:hAnsi="宋体" w:eastAsia="宋体" w:cs="宋体"/>
                <w:b w:val="0"/>
                <w:bCs w:val="0"/>
                <w:kern w:val="0"/>
                <w:sz w:val="18"/>
                <w:szCs w:val="18"/>
                <w:lang w:bidi="ar"/>
              </w:rPr>
            </w:pPr>
          </w:p>
        </w:tc>
        <w:tc>
          <w:tcPr>
            <w:tcW w:w="2420" w:type="dxa"/>
            <w:tcBorders>
              <w:top w:val="single" w:color="auto" w:sz="4" w:space="0"/>
              <w:left w:val="single" w:color="auto" w:sz="4" w:space="0"/>
              <w:right w:val="single" w:color="auto" w:sz="4" w:space="0"/>
            </w:tcBorders>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6CEC2DE1">
            <w:pPr>
              <w:widowControl/>
              <w:spacing w:line="280" w:lineRule="exact"/>
              <w:jc w:val="both"/>
              <w:textAlignment w:val="center"/>
              <mc:AlternateContent>
                <mc:Choice Requires="wpsCustomData">
                  <wpsCustomData:diagonalParaType/>
                </mc:Choice>
              </mc:AlternateContent>
              <w:rPr>
                <w:rFonts w:hint="eastAsia" w:ascii="宋体" w:hAnsi="宋体" w:eastAsia="宋体" w:cs="宋体"/>
                <w:b w:val="0"/>
                <w:bCs w:val="0"/>
                <w:kern w:val="0"/>
                <w:sz w:val="18"/>
                <w:szCs w:val="18"/>
                <w:lang w:bidi="ar"/>
              </w:rPr>
            </w:pPr>
          </w:p>
          <w:p w14:paraId="3DD10E2E">
            <w:pPr>
              <w:widowControl/>
              <w:spacing w:line="280" w:lineRule="exact"/>
              <w:jc w:val="both"/>
              <w:textAlignment w:val="center"/>
              <w:rPr>
                <w:rFonts w:hint="eastAsia" w:ascii="宋体" w:hAnsi="宋体" w:eastAsia="宋体" w:cs="宋体"/>
                <w:b w:val="0"/>
                <w:bCs w:val="0"/>
                <w:kern w:val="0"/>
                <w:sz w:val="18"/>
                <w:szCs w:val="18"/>
                <w:lang w:bidi="ar"/>
              </w:rPr>
            </w:pPr>
          </w:p>
        </w:tc>
        <w:tc>
          <w:tcPr>
            <w:tcW w:w="1628"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9851576">
            <w:pPr>
              <w:widowControl/>
              <w:spacing w:line="280" w:lineRule="exact"/>
              <w:jc w:val="both"/>
              <w:textAlignment w:val="center"/>
              <w:rPr>
                <w:rFonts w:hint="eastAsia" w:ascii="宋体" w:hAnsi="宋体" w:eastAsia="宋体" w:cs="宋体"/>
                <w:b w:val="0"/>
                <w:bCs w:val="0"/>
                <w:kern w:val="0"/>
                <w:sz w:val="18"/>
                <w:szCs w:val="18"/>
                <w:lang w:bidi="ar"/>
              </w:rPr>
            </w:pPr>
            <w:r>
              <w:rPr>
                <w:rFonts w:hint="eastAsia" w:ascii="宋体" w:hAnsi="宋体" w:eastAsia="宋体" w:cs="宋体"/>
                <w:b w:val="0"/>
                <w:bCs w:val="0"/>
                <w:kern w:val="0"/>
                <w:sz w:val="18"/>
                <w:szCs w:val="18"/>
                <w:lang w:bidi="ar"/>
              </w:rPr>
              <w:t>可以并处警告、罚款、没收非法所得</w:t>
            </w:r>
          </w:p>
        </w:tc>
        <w:tc>
          <w:tcPr>
            <w:tcW w:w="739" w:type="dxa"/>
            <w:tcBorders>
              <w:top w:val="single" w:color="auto" w:sz="4" w:space="0"/>
              <w:left w:val="single" w:color="auto" w:sz="4" w:space="0"/>
              <w:right w:val="single" w:color="auto" w:sz="4" w:space="0"/>
            </w:tcBorders>
            <w:noWrap w:val="0"/>
            <w:tcMar>
              <w:top w:w="0" w:type="dxa"/>
              <w:left w:w="0" w:type="dxa"/>
              <w:bottom w:w="0" w:type="dxa"/>
              <w:right w:w="0" w:type="dxa"/>
            </w:tcMar>
            <w:vAlign w:val="center"/>
          </w:tcPr>
          <w:p w14:paraId="47D72200">
            <w:pPr>
              <w:spacing w:line="240" w:lineRule="exact"/>
              <w:jc w:val="center"/>
              <w:rPr>
                <w:rStyle w:val="21"/>
                <w:rFonts w:hint="eastAsia" w:ascii="宋体" w:hAnsi="宋体" w:eastAsia="宋体" w:cs="宋体"/>
                <w:b w:val="0"/>
                <w:bCs w:val="0"/>
                <w:color w:val="auto"/>
                <w:sz w:val="18"/>
                <w:szCs w:val="18"/>
                <w:lang w:bidi="ar"/>
              </w:rPr>
            </w:pPr>
          </w:p>
        </w:tc>
      </w:tr>
      <w:tr w14:paraId="4BA6A4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74" w:type="dxa"/>
            <w:vMerge w:val="restart"/>
            <w:tcBorders>
              <w:left w:val="single" w:color="auto" w:sz="4" w:space="0"/>
              <w:right w:val="single" w:color="auto" w:sz="4" w:space="0"/>
            </w:tcBorders>
            <w:noWrap w:val="0"/>
            <w:tcMar>
              <w:top w:w="0" w:type="dxa"/>
              <w:left w:w="0" w:type="dxa"/>
              <w:bottom w:w="0" w:type="dxa"/>
              <w:right w:w="0" w:type="dxa"/>
            </w:tcMar>
            <w:vAlign w:val="center"/>
          </w:tcPr>
          <w:p w14:paraId="2720AD33">
            <w:pPr>
              <w:widowControl/>
              <w:spacing w:line="240" w:lineRule="exact"/>
              <w:jc w:val="center"/>
              <w:textAlignment w:val="center"/>
              <w:rPr>
                <w:rFonts w:hint="eastAsia" w:ascii="宋体" w:hAnsi="宋体" w:eastAsia="宋体" w:cs="宋体"/>
                <w:b w:val="0"/>
                <w:bCs w:val="0"/>
                <w:sz w:val="18"/>
                <w:szCs w:val="18"/>
                <w:lang w:val="en-US" w:eastAsia="zh-CN"/>
              </w:rPr>
            </w:pPr>
            <w:r>
              <w:rPr>
                <w:rFonts w:hint="eastAsia" w:ascii="宋体" w:hAnsi="宋体" w:eastAsia="宋体" w:cs="宋体"/>
                <w:b w:val="0"/>
                <w:bCs w:val="0"/>
                <w:sz w:val="18"/>
                <w:szCs w:val="18"/>
                <w:lang w:val="en-US" w:eastAsia="zh-CN"/>
              </w:rPr>
              <w:t>35</w:t>
            </w:r>
          </w:p>
        </w:tc>
        <w:tc>
          <w:tcPr>
            <w:tcW w:w="1236" w:type="dxa"/>
            <w:vMerge w:val="restart"/>
            <w:tcBorders>
              <w:left w:val="single" w:color="auto" w:sz="4" w:space="0"/>
              <w:right w:val="single" w:color="auto" w:sz="4" w:space="0"/>
            </w:tcBorders>
            <w:noWrap w:val="0"/>
            <w:tcMar>
              <w:top w:w="0" w:type="dxa"/>
              <w:left w:w="0" w:type="dxa"/>
              <w:bottom w:w="0" w:type="dxa"/>
              <w:right w:w="0" w:type="dxa"/>
            </w:tcMar>
            <w:vAlign w:val="center"/>
          </w:tcPr>
          <w:p w14:paraId="3792FD8F">
            <w:pPr>
              <w:widowControl/>
              <w:spacing w:line="240" w:lineRule="exact"/>
              <w:jc w:val="both"/>
              <w:textAlignment w:val="center"/>
              <w:rPr>
                <w:rFonts w:hint="eastAsia" w:ascii="宋体" w:hAnsi="宋体" w:eastAsia="宋体" w:cs="宋体"/>
                <w:b w:val="0"/>
                <w:bCs w:val="0"/>
                <w:kern w:val="0"/>
                <w:sz w:val="18"/>
                <w:szCs w:val="18"/>
                <w:lang w:bidi="ar"/>
              </w:rPr>
            </w:pPr>
            <w:r>
              <w:rPr>
                <w:rFonts w:hint="eastAsia" w:ascii="宋体" w:hAnsi="宋体" w:eastAsia="宋体" w:cs="宋体"/>
                <w:b w:val="0"/>
                <w:bCs w:val="0"/>
                <w:kern w:val="0"/>
                <w:sz w:val="18"/>
                <w:szCs w:val="18"/>
                <w:lang w:bidi="ar"/>
              </w:rPr>
              <w:t>对擅自砍伐护堤护岸林木行为的行政处罚</w:t>
            </w:r>
          </w:p>
        </w:tc>
        <w:tc>
          <w:tcPr>
            <w:tcW w:w="6027" w:type="dxa"/>
            <w:vMerge w:val="restart"/>
            <w:tcBorders>
              <w:top w:val="single" w:color="auto" w:sz="4" w:space="0"/>
              <w:left w:val="single" w:color="auto" w:sz="4" w:space="0"/>
              <w:right w:val="single" w:color="auto" w:sz="4" w:space="0"/>
            </w:tcBorders>
            <w:noWrap w:val="0"/>
            <w:tcMar>
              <w:top w:w="0" w:type="dxa"/>
              <w:left w:w="0" w:type="dxa"/>
              <w:bottom w:w="0" w:type="dxa"/>
              <w:right w:w="0" w:type="dxa"/>
            </w:tcMar>
            <w:vAlign w:val="center"/>
          </w:tcPr>
          <w:p w14:paraId="1210AE9F">
            <w:pPr>
              <w:widowControl/>
              <w:spacing w:line="240" w:lineRule="exact"/>
              <w:textAlignment w:val="center"/>
              <w:rPr>
                <w:rFonts w:hint="eastAsia" w:ascii="宋体" w:hAnsi="宋体" w:eastAsia="宋体" w:cs="宋体"/>
                <w:b w:val="0"/>
                <w:bCs w:val="0"/>
                <w:kern w:val="0"/>
                <w:sz w:val="18"/>
                <w:szCs w:val="18"/>
                <w:lang w:bidi="ar"/>
              </w:rPr>
            </w:pPr>
            <w:r>
              <w:rPr>
                <w:rFonts w:hint="eastAsia" w:ascii="宋体" w:hAnsi="宋体" w:eastAsia="宋体" w:cs="宋体"/>
                <w:b w:val="0"/>
                <w:bCs w:val="0"/>
                <w:kern w:val="0"/>
                <w:sz w:val="18"/>
                <w:szCs w:val="18"/>
                <w:lang w:bidi="ar"/>
              </w:rPr>
              <w:t>《中华人民共和国河道管理条例》第四十四条 违反本条例规定，有下列行为之一的，县级以上地方人民政府河道主管机关除责令其纠正违法行为、采取补救措施外，可以并处警告、罚款、没收非法所得；对有关责任人员，由其所在单位或者上级主管机关给予行政处分；构成犯罪的，依法追究刑事责任：</w:t>
            </w:r>
          </w:p>
          <w:p w14:paraId="2D3F608E">
            <w:pPr>
              <w:widowControl/>
              <w:spacing w:line="240" w:lineRule="exact"/>
              <w:textAlignment w:val="center"/>
              <w:rPr>
                <w:rFonts w:hint="eastAsia" w:ascii="宋体" w:hAnsi="宋体" w:eastAsia="宋体" w:cs="宋体"/>
                <w:b w:val="0"/>
                <w:bCs w:val="0"/>
                <w:kern w:val="0"/>
                <w:sz w:val="18"/>
                <w:szCs w:val="18"/>
                <w:lang w:bidi="ar"/>
              </w:rPr>
            </w:pPr>
            <w:r>
              <w:rPr>
                <w:rFonts w:hint="eastAsia" w:ascii="宋体" w:hAnsi="宋体" w:eastAsia="宋体" w:cs="宋体"/>
                <w:b w:val="0"/>
                <w:bCs w:val="0"/>
                <w:kern w:val="0"/>
                <w:sz w:val="18"/>
                <w:szCs w:val="18"/>
                <w:lang w:bidi="ar"/>
              </w:rPr>
              <w:t>（七）擅自砍伐护堤护岸林木的。</w:t>
            </w:r>
          </w:p>
        </w:tc>
        <w:tc>
          <w:tcPr>
            <w:tcW w:w="1849" w:type="dxa"/>
            <w:vMerge w:val="restart"/>
            <w:tcBorders>
              <w:top w:val="single" w:color="auto" w:sz="4" w:space="0"/>
              <w:left w:val="single" w:color="auto" w:sz="4" w:space="0"/>
              <w:right w:val="single" w:color="auto" w:sz="4" w:space="0"/>
            </w:tcBorders>
            <w:noWrap w:val="0"/>
            <w:tcMar>
              <w:top w:w="0" w:type="dxa"/>
              <w:left w:w="0" w:type="dxa"/>
              <w:bottom w:w="0" w:type="dxa"/>
              <w:right w:w="0" w:type="dxa"/>
            </w:tcMar>
            <w:vAlign w:val="center"/>
          </w:tcPr>
          <w:p w14:paraId="7BEA150B">
            <w:pPr>
              <w:spacing w:line="240" w:lineRule="exact"/>
              <w:jc w:val="both"/>
              <w:rPr>
                <w:rFonts w:hint="eastAsia" w:ascii="宋体" w:hAnsi="宋体" w:eastAsia="宋体" w:cs="宋体"/>
                <w:b w:val="0"/>
                <w:bCs w:val="0"/>
                <w:sz w:val="18"/>
                <w:szCs w:val="18"/>
              </w:rPr>
            </w:pPr>
            <w:r>
              <w:rPr>
                <w:rFonts w:hint="eastAsia" w:ascii="宋体" w:hAnsi="宋体" w:eastAsia="宋体" w:cs="宋体"/>
                <w:b w:val="0"/>
                <w:bCs w:val="0"/>
                <w:kern w:val="0"/>
                <w:sz w:val="18"/>
                <w:szCs w:val="18"/>
                <w:lang w:bidi="ar"/>
              </w:rPr>
              <w:t>擅自砍伐护堤护岸林木的</w:t>
            </w:r>
          </w:p>
        </w:tc>
        <w:tc>
          <w:tcPr>
            <w:tcW w:w="51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448A5B3">
            <w:pPr>
              <w:spacing w:line="240" w:lineRule="exact"/>
              <w:jc w:val="center"/>
              <w:rPr>
                <w:rFonts w:hint="eastAsia" w:ascii="宋体" w:hAnsi="宋体" w:eastAsia="宋体" w:cs="宋体"/>
                <w:b w:val="0"/>
                <w:bCs w:val="0"/>
                <w:sz w:val="18"/>
                <w:szCs w:val="18"/>
              </w:rPr>
            </w:pPr>
            <w:r>
              <w:rPr>
                <w:rFonts w:hint="eastAsia" w:ascii="宋体" w:hAnsi="宋体" w:eastAsia="宋体" w:cs="宋体"/>
                <w:b w:val="0"/>
                <w:bCs w:val="0"/>
                <w:sz w:val="18"/>
                <w:szCs w:val="18"/>
              </w:rPr>
              <w:t>轻微</w:t>
            </w:r>
          </w:p>
        </w:tc>
        <w:tc>
          <w:tcPr>
            <w:tcW w:w="242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16A0B391">
            <w:pPr>
              <w:snapToGrid w:val="0"/>
              <w:spacing w:line="240" w:lineRule="exact"/>
              <mc:AlternateContent>
                <mc:Choice Requires="wpsCustomData">
                  <wpsCustomData:diagonalParaType/>
                </mc:Choice>
              </mc:AlternateContent>
              <w:rPr>
                <w:rStyle w:val="21"/>
                <w:rFonts w:hint="eastAsia" w:ascii="宋体" w:hAnsi="宋体" w:eastAsia="宋体" w:cs="宋体"/>
                <w:b w:val="0"/>
                <w:bCs w:val="0"/>
                <w:color w:val="auto"/>
                <w:sz w:val="18"/>
                <w:szCs w:val="18"/>
                <w:lang w:bidi="ar"/>
              </w:rPr>
            </w:pPr>
          </w:p>
          <w:p w14:paraId="4B7513D1">
            <w:pPr>
              <w:spacing w:line="240" w:lineRule="exact"/>
              <w:rPr>
                <w:rStyle w:val="21"/>
                <w:rFonts w:hint="eastAsia" w:ascii="宋体" w:hAnsi="宋体" w:eastAsia="宋体" w:cs="宋体"/>
                <w:b w:val="0"/>
                <w:bCs w:val="0"/>
                <w:color w:val="auto"/>
                <w:sz w:val="18"/>
                <w:szCs w:val="18"/>
                <w:lang w:bidi="ar"/>
              </w:rPr>
            </w:pPr>
          </w:p>
        </w:tc>
        <w:tc>
          <w:tcPr>
            <w:tcW w:w="1628"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3C98375A">
            <w:pPr>
              <w:snapToGrid w:val="0"/>
              <w:spacing w:line="240" w:lineRule="exact"/>
              <mc:AlternateContent>
                <mc:Choice Requires="wpsCustomData">
                  <wpsCustomData:diagonalParaType/>
                </mc:Choice>
              </mc:AlternateContent>
              <w:rPr>
                <w:rStyle w:val="21"/>
                <w:rFonts w:hint="eastAsia" w:ascii="宋体" w:hAnsi="宋体" w:eastAsia="宋体" w:cs="宋体"/>
                <w:b w:val="0"/>
                <w:bCs w:val="0"/>
                <w:color w:val="auto"/>
                <w:sz w:val="18"/>
                <w:szCs w:val="18"/>
                <w:lang w:bidi="ar"/>
              </w:rPr>
            </w:pPr>
          </w:p>
          <w:p w14:paraId="412E7625">
            <w:pPr>
              <w:spacing w:line="240" w:lineRule="exact"/>
              <w:rPr>
                <w:rStyle w:val="21"/>
                <w:rFonts w:hint="eastAsia" w:ascii="宋体" w:hAnsi="宋体" w:eastAsia="宋体" w:cs="宋体"/>
                <w:b w:val="0"/>
                <w:bCs w:val="0"/>
                <w:color w:val="auto"/>
                <w:sz w:val="18"/>
                <w:szCs w:val="18"/>
                <w:lang w:bidi="ar"/>
              </w:rPr>
            </w:pPr>
          </w:p>
        </w:tc>
        <w:tc>
          <w:tcPr>
            <w:tcW w:w="739" w:type="dxa"/>
            <w:vMerge w:val="restart"/>
            <w:tcBorders>
              <w:top w:val="single" w:color="auto" w:sz="4" w:space="0"/>
              <w:left w:val="single" w:color="auto" w:sz="4" w:space="0"/>
              <w:right w:val="single" w:color="auto" w:sz="4" w:space="0"/>
            </w:tcBorders>
            <w:noWrap w:val="0"/>
            <w:tcMar>
              <w:top w:w="0" w:type="dxa"/>
              <w:left w:w="0" w:type="dxa"/>
              <w:bottom w:w="0" w:type="dxa"/>
              <w:right w:w="0" w:type="dxa"/>
            </w:tcMar>
            <w:vAlign w:val="center"/>
          </w:tcPr>
          <w:p w14:paraId="44F8065D">
            <w:pPr>
              <w:pStyle w:val="2"/>
              <w:spacing w:line="240" w:lineRule="exact"/>
              <w:jc w:val="center"/>
              <w:rPr>
                <w:rFonts w:hint="eastAsia" w:ascii="宋体" w:hAnsi="宋体" w:eastAsia="宋体" w:cs="宋体"/>
                <w:b w:val="0"/>
                <w:bCs w:val="0"/>
                <w:sz w:val="18"/>
                <w:szCs w:val="18"/>
                <w:lang w:val="en-US" w:eastAsia="zh-CN" w:bidi="ar"/>
              </w:rPr>
            </w:pPr>
          </w:p>
        </w:tc>
      </w:tr>
      <w:tr w14:paraId="7C10EC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74" w:type="dxa"/>
            <w:vMerge w:val="continue"/>
            <w:tcBorders>
              <w:left w:val="single" w:color="auto" w:sz="4" w:space="0"/>
              <w:right w:val="single" w:color="auto" w:sz="4" w:space="0"/>
            </w:tcBorders>
            <w:noWrap w:val="0"/>
            <w:tcMar>
              <w:top w:w="0" w:type="dxa"/>
              <w:left w:w="0" w:type="dxa"/>
              <w:bottom w:w="0" w:type="dxa"/>
              <w:right w:w="0" w:type="dxa"/>
            </w:tcMar>
            <w:vAlign w:val="center"/>
          </w:tcPr>
          <w:p w14:paraId="548DB65D">
            <w:pPr>
              <w:spacing w:line="240" w:lineRule="exact"/>
              <w:jc w:val="center"/>
              <w:rPr>
                <w:rFonts w:hint="eastAsia" w:ascii="宋体" w:hAnsi="宋体" w:eastAsia="宋体" w:cs="宋体"/>
                <w:b w:val="0"/>
                <w:bCs w:val="0"/>
                <w:sz w:val="18"/>
                <w:szCs w:val="18"/>
              </w:rPr>
            </w:pPr>
          </w:p>
        </w:tc>
        <w:tc>
          <w:tcPr>
            <w:tcW w:w="1236" w:type="dxa"/>
            <w:vMerge w:val="continue"/>
            <w:tcBorders>
              <w:left w:val="single" w:color="auto" w:sz="4" w:space="0"/>
              <w:right w:val="single" w:color="auto" w:sz="4" w:space="0"/>
            </w:tcBorders>
            <w:noWrap w:val="0"/>
            <w:tcMar>
              <w:top w:w="0" w:type="dxa"/>
              <w:left w:w="0" w:type="dxa"/>
              <w:bottom w:w="0" w:type="dxa"/>
              <w:right w:w="0" w:type="dxa"/>
            </w:tcMar>
            <w:vAlign w:val="center"/>
          </w:tcPr>
          <w:p w14:paraId="0A42E75A">
            <w:pPr>
              <w:widowControl/>
              <w:spacing w:line="240" w:lineRule="exact"/>
              <w:textAlignment w:val="center"/>
              <w:rPr>
                <w:rFonts w:hint="eastAsia" w:ascii="宋体" w:hAnsi="宋体" w:eastAsia="宋体" w:cs="宋体"/>
                <w:b w:val="0"/>
                <w:bCs w:val="0"/>
                <w:kern w:val="0"/>
                <w:sz w:val="18"/>
                <w:szCs w:val="18"/>
                <w:lang w:bidi="ar"/>
              </w:rPr>
            </w:pPr>
          </w:p>
        </w:tc>
        <w:tc>
          <w:tcPr>
            <w:tcW w:w="6027" w:type="dxa"/>
            <w:vMerge w:val="continue"/>
            <w:tcBorders>
              <w:left w:val="single" w:color="auto" w:sz="4" w:space="0"/>
              <w:right w:val="single" w:color="auto" w:sz="4" w:space="0"/>
            </w:tcBorders>
            <w:noWrap w:val="0"/>
            <w:tcMar>
              <w:top w:w="0" w:type="dxa"/>
              <w:left w:w="0" w:type="dxa"/>
              <w:bottom w:w="0" w:type="dxa"/>
              <w:right w:w="0" w:type="dxa"/>
            </w:tcMar>
            <w:vAlign w:val="center"/>
          </w:tcPr>
          <w:p w14:paraId="748BB5B2">
            <w:pPr>
              <w:widowControl/>
              <w:spacing w:line="240" w:lineRule="exact"/>
              <w:ind w:firstLine="360" w:firstLineChars="200"/>
              <w:textAlignment w:val="center"/>
              <w:rPr>
                <w:rFonts w:hint="eastAsia" w:ascii="宋体" w:hAnsi="宋体" w:eastAsia="宋体" w:cs="宋体"/>
                <w:b w:val="0"/>
                <w:bCs w:val="0"/>
                <w:kern w:val="0"/>
                <w:sz w:val="18"/>
                <w:szCs w:val="18"/>
                <w:lang w:bidi="ar"/>
              </w:rPr>
            </w:pPr>
          </w:p>
        </w:tc>
        <w:tc>
          <w:tcPr>
            <w:tcW w:w="1849" w:type="dxa"/>
            <w:vMerge w:val="continue"/>
            <w:tcBorders>
              <w:left w:val="single" w:color="auto" w:sz="4" w:space="0"/>
              <w:right w:val="single" w:color="auto" w:sz="4" w:space="0"/>
            </w:tcBorders>
            <w:noWrap w:val="0"/>
            <w:tcMar>
              <w:top w:w="0" w:type="dxa"/>
              <w:left w:w="0" w:type="dxa"/>
              <w:bottom w:w="0" w:type="dxa"/>
              <w:right w:w="0" w:type="dxa"/>
            </w:tcMar>
            <w:vAlign w:val="center"/>
          </w:tcPr>
          <w:p w14:paraId="54BB2C5F">
            <w:pPr>
              <w:spacing w:line="240" w:lineRule="exact"/>
              <w:jc w:val="both"/>
              <w:rPr>
                <w:rFonts w:hint="eastAsia" w:ascii="宋体" w:hAnsi="宋体" w:eastAsia="宋体" w:cs="宋体"/>
                <w:b w:val="0"/>
                <w:bCs w:val="0"/>
                <w:sz w:val="18"/>
                <w:szCs w:val="18"/>
              </w:rPr>
            </w:pPr>
          </w:p>
        </w:tc>
        <w:tc>
          <w:tcPr>
            <w:tcW w:w="51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E6DE1B1">
            <w:pPr>
              <w:spacing w:line="240" w:lineRule="exact"/>
              <w:jc w:val="center"/>
              <w:rPr>
                <w:rFonts w:hint="eastAsia" w:ascii="宋体" w:hAnsi="宋体" w:eastAsia="宋体" w:cs="宋体"/>
                <w:b w:val="0"/>
                <w:bCs w:val="0"/>
                <w:sz w:val="18"/>
                <w:szCs w:val="18"/>
              </w:rPr>
            </w:pPr>
            <w:r>
              <w:rPr>
                <w:rFonts w:hint="eastAsia" w:ascii="宋体" w:hAnsi="宋体" w:eastAsia="宋体" w:cs="宋体"/>
                <w:b w:val="0"/>
                <w:bCs w:val="0"/>
                <w:sz w:val="18"/>
                <w:szCs w:val="18"/>
              </w:rPr>
              <w:t>较轻</w:t>
            </w:r>
          </w:p>
        </w:tc>
        <w:tc>
          <w:tcPr>
            <w:tcW w:w="242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10F3246A">
            <w:pPr>
              <w:snapToGrid w:val="0"/>
              <w:spacing w:line="240" w:lineRule="exact"/>
              <mc:AlternateContent>
                <mc:Choice Requires="wpsCustomData">
                  <wpsCustomData:diagonalParaType/>
                </mc:Choice>
              </mc:AlternateContent>
              <w:rPr>
                <w:rStyle w:val="21"/>
                <w:rFonts w:hint="eastAsia" w:ascii="宋体" w:hAnsi="宋体" w:eastAsia="宋体" w:cs="宋体"/>
                <w:b w:val="0"/>
                <w:bCs w:val="0"/>
                <w:color w:val="auto"/>
                <w:sz w:val="18"/>
                <w:szCs w:val="18"/>
                <w:lang w:bidi="ar"/>
              </w:rPr>
            </w:pPr>
          </w:p>
          <w:p w14:paraId="516610BF">
            <w:pPr>
              <w:spacing w:line="240" w:lineRule="exact"/>
              <w:rPr>
                <w:rStyle w:val="21"/>
                <w:rFonts w:hint="eastAsia" w:ascii="宋体" w:hAnsi="宋体" w:eastAsia="宋体" w:cs="宋体"/>
                <w:b w:val="0"/>
                <w:bCs w:val="0"/>
                <w:color w:val="auto"/>
                <w:sz w:val="18"/>
                <w:szCs w:val="18"/>
                <w:lang w:bidi="ar"/>
              </w:rPr>
            </w:pPr>
          </w:p>
        </w:tc>
        <w:tc>
          <w:tcPr>
            <w:tcW w:w="1628"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3E171488">
            <w:pPr>
              <w:snapToGrid w:val="0"/>
              <w:spacing w:line="240" w:lineRule="exact"/>
              <mc:AlternateContent>
                <mc:Choice Requires="wpsCustomData">
                  <wpsCustomData:diagonalParaType/>
                </mc:Choice>
              </mc:AlternateContent>
              <w:rPr>
                <w:rStyle w:val="21"/>
                <w:rFonts w:hint="eastAsia" w:ascii="宋体" w:hAnsi="宋体" w:eastAsia="宋体" w:cs="宋体"/>
                <w:b w:val="0"/>
                <w:bCs w:val="0"/>
                <w:color w:val="auto"/>
                <w:sz w:val="18"/>
                <w:szCs w:val="18"/>
                <w:lang w:bidi="ar"/>
              </w:rPr>
            </w:pPr>
          </w:p>
          <w:p w14:paraId="5EB2CDBB">
            <w:pPr>
              <w:spacing w:line="240" w:lineRule="exact"/>
              <w:rPr>
                <w:rStyle w:val="21"/>
                <w:rFonts w:hint="eastAsia" w:ascii="宋体" w:hAnsi="宋体" w:eastAsia="宋体" w:cs="宋体"/>
                <w:b w:val="0"/>
                <w:bCs w:val="0"/>
                <w:color w:val="auto"/>
                <w:sz w:val="18"/>
                <w:szCs w:val="18"/>
                <w:lang w:bidi="ar"/>
              </w:rPr>
            </w:pPr>
          </w:p>
        </w:tc>
        <w:tc>
          <w:tcPr>
            <w:tcW w:w="739" w:type="dxa"/>
            <w:vMerge w:val="continue"/>
            <w:tcBorders>
              <w:left w:val="single" w:color="auto" w:sz="4" w:space="0"/>
              <w:right w:val="single" w:color="auto" w:sz="4" w:space="0"/>
            </w:tcBorders>
            <w:noWrap w:val="0"/>
            <w:tcMar>
              <w:top w:w="0" w:type="dxa"/>
              <w:left w:w="0" w:type="dxa"/>
              <w:bottom w:w="0" w:type="dxa"/>
              <w:right w:w="0" w:type="dxa"/>
            </w:tcMar>
            <w:vAlign w:val="center"/>
          </w:tcPr>
          <w:p w14:paraId="17F894A2">
            <w:pPr>
              <w:spacing w:line="240" w:lineRule="exact"/>
              <w:jc w:val="center"/>
              <w:rPr>
                <w:rStyle w:val="21"/>
                <w:rFonts w:hint="eastAsia" w:ascii="宋体" w:hAnsi="宋体" w:eastAsia="宋体" w:cs="宋体"/>
                <w:b w:val="0"/>
                <w:bCs w:val="0"/>
                <w:color w:val="auto"/>
                <w:sz w:val="18"/>
                <w:szCs w:val="18"/>
                <w:lang w:bidi="ar"/>
              </w:rPr>
            </w:pPr>
          </w:p>
        </w:tc>
      </w:tr>
      <w:tr w14:paraId="3BABA0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14" w:hRule="atLeast"/>
          <w:jc w:val="center"/>
        </w:trPr>
        <w:tc>
          <w:tcPr>
            <w:tcW w:w="474" w:type="dxa"/>
            <w:vMerge w:val="continue"/>
            <w:tcBorders>
              <w:left w:val="single" w:color="auto" w:sz="4" w:space="0"/>
              <w:right w:val="single" w:color="auto" w:sz="4" w:space="0"/>
            </w:tcBorders>
            <w:noWrap w:val="0"/>
            <w:tcMar>
              <w:top w:w="0" w:type="dxa"/>
              <w:left w:w="0" w:type="dxa"/>
              <w:bottom w:w="0" w:type="dxa"/>
              <w:right w:w="0" w:type="dxa"/>
            </w:tcMar>
            <w:vAlign w:val="center"/>
          </w:tcPr>
          <w:p w14:paraId="517CAACE">
            <w:pPr>
              <w:spacing w:line="240" w:lineRule="exact"/>
              <w:jc w:val="center"/>
              <w:rPr>
                <w:rFonts w:hint="eastAsia" w:ascii="宋体" w:hAnsi="宋体" w:eastAsia="宋体" w:cs="宋体"/>
                <w:b w:val="0"/>
                <w:bCs w:val="0"/>
                <w:sz w:val="18"/>
                <w:szCs w:val="18"/>
              </w:rPr>
            </w:pPr>
          </w:p>
        </w:tc>
        <w:tc>
          <w:tcPr>
            <w:tcW w:w="1236" w:type="dxa"/>
            <w:vMerge w:val="continue"/>
            <w:tcBorders>
              <w:left w:val="single" w:color="auto" w:sz="4" w:space="0"/>
              <w:right w:val="single" w:color="auto" w:sz="4" w:space="0"/>
            </w:tcBorders>
            <w:noWrap w:val="0"/>
            <w:tcMar>
              <w:top w:w="0" w:type="dxa"/>
              <w:left w:w="0" w:type="dxa"/>
              <w:bottom w:w="0" w:type="dxa"/>
              <w:right w:w="0" w:type="dxa"/>
            </w:tcMar>
            <w:vAlign w:val="center"/>
          </w:tcPr>
          <w:p w14:paraId="5C0112E5">
            <w:pPr>
              <w:widowControl/>
              <w:spacing w:line="240" w:lineRule="exact"/>
              <w:textAlignment w:val="center"/>
              <w:rPr>
                <w:rFonts w:hint="eastAsia" w:ascii="宋体" w:hAnsi="宋体" w:eastAsia="宋体" w:cs="宋体"/>
                <w:b w:val="0"/>
                <w:bCs w:val="0"/>
                <w:kern w:val="0"/>
                <w:sz w:val="18"/>
                <w:szCs w:val="18"/>
                <w:lang w:bidi="ar"/>
              </w:rPr>
            </w:pPr>
          </w:p>
        </w:tc>
        <w:tc>
          <w:tcPr>
            <w:tcW w:w="6027" w:type="dxa"/>
            <w:vMerge w:val="continue"/>
            <w:tcBorders>
              <w:left w:val="single" w:color="auto" w:sz="4" w:space="0"/>
              <w:right w:val="single" w:color="auto" w:sz="4" w:space="0"/>
            </w:tcBorders>
            <w:noWrap w:val="0"/>
            <w:tcMar>
              <w:top w:w="0" w:type="dxa"/>
              <w:left w:w="0" w:type="dxa"/>
              <w:bottom w:w="0" w:type="dxa"/>
              <w:right w:w="0" w:type="dxa"/>
            </w:tcMar>
            <w:vAlign w:val="center"/>
          </w:tcPr>
          <w:p w14:paraId="1ACBB7A0">
            <w:pPr>
              <w:widowControl/>
              <w:spacing w:line="240" w:lineRule="exact"/>
              <w:ind w:firstLine="360" w:firstLineChars="200"/>
              <w:textAlignment w:val="center"/>
              <w:rPr>
                <w:rFonts w:hint="eastAsia" w:ascii="宋体" w:hAnsi="宋体" w:eastAsia="宋体" w:cs="宋体"/>
                <w:b w:val="0"/>
                <w:bCs w:val="0"/>
                <w:kern w:val="0"/>
                <w:sz w:val="18"/>
                <w:szCs w:val="18"/>
                <w:lang w:bidi="ar"/>
              </w:rPr>
            </w:pPr>
          </w:p>
        </w:tc>
        <w:tc>
          <w:tcPr>
            <w:tcW w:w="1849" w:type="dxa"/>
            <w:vMerge w:val="continue"/>
            <w:tcBorders>
              <w:left w:val="single" w:color="auto" w:sz="4" w:space="0"/>
              <w:right w:val="single" w:color="auto" w:sz="4" w:space="0"/>
            </w:tcBorders>
            <w:noWrap w:val="0"/>
            <w:tcMar>
              <w:top w:w="0" w:type="dxa"/>
              <w:left w:w="0" w:type="dxa"/>
              <w:bottom w:w="0" w:type="dxa"/>
              <w:right w:w="0" w:type="dxa"/>
            </w:tcMar>
            <w:vAlign w:val="center"/>
          </w:tcPr>
          <w:p w14:paraId="1EBA6C60">
            <w:pPr>
              <w:spacing w:line="240" w:lineRule="exact"/>
              <w:jc w:val="both"/>
              <w:rPr>
                <w:rFonts w:hint="eastAsia" w:ascii="宋体" w:hAnsi="宋体" w:eastAsia="宋体" w:cs="宋体"/>
                <w:b w:val="0"/>
                <w:bCs w:val="0"/>
                <w:sz w:val="18"/>
                <w:szCs w:val="18"/>
              </w:rPr>
            </w:pPr>
          </w:p>
        </w:tc>
        <w:tc>
          <w:tcPr>
            <w:tcW w:w="51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88BAEB6">
            <w:pPr>
              <w:spacing w:line="240" w:lineRule="exact"/>
              <w:jc w:val="center"/>
              <w:rPr>
                <w:rFonts w:hint="eastAsia" w:ascii="宋体" w:hAnsi="宋体" w:eastAsia="宋体" w:cs="宋体"/>
                <w:b w:val="0"/>
                <w:bCs w:val="0"/>
                <w:sz w:val="18"/>
                <w:szCs w:val="18"/>
              </w:rPr>
            </w:pPr>
            <w:r>
              <w:rPr>
                <w:rFonts w:hint="eastAsia" w:ascii="宋体" w:hAnsi="宋体" w:eastAsia="宋体" w:cs="宋体"/>
                <w:b w:val="0"/>
                <w:bCs w:val="0"/>
                <w:sz w:val="18"/>
                <w:szCs w:val="18"/>
              </w:rPr>
              <w:t>一般</w:t>
            </w:r>
          </w:p>
        </w:tc>
        <w:tc>
          <w:tcPr>
            <w:tcW w:w="242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94D87D1">
            <w:pPr>
              <w:spacing w:line="240" w:lineRule="exact"/>
              <w:rPr>
                <w:rFonts w:hint="eastAsia" w:ascii="宋体" w:hAnsi="宋体" w:eastAsia="宋体" w:cs="宋体"/>
                <w:b w:val="0"/>
                <w:bCs w:val="0"/>
                <w:sz w:val="18"/>
                <w:szCs w:val="18"/>
                <w:lang w:bidi="ar"/>
              </w:rPr>
            </w:pPr>
            <w:r>
              <w:rPr>
                <w:rStyle w:val="21"/>
                <w:rFonts w:hint="eastAsia" w:ascii="宋体" w:hAnsi="宋体" w:eastAsia="宋体" w:cs="宋体"/>
                <w:b w:val="0"/>
                <w:bCs w:val="0"/>
                <w:color w:val="auto"/>
                <w:sz w:val="18"/>
                <w:szCs w:val="18"/>
                <w:lang w:bidi="ar"/>
              </w:rPr>
              <w:t>擅自砍伐护堤护岸林木不足2立方米的，责令其停止违法行为，恢复原貌或者采取补救措施的</w:t>
            </w:r>
          </w:p>
        </w:tc>
        <w:tc>
          <w:tcPr>
            <w:tcW w:w="1628"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73FD851">
            <w:pPr>
              <w:spacing w:line="240" w:lineRule="exact"/>
              <w:rPr>
                <w:rFonts w:hint="eastAsia" w:ascii="宋体" w:hAnsi="宋体" w:eastAsia="宋体" w:cs="宋体"/>
                <w:b w:val="0"/>
                <w:bCs w:val="0"/>
                <w:sz w:val="18"/>
                <w:szCs w:val="18"/>
                <w:lang w:bidi="ar"/>
              </w:rPr>
            </w:pPr>
            <w:r>
              <w:rPr>
                <w:rStyle w:val="21"/>
                <w:rFonts w:hint="eastAsia" w:ascii="宋体" w:hAnsi="宋体" w:eastAsia="宋体" w:cs="宋体"/>
                <w:b w:val="0"/>
                <w:bCs w:val="0"/>
                <w:color w:val="auto"/>
                <w:sz w:val="18"/>
                <w:szCs w:val="18"/>
                <w:lang w:bidi="ar"/>
              </w:rPr>
              <w:t>给予警告，没收违法所得，按同类木材售价2倍处以罚款，不足0.5立方米(幼树20株以下)的，以0.5立方米计算</w:t>
            </w:r>
          </w:p>
        </w:tc>
        <w:tc>
          <w:tcPr>
            <w:tcW w:w="739" w:type="dxa"/>
            <w:vMerge w:val="continue"/>
            <w:tcBorders>
              <w:left w:val="single" w:color="auto" w:sz="4" w:space="0"/>
              <w:right w:val="single" w:color="auto" w:sz="4" w:space="0"/>
            </w:tcBorders>
            <w:noWrap w:val="0"/>
            <w:tcMar>
              <w:top w:w="0" w:type="dxa"/>
              <w:left w:w="0" w:type="dxa"/>
              <w:bottom w:w="0" w:type="dxa"/>
              <w:right w:w="0" w:type="dxa"/>
            </w:tcMar>
            <w:vAlign w:val="center"/>
          </w:tcPr>
          <w:p w14:paraId="2D9EB153">
            <w:pPr>
              <w:spacing w:line="240" w:lineRule="exact"/>
              <w:jc w:val="center"/>
              <w:rPr>
                <w:rStyle w:val="21"/>
                <w:rFonts w:hint="eastAsia" w:ascii="宋体" w:hAnsi="宋体" w:eastAsia="宋体" w:cs="宋体"/>
                <w:b w:val="0"/>
                <w:bCs w:val="0"/>
                <w:color w:val="auto"/>
                <w:sz w:val="18"/>
                <w:szCs w:val="18"/>
                <w:lang w:bidi="ar"/>
              </w:rPr>
            </w:pPr>
          </w:p>
        </w:tc>
      </w:tr>
      <w:tr w14:paraId="5CF749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6" w:hRule="atLeast"/>
          <w:jc w:val="center"/>
        </w:trPr>
        <w:tc>
          <w:tcPr>
            <w:tcW w:w="474" w:type="dxa"/>
            <w:vMerge w:val="continue"/>
            <w:tcBorders>
              <w:left w:val="single" w:color="auto" w:sz="4" w:space="0"/>
              <w:right w:val="single" w:color="auto" w:sz="4" w:space="0"/>
            </w:tcBorders>
            <w:noWrap w:val="0"/>
            <w:tcMar>
              <w:top w:w="0" w:type="dxa"/>
              <w:left w:w="0" w:type="dxa"/>
              <w:bottom w:w="0" w:type="dxa"/>
              <w:right w:w="0" w:type="dxa"/>
            </w:tcMar>
            <w:vAlign w:val="center"/>
          </w:tcPr>
          <w:p w14:paraId="051FA832">
            <w:pPr>
              <w:spacing w:line="240" w:lineRule="exact"/>
              <w:jc w:val="center"/>
              <w:rPr>
                <w:rFonts w:hint="eastAsia" w:ascii="宋体" w:hAnsi="宋体" w:eastAsia="宋体" w:cs="宋体"/>
                <w:b w:val="0"/>
                <w:bCs w:val="0"/>
                <w:sz w:val="18"/>
                <w:szCs w:val="18"/>
              </w:rPr>
            </w:pPr>
          </w:p>
        </w:tc>
        <w:tc>
          <w:tcPr>
            <w:tcW w:w="1236" w:type="dxa"/>
            <w:vMerge w:val="continue"/>
            <w:tcBorders>
              <w:left w:val="single" w:color="auto" w:sz="4" w:space="0"/>
              <w:right w:val="single" w:color="auto" w:sz="4" w:space="0"/>
            </w:tcBorders>
            <w:noWrap w:val="0"/>
            <w:tcMar>
              <w:top w:w="0" w:type="dxa"/>
              <w:left w:w="0" w:type="dxa"/>
              <w:bottom w:w="0" w:type="dxa"/>
              <w:right w:w="0" w:type="dxa"/>
            </w:tcMar>
            <w:vAlign w:val="center"/>
          </w:tcPr>
          <w:p w14:paraId="5962F609">
            <w:pPr>
              <w:widowControl/>
              <w:spacing w:line="240" w:lineRule="exact"/>
              <w:textAlignment w:val="center"/>
              <w:rPr>
                <w:rFonts w:hint="eastAsia" w:ascii="宋体" w:hAnsi="宋体" w:eastAsia="宋体" w:cs="宋体"/>
                <w:b w:val="0"/>
                <w:bCs w:val="0"/>
                <w:kern w:val="0"/>
                <w:sz w:val="18"/>
                <w:szCs w:val="18"/>
                <w:lang w:bidi="ar"/>
              </w:rPr>
            </w:pPr>
          </w:p>
        </w:tc>
        <w:tc>
          <w:tcPr>
            <w:tcW w:w="6027" w:type="dxa"/>
            <w:vMerge w:val="continue"/>
            <w:tcBorders>
              <w:left w:val="single" w:color="auto" w:sz="4" w:space="0"/>
              <w:right w:val="single" w:color="auto" w:sz="4" w:space="0"/>
            </w:tcBorders>
            <w:noWrap w:val="0"/>
            <w:tcMar>
              <w:top w:w="0" w:type="dxa"/>
              <w:left w:w="0" w:type="dxa"/>
              <w:bottom w:w="0" w:type="dxa"/>
              <w:right w:w="0" w:type="dxa"/>
            </w:tcMar>
            <w:vAlign w:val="center"/>
          </w:tcPr>
          <w:p w14:paraId="295F31A8">
            <w:pPr>
              <w:widowControl/>
              <w:spacing w:line="240" w:lineRule="exact"/>
              <w:ind w:firstLine="360" w:firstLineChars="200"/>
              <w:textAlignment w:val="center"/>
              <w:rPr>
                <w:rFonts w:hint="eastAsia" w:ascii="宋体" w:hAnsi="宋体" w:eastAsia="宋体" w:cs="宋体"/>
                <w:b w:val="0"/>
                <w:bCs w:val="0"/>
                <w:kern w:val="0"/>
                <w:sz w:val="18"/>
                <w:szCs w:val="18"/>
                <w:lang w:bidi="ar"/>
              </w:rPr>
            </w:pPr>
          </w:p>
        </w:tc>
        <w:tc>
          <w:tcPr>
            <w:tcW w:w="1849" w:type="dxa"/>
            <w:vMerge w:val="continue"/>
            <w:tcBorders>
              <w:left w:val="single" w:color="auto" w:sz="4" w:space="0"/>
              <w:right w:val="single" w:color="auto" w:sz="4" w:space="0"/>
            </w:tcBorders>
            <w:noWrap w:val="0"/>
            <w:tcMar>
              <w:top w:w="0" w:type="dxa"/>
              <w:left w:w="0" w:type="dxa"/>
              <w:bottom w:w="0" w:type="dxa"/>
              <w:right w:w="0" w:type="dxa"/>
            </w:tcMar>
            <w:vAlign w:val="center"/>
          </w:tcPr>
          <w:p w14:paraId="2026414E">
            <w:pPr>
              <w:spacing w:line="240" w:lineRule="exact"/>
              <w:jc w:val="both"/>
              <w:rPr>
                <w:rFonts w:hint="eastAsia" w:ascii="宋体" w:hAnsi="宋体" w:eastAsia="宋体" w:cs="宋体"/>
                <w:b w:val="0"/>
                <w:bCs w:val="0"/>
                <w:sz w:val="18"/>
                <w:szCs w:val="18"/>
              </w:rPr>
            </w:pPr>
          </w:p>
        </w:tc>
        <w:tc>
          <w:tcPr>
            <w:tcW w:w="51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ACD99AD">
            <w:pPr>
              <w:spacing w:line="240" w:lineRule="exact"/>
              <w:jc w:val="center"/>
              <w:rPr>
                <w:rFonts w:hint="eastAsia" w:ascii="宋体" w:hAnsi="宋体" w:eastAsia="宋体" w:cs="宋体"/>
                <w:b w:val="0"/>
                <w:bCs w:val="0"/>
                <w:sz w:val="18"/>
                <w:szCs w:val="18"/>
                <w:lang w:eastAsia="zh-CN"/>
              </w:rPr>
            </w:pPr>
            <w:r>
              <w:rPr>
                <w:rFonts w:hint="eastAsia" w:ascii="宋体" w:hAnsi="宋体" w:eastAsia="宋体" w:cs="宋体"/>
                <w:b w:val="0"/>
                <w:bCs w:val="0"/>
                <w:sz w:val="18"/>
                <w:szCs w:val="18"/>
                <w:lang w:eastAsia="zh-CN"/>
              </w:rPr>
              <w:t>较重</w:t>
            </w:r>
          </w:p>
        </w:tc>
        <w:tc>
          <w:tcPr>
            <w:tcW w:w="242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673E303">
            <w:pPr>
              <w:spacing w:line="240" w:lineRule="exact"/>
              <w:rPr>
                <w:rFonts w:hint="eastAsia" w:ascii="宋体" w:hAnsi="宋体" w:eastAsia="宋体" w:cs="宋体"/>
                <w:b w:val="0"/>
                <w:bCs w:val="0"/>
                <w:sz w:val="18"/>
                <w:szCs w:val="18"/>
                <w:lang w:bidi="ar"/>
              </w:rPr>
            </w:pPr>
            <w:r>
              <w:rPr>
                <w:rStyle w:val="21"/>
                <w:rFonts w:hint="eastAsia" w:ascii="宋体" w:hAnsi="宋体" w:eastAsia="宋体" w:cs="宋体"/>
                <w:b w:val="0"/>
                <w:bCs w:val="0"/>
                <w:color w:val="auto"/>
                <w:sz w:val="18"/>
                <w:szCs w:val="18"/>
                <w:lang w:bidi="ar"/>
              </w:rPr>
              <w:t>擅自砍伐护堤护岸林木2立方米以上不足5立方米的，责令其停止违法行为，恢复原貌或者采取补救措施</w:t>
            </w:r>
          </w:p>
        </w:tc>
        <w:tc>
          <w:tcPr>
            <w:tcW w:w="1628"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CE907C4">
            <w:pPr>
              <w:spacing w:line="240" w:lineRule="exact"/>
              <w:rPr>
                <w:rFonts w:hint="eastAsia" w:ascii="宋体" w:hAnsi="宋体" w:eastAsia="宋体" w:cs="宋体"/>
                <w:b w:val="0"/>
                <w:bCs w:val="0"/>
                <w:sz w:val="18"/>
                <w:szCs w:val="18"/>
                <w:lang w:bidi="ar"/>
              </w:rPr>
            </w:pPr>
            <w:r>
              <w:rPr>
                <w:rStyle w:val="21"/>
                <w:rFonts w:hint="eastAsia" w:ascii="宋体" w:hAnsi="宋体" w:eastAsia="宋体" w:cs="宋体"/>
                <w:b w:val="0"/>
                <w:bCs w:val="0"/>
                <w:color w:val="auto"/>
                <w:sz w:val="18"/>
                <w:szCs w:val="18"/>
                <w:lang w:bidi="ar"/>
              </w:rPr>
              <w:t>给予警告，没收违法所得，按同类木材售价3倍处以罚款</w:t>
            </w:r>
          </w:p>
        </w:tc>
        <w:tc>
          <w:tcPr>
            <w:tcW w:w="739" w:type="dxa"/>
            <w:vMerge w:val="continue"/>
            <w:tcBorders>
              <w:left w:val="single" w:color="auto" w:sz="4" w:space="0"/>
              <w:right w:val="single" w:color="auto" w:sz="4" w:space="0"/>
            </w:tcBorders>
            <w:noWrap w:val="0"/>
            <w:tcMar>
              <w:top w:w="0" w:type="dxa"/>
              <w:left w:w="0" w:type="dxa"/>
              <w:bottom w:w="0" w:type="dxa"/>
              <w:right w:w="0" w:type="dxa"/>
            </w:tcMar>
            <w:vAlign w:val="center"/>
          </w:tcPr>
          <w:p w14:paraId="6F8EBA23">
            <w:pPr>
              <w:spacing w:line="240" w:lineRule="exact"/>
              <w:jc w:val="center"/>
              <w:rPr>
                <w:rStyle w:val="21"/>
                <w:rFonts w:hint="eastAsia" w:ascii="宋体" w:hAnsi="宋体" w:eastAsia="宋体" w:cs="宋体"/>
                <w:b w:val="0"/>
                <w:bCs w:val="0"/>
                <w:color w:val="auto"/>
                <w:sz w:val="18"/>
                <w:szCs w:val="18"/>
                <w:lang w:bidi="ar"/>
              </w:rPr>
            </w:pPr>
          </w:p>
        </w:tc>
      </w:tr>
      <w:tr w14:paraId="3E2CC6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0" w:hRule="atLeast"/>
          <w:jc w:val="center"/>
        </w:trPr>
        <w:tc>
          <w:tcPr>
            <w:tcW w:w="474" w:type="dxa"/>
            <w:vMerge w:val="continue"/>
            <w:tcBorders>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F241F02">
            <w:pPr>
              <w:spacing w:line="240" w:lineRule="exact"/>
              <w:jc w:val="center"/>
              <w:rPr>
                <w:rFonts w:hint="eastAsia" w:ascii="宋体" w:hAnsi="宋体" w:eastAsia="宋体" w:cs="宋体"/>
                <w:b w:val="0"/>
                <w:bCs w:val="0"/>
                <w:sz w:val="18"/>
                <w:szCs w:val="18"/>
              </w:rPr>
            </w:pPr>
          </w:p>
        </w:tc>
        <w:tc>
          <w:tcPr>
            <w:tcW w:w="1236" w:type="dxa"/>
            <w:vMerge w:val="continue"/>
            <w:tcBorders>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E4E3717">
            <w:pPr>
              <w:widowControl/>
              <w:spacing w:line="240" w:lineRule="exact"/>
              <w:textAlignment w:val="center"/>
              <w:rPr>
                <w:rFonts w:hint="eastAsia" w:ascii="宋体" w:hAnsi="宋体" w:eastAsia="宋体" w:cs="宋体"/>
                <w:b w:val="0"/>
                <w:bCs w:val="0"/>
                <w:kern w:val="0"/>
                <w:sz w:val="18"/>
                <w:szCs w:val="18"/>
                <w:lang w:bidi="ar"/>
              </w:rPr>
            </w:pPr>
          </w:p>
        </w:tc>
        <w:tc>
          <w:tcPr>
            <w:tcW w:w="6027" w:type="dxa"/>
            <w:vMerge w:val="continue"/>
            <w:tcBorders>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82FB648">
            <w:pPr>
              <w:widowControl/>
              <w:spacing w:line="240" w:lineRule="exact"/>
              <w:ind w:firstLine="360" w:firstLineChars="200"/>
              <w:textAlignment w:val="center"/>
              <w:rPr>
                <w:rFonts w:hint="eastAsia" w:ascii="宋体" w:hAnsi="宋体" w:eastAsia="宋体" w:cs="宋体"/>
                <w:b w:val="0"/>
                <w:bCs w:val="0"/>
                <w:kern w:val="0"/>
                <w:sz w:val="18"/>
                <w:szCs w:val="18"/>
                <w:lang w:bidi="ar"/>
              </w:rPr>
            </w:pPr>
          </w:p>
        </w:tc>
        <w:tc>
          <w:tcPr>
            <w:tcW w:w="1849" w:type="dxa"/>
            <w:vMerge w:val="continue"/>
            <w:tcBorders>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C74C28E">
            <w:pPr>
              <w:spacing w:line="240" w:lineRule="exact"/>
              <w:jc w:val="both"/>
              <w:rPr>
                <w:rFonts w:hint="eastAsia" w:ascii="宋体" w:hAnsi="宋体" w:eastAsia="宋体" w:cs="宋体"/>
                <w:b w:val="0"/>
                <w:bCs w:val="0"/>
                <w:sz w:val="18"/>
                <w:szCs w:val="18"/>
              </w:rPr>
            </w:pPr>
          </w:p>
        </w:tc>
        <w:tc>
          <w:tcPr>
            <w:tcW w:w="51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75028DC">
            <w:pPr>
              <w:spacing w:line="240" w:lineRule="exact"/>
              <w:jc w:val="center"/>
              <w:rPr>
                <w:rFonts w:hint="eastAsia" w:ascii="宋体" w:hAnsi="宋体" w:eastAsia="宋体" w:cs="宋体"/>
                <w:b w:val="0"/>
                <w:bCs w:val="0"/>
                <w:sz w:val="18"/>
                <w:szCs w:val="18"/>
              </w:rPr>
            </w:pPr>
            <w:r>
              <w:rPr>
                <w:rFonts w:hint="eastAsia" w:ascii="宋体" w:hAnsi="宋体" w:eastAsia="宋体" w:cs="宋体"/>
                <w:b w:val="0"/>
                <w:bCs w:val="0"/>
                <w:sz w:val="18"/>
                <w:szCs w:val="18"/>
              </w:rPr>
              <w:t>严重</w:t>
            </w:r>
          </w:p>
        </w:tc>
        <w:tc>
          <w:tcPr>
            <w:tcW w:w="242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FA0E96B">
            <w:pPr>
              <w:spacing w:line="240" w:lineRule="exact"/>
              <w:rPr>
                <w:rFonts w:hint="eastAsia" w:ascii="宋体" w:hAnsi="宋体" w:eastAsia="宋体" w:cs="宋体"/>
                <w:b w:val="0"/>
                <w:bCs w:val="0"/>
                <w:sz w:val="18"/>
                <w:szCs w:val="18"/>
                <w:lang w:bidi="ar"/>
              </w:rPr>
            </w:pPr>
            <w:r>
              <w:rPr>
                <w:rStyle w:val="21"/>
                <w:rFonts w:hint="eastAsia" w:ascii="宋体" w:hAnsi="宋体" w:eastAsia="宋体" w:cs="宋体"/>
                <w:b w:val="0"/>
                <w:bCs w:val="0"/>
                <w:color w:val="auto"/>
                <w:sz w:val="18"/>
                <w:szCs w:val="18"/>
                <w:lang w:bidi="ar"/>
              </w:rPr>
              <w:t>擅自砍伐护堤护岸林木5立方米以上的，责令其停止违法行为，恢复原貌或者采取补救措施</w:t>
            </w:r>
          </w:p>
        </w:tc>
        <w:tc>
          <w:tcPr>
            <w:tcW w:w="1628"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F771150">
            <w:pPr>
              <w:spacing w:line="240" w:lineRule="exact"/>
              <w:rPr>
                <w:rFonts w:hint="eastAsia" w:ascii="宋体" w:hAnsi="宋体" w:eastAsia="宋体" w:cs="宋体"/>
                <w:b w:val="0"/>
                <w:bCs w:val="0"/>
                <w:sz w:val="18"/>
                <w:szCs w:val="18"/>
                <w:lang w:bidi="ar"/>
              </w:rPr>
            </w:pPr>
            <w:r>
              <w:rPr>
                <w:rStyle w:val="21"/>
                <w:rFonts w:hint="eastAsia" w:ascii="宋体" w:hAnsi="宋体" w:eastAsia="宋体" w:cs="宋体"/>
                <w:b w:val="0"/>
                <w:bCs w:val="0"/>
                <w:color w:val="auto"/>
                <w:sz w:val="18"/>
                <w:szCs w:val="18"/>
                <w:lang w:bidi="ar"/>
              </w:rPr>
              <w:t>给予警告，没收违法所得，并可按同类木材售价4倍处以罚款</w:t>
            </w:r>
          </w:p>
        </w:tc>
        <w:tc>
          <w:tcPr>
            <w:tcW w:w="739" w:type="dxa"/>
            <w:vMerge w:val="continue"/>
            <w:tcBorders>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4165E5F">
            <w:pPr>
              <w:spacing w:line="240" w:lineRule="exact"/>
              <w:jc w:val="center"/>
              <w:rPr>
                <w:rStyle w:val="21"/>
                <w:rFonts w:hint="eastAsia" w:ascii="宋体" w:hAnsi="宋体" w:eastAsia="宋体" w:cs="宋体"/>
                <w:b w:val="0"/>
                <w:bCs w:val="0"/>
                <w:color w:val="auto"/>
                <w:sz w:val="18"/>
                <w:szCs w:val="18"/>
                <w:lang w:bidi="ar"/>
              </w:rPr>
            </w:pPr>
          </w:p>
        </w:tc>
      </w:tr>
    </w:tbl>
    <w:p w14:paraId="0EA856D9">
      <w:pPr>
        <w:pStyle w:val="2"/>
        <w:spacing w:line="600" w:lineRule="exact"/>
        <w:rPr>
          <w:rFonts w:ascii="仿宋_GB2312" w:hAnsi="仿宋_GB2312" w:eastAsia="仿宋_GB2312" w:cs="仿宋_GB2312"/>
        </w:rPr>
        <w:sectPr>
          <w:footerReference r:id="rId7" w:type="default"/>
          <w:footerReference r:id="rId8" w:type="even"/>
          <w:pgSz w:w="16838" w:h="11906" w:orient="landscape"/>
          <w:pgMar w:top="1134" w:right="1134" w:bottom="1134" w:left="1134" w:header="851" w:footer="964" w:gutter="0"/>
          <w:pgNumType w:fmt="decimal"/>
          <w:cols w:space="0" w:num="1"/>
          <w:rtlGutter w:val="0"/>
          <w:docGrid w:type="lines" w:linePitch="312" w:charSpace="0"/>
        </w:sectPr>
      </w:pPr>
    </w:p>
    <w:p w14:paraId="7E2C86C0">
      <w:pPr>
        <w:spacing w:line="600" w:lineRule="exact"/>
        <w:jc w:val="center"/>
        <w:rPr>
          <w:rFonts w:hint="eastAsia" w:eastAsia="黑体"/>
        </w:rPr>
      </w:pPr>
      <w:r>
        <w:rPr>
          <w:rFonts w:hint="eastAsia" w:ascii="黑体" w:hAnsi="黑体" w:eastAsia="黑体" w:cs="黑体"/>
          <w:sz w:val="32"/>
          <w:szCs w:val="32"/>
        </w:rPr>
        <w:t xml:space="preserve">第三部分 </w:t>
      </w:r>
      <w:r>
        <w:rPr>
          <w:rFonts w:hint="eastAsia" w:ascii="黑体" w:hAnsi="黑体" w:eastAsia="黑体" w:cs="黑体"/>
          <w:sz w:val="32"/>
          <w:szCs w:val="32"/>
          <w:lang w:val="en-US" w:eastAsia="zh-CN"/>
        </w:rPr>
        <w:t xml:space="preserve"> </w:t>
      </w:r>
      <w:r>
        <w:rPr>
          <w:rFonts w:hint="eastAsia" w:ascii="黑体" w:hAnsi="黑体" w:eastAsia="黑体" w:cs="黑体"/>
          <w:color w:val="000000"/>
          <w:sz w:val="32"/>
          <w:szCs w:val="32"/>
        </w:rPr>
        <w:t>水文管理类</w:t>
      </w:r>
    </w:p>
    <w:tbl>
      <w:tblPr>
        <w:tblStyle w:val="13"/>
        <w:tblW w:w="149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96"/>
        <w:gridCol w:w="1257"/>
        <w:gridCol w:w="3805"/>
        <w:gridCol w:w="1672"/>
        <w:gridCol w:w="781"/>
        <w:gridCol w:w="3675"/>
        <w:gridCol w:w="1970"/>
        <w:gridCol w:w="1285"/>
      </w:tblGrid>
      <w:tr w14:paraId="75F4CF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jc w:val="center"/>
        </w:trPr>
        <w:tc>
          <w:tcPr>
            <w:tcW w:w="496"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182C314">
            <w:pPr>
              <w:spacing w:line="280" w:lineRule="exact"/>
              <w:jc w:val="center"/>
              <w:rPr>
                <w:rFonts w:hint="eastAsia" w:ascii="黑体" w:hAnsi="黑体" w:eastAsia="黑体" w:cs="黑体"/>
                <w:sz w:val="18"/>
                <w:szCs w:val="18"/>
              </w:rPr>
            </w:pPr>
            <w:r>
              <w:rPr>
                <w:rFonts w:hint="eastAsia" w:ascii="黑体" w:hAnsi="黑体" w:eastAsia="黑体" w:cs="黑体"/>
                <w:sz w:val="18"/>
                <w:szCs w:val="18"/>
              </w:rPr>
              <w:t>序号</w:t>
            </w:r>
          </w:p>
        </w:tc>
        <w:tc>
          <w:tcPr>
            <w:tcW w:w="125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BAB6C13">
            <w:pPr>
              <w:spacing w:line="280" w:lineRule="exact"/>
              <w:jc w:val="center"/>
              <w:rPr>
                <w:rFonts w:hint="eastAsia" w:ascii="黑体" w:hAnsi="黑体" w:eastAsia="黑体" w:cs="黑体"/>
                <w:sz w:val="18"/>
                <w:szCs w:val="18"/>
              </w:rPr>
            </w:pPr>
            <w:r>
              <w:rPr>
                <w:rFonts w:hint="eastAsia" w:ascii="黑体" w:hAnsi="黑体" w:eastAsia="黑体" w:cs="黑体"/>
                <w:sz w:val="18"/>
                <w:szCs w:val="18"/>
              </w:rPr>
              <w:t>违法行为</w:t>
            </w:r>
          </w:p>
        </w:tc>
        <w:tc>
          <w:tcPr>
            <w:tcW w:w="380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14BBEF4">
            <w:pPr>
              <w:spacing w:line="280" w:lineRule="exact"/>
              <w:jc w:val="center"/>
              <w:rPr>
                <w:rFonts w:hint="eastAsia" w:ascii="黑体" w:hAnsi="黑体" w:eastAsia="黑体" w:cs="黑体"/>
                <w:sz w:val="18"/>
                <w:szCs w:val="18"/>
              </w:rPr>
            </w:pPr>
            <w:r>
              <w:rPr>
                <w:rFonts w:hint="eastAsia" w:ascii="黑体" w:hAnsi="黑体" w:eastAsia="黑体" w:cs="黑体"/>
                <w:sz w:val="18"/>
                <w:szCs w:val="18"/>
              </w:rPr>
              <w:t>法定依据</w:t>
            </w:r>
          </w:p>
        </w:tc>
        <w:tc>
          <w:tcPr>
            <w:tcW w:w="1672"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E516E1C">
            <w:pPr>
              <w:spacing w:line="280" w:lineRule="exact"/>
              <w:jc w:val="center"/>
              <w:rPr>
                <w:rFonts w:hint="eastAsia" w:ascii="黑体" w:hAnsi="黑体" w:eastAsia="黑体" w:cs="黑体"/>
                <w:sz w:val="18"/>
                <w:szCs w:val="18"/>
              </w:rPr>
            </w:pPr>
            <w:r>
              <w:rPr>
                <w:rFonts w:hint="eastAsia" w:ascii="黑体" w:hAnsi="黑体" w:eastAsia="黑体" w:cs="黑体"/>
                <w:sz w:val="18"/>
                <w:szCs w:val="18"/>
              </w:rPr>
              <w:t>违法情形</w:t>
            </w:r>
          </w:p>
        </w:tc>
        <w:tc>
          <w:tcPr>
            <w:tcW w:w="78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6739C8A">
            <w:pPr>
              <w:spacing w:line="280" w:lineRule="exact"/>
              <w:jc w:val="center"/>
              <w:rPr>
                <w:rFonts w:hint="eastAsia" w:ascii="黑体" w:hAnsi="黑体" w:eastAsia="黑体" w:cs="黑体"/>
                <w:sz w:val="18"/>
                <w:szCs w:val="18"/>
              </w:rPr>
            </w:pPr>
            <w:r>
              <w:rPr>
                <w:rFonts w:hint="eastAsia" w:ascii="黑体" w:hAnsi="黑体" w:eastAsia="黑体" w:cs="黑体"/>
                <w:sz w:val="18"/>
                <w:szCs w:val="18"/>
              </w:rPr>
              <w:t>裁量</w:t>
            </w:r>
          </w:p>
          <w:p w14:paraId="38FA6059">
            <w:pPr>
              <w:spacing w:line="280" w:lineRule="exact"/>
              <w:jc w:val="center"/>
              <w:rPr>
                <w:rFonts w:hint="eastAsia" w:ascii="黑体" w:hAnsi="黑体" w:eastAsia="黑体" w:cs="黑体"/>
                <w:sz w:val="18"/>
                <w:szCs w:val="18"/>
              </w:rPr>
            </w:pPr>
            <w:r>
              <w:rPr>
                <w:rFonts w:hint="eastAsia" w:ascii="黑体" w:hAnsi="黑体" w:eastAsia="黑体" w:cs="黑体"/>
                <w:sz w:val="18"/>
                <w:szCs w:val="18"/>
              </w:rPr>
              <w:t>幅度</w:t>
            </w:r>
          </w:p>
        </w:tc>
        <w:tc>
          <w:tcPr>
            <w:tcW w:w="367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8EAC7BE">
            <w:pPr>
              <w:spacing w:line="280" w:lineRule="exact"/>
              <w:jc w:val="center"/>
              <w:rPr>
                <w:rFonts w:hint="eastAsia" w:ascii="黑体" w:hAnsi="黑体" w:eastAsia="黑体" w:cs="黑体"/>
                <w:sz w:val="18"/>
                <w:szCs w:val="18"/>
              </w:rPr>
            </w:pPr>
            <w:r>
              <w:rPr>
                <w:rFonts w:hint="eastAsia" w:ascii="黑体" w:hAnsi="黑体" w:eastAsia="黑体" w:cs="黑体"/>
                <w:sz w:val="18"/>
                <w:szCs w:val="18"/>
              </w:rPr>
              <w:t>适用条件</w:t>
            </w:r>
          </w:p>
        </w:tc>
        <w:tc>
          <w:tcPr>
            <w:tcW w:w="197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664D89B">
            <w:pPr>
              <w:spacing w:line="280" w:lineRule="exact"/>
              <w:jc w:val="center"/>
              <w:rPr>
                <w:rFonts w:hint="eastAsia" w:ascii="黑体" w:hAnsi="黑体" w:eastAsia="黑体" w:cs="黑体"/>
                <w:sz w:val="18"/>
                <w:szCs w:val="18"/>
              </w:rPr>
            </w:pPr>
            <w:r>
              <w:rPr>
                <w:rFonts w:hint="eastAsia" w:ascii="黑体" w:hAnsi="黑体" w:eastAsia="黑体" w:cs="黑体"/>
                <w:sz w:val="18"/>
                <w:szCs w:val="18"/>
              </w:rPr>
              <w:t>裁量基准</w:t>
            </w:r>
          </w:p>
        </w:tc>
        <w:tc>
          <w:tcPr>
            <w:tcW w:w="128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6DA3CE2">
            <w:pPr>
              <w:spacing w:line="280" w:lineRule="exact"/>
              <w:jc w:val="center"/>
              <w:rPr>
                <w:rFonts w:hint="eastAsia" w:ascii="黑体" w:hAnsi="黑体" w:eastAsia="黑体" w:cs="黑体"/>
                <w:sz w:val="18"/>
                <w:szCs w:val="18"/>
                <w:lang w:val="en-US" w:eastAsia="zh-CN"/>
              </w:rPr>
            </w:pPr>
            <w:r>
              <w:rPr>
                <w:rFonts w:hint="eastAsia" w:ascii="黑体" w:hAnsi="黑体" w:eastAsia="黑体" w:cs="黑体"/>
                <w:sz w:val="18"/>
                <w:szCs w:val="18"/>
                <w:lang w:val="en-US" w:eastAsia="zh-CN"/>
              </w:rPr>
              <w:t>备注</w:t>
            </w:r>
          </w:p>
        </w:tc>
      </w:tr>
      <w:tr w14:paraId="783A0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96" w:type="dxa"/>
            <w:vMerge w:val="restart"/>
            <w:tcBorders>
              <w:left w:val="single" w:color="auto" w:sz="4" w:space="0"/>
              <w:right w:val="single" w:color="auto" w:sz="4" w:space="0"/>
            </w:tcBorders>
            <w:noWrap w:val="0"/>
            <w:tcMar>
              <w:top w:w="0" w:type="dxa"/>
              <w:left w:w="0" w:type="dxa"/>
              <w:bottom w:w="0" w:type="dxa"/>
              <w:right w:w="0" w:type="dxa"/>
            </w:tcMar>
            <w:vAlign w:val="center"/>
          </w:tcPr>
          <w:p w14:paraId="4A693F9B">
            <w:pPr>
              <w:widowControl/>
              <w:spacing w:line="280" w:lineRule="exact"/>
              <w:jc w:val="center"/>
              <w:textAlignment w:val="center"/>
              <w:rPr>
                <w:rFonts w:hint="eastAsia" w:ascii="宋体" w:hAnsi="宋体" w:eastAsia="宋体" w:cs="宋体"/>
                <w:sz w:val="18"/>
                <w:szCs w:val="18"/>
                <w:lang w:eastAsia="zh-CN"/>
              </w:rPr>
            </w:pPr>
            <w:r>
              <w:rPr>
                <w:rFonts w:hint="eastAsia" w:ascii="宋体" w:hAnsi="宋体" w:eastAsia="宋体" w:cs="宋体"/>
                <w:kern w:val="0"/>
                <w:sz w:val="18"/>
                <w:szCs w:val="18"/>
                <w:lang w:bidi="ar"/>
              </w:rPr>
              <w:t>3</w:t>
            </w:r>
            <w:r>
              <w:rPr>
                <w:rFonts w:hint="eastAsia" w:ascii="宋体" w:hAnsi="宋体" w:eastAsia="宋体" w:cs="宋体"/>
                <w:kern w:val="0"/>
                <w:sz w:val="18"/>
                <w:szCs w:val="18"/>
                <w:lang w:val="en-US" w:eastAsia="zh-CN" w:bidi="ar"/>
              </w:rPr>
              <w:t>6</w:t>
            </w:r>
          </w:p>
        </w:tc>
        <w:tc>
          <w:tcPr>
            <w:tcW w:w="1257" w:type="dxa"/>
            <w:vMerge w:val="restart"/>
            <w:tcBorders>
              <w:left w:val="single" w:color="auto" w:sz="4" w:space="0"/>
              <w:right w:val="single" w:color="auto" w:sz="4" w:space="0"/>
            </w:tcBorders>
            <w:noWrap w:val="0"/>
            <w:tcMar>
              <w:top w:w="0" w:type="dxa"/>
              <w:left w:w="0" w:type="dxa"/>
              <w:bottom w:w="0" w:type="dxa"/>
              <w:right w:w="0" w:type="dxa"/>
            </w:tcMar>
            <w:vAlign w:val="center"/>
          </w:tcPr>
          <w:p w14:paraId="0C0EA0E4">
            <w:pPr>
              <w:widowControl/>
              <w:spacing w:line="280" w:lineRule="exact"/>
              <w:jc w:val="both"/>
              <w:textAlignment w:val="center"/>
              <w:rPr>
                <w:rFonts w:hint="eastAsia" w:ascii="宋体" w:hAnsi="宋体" w:eastAsia="宋体" w:cs="宋体"/>
                <w:kern w:val="0"/>
                <w:sz w:val="18"/>
                <w:szCs w:val="18"/>
                <w:lang w:bidi="ar"/>
              </w:rPr>
            </w:pPr>
            <w:r>
              <w:rPr>
                <w:rFonts w:hint="eastAsia" w:ascii="宋体" w:hAnsi="宋体" w:eastAsia="宋体" w:cs="宋体"/>
                <w:kern w:val="0"/>
                <w:sz w:val="18"/>
                <w:szCs w:val="18"/>
                <w:lang w:bidi="ar"/>
              </w:rPr>
              <w:t>对水文、水资源调查评价单位不具备法人资格和固定工作场所，不具备与所从事水文活动相适应的专业技术人员、专业技术装备等条件，从事水文活动行为的行政处罚</w:t>
            </w:r>
          </w:p>
        </w:tc>
        <w:tc>
          <w:tcPr>
            <w:tcW w:w="3805" w:type="dxa"/>
            <w:vMerge w:val="restart"/>
            <w:tcBorders>
              <w:top w:val="single" w:color="auto" w:sz="4" w:space="0"/>
              <w:left w:val="single" w:color="auto" w:sz="4" w:space="0"/>
              <w:right w:val="single" w:color="auto" w:sz="4" w:space="0"/>
            </w:tcBorders>
            <w:noWrap w:val="0"/>
            <w:tcMar>
              <w:top w:w="0" w:type="dxa"/>
              <w:left w:w="0" w:type="dxa"/>
              <w:bottom w:w="0" w:type="dxa"/>
              <w:right w:w="0" w:type="dxa"/>
            </w:tcMar>
            <w:vAlign w:val="center"/>
          </w:tcPr>
          <w:p w14:paraId="6ED163A5">
            <w:pPr>
              <w:widowControl/>
              <w:spacing w:line="280" w:lineRule="exact"/>
              <w:textAlignment w:val="center"/>
              <w:rPr>
                <w:rFonts w:hint="eastAsia" w:ascii="宋体" w:hAnsi="宋体" w:eastAsia="宋体" w:cs="宋体"/>
                <w:kern w:val="0"/>
                <w:sz w:val="18"/>
                <w:szCs w:val="18"/>
                <w:lang w:bidi="ar"/>
              </w:rPr>
            </w:pPr>
            <w:r>
              <w:rPr>
                <w:rFonts w:hint="eastAsia" w:ascii="宋体" w:hAnsi="宋体" w:eastAsia="宋体" w:cs="宋体"/>
                <w:kern w:val="0"/>
                <w:sz w:val="18"/>
                <w:szCs w:val="18"/>
                <w:lang w:bidi="ar"/>
              </w:rPr>
              <w:t>《中华人民共和国水文条例》第二十四条  县级以上人民政府水行政主管部门应当根据经济社会的发展要求，会同有关部门组织相关单位开展水资源调查评价工作。</w:t>
            </w:r>
          </w:p>
          <w:p w14:paraId="449498C0">
            <w:pPr>
              <w:widowControl/>
              <w:spacing w:line="280" w:lineRule="exact"/>
              <w:textAlignment w:val="center"/>
              <w:rPr>
                <w:rFonts w:hint="eastAsia" w:ascii="宋体" w:hAnsi="宋体" w:eastAsia="宋体" w:cs="宋体"/>
                <w:kern w:val="0"/>
                <w:sz w:val="18"/>
                <w:szCs w:val="18"/>
                <w:lang w:bidi="ar"/>
              </w:rPr>
            </w:pPr>
            <w:r>
              <w:rPr>
                <w:rFonts w:hint="eastAsia" w:ascii="宋体" w:hAnsi="宋体" w:eastAsia="宋体" w:cs="宋体"/>
                <w:kern w:val="0"/>
                <w:sz w:val="18"/>
                <w:szCs w:val="18"/>
                <w:lang w:bidi="ar"/>
              </w:rPr>
              <w:t>从事水文、水资源调查评价的单位，应当具备下列条件：</w:t>
            </w:r>
          </w:p>
          <w:p w14:paraId="49F0F653">
            <w:pPr>
              <w:widowControl/>
              <w:spacing w:line="280" w:lineRule="exact"/>
              <w:textAlignment w:val="center"/>
              <w:rPr>
                <w:rFonts w:hint="eastAsia" w:ascii="宋体" w:hAnsi="宋体" w:eastAsia="宋体" w:cs="宋体"/>
                <w:kern w:val="0"/>
                <w:sz w:val="18"/>
                <w:szCs w:val="18"/>
                <w:lang w:bidi="ar"/>
              </w:rPr>
            </w:pPr>
            <w:r>
              <w:rPr>
                <w:rFonts w:hint="eastAsia" w:ascii="宋体" w:hAnsi="宋体" w:eastAsia="宋体" w:cs="宋体"/>
                <w:kern w:val="0"/>
                <w:sz w:val="18"/>
                <w:szCs w:val="18"/>
                <w:lang w:bidi="ar"/>
              </w:rPr>
              <w:t>（一）具有法人资格和固定的工作场所；</w:t>
            </w:r>
          </w:p>
          <w:p w14:paraId="76481C02">
            <w:pPr>
              <w:widowControl/>
              <w:spacing w:line="280" w:lineRule="exact"/>
              <w:textAlignment w:val="center"/>
              <w:rPr>
                <w:rFonts w:hint="eastAsia" w:ascii="宋体" w:hAnsi="宋体" w:eastAsia="宋体" w:cs="宋体"/>
                <w:kern w:val="0"/>
                <w:sz w:val="18"/>
                <w:szCs w:val="18"/>
                <w:lang w:bidi="ar"/>
              </w:rPr>
            </w:pPr>
            <w:r>
              <w:rPr>
                <w:rFonts w:hint="eastAsia" w:ascii="宋体" w:hAnsi="宋体" w:eastAsia="宋体" w:cs="宋体"/>
                <w:kern w:val="0"/>
                <w:sz w:val="18"/>
                <w:szCs w:val="18"/>
                <w:lang w:bidi="ar"/>
              </w:rPr>
              <w:t>（二）具有与所从事水文活动相适应的专业技术人员；</w:t>
            </w:r>
          </w:p>
          <w:p w14:paraId="6BE084F9">
            <w:pPr>
              <w:widowControl/>
              <w:spacing w:line="280" w:lineRule="exact"/>
              <w:textAlignment w:val="center"/>
              <w:rPr>
                <w:rFonts w:hint="eastAsia" w:ascii="宋体" w:hAnsi="宋体" w:eastAsia="宋体" w:cs="宋体"/>
                <w:kern w:val="0"/>
                <w:sz w:val="18"/>
                <w:szCs w:val="18"/>
                <w:lang w:bidi="ar"/>
              </w:rPr>
            </w:pPr>
            <w:r>
              <w:rPr>
                <w:rFonts w:hint="eastAsia" w:ascii="宋体" w:hAnsi="宋体" w:eastAsia="宋体" w:cs="宋体"/>
                <w:kern w:val="0"/>
                <w:sz w:val="18"/>
                <w:szCs w:val="18"/>
                <w:lang w:bidi="ar"/>
              </w:rPr>
              <w:t>（三）具有与所从事水文活动相适应的专业技术装备；</w:t>
            </w:r>
          </w:p>
          <w:p w14:paraId="137E0242">
            <w:pPr>
              <w:widowControl/>
              <w:spacing w:line="280" w:lineRule="exact"/>
              <w:textAlignment w:val="center"/>
              <w:rPr>
                <w:rFonts w:hint="eastAsia" w:ascii="宋体" w:hAnsi="宋体" w:eastAsia="宋体" w:cs="宋体"/>
                <w:kern w:val="0"/>
                <w:sz w:val="18"/>
                <w:szCs w:val="18"/>
                <w:lang w:bidi="ar"/>
              </w:rPr>
            </w:pPr>
            <w:r>
              <w:rPr>
                <w:rFonts w:hint="eastAsia" w:ascii="宋体" w:hAnsi="宋体" w:eastAsia="宋体" w:cs="宋体"/>
                <w:kern w:val="0"/>
                <w:sz w:val="18"/>
                <w:szCs w:val="18"/>
                <w:lang w:bidi="ar"/>
              </w:rPr>
              <w:t>（四）具有健全的管理制度；</w:t>
            </w:r>
          </w:p>
          <w:p w14:paraId="54E066C3">
            <w:pPr>
              <w:widowControl/>
              <w:spacing w:line="280" w:lineRule="exact"/>
              <w:textAlignment w:val="center"/>
              <w:rPr>
                <w:rFonts w:hint="eastAsia" w:ascii="宋体" w:hAnsi="宋体" w:eastAsia="宋体" w:cs="宋体"/>
                <w:kern w:val="0"/>
                <w:sz w:val="18"/>
                <w:szCs w:val="18"/>
                <w:lang w:bidi="ar"/>
              </w:rPr>
            </w:pPr>
            <w:r>
              <w:rPr>
                <w:rFonts w:hint="eastAsia" w:ascii="宋体" w:hAnsi="宋体" w:eastAsia="宋体" w:cs="宋体"/>
                <w:kern w:val="0"/>
                <w:sz w:val="18"/>
                <w:szCs w:val="18"/>
                <w:lang w:bidi="ar"/>
              </w:rPr>
              <w:t>（五）符合国务院水行政主管部门规定的其他条件。</w:t>
            </w:r>
          </w:p>
          <w:p w14:paraId="0EFE1203">
            <w:pPr>
              <w:widowControl/>
              <w:spacing w:line="280" w:lineRule="exact"/>
              <w:textAlignment w:val="center"/>
              <w:rPr>
                <w:rFonts w:hint="eastAsia" w:ascii="宋体" w:hAnsi="宋体" w:eastAsia="宋体" w:cs="宋体"/>
                <w:kern w:val="0"/>
                <w:sz w:val="18"/>
                <w:szCs w:val="18"/>
                <w:lang w:bidi="ar"/>
              </w:rPr>
            </w:pPr>
            <w:r>
              <w:rPr>
                <w:rFonts w:hint="eastAsia" w:ascii="宋体" w:hAnsi="宋体" w:eastAsia="宋体" w:cs="宋体"/>
                <w:kern w:val="0"/>
                <w:sz w:val="18"/>
                <w:szCs w:val="18"/>
                <w:lang w:bidi="ar"/>
              </w:rPr>
              <w:t>第三十八条 不符合本条例第二十四条规定的条件从事水文活动的，责令停止违法行为，没收违法所得，并处5万元以上10万元以下罚款。</w:t>
            </w:r>
          </w:p>
        </w:tc>
        <w:tc>
          <w:tcPr>
            <w:tcW w:w="1672" w:type="dxa"/>
            <w:vMerge w:val="restart"/>
            <w:tcBorders>
              <w:top w:val="single" w:color="auto" w:sz="4" w:space="0"/>
              <w:left w:val="single" w:color="auto" w:sz="4" w:space="0"/>
              <w:right w:val="single" w:color="auto" w:sz="4" w:space="0"/>
            </w:tcBorders>
            <w:noWrap w:val="0"/>
            <w:tcMar>
              <w:top w:w="0" w:type="dxa"/>
              <w:left w:w="0" w:type="dxa"/>
              <w:bottom w:w="0" w:type="dxa"/>
              <w:right w:w="0" w:type="dxa"/>
            </w:tcMar>
            <w:vAlign w:val="center"/>
          </w:tcPr>
          <w:p w14:paraId="70BED31F">
            <w:pPr>
              <w:spacing w:line="280" w:lineRule="exact"/>
              <w:jc w:val="both"/>
              <w:rPr>
                <w:rFonts w:hint="eastAsia" w:ascii="宋体" w:hAnsi="宋体" w:eastAsia="宋体" w:cs="宋体"/>
                <w:sz w:val="18"/>
                <w:szCs w:val="18"/>
              </w:rPr>
            </w:pPr>
            <w:r>
              <w:rPr>
                <w:rFonts w:hint="eastAsia" w:ascii="宋体" w:hAnsi="宋体" w:eastAsia="宋体" w:cs="宋体"/>
                <w:kern w:val="0"/>
                <w:sz w:val="18"/>
                <w:szCs w:val="18"/>
                <w:lang w:bidi="ar"/>
              </w:rPr>
              <w:t>对水文、水资源调查评价单位不具备法人资格和固定工作场所，不具备与所从事水文活动相适应的专业技术人员、专业技术装备等条件，从事水文活动行为的</w:t>
            </w:r>
          </w:p>
        </w:tc>
        <w:tc>
          <w:tcPr>
            <w:tcW w:w="78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DC8568A">
            <w:pPr>
              <w:spacing w:line="280" w:lineRule="exact"/>
              <w:jc w:val="center"/>
              <w:rPr>
                <w:rFonts w:hint="eastAsia" w:ascii="宋体" w:hAnsi="宋体" w:eastAsia="宋体" w:cs="宋体"/>
                <w:sz w:val="18"/>
                <w:szCs w:val="18"/>
              </w:rPr>
            </w:pPr>
            <w:r>
              <w:rPr>
                <w:rFonts w:hint="eastAsia" w:ascii="宋体" w:hAnsi="宋体" w:eastAsia="宋体" w:cs="宋体"/>
                <w:sz w:val="18"/>
                <w:szCs w:val="18"/>
              </w:rPr>
              <w:t>轻微</w:t>
            </w:r>
          </w:p>
        </w:tc>
        <w:tc>
          <w:tcPr>
            <w:tcW w:w="367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554BF396">
            <w:pPr>
              <w:snapToGrid w:val="0"/>
              <w:spacing w:line="28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3FE56BBB">
            <w:pPr>
              <w:spacing w:line="280" w:lineRule="exact"/>
              <w:rPr>
                <w:rStyle w:val="21"/>
                <w:rFonts w:hint="eastAsia" w:ascii="宋体" w:hAnsi="宋体" w:eastAsia="宋体" w:cs="宋体"/>
                <w:color w:val="auto"/>
                <w:sz w:val="18"/>
                <w:szCs w:val="18"/>
                <w:lang w:bidi="ar"/>
              </w:rPr>
            </w:pPr>
          </w:p>
        </w:tc>
        <w:tc>
          <w:tcPr>
            <w:tcW w:w="197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1C70FEF1">
            <w:pPr>
              <w:snapToGrid w:val="0"/>
              <w:spacing w:line="28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7D8B872D">
            <w:pPr>
              <w:spacing w:line="280" w:lineRule="exact"/>
              <w:rPr>
                <w:rStyle w:val="21"/>
                <w:rFonts w:hint="eastAsia" w:ascii="宋体" w:hAnsi="宋体" w:eastAsia="宋体" w:cs="宋体"/>
                <w:color w:val="auto"/>
                <w:sz w:val="18"/>
                <w:szCs w:val="18"/>
                <w:lang w:bidi="ar"/>
              </w:rPr>
            </w:pPr>
          </w:p>
        </w:tc>
        <w:tc>
          <w:tcPr>
            <w:tcW w:w="1285" w:type="dxa"/>
            <w:vMerge w:val="restart"/>
            <w:tcBorders>
              <w:top w:val="single" w:color="auto" w:sz="4" w:space="0"/>
              <w:left w:val="single" w:color="auto" w:sz="4" w:space="0"/>
              <w:right w:val="single" w:color="auto" w:sz="4" w:space="0"/>
            </w:tcBorders>
            <w:noWrap w:val="0"/>
            <w:tcMar>
              <w:top w:w="0" w:type="dxa"/>
              <w:left w:w="0" w:type="dxa"/>
              <w:bottom w:w="0" w:type="dxa"/>
              <w:right w:w="0" w:type="dxa"/>
            </w:tcMar>
            <w:vAlign w:val="center"/>
          </w:tcPr>
          <w:p w14:paraId="6113FBD7">
            <w:pPr>
              <w:spacing w:line="280" w:lineRule="exact"/>
              <w:jc w:val="center"/>
              <w:rPr>
                <w:rStyle w:val="21"/>
                <w:rFonts w:hint="eastAsia" w:ascii="宋体" w:hAnsi="宋体" w:eastAsia="宋体" w:cs="宋体"/>
                <w:color w:val="auto"/>
                <w:sz w:val="18"/>
                <w:szCs w:val="18"/>
                <w:lang w:bidi="ar"/>
              </w:rPr>
            </w:pPr>
          </w:p>
        </w:tc>
      </w:tr>
      <w:tr w14:paraId="4D6770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96" w:type="dxa"/>
            <w:vMerge w:val="continue"/>
            <w:tcBorders>
              <w:left w:val="single" w:color="auto" w:sz="4" w:space="0"/>
              <w:right w:val="single" w:color="auto" w:sz="4" w:space="0"/>
            </w:tcBorders>
            <w:noWrap w:val="0"/>
            <w:tcMar>
              <w:top w:w="0" w:type="dxa"/>
              <w:left w:w="0" w:type="dxa"/>
              <w:bottom w:w="0" w:type="dxa"/>
              <w:right w:w="0" w:type="dxa"/>
            </w:tcMar>
            <w:vAlign w:val="center"/>
          </w:tcPr>
          <w:p w14:paraId="79E90D00">
            <w:pPr>
              <w:spacing w:line="280" w:lineRule="exact"/>
              <w:jc w:val="center"/>
              <w:rPr>
                <w:rFonts w:hint="eastAsia" w:ascii="宋体" w:hAnsi="宋体" w:eastAsia="宋体" w:cs="宋体"/>
                <w:sz w:val="18"/>
                <w:szCs w:val="18"/>
              </w:rPr>
            </w:pPr>
          </w:p>
        </w:tc>
        <w:tc>
          <w:tcPr>
            <w:tcW w:w="1257" w:type="dxa"/>
            <w:vMerge w:val="continue"/>
            <w:tcBorders>
              <w:left w:val="single" w:color="auto" w:sz="4" w:space="0"/>
              <w:right w:val="single" w:color="auto" w:sz="4" w:space="0"/>
            </w:tcBorders>
            <w:noWrap w:val="0"/>
            <w:tcMar>
              <w:top w:w="0" w:type="dxa"/>
              <w:left w:w="0" w:type="dxa"/>
              <w:bottom w:w="0" w:type="dxa"/>
              <w:right w:w="0" w:type="dxa"/>
            </w:tcMar>
            <w:vAlign w:val="center"/>
          </w:tcPr>
          <w:p w14:paraId="06F553DD">
            <w:pPr>
              <w:widowControl/>
              <w:spacing w:line="280" w:lineRule="exact"/>
              <w:textAlignment w:val="center"/>
              <w:rPr>
                <w:rFonts w:hint="eastAsia" w:ascii="宋体" w:hAnsi="宋体" w:eastAsia="宋体" w:cs="宋体"/>
                <w:kern w:val="0"/>
                <w:sz w:val="18"/>
                <w:szCs w:val="18"/>
                <w:lang w:bidi="ar"/>
              </w:rPr>
            </w:pPr>
          </w:p>
        </w:tc>
        <w:tc>
          <w:tcPr>
            <w:tcW w:w="3805" w:type="dxa"/>
            <w:vMerge w:val="continue"/>
            <w:tcBorders>
              <w:left w:val="single" w:color="auto" w:sz="4" w:space="0"/>
              <w:right w:val="single" w:color="auto" w:sz="4" w:space="0"/>
            </w:tcBorders>
            <w:noWrap w:val="0"/>
            <w:tcMar>
              <w:top w:w="0" w:type="dxa"/>
              <w:left w:w="0" w:type="dxa"/>
              <w:bottom w:w="0" w:type="dxa"/>
              <w:right w:w="0" w:type="dxa"/>
            </w:tcMar>
            <w:vAlign w:val="center"/>
          </w:tcPr>
          <w:p w14:paraId="0D66D2AB">
            <w:pPr>
              <w:widowControl/>
              <w:spacing w:line="280" w:lineRule="exact"/>
              <w:ind w:firstLine="360" w:firstLineChars="200"/>
              <w:textAlignment w:val="center"/>
              <w:rPr>
                <w:rFonts w:hint="eastAsia" w:ascii="宋体" w:hAnsi="宋体" w:eastAsia="宋体" w:cs="宋体"/>
                <w:kern w:val="0"/>
                <w:sz w:val="18"/>
                <w:szCs w:val="18"/>
                <w:lang w:bidi="ar"/>
              </w:rPr>
            </w:pPr>
          </w:p>
        </w:tc>
        <w:tc>
          <w:tcPr>
            <w:tcW w:w="1672" w:type="dxa"/>
            <w:vMerge w:val="continue"/>
            <w:tcBorders>
              <w:left w:val="single" w:color="auto" w:sz="4" w:space="0"/>
              <w:right w:val="single" w:color="auto" w:sz="4" w:space="0"/>
            </w:tcBorders>
            <w:noWrap w:val="0"/>
            <w:tcMar>
              <w:top w:w="0" w:type="dxa"/>
              <w:left w:w="0" w:type="dxa"/>
              <w:bottom w:w="0" w:type="dxa"/>
              <w:right w:w="0" w:type="dxa"/>
            </w:tcMar>
            <w:vAlign w:val="center"/>
          </w:tcPr>
          <w:p w14:paraId="32E2F640">
            <w:pPr>
              <w:spacing w:line="280" w:lineRule="exact"/>
              <w:jc w:val="both"/>
              <w:rPr>
                <w:rFonts w:hint="eastAsia" w:ascii="宋体" w:hAnsi="宋体" w:eastAsia="宋体" w:cs="宋体"/>
                <w:sz w:val="18"/>
                <w:szCs w:val="18"/>
              </w:rPr>
            </w:pPr>
          </w:p>
        </w:tc>
        <w:tc>
          <w:tcPr>
            <w:tcW w:w="78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2D35EF4">
            <w:pPr>
              <w:spacing w:line="280" w:lineRule="exact"/>
              <w:jc w:val="center"/>
              <w:rPr>
                <w:rFonts w:hint="eastAsia" w:ascii="宋体" w:hAnsi="宋体" w:eastAsia="宋体" w:cs="宋体"/>
                <w:sz w:val="18"/>
                <w:szCs w:val="18"/>
              </w:rPr>
            </w:pPr>
            <w:r>
              <w:rPr>
                <w:rFonts w:hint="eastAsia" w:ascii="宋体" w:hAnsi="宋体" w:eastAsia="宋体" w:cs="宋体"/>
                <w:sz w:val="18"/>
                <w:szCs w:val="18"/>
              </w:rPr>
              <w:t>较轻</w:t>
            </w:r>
          </w:p>
        </w:tc>
        <w:tc>
          <w:tcPr>
            <w:tcW w:w="367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385AD7F2">
            <w:pPr>
              <w:snapToGrid w:val="0"/>
              <w:spacing w:line="28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76BE4676">
            <w:pPr>
              <w:spacing w:line="280" w:lineRule="exact"/>
              <w:rPr>
                <w:rStyle w:val="21"/>
                <w:rFonts w:hint="eastAsia" w:ascii="宋体" w:hAnsi="宋体" w:eastAsia="宋体" w:cs="宋体"/>
                <w:color w:val="auto"/>
                <w:sz w:val="18"/>
                <w:szCs w:val="18"/>
                <w:lang w:bidi="ar"/>
              </w:rPr>
            </w:pPr>
          </w:p>
        </w:tc>
        <w:tc>
          <w:tcPr>
            <w:tcW w:w="197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0771171D">
            <w:pPr>
              <w:snapToGrid w:val="0"/>
              <w:spacing w:line="28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3719EC5D">
            <w:pPr>
              <w:spacing w:line="280" w:lineRule="exact"/>
              <w:rPr>
                <w:rStyle w:val="21"/>
                <w:rFonts w:hint="eastAsia" w:ascii="宋体" w:hAnsi="宋体" w:eastAsia="宋体" w:cs="宋体"/>
                <w:color w:val="auto"/>
                <w:sz w:val="18"/>
                <w:szCs w:val="18"/>
                <w:lang w:bidi="ar"/>
              </w:rPr>
            </w:pPr>
          </w:p>
        </w:tc>
        <w:tc>
          <w:tcPr>
            <w:tcW w:w="1285" w:type="dxa"/>
            <w:vMerge w:val="continue"/>
            <w:tcBorders>
              <w:left w:val="single" w:color="auto" w:sz="4" w:space="0"/>
              <w:right w:val="single" w:color="auto" w:sz="4" w:space="0"/>
            </w:tcBorders>
            <w:noWrap w:val="0"/>
            <w:tcMar>
              <w:top w:w="0" w:type="dxa"/>
              <w:left w:w="0" w:type="dxa"/>
              <w:bottom w:w="0" w:type="dxa"/>
              <w:right w:w="0" w:type="dxa"/>
            </w:tcMar>
            <w:vAlign w:val="center"/>
          </w:tcPr>
          <w:p w14:paraId="4315DF03">
            <w:pPr>
              <w:spacing w:line="280" w:lineRule="exact"/>
              <w:jc w:val="center"/>
              <w:rPr>
                <w:rStyle w:val="21"/>
                <w:rFonts w:hint="eastAsia" w:ascii="宋体" w:hAnsi="宋体" w:eastAsia="宋体" w:cs="宋体"/>
                <w:color w:val="auto"/>
                <w:sz w:val="18"/>
                <w:szCs w:val="18"/>
                <w:lang w:bidi="ar"/>
              </w:rPr>
            </w:pPr>
          </w:p>
        </w:tc>
      </w:tr>
      <w:tr w14:paraId="5A5324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9" w:hRule="atLeast"/>
          <w:jc w:val="center"/>
        </w:trPr>
        <w:tc>
          <w:tcPr>
            <w:tcW w:w="496" w:type="dxa"/>
            <w:vMerge w:val="continue"/>
            <w:tcBorders>
              <w:left w:val="single" w:color="auto" w:sz="4" w:space="0"/>
              <w:right w:val="single" w:color="auto" w:sz="4" w:space="0"/>
            </w:tcBorders>
            <w:noWrap w:val="0"/>
            <w:tcMar>
              <w:top w:w="0" w:type="dxa"/>
              <w:left w:w="0" w:type="dxa"/>
              <w:bottom w:w="0" w:type="dxa"/>
              <w:right w:w="0" w:type="dxa"/>
            </w:tcMar>
            <w:vAlign w:val="center"/>
          </w:tcPr>
          <w:p w14:paraId="330DBE73">
            <w:pPr>
              <w:spacing w:line="280" w:lineRule="exact"/>
              <w:jc w:val="center"/>
              <w:rPr>
                <w:rFonts w:hint="eastAsia" w:ascii="宋体" w:hAnsi="宋体" w:eastAsia="宋体" w:cs="宋体"/>
                <w:sz w:val="18"/>
                <w:szCs w:val="18"/>
              </w:rPr>
            </w:pPr>
          </w:p>
        </w:tc>
        <w:tc>
          <w:tcPr>
            <w:tcW w:w="1257" w:type="dxa"/>
            <w:vMerge w:val="continue"/>
            <w:tcBorders>
              <w:left w:val="single" w:color="auto" w:sz="4" w:space="0"/>
              <w:right w:val="single" w:color="auto" w:sz="4" w:space="0"/>
            </w:tcBorders>
            <w:noWrap w:val="0"/>
            <w:tcMar>
              <w:top w:w="0" w:type="dxa"/>
              <w:left w:w="0" w:type="dxa"/>
              <w:bottom w:w="0" w:type="dxa"/>
              <w:right w:w="0" w:type="dxa"/>
            </w:tcMar>
            <w:vAlign w:val="center"/>
          </w:tcPr>
          <w:p w14:paraId="15677E99">
            <w:pPr>
              <w:widowControl/>
              <w:spacing w:line="280" w:lineRule="exact"/>
              <w:textAlignment w:val="center"/>
              <w:rPr>
                <w:rFonts w:hint="eastAsia" w:ascii="宋体" w:hAnsi="宋体" w:eastAsia="宋体" w:cs="宋体"/>
                <w:kern w:val="0"/>
                <w:sz w:val="18"/>
                <w:szCs w:val="18"/>
                <w:lang w:bidi="ar"/>
              </w:rPr>
            </w:pPr>
          </w:p>
        </w:tc>
        <w:tc>
          <w:tcPr>
            <w:tcW w:w="3805" w:type="dxa"/>
            <w:vMerge w:val="continue"/>
            <w:tcBorders>
              <w:left w:val="single" w:color="auto" w:sz="4" w:space="0"/>
              <w:right w:val="single" w:color="auto" w:sz="4" w:space="0"/>
            </w:tcBorders>
            <w:noWrap w:val="0"/>
            <w:tcMar>
              <w:top w:w="0" w:type="dxa"/>
              <w:left w:w="0" w:type="dxa"/>
              <w:bottom w:w="0" w:type="dxa"/>
              <w:right w:w="0" w:type="dxa"/>
            </w:tcMar>
            <w:vAlign w:val="center"/>
          </w:tcPr>
          <w:p w14:paraId="503855B2">
            <w:pPr>
              <w:widowControl/>
              <w:spacing w:line="280" w:lineRule="exact"/>
              <w:ind w:firstLine="360" w:firstLineChars="200"/>
              <w:textAlignment w:val="center"/>
              <w:rPr>
                <w:rFonts w:hint="eastAsia" w:ascii="宋体" w:hAnsi="宋体" w:eastAsia="宋体" w:cs="宋体"/>
                <w:kern w:val="0"/>
                <w:sz w:val="18"/>
                <w:szCs w:val="18"/>
                <w:lang w:bidi="ar"/>
              </w:rPr>
            </w:pPr>
          </w:p>
        </w:tc>
        <w:tc>
          <w:tcPr>
            <w:tcW w:w="1672" w:type="dxa"/>
            <w:vMerge w:val="continue"/>
            <w:tcBorders>
              <w:left w:val="single" w:color="auto" w:sz="4" w:space="0"/>
              <w:right w:val="single" w:color="auto" w:sz="4" w:space="0"/>
            </w:tcBorders>
            <w:noWrap w:val="0"/>
            <w:tcMar>
              <w:top w:w="0" w:type="dxa"/>
              <w:left w:w="0" w:type="dxa"/>
              <w:bottom w:w="0" w:type="dxa"/>
              <w:right w:w="0" w:type="dxa"/>
            </w:tcMar>
            <w:vAlign w:val="center"/>
          </w:tcPr>
          <w:p w14:paraId="5F24CB70">
            <w:pPr>
              <w:spacing w:line="280" w:lineRule="exact"/>
              <w:jc w:val="both"/>
              <w:rPr>
                <w:rFonts w:hint="eastAsia" w:ascii="宋体" w:hAnsi="宋体" w:eastAsia="宋体" w:cs="宋体"/>
                <w:sz w:val="18"/>
                <w:szCs w:val="18"/>
              </w:rPr>
            </w:pPr>
          </w:p>
        </w:tc>
        <w:tc>
          <w:tcPr>
            <w:tcW w:w="78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E1EAD7F">
            <w:pPr>
              <w:spacing w:line="280" w:lineRule="exact"/>
              <w:jc w:val="center"/>
              <w:rPr>
                <w:rFonts w:hint="eastAsia" w:ascii="宋体" w:hAnsi="宋体" w:eastAsia="宋体" w:cs="宋体"/>
                <w:sz w:val="18"/>
                <w:szCs w:val="18"/>
              </w:rPr>
            </w:pPr>
            <w:r>
              <w:rPr>
                <w:rFonts w:hint="eastAsia" w:ascii="宋体" w:hAnsi="宋体" w:eastAsia="宋体" w:cs="宋体"/>
                <w:sz w:val="18"/>
                <w:szCs w:val="18"/>
              </w:rPr>
              <w:t>一般</w:t>
            </w:r>
          </w:p>
        </w:tc>
        <w:tc>
          <w:tcPr>
            <w:tcW w:w="367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6EB5AE5">
            <w:pPr>
              <w:spacing w:line="280" w:lineRule="exact"/>
              <w:rPr>
                <w:rFonts w:hint="eastAsia" w:ascii="宋体" w:hAnsi="宋体" w:eastAsia="宋体" w:cs="宋体"/>
                <w:color w:val="000000"/>
                <w:sz w:val="18"/>
                <w:szCs w:val="18"/>
                <w:lang w:bidi="ar"/>
              </w:rPr>
            </w:pPr>
            <w:r>
              <w:rPr>
                <w:rStyle w:val="21"/>
                <w:rFonts w:hint="eastAsia" w:ascii="宋体" w:hAnsi="宋体" w:eastAsia="宋体" w:cs="宋体"/>
                <w:sz w:val="18"/>
                <w:szCs w:val="18"/>
                <w:lang w:bidi="ar"/>
              </w:rPr>
              <w:t>初次违反上述规定从事水文活动，且无违法所得的</w:t>
            </w:r>
          </w:p>
        </w:tc>
        <w:tc>
          <w:tcPr>
            <w:tcW w:w="197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15A3BA1">
            <w:pPr>
              <w:spacing w:line="280" w:lineRule="exact"/>
              <w:rPr>
                <w:rFonts w:hint="eastAsia" w:ascii="宋体" w:hAnsi="宋体" w:eastAsia="宋体" w:cs="宋体"/>
                <w:color w:val="000000"/>
                <w:sz w:val="18"/>
                <w:szCs w:val="18"/>
                <w:lang w:bidi="ar"/>
              </w:rPr>
            </w:pPr>
            <w:r>
              <w:rPr>
                <w:rStyle w:val="21"/>
                <w:rFonts w:hint="eastAsia" w:ascii="宋体" w:hAnsi="宋体" w:eastAsia="宋体" w:cs="宋体"/>
                <w:sz w:val="18"/>
                <w:szCs w:val="18"/>
                <w:lang w:bidi="ar"/>
              </w:rPr>
              <w:t>没收违法所得，处5万元以上6万元以下罚款</w:t>
            </w:r>
          </w:p>
        </w:tc>
        <w:tc>
          <w:tcPr>
            <w:tcW w:w="1285" w:type="dxa"/>
            <w:vMerge w:val="continue"/>
            <w:tcBorders>
              <w:left w:val="single" w:color="auto" w:sz="4" w:space="0"/>
              <w:right w:val="single" w:color="auto" w:sz="4" w:space="0"/>
            </w:tcBorders>
            <w:noWrap w:val="0"/>
            <w:tcMar>
              <w:top w:w="0" w:type="dxa"/>
              <w:left w:w="0" w:type="dxa"/>
              <w:bottom w:w="0" w:type="dxa"/>
              <w:right w:w="0" w:type="dxa"/>
            </w:tcMar>
            <w:vAlign w:val="center"/>
          </w:tcPr>
          <w:p w14:paraId="4B3C2D6E">
            <w:pPr>
              <w:spacing w:line="280" w:lineRule="exact"/>
              <w:jc w:val="center"/>
              <w:rPr>
                <w:rStyle w:val="21"/>
                <w:rFonts w:hint="eastAsia" w:ascii="宋体" w:hAnsi="宋体" w:eastAsia="宋体" w:cs="宋体"/>
                <w:sz w:val="18"/>
                <w:szCs w:val="18"/>
                <w:lang w:bidi="ar"/>
              </w:rPr>
            </w:pPr>
          </w:p>
        </w:tc>
      </w:tr>
      <w:tr w14:paraId="7190EE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4" w:hRule="atLeast"/>
          <w:jc w:val="center"/>
        </w:trPr>
        <w:tc>
          <w:tcPr>
            <w:tcW w:w="496" w:type="dxa"/>
            <w:vMerge w:val="continue"/>
            <w:tcBorders>
              <w:left w:val="single" w:color="auto" w:sz="4" w:space="0"/>
              <w:right w:val="single" w:color="auto" w:sz="4" w:space="0"/>
            </w:tcBorders>
            <w:noWrap w:val="0"/>
            <w:tcMar>
              <w:top w:w="0" w:type="dxa"/>
              <w:left w:w="0" w:type="dxa"/>
              <w:bottom w:w="0" w:type="dxa"/>
              <w:right w:w="0" w:type="dxa"/>
            </w:tcMar>
            <w:vAlign w:val="center"/>
          </w:tcPr>
          <w:p w14:paraId="10FCEF77">
            <w:pPr>
              <w:spacing w:line="280" w:lineRule="exact"/>
              <w:jc w:val="center"/>
              <w:rPr>
                <w:rFonts w:hint="eastAsia" w:ascii="宋体" w:hAnsi="宋体" w:eastAsia="宋体" w:cs="宋体"/>
                <w:sz w:val="18"/>
                <w:szCs w:val="18"/>
              </w:rPr>
            </w:pPr>
          </w:p>
        </w:tc>
        <w:tc>
          <w:tcPr>
            <w:tcW w:w="1257" w:type="dxa"/>
            <w:vMerge w:val="continue"/>
            <w:tcBorders>
              <w:left w:val="single" w:color="auto" w:sz="4" w:space="0"/>
              <w:right w:val="single" w:color="auto" w:sz="4" w:space="0"/>
            </w:tcBorders>
            <w:noWrap w:val="0"/>
            <w:tcMar>
              <w:top w:w="0" w:type="dxa"/>
              <w:left w:w="0" w:type="dxa"/>
              <w:bottom w:w="0" w:type="dxa"/>
              <w:right w:w="0" w:type="dxa"/>
            </w:tcMar>
            <w:vAlign w:val="center"/>
          </w:tcPr>
          <w:p w14:paraId="4946C9B2">
            <w:pPr>
              <w:widowControl/>
              <w:spacing w:line="280" w:lineRule="exact"/>
              <w:textAlignment w:val="center"/>
              <w:rPr>
                <w:rFonts w:hint="eastAsia" w:ascii="宋体" w:hAnsi="宋体" w:eastAsia="宋体" w:cs="宋体"/>
                <w:kern w:val="0"/>
                <w:sz w:val="18"/>
                <w:szCs w:val="18"/>
                <w:lang w:bidi="ar"/>
              </w:rPr>
            </w:pPr>
          </w:p>
        </w:tc>
        <w:tc>
          <w:tcPr>
            <w:tcW w:w="3805" w:type="dxa"/>
            <w:vMerge w:val="continue"/>
            <w:tcBorders>
              <w:left w:val="single" w:color="auto" w:sz="4" w:space="0"/>
              <w:right w:val="single" w:color="auto" w:sz="4" w:space="0"/>
            </w:tcBorders>
            <w:noWrap w:val="0"/>
            <w:tcMar>
              <w:top w:w="0" w:type="dxa"/>
              <w:left w:w="0" w:type="dxa"/>
              <w:bottom w:w="0" w:type="dxa"/>
              <w:right w:w="0" w:type="dxa"/>
            </w:tcMar>
            <w:vAlign w:val="center"/>
          </w:tcPr>
          <w:p w14:paraId="2F816057">
            <w:pPr>
              <w:widowControl/>
              <w:spacing w:line="280" w:lineRule="exact"/>
              <w:ind w:firstLine="360" w:firstLineChars="200"/>
              <w:textAlignment w:val="center"/>
              <w:rPr>
                <w:rFonts w:hint="eastAsia" w:ascii="宋体" w:hAnsi="宋体" w:eastAsia="宋体" w:cs="宋体"/>
                <w:kern w:val="0"/>
                <w:sz w:val="18"/>
                <w:szCs w:val="18"/>
                <w:lang w:bidi="ar"/>
              </w:rPr>
            </w:pPr>
          </w:p>
        </w:tc>
        <w:tc>
          <w:tcPr>
            <w:tcW w:w="1672" w:type="dxa"/>
            <w:vMerge w:val="continue"/>
            <w:tcBorders>
              <w:left w:val="single" w:color="auto" w:sz="4" w:space="0"/>
              <w:right w:val="single" w:color="auto" w:sz="4" w:space="0"/>
            </w:tcBorders>
            <w:noWrap w:val="0"/>
            <w:tcMar>
              <w:top w:w="0" w:type="dxa"/>
              <w:left w:w="0" w:type="dxa"/>
              <w:bottom w:w="0" w:type="dxa"/>
              <w:right w:w="0" w:type="dxa"/>
            </w:tcMar>
            <w:vAlign w:val="center"/>
          </w:tcPr>
          <w:p w14:paraId="3B08AD63">
            <w:pPr>
              <w:spacing w:line="280" w:lineRule="exact"/>
              <w:jc w:val="both"/>
              <w:rPr>
                <w:rFonts w:hint="eastAsia" w:ascii="宋体" w:hAnsi="宋体" w:eastAsia="宋体" w:cs="宋体"/>
                <w:sz w:val="18"/>
                <w:szCs w:val="18"/>
              </w:rPr>
            </w:pPr>
          </w:p>
        </w:tc>
        <w:tc>
          <w:tcPr>
            <w:tcW w:w="78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99D742B">
            <w:pPr>
              <w:spacing w:line="280" w:lineRule="exact"/>
              <w:jc w:val="center"/>
              <w:rPr>
                <w:rFonts w:hint="eastAsia" w:ascii="宋体" w:hAnsi="宋体" w:eastAsia="宋体" w:cs="宋体"/>
                <w:sz w:val="18"/>
                <w:szCs w:val="18"/>
                <w:lang w:eastAsia="zh-CN"/>
              </w:rPr>
            </w:pPr>
            <w:r>
              <w:rPr>
                <w:rFonts w:hint="eastAsia" w:ascii="宋体" w:hAnsi="宋体" w:eastAsia="宋体" w:cs="宋体"/>
                <w:sz w:val="18"/>
                <w:szCs w:val="18"/>
                <w:lang w:eastAsia="zh-CN"/>
              </w:rPr>
              <w:t>较重</w:t>
            </w:r>
          </w:p>
        </w:tc>
        <w:tc>
          <w:tcPr>
            <w:tcW w:w="367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B1A6BE2">
            <w:pPr>
              <w:spacing w:line="280" w:lineRule="exact"/>
              <w:rPr>
                <w:rFonts w:hint="eastAsia" w:ascii="宋体" w:hAnsi="宋体" w:eastAsia="宋体" w:cs="宋体"/>
                <w:color w:val="000000"/>
                <w:sz w:val="18"/>
                <w:szCs w:val="18"/>
                <w:lang w:bidi="ar"/>
              </w:rPr>
            </w:pPr>
            <w:r>
              <w:rPr>
                <w:rStyle w:val="21"/>
                <w:rFonts w:hint="eastAsia" w:ascii="宋体" w:hAnsi="宋体" w:eastAsia="宋体" w:cs="宋体"/>
                <w:sz w:val="18"/>
                <w:szCs w:val="18"/>
                <w:lang w:bidi="ar"/>
              </w:rPr>
              <w:t>两次以上违反上述规定从事水文活动的，或者违法所得不足10万元的</w:t>
            </w:r>
          </w:p>
        </w:tc>
        <w:tc>
          <w:tcPr>
            <w:tcW w:w="197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A0A1DC1">
            <w:pPr>
              <w:spacing w:line="280" w:lineRule="exact"/>
              <w:rPr>
                <w:rFonts w:hint="eastAsia" w:ascii="宋体" w:hAnsi="宋体" w:eastAsia="宋体" w:cs="宋体"/>
                <w:color w:val="000000"/>
                <w:sz w:val="18"/>
                <w:szCs w:val="18"/>
                <w:lang w:bidi="ar"/>
              </w:rPr>
            </w:pPr>
            <w:r>
              <w:rPr>
                <w:rStyle w:val="21"/>
                <w:rFonts w:hint="eastAsia" w:ascii="宋体" w:hAnsi="宋体" w:eastAsia="宋体" w:cs="宋体"/>
                <w:sz w:val="18"/>
                <w:szCs w:val="18"/>
                <w:lang w:bidi="ar"/>
              </w:rPr>
              <w:t>没收违法所得，处6万元以上8万元以下罚款</w:t>
            </w:r>
          </w:p>
        </w:tc>
        <w:tc>
          <w:tcPr>
            <w:tcW w:w="1285" w:type="dxa"/>
            <w:vMerge w:val="continue"/>
            <w:tcBorders>
              <w:left w:val="single" w:color="auto" w:sz="4" w:space="0"/>
              <w:right w:val="single" w:color="auto" w:sz="4" w:space="0"/>
            </w:tcBorders>
            <w:noWrap w:val="0"/>
            <w:tcMar>
              <w:top w:w="0" w:type="dxa"/>
              <w:left w:w="0" w:type="dxa"/>
              <w:bottom w:w="0" w:type="dxa"/>
              <w:right w:w="0" w:type="dxa"/>
            </w:tcMar>
            <w:vAlign w:val="center"/>
          </w:tcPr>
          <w:p w14:paraId="1C13DC59">
            <w:pPr>
              <w:spacing w:line="280" w:lineRule="exact"/>
              <w:jc w:val="center"/>
              <w:rPr>
                <w:rStyle w:val="21"/>
                <w:rFonts w:hint="eastAsia" w:ascii="宋体" w:hAnsi="宋体" w:eastAsia="宋体" w:cs="宋体"/>
                <w:sz w:val="18"/>
                <w:szCs w:val="18"/>
                <w:lang w:bidi="ar"/>
              </w:rPr>
            </w:pPr>
          </w:p>
        </w:tc>
      </w:tr>
      <w:tr w14:paraId="0B3F01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7" w:hRule="atLeast"/>
          <w:jc w:val="center"/>
        </w:trPr>
        <w:tc>
          <w:tcPr>
            <w:tcW w:w="496" w:type="dxa"/>
            <w:vMerge w:val="continue"/>
            <w:tcBorders>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B114033">
            <w:pPr>
              <w:spacing w:line="280" w:lineRule="exact"/>
              <w:jc w:val="center"/>
              <w:rPr>
                <w:rFonts w:hint="eastAsia" w:ascii="宋体" w:hAnsi="宋体" w:eastAsia="宋体" w:cs="宋体"/>
                <w:sz w:val="18"/>
                <w:szCs w:val="18"/>
              </w:rPr>
            </w:pPr>
          </w:p>
        </w:tc>
        <w:tc>
          <w:tcPr>
            <w:tcW w:w="1257" w:type="dxa"/>
            <w:vMerge w:val="continue"/>
            <w:tcBorders>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E0FD153">
            <w:pPr>
              <w:widowControl/>
              <w:spacing w:line="280" w:lineRule="exact"/>
              <w:textAlignment w:val="center"/>
              <w:rPr>
                <w:rFonts w:hint="eastAsia" w:ascii="宋体" w:hAnsi="宋体" w:eastAsia="宋体" w:cs="宋体"/>
                <w:kern w:val="0"/>
                <w:sz w:val="18"/>
                <w:szCs w:val="18"/>
                <w:lang w:bidi="ar"/>
              </w:rPr>
            </w:pPr>
          </w:p>
        </w:tc>
        <w:tc>
          <w:tcPr>
            <w:tcW w:w="3805" w:type="dxa"/>
            <w:vMerge w:val="continue"/>
            <w:tcBorders>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1A90A96">
            <w:pPr>
              <w:widowControl/>
              <w:spacing w:line="280" w:lineRule="exact"/>
              <w:ind w:firstLine="360" w:firstLineChars="200"/>
              <w:textAlignment w:val="center"/>
              <w:rPr>
                <w:rFonts w:hint="eastAsia" w:ascii="宋体" w:hAnsi="宋体" w:eastAsia="宋体" w:cs="宋体"/>
                <w:kern w:val="0"/>
                <w:sz w:val="18"/>
                <w:szCs w:val="18"/>
                <w:lang w:bidi="ar"/>
              </w:rPr>
            </w:pPr>
          </w:p>
        </w:tc>
        <w:tc>
          <w:tcPr>
            <w:tcW w:w="1672" w:type="dxa"/>
            <w:vMerge w:val="continue"/>
            <w:tcBorders>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4AB33CF">
            <w:pPr>
              <w:spacing w:line="280" w:lineRule="exact"/>
              <w:jc w:val="both"/>
              <w:rPr>
                <w:rFonts w:hint="eastAsia" w:ascii="宋体" w:hAnsi="宋体" w:eastAsia="宋体" w:cs="宋体"/>
                <w:sz w:val="18"/>
                <w:szCs w:val="18"/>
              </w:rPr>
            </w:pPr>
          </w:p>
        </w:tc>
        <w:tc>
          <w:tcPr>
            <w:tcW w:w="78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7841308">
            <w:pPr>
              <w:spacing w:line="280" w:lineRule="exact"/>
              <w:jc w:val="center"/>
              <w:rPr>
                <w:rFonts w:hint="eastAsia" w:ascii="宋体" w:hAnsi="宋体" w:eastAsia="宋体" w:cs="宋体"/>
                <w:sz w:val="18"/>
                <w:szCs w:val="18"/>
              </w:rPr>
            </w:pPr>
            <w:r>
              <w:rPr>
                <w:rFonts w:hint="eastAsia" w:ascii="宋体" w:hAnsi="宋体" w:eastAsia="宋体" w:cs="宋体"/>
                <w:sz w:val="18"/>
                <w:szCs w:val="18"/>
              </w:rPr>
              <w:t>严重</w:t>
            </w:r>
          </w:p>
        </w:tc>
        <w:tc>
          <w:tcPr>
            <w:tcW w:w="367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ECADBE6">
            <w:pPr>
              <w:spacing w:line="280" w:lineRule="exact"/>
              <w:rPr>
                <w:rFonts w:hint="eastAsia" w:ascii="宋体" w:hAnsi="宋体" w:eastAsia="宋体" w:cs="宋体"/>
                <w:color w:val="000000"/>
                <w:sz w:val="18"/>
                <w:szCs w:val="18"/>
                <w:lang w:bidi="ar"/>
              </w:rPr>
            </w:pPr>
            <w:r>
              <w:rPr>
                <w:rStyle w:val="21"/>
                <w:rFonts w:hint="eastAsia" w:ascii="宋体" w:hAnsi="宋体" w:eastAsia="宋体" w:cs="宋体"/>
                <w:sz w:val="18"/>
                <w:szCs w:val="18"/>
                <w:lang w:bidi="ar"/>
              </w:rPr>
              <w:t>从事水文活动违法所得10万元以上的，责令停止违法行为</w:t>
            </w:r>
          </w:p>
        </w:tc>
        <w:tc>
          <w:tcPr>
            <w:tcW w:w="197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51CCA86">
            <w:pPr>
              <w:spacing w:line="280" w:lineRule="exact"/>
              <w:rPr>
                <w:rFonts w:hint="eastAsia" w:ascii="宋体" w:hAnsi="宋体" w:eastAsia="宋体" w:cs="宋体"/>
                <w:color w:val="000000"/>
                <w:sz w:val="18"/>
                <w:szCs w:val="18"/>
                <w:lang w:bidi="ar"/>
              </w:rPr>
            </w:pPr>
            <w:r>
              <w:rPr>
                <w:rStyle w:val="21"/>
                <w:rFonts w:hint="eastAsia" w:ascii="宋体" w:hAnsi="宋体" w:eastAsia="宋体" w:cs="宋体"/>
                <w:sz w:val="18"/>
                <w:szCs w:val="18"/>
                <w:lang w:bidi="ar"/>
              </w:rPr>
              <w:t>没收违法所得，处8万元以上10万元以下罚款</w:t>
            </w:r>
          </w:p>
        </w:tc>
        <w:tc>
          <w:tcPr>
            <w:tcW w:w="1285" w:type="dxa"/>
            <w:vMerge w:val="continue"/>
            <w:tcBorders>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E475A80">
            <w:pPr>
              <w:spacing w:line="280" w:lineRule="exact"/>
              <w:jc w:val="center"/>
              <w:rPr>
                <w:rStyle w:val="21"/>
                <w:rFonts w:hint="eastAsia" w:ascii="宋体" w:hAnsi="宋体" w:eastAsia="宋体" w:cs="宋体"/>
                <w:sz w:val="18"/>
                <w:szCs w:val="18"/>
                <w:lang w:bidi="ar"/>
              </w:rPr>
            </w:pPr>
          </w:p>
        </w:tc>
      </w:tr>
      <w:tr w14:paraId="2E4B0C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496" w:type="dxa"/>
            <w:vMerge w:val="restart"/>
            <w:tcBorders>
              <w:left w:val="single" w:color="auto" w:sz="4" w:space="0"/>
              <w:right w:val="single" w:color="auto" w:sz="4" w:space="0"/>
            </w:tcBorders>
            <w:noWrap w:val="0"/>
            <w:tcMar>
              <w:top w:w="0" w:type="dxa"/>
              <w:left w:w="0" w:type="dxa"/>
              <w:bottom w:w="0" w:type="dxa"/>
              <w:right w:w="0" w:type="dxa"/>
            </w:tcMar>
            <w:vAlign w:val="center"/>
          </w:tcPr>
          <w:p w14:paraId="1558101D">
            <w:pPr>
              <w:widowControl/>
              <w:spacing w:line="280" w:lineRule="exact"/>
              <w:jc w:val="center"/>
              <w:textAlignment w:val="center"/>
              <w:rPr>
                <w:rFonts w:hint="eastAsia" w:ascii="宋体" w:hAnsi="宋体" w:eastAsia="宋体" w:cs="宋体"/>
                <w:sz w:val="18"/>
                <w:szCs w:val="18"/>
                <w:lang w:eastAsia="zh-CN"/>
              </w:rPr>
            </w:pPr>
            <w:r>
              <w:rPr>
                <w:rFonts w:hint="eastAsia" w:ascii="宋体" w:hAnsi="宋体" w:eastAsia="宋体" w:cs="宋体"/>
                <w:kern w:val="0"/>
                <w:sz w:val="18"/>
                <w:szCs w:val="18"/>
                <w:lang w:bidi="ar"/>
              </w:rPr>
              <w:t>3</w:t>
            </w:r>
            <w:r>
              <w:rPr>
                <w:rFonts w:hint="eastAsia" w:ascii="宋体" w:hAnsi="宋体" w:eastAsia="宋体" w:cs="宋体"/>
                <w:kern w:val="0"/>
                <w:sz w:val="18"/>
                <w:szCs w:val="18"/>
                <w:lang w:val="en-US" w:eastAsia="zh-CN" w:bidi="ar"/>
              </w:rPr>
              <w:t>7</w:t>
            </w:r>
          </w:p>
        </w:tc>
        <w:tc>
          <w:tcPr>
            <w:tcW w:w="1257" w:type="dxa"/>
            <w:vMerge w:val="restart"/>
            <w:tcBorders>
              <w:left w:val="single" w:color="auto" w:sz="4" w:space="0"/>
              <w:right w:val="single" w:color="auto" w:sz="4" w:space="0"/>
            </w:tcBorders>
            <w:noWrap w:val="0"/>
            <w:tcMar>
              <w:top w:w="0" w:type="dxa"/>
              <w:left w:w="0" w:type="dxa"/>
              <w:bottom w:w="0" w:type="dxa"/>
              <w:right w:w="0" w:type="dxa"/>
            </w:tcMar>
            <w:vAlign w:val="center"/>
          </w:tcPr>
          <w:p w14:paraId="551999B0">
            <w:pPr>
              <w:widowControl/>
              <w:spacing w:line="280" w:lineRule="exact"/>
              <w:jc w:val="both"/>
              <w:textAlignment w:val="center"/>
              <w:rPr>
                <w:rFonts w:hint="eastAsia" w:ascii="宋体" w:hAnsi="宋体" w:eastAsia="宋体" w:cs="宋体"/>
                <w:kern w:val="0"/>
                <w:sz w:val="18"/>
                <w:szCs w:val="18"/>
                <w:lang w:bidi="ar"/>
              </w:rPr>
            </w:pPr>
            <w:r>
              <w:rPr>
                <w:rFonts w:hint="eastAsia" w:ascii="宋体" w:hAnsi="宋体" w:eastAsia="宋体" w:cs="宋体"/>
                <w:kern w:val="0"/>
                <w:sz w:val="18"/>
                <w:szCs w:val="18"/>
                <w:lang w:bidi="ar"/>
              </w:rPr>
              <w:t>对拒不汇交水文监测资料，非法向社会传播水文情报预报造成严重经济损失和不良影响行为的行政处罚</w:t>
            </w:r>
          </w:p>
        </w:tc>
        <w:tc>
          <w:tcPr>
            <w:tcW w:w="3805" w:type="dxa"/>
            <w:vMerge w:val="restart"/>
            <w:tcBorders>
              <w:top w:val="single" w:color="auto" w:sz="4" w:space="0"/>
              <w:left w:val="single" w:color="auto" w:sz="4" w:space="0"/>
              <w:right w:val="single" w:color="auto" w:sz="4" w:space="0"/>
            </w:tcBorders>
            <w:noWrap w:val="0"/>
            <w:tcMar>
              <w:top w:w="0" w:type="dxa"/>
              <w:left w:w="0" w:type="dxa"/>
              <w:bottom w:w="0" w:type="dxa"/>
              <w:right w:w="0" w:type="dxa"/>
            </w:tcMar>
            <w:vAlign w:val="center"/>
          </w:tcPr>
          <w:p w14:paraId="6373AE41">
            <w:pPr>
              <w:widowControl/>
              <w:spacing w:line="280" w:lineRule="exact"/>
              <w:textAlignment w:val="center"/>
              <w:rPr>
                <w:rFonts w:hint="eastAsia" w:ascii="宋体" w:hAnsi="宋体" w:eastAsia="宋体" w:cs="宋体"/>
                <w:kern w:val="0"/>
                <w:sz w:val="18"/>
                <w:szCs w:val="18"/>
                <w:lang w:bidi="ar"/>
              </w:rPr>
            </w:pPr>
            <w:r>
              <w:rPr>
                <w:rFonts w:hint="eastAsia" w:ascii="宋体" w:hAnsi="宋体" w:eastAsia="宋体" w:cs="宋体"/>
                <w:kern w:val="0"/>
                <w:sz w:val="18"/>
                <w:szCs w:val="18"/>
                <w:lang w:bidi="ar"/>
              </w:rPr>
              <w:t>《中华人民共和国水文条例》第四十条 违反本条例规定，有下列行为之一的，责令停止违法行为，处1万元以上5万元以下罚款：</w:t>
            </w:r>
          </w:p>
          <w:p w14:paraId="5EE11E24">
            <w:pPr>
              <w:widowControl/>
              <w:spacing w:line="280" w:lineRule="exact"/>
              <w:textAlignment w:val="center"/>
              <w:rPr>
                <w:rFonts w:hint="eastAsia" w:ascii="宋体" w:hAnsi="宋体" w:eastAsia="宋体" w:cs="宋体"/>
                <w:kern w:val="0"/>
                <w:sz w:val="18"/>
                <w:szCs w:val="18"/>
                <w:lang w:bidi="ar"/>
              </w:rPr>
            </w:pPr>
            <w:r>
              <w:rPr>
                <w:rFonts w:hint="eastAsia" w:ascii="宋体" w:hAnsi="宋体" w:eastAsia="宋体" w:cs="宋体"/>
                <w:kern w:val="0"/>
                <w:sz w:val="18"/>
                <w:szCs w:val="18"/>
                <w:lang w:bidi="ar"/>
              </w:rPr>
              <w:t>（一）拒不汇交水文监测资料的；</w:t>
            </w:r>
          </w:p>
          <w:p w14:paraId="1A1006E7">
            <w:pPr>
              <w:widowControl/>
              <w:spacing w:line="280" w:lineRule="exact"/>
              <w:textAlignment w:val="center"/>
              <w:rPr>
                <w:rFonts w:hint="eastAsia" w:ascii="宋体" w:hAnsi="宋体" w:eastAsia="宋体" w:cs="宋体"/>
                <w:kern w:val="0"/>
                <w:sz w:val="18"/>
                <w:szCs w:val="18"/>
                <w:lang w:bidi="ar"/>
              </w:rPr>
            </w:pPr>
            <w:r>
              <w:rPr>
                <w:rFonts w:hint="eastAsia" w:ascii="宋体" w:hAnsi="宋体" w:eastAsia="宋体" w:cs="宋体"/>
                <w:kern w:val="0"/>
                <w:sz w:val="18"/>
                <w:szCs w:val="18"/>
                <w:lang w:bidi="ar"/>
              </w:rPr>
              <w:t>（二）非法向社会传播水文情报预报，造成严重经济损失和不良影响的。</w:t>
            </w:r>
          </w:p>
        </w:tc>
        <w:tc>
          <w:tcPr>
            <w:tcW w:w="1672" w:type="dxa"/>
            <w:vMerge w:val="restart"/>
            <w:tcBorders>
              <w:top w:val="single" w:color="auto" w:sz="4" w:space="0"/>
              <w:left w:val="single" w:color="auto" w:sz="4" w:space="0"/>
              <w:right w:val="single" w:color="auto" w:sz="4" w:space="0"/>
            </w:tcBorders>
            <w:noWrap w:val="0"/>
            <w:tcMar>
              <w:top w:w="0" w:type="dxa"/>
              <w:left w:w="0" w:type="dxa"/>
              <w:bottom w:w="0" w:type="dxa"/>
              <w:right w:w="0" w:type="dxa"/>
            </w:tcMar>
            <w:vAlign w:val="center"/>
          </w:tcPr>
          <w:p w14:paraId="641FF4F5">
            <w:pPr>
              <w:spacing w:line="280" w:lineRule="exact"/>
              <w:jc w:val="both"/>
              <w:rPr>
                <w:rFonts w:hint="eastAsia" w:ascii="宋体" w:hAnsi="宋体" w:eastAsia="宋体" w:cs="宋体"/>
                <w:sz w:val="18"/>
                <w:szCs w:val="18"/>
              </w:rPr>
            </w:pPr>
            <w:r>
              <w:rPr>
                <w:rFonts w:hint="eastAsia" w:ascii="宋体" w:hAnsi="宋体" w:eastAsia="宋体" w:cs="宋体"/>
                <w:kern w:val="0"/>
                <w:sz w:val="18"/>
                <w:szCs w:val="18"/>
                <w:lang w:bidi="ar"/>
              </w:rPr>
              <w:t>拒不汇交水文监测资料的</w:t>
            </w:r>
          </w:p>
        </w:tc>
        <w:tc>
          <w:tcPr>
            <w:tcW w:w="78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6D1644B">
            <w:pPr>
              <w:spacing w:line="280" w:lineRule="exact"/>
              <w:jc w:val="center"/>
              <w:rPr>
                <w:rFonts w:hint="eastAsia" w:ascii="宋体" w:hAnsi="宋体" w:eastAsia="宋体" w:cs="宋体"/>
                <w:sz w:val="18"/>
                <w:szCs w:val="18"/>
              </w:rPr>
            </w:pPr>
            <w:r>
              <w:rPr>
                <w:rFonts w:hint="eastAsia" w:ascii="宋体" w:hAnsi="宋体" w:eastAsia="宋体" w:cs="宋体"/>
                <w:sz w:val="18"/>
                <w:szCs w:val="18"/>
              </w:rPr>
              <w:t>轻微</w:t>
            </w:r>
          </w:p>
        </w:tc>
        <w:tc>
          <w:tcPr>
            <w:tcW w:w="367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1958D5A3">
            <w:pPr>
              <w:snapToGrid w:val="0"/>
              <w:spacing w:line="28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4D3EA9E8">
            <w:pPr>
              <w:spacing w:line="280" w:lineRule="exact"/>
              <w:rPr>
                <w:rStyle w:val="21"/>
                <w:rFonts w:hint="eastAsia" w:ascii="宋体" w:hAnsi="宋体" w:eastAsia="宋体" w:cs="宋体"/>
                <w:color w:val="auto"/>
                <w:sz w:val="18"/>
                <w:szCs w:val="18"/>
                <w:lang w:bidi="ar"/>
              </w:rPr>
            </w:pPr>
          </w:p>
        </w:tc>
        <w:tc>
          <w:tcPr>
            <w:tcW w:w="197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333DB434">
            <w:pPr>
              <w:snapToGrid w:val="0"/>
              <w:spacing w:line="28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2F0F1AE7">
            <w:pPr>
              <w:spacing w:line="280" w:lineRule="exact"/>
              <w:rPr>
                <w:rStyle w:val="21"/>
                <w:rFonts w:hint="eastAsia" w:ascii="宋体" w:hAnsi="宋体" w:eastAsia="宋体" w:cs="宋体"/>
                <w:color w:val="auto"/>
                <w:sz w:val="18"/>
                <w:szCs w:val="18"/>
                <w:lang w:bidi="ar"/>
              </w:rPr>
            </w:pPr>
          </w:p>
        </w:tc>
        <w:tc>
          <w:tcPr>
            <w:tcW w:w="1285" w:type="dxa"/>
            <w:vMerge w:val="restart"/>
            <w:tcBorders>
              <w:top w:val="single" w:color="auto" w:sz="4" w:space="0"/>
              <w:left w:val="single" w:color="auto" w:sz="4" w:space="0"/>
              <w:right w:val="single" w:color="auto" w:sz="4" w:space="0"/>
            </w:tcBorders>
            <w:noWrap w:val="0"/>
            <w:tcMar>
              <w:top w:w="0" w:type="dxa"/>
              <w:left w:w="0" w:type="dxa"/>
              <w:bottom w:w="0" w:type="dxa"/>
              <w:right w:w="0" w:type="dxa"/>
            </w:tcMar>
            <w:vAlign w:val="center"/>
          </w:tcPr>
          <w:p w14:paraId="33B550DD">
            <w:pPr>
              <w:spacing w:line="280" w:lineRule="exact"/>
              <w:jc w:val="center"/>
              <w:rPr>
                <w:rStyle w:val="21"/>
                <w:rFonts w:hint="eastAsia" w:ascii="宋体" w:hAnsi="宋体" w:eastAsia="宋体" w:cs="宋体"/>
                <w:color w:val="auto"/>
                <w:sz w:val="18"/>
                <w:szCs w:val="18"/>
                <w:lang w:bidi="ar"/>
              </w:rPr>
            </w:pPr>
          </w:p>
        </w:tc>
      </w:tr>
      <w:tr w14:paraId="62479B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496" w:type="dxa"/>
            <w:vMerge w:val="continue"/>
            <w:tcBorders>
              <w:left w:val="single" w:color="auto" w:sz="4" w:space="0"/>
              <w:right w:val="single" w:color="auto" w:sz="4" w:space="0"/>
            </w:tcBorders>
            <w:noWrap w:val="0"/>
            <w:tcMar>
              <w:top w:w="0" w:type="dxa"/>
              <w:left w:w="0" w:type="dxa"/>
              <w:bottom w:w="0" w:type="dxa"/>
              <w:right w:w="0" w:type="dxa"/>
            </w:tcMar>
            <w:vAlign w:val="center"/>
          </w:tcPr>
          <w:p w14:paraId="20B65D0A">
            <w:pPr>
              <w:spacing w:line="280" w:lineRule="exact"/>
              <w:jc w:val="center"/>
              <w:rPr>
                <w:rFonts w:hint="eastAsia" w:ascii="宋体" w:hAnsi="宋体" w:eastAsia="宋体" w:cs="宋体"/>
                <w:sz w:val="18"/>
                <w:szCs w:val="18"/>
              </w:rPr>
            </w:pPr>
          </w:p>
        </w:tc>
        <w:tc>
          <w:tcPr>
            <w:tcW w:w="1257" w:type="dxa"/>
            <w:vMerge w:val="continue"/>
            <w:tcBorders>
              <w:left w:val="single" w:color="auto" w:sz="4" w:space="0"/>
              <w:right w:val="single" w:color="auto" w:sz="4" w:space="0"/>
            </w:tcBorders>
            <w:noWrap w:val="0"/>
            <w:tcMar>
              <w:top w:w="0" w:type="dxa"/>
              <w:left w:w="0" w:type="dxa"/>
              <w:bottom w:w="0" w:type="dxa"/>
              <w:right w:w="0" w:type="dxa"/>
            </w:tcMar>
            <w:vAlign w:val="center"/>
          </w:tcPr>
          <w:p w14:paraId="390DCA54">
            <w:pPr>
              <w:widowControl/>
              <w:spacing w:line="280" w:lineRule="exact"/>
              <w:textAlignment w:val="center"/>
              <w:rPr>
                <w:rFonts w:hint="eastAsia" w:ascii="宋体" w:hAnsi="宋体" w:eastAsia="宋体" w:cs="宋体"/>
                <w:kern w:val="0"/>
                <w:sz w:val="18"/>
                <w:szCs w:val="18"/>
                <w:lang w:bidi="ar"/>
              </w:rPr>
            </w:pPr>
          </w:p>
        </w:tc>
        <w:tc>
          <w:tcPr>
            <w:tcW w:w="3805" w:type="dxa"/>
            <w:vMerge w:val="continue"/>
            <w:tcBorders>
              <w:left w:val="single" w:color="auto" w:sz="4" w:space="0"/>
              <w:right w:val="single" w:color="auto" w:sz="4" w:space="0"/>
            </w:tcBorders>
            <w:noWrap w:val="0"/>
            <w:tcMar>
              <w:top w:w="0" w:type="dxa"/>
              <w:left w:w="0" w:type="dxa"/>
              <w:bottom w:w="0" w:type="dxa"/>
              <w:right w:w="0" w:type="dxa"/>
            </w:tcMar>
            <w:vAlign w:val="center"/>
          </w:tcPr>
          <w:p w14:paraId="329CF343">
            <w:pPr>
              <w:widowControl/>
              <w:spacing w:line="280" w:lineRule="exact"/>
              <w:ind w:firstLine="360" w:firstLineChars="200"/>
              <w:textAlignment w:val="center"/>
              <w:rPr>
                <w:rFonts w:hint="eastAsia" w:ascii="宋体" w:hAnsi="宋体" w:eastAsia="宋体" w:cs="宋体"/>
                <w:kern w:val="0"/>
                <w:sz w:val="18"/>
                <w:szCs w:val="18"/>
                <w:lang w:bidi="ar"/>
              </w:rPr>
            </w:pPr>
          </w:p>
        </w:tc>
        <w:tc>
          <w:tcPr>
            <w:tcW w:w="1672" w:type="dxa"/>
            <w:vMerge w:val="continue"/>
            <w:tcBorders>
              <w:left w:val="single" w:color="auto" w:sz="4" w:space="0"/>
              <w:right w:val="single" w:color="auto" w:sz="4" w:space="0"/>
            </w:tcBorders>
            <w:noWrap w:val="0"/>
            <w:tcMar>
              <w:top w:w="0" w:type="dxa"/>
              <w:left w:w="0" w:type="dxa"/>
              <w:bottom w:w="0" w:type="dxa"/>
              <w:right w:w="0" w:type="dxa"/>
            </w:tcMar>
            <w:vAlign w:val="center"/>
          </w:tcPr>
          <w:p w14:paraId="04B62A55">
            <w:pPr>
              <w:spacing w:line="280" w:lineRule="exact"/>
              <w:jc w:val="both"/>
              <w:rPr>
                <w:rFonts w:hint="eastAsia" w:ascii="宋体" w:hAnsi="宋体" w:eastAsia="宋体" w:cs="宋体"/>
                <w:sz w:val="18"/>
                <w:szCs w:val="18"/>
              </w:rPr>
            </w:pPr>
          </w:p>
        </w:tc>
        <w:tc>
          <w:tcPr>
            <w:tcW w:w="78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901E993">
            <w:pPr>
              <w:spacing w:line="280" w:lineRule="exact"/>
              <w:jc w:val="center"/>
              <w:rPr>
                <w:rFonts w:hint="eastAsia" w:ascii="宋体" w:hAnsi="宋体" w:eastAsia="宋体" w:cs="宋体"/>
                <w:sz w:val="18"/>
                <w:szCs w:val="18"/>
              </w:rPr>
            </w:pPr>
            <w:r>
              <w:rPr>
                <w:rFonts w:hint="eastAsia" w:ascii="宋体" w:hAnsi="宋体" w:eastAsia="宋体" w:cs="宋体"/>
                <w:sz w:val="18"/>
                <w:szCs w:val="18"/>
              </w:rPr>
              <w:t>较轻</w:t>
            </w:r>
          </w:p>
        </w:tc>
        <w:tc>
          <w:tcPr>
            <w:tcW w:w="367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2D8E8A05">
            <w:pPr>
              <w:snapToGrid w:val="0"/>
              <w:spacing w:line="28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027698F4">
            <w:pPr>
              <w:spacing w:line="280" w:lineRule="exact"/>
              <w:rPr>
                <w:rStyle w:val="21"/>
                <w:rFonts w:hint="eastAsia" w:ascii="宋体" w:hAnsi="宋体" w:eastAsia="宋体" w:cs="宋体"/>
                <w:color w:val="auto"/>
                <w:sz w:val="18"/>
                <w:szCs w:val="18"/>
                <w:lang w:bidi="ar"/>
              </w:rPr>
            </w:pPr>
          </w:p>
        </w:tc>
        <w:tc>
          <w:tcPr>
            <w:tcW w:w="197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1E151E1E">
            <w:pPr>
              <w:snapToGrid w:val="0"/>
              <w:spacing w:line="28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5A017527">
            <w:pPr>
              <w:spacing w:line="280" w:lineRule="exact"/>
              <w:rPr>
                <w:rStyle w:val="21"/>
                <w:rFonts w:hint="eastAsia" w:ascii="宋体" w:hAnsi="宋体" w:eastAsia="宋体" w:cs="宋体"/>
                <w:color w:val="auto"/>
                <w:sz w:val="18"/>
                <w:szCs w:val="18"/>
                <w:lang w:bidi="ar"/>
              </w:rPr>
            </w:pPr>
          </w:p>
        </w:tc>
        <w:tc>
          <w:tcPr>
            <w:tcW w:w="1285" w:type="dxa"/>
            <w:vMerge w:val="continue"/>
            <w:tcBorders>
              <w:left w:val="single" w:color="auto" w:sz="4" w:space="0"/>
              <w:right w:val="single" w:color="auto" w:sz="4" w:space="0"/>
            </w:tcBorders>
            <w:noWrap w:val="0"/>
            <w:tcMar>
              <w:top w:w="0" w:type="dxa"/>
              <w:left w:w="0" w:type="dxa"/>
              <w:bottom w:w="0" w:type="dxa"/>
              <w:right w:w="0" w:type="dxa"/>
            </w:tcMar>
            <w:vAlign w:val="center"/>
          </w:tcPr>
          <w:p w14:paraId="79FD8436">
            <w:pPr>
              <w:spacing w:line="280" w:lineRule="exact"/>
              <w:jc w:val="center"/>
              <w:rPr>
                <w:rStyle w:val="21"/>
                <w:rFonts w:hint="eastAsia" w:ascii="宋体" w:hAnsi="宋体" w:eastAsia="宋体" w:cs="宋体"/>
                <w:color w:val="auto"/>
                <w:sz w:val="18"/>
                <w:szCs w:val="18"/>
                <w:lang w:bidi="ar"/>
              </w:rPr>
            </w:pPr>
          </w:p>
        </w:tc>
      </w:tr>
      <w:tr w14:paraId="610D97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96" w:type="dxa"/>
            <w:vMerge w:val="continue"/>
            <w:tcBorders>
              <w:left w:val="single" w:color="auto" w:sz="4" w:space="0"/>
              <w:right w:val="single" w:color="auto" w:sz="4" w:space="0"/>
            </w:tcBorders>
            <w:noWrap w:val="0"/>
            <w:tcMar>
              <w:top w:w="0" w:type="dxa"/>
              <w:left w:w="0" w:type="dxa"/>
              <w:bottom w:w="0" w:type="dxa"/>
              <w:right w:w="0" w:type="dxa"/>
            </w:tcMar>
            <w:vAlign w:val="center"/>
          </w:tcPr>
          <w:p w14:paraId="65F34F88">
            <w:pPr>
              <w:spacing w:line="280" w:lineRule="exact"/>
              <w:jc w:val="center"/>
              <w:rPr>
                <w:rFonts w:hint="eastAsia" w:ascii="宋体" w:hAnsi="宋体" w:eastAsia="宋体" w:cs="宋体"/>
                <w:sz w:val="18"/>
                <w:szCs w:val="18"/>
              </w:rPr>
            </w:pPr>
          </w:p>
        </w:tc>
        <w:tc>
          <w:tcPr>
            <w:tcW w:w="1257" w:type="dxa"/>
            <w:vMerge w:val="continue"/>
            <w:tcBorders>
              <w:left w:val="single" w:color="auto" w:sz="4" w:space="0"/>
              <w:right w:val="single" w:color="auto" w:sz="4" w:space="0"/>
            </w:tcBorders>
            <w:noWrap w:val="0"/>
            <w:tcMar>
              <w:top w:w="0" w:type="dxa"/>
              <w:left w:w="0" w:type="dxa"/>
              <w:bottom w:w="0" w:type="dxa"/>
              <w:right w:w="0" w:type="dxa"/>
            </w:tcMar>
            <w:vAlign w:val="center"/>
          </w:tcPr>
          <w:p w14:paraId="5756FC5E">
            <w:pPr>
              <w:widowControl/>
              <w:spacing w:line="280" w:lineRule="exact"/>
              <w:textAlignment w:val="center"/>
              <w:rPr>
                <w:rFonts w:hint="eastAsia" w:ascii="宋体" w:hAnsi="宋体" w:eastAsia="宋体" w:cs="宋体"/>
                <w:kern w:val="0"/>
                <w:sz w:val="18"/>
                <w:szCs w:val="18"/>
                <w:lang w:bidi="ar"/>
              </w:rPr>
            </w:pPr>
          </w:p>
        </w:tc>
        <w:tc>
          <w:tcPr>
            <w:tcW w:w="3805" w:type="dxa"/>
            <w:vMerge w:val="continue"/>
            <w:tcBorders>
              <w:left w:val="single" w:color="auto" w:sz="4" w:space="0"/>
              <w:right w:val="single" w:color="auto" w:sz="4" w:space="0"/>
            </w:tcBorders>
            <w:noWrap w:val="0"/>
            <w:tcMar>
              <w:top w:w="0" w:type="dxa"/>
              <w:left w:w="0" w:type="dxa"/>
              <w:bottom w:w="0" w:type="dxa"/>
              <w:right w:w="0" w:type="dxa"/>
            </w:tcMar>
            <w:vAlign w:val="center"/>
          </w:tcPr>
          <w:p w14:paraId="2DD31EE5">
            <w:pPr>
              <w:widowControl/>
              <w:spacing w:line="280" w:lineRule="exact"/>
              <w:ind w:firstLine="360" w:firstLineChars="200"/>
              <w:textAlignment w:val="center"/>
              <w:rPr>
                <w:rFonts w:hint="eastAsia" w:ascii="宋体" w:hAnsi="宋体" w:eastAsia="宋体" w:cs="宋体"/>
                <w:kern w:val="0"/>
                <w:sz w:val="18"/>
                <w:szCs w:val="18"/>
                <w:lang w:bidi="ar"/>
              </w:rPr>
            </w:pPr>
          </w:p>
        </w:tc>
        <w:tc>
          <w:tcPr>
            <w:tcW w:w="1672" w:type="dxa"/>
            <w:vMerge w:val="continue"/>
            <w:tcBorders>
              <w:left w:val="single" w:color="auto" w:sz="4" w:space="0"/>
              <w:right w:val="single" w:color="auto" w:sz="4" w:space="0"/>
            </w:tcBorders>
            <w:noWrap w:val="0"/>
            <w:tcMar>
              <w:top w:w="0" w:type="dxa"/>
              <w:left w:w="0" w:type="dxa"/>
              <w:bottom w:w="0" w:type="dxa"/>
              <w:right w:w="0" w:type="dxa"/>
            </w:tcMar>
            <w:vAlign w:val="center"/>
          </w:tcPr>
          <w:p w14:paraId="5C3FAC7D">
            <w:pPr>
              <w:spacing w:line="280" w:lineRule="exact"/>
              <w:jc w:val="both"/>
              <w:rPr>
                <w:rFonts w:hint="eastAsia" w:ascii="宋体" w:hAnsi="宋体" w:eastAsia="宋体" w:cs="宋体"/>
                <w:sz w:val="18"/>
                <w:szCs w:val="18"/>
              </w:rPr>
            </w:pPr>
          </w:p>
        </w:tc>
        <w:tc>
          <w:tcPr>
            <w:tcW w:w="78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7D17B6A">
            <w:pPr>
              <w:spacing w:line="280" w:lineRule="exact"/>
              <w:jc w:val="center"/>
              <w:rPr>
                <w:rFonts w:hint="eastAsia" w:ascii="宋体" w:hAnsi="宋体" w:eastAsia="宋体" w:cs="宋体"/>
                <w:sz w:val="18"/>
                <w:szCs w:val="18"/>
              </w:rPr>
            </w:pPr>
            <w:r>
              <w:rPr>
                <w:rFonts w:hint="eastAsia" w:ascii="宋体" w:hAnsi="宋体" w:eastAsia="宋体" w:cs="宋体"/>
                <w:sz w:val="18"/>
                <w:szCs w:val="18"/>
              </w:rPr>
              <w:t>一般</w:t>
            </w:r>
          </w:p>
        </w:tc>
        <w:tc>
          <w:tcPr>
            <w:tcW w:w="367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E2A5F3E">
            <w:pPr>
              <w:spacing w:line="280" w:lineRule="exact"/>
              <w:rPr>
                <w:rFonts w:hint="eastAsia" w:ascii="宋体" w:hAnsi="宋体" w:eastAsia="宋体" w:cs="宋体"/>
                <w:color w:val="000000"/>
                <w:sz w:val="18"/>
                <w:szCs w:val="18"/>
                <w:lang w:bidi="ar"/>
              </w:rPr>
            </w:pPr>
            <w:r>
              <w:rPr>
                <w:rStyle w:val="21"/>
                <w:rFonts w:hint="eastAsia" w:ascii="宋体" w:hAnsi="宋体" w:eastAsia="宋体" w:cs="宋体"/>
                <w:sz w:val="18"/>
                <w:szCs w:val="18"/>
                <w:lang w:bidi="ar"/>
              </w:rPr>
              <w:t>在限期内汇交不齐全水文监测资料的</w:t>
            </w:r>
          </w:p>
        </w:tc>
        <w:tc>
          <w:tcPr>
            <w:tcW w:w="197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48C9680">
            <w:pPr>
              <w:spacing w:line="280" w:lineRule="exact"/>
              <w:rPr>
                <w:rFonts w:hint="eastAsia" w:ascii="宋体" w:hAnsi="宋体" w:eastAsia="宋体" w:cs="宋体"/>
                <w:color w:val="000000"/>
                <w:sz w:val="18"/>
                <w:szCs w:val="18"/>
                <w:lang w:bidi="ar"/>
              </w:rPr>
            </w:pPr>
            <w:r>
              <w:rPr>
                <w:rStyle w:val="21"/>
                <w:rFonts w:hint="eastAsia" w:ascii="宋体" w:hAnsi="宋体" w:eastAsia="宋体" w:cs="宋体"/>
                <w:sz w:val="18"/>
                <w:szCs w:val="18"/>
                <w:lang w:bidi="ar"/>
              </w:rPr>
              <w:t>处</w:t>
            </w:r>
            <w:r>
              <w:rPr>
                <w:rStyle w:val="21"/>
                <w:rFonts w:hint="eastAsia" w:ascii="宋体" w:hAnsi="宋体" w:eastAsia="宋体" w:cs="宋体"/>
                <w:sz w:val="18"/>
                <w:szCs w:val="18"/>
                <w:lang w:val="en-US" w:eastAsia="zh-CN" w:bidi="ar"/>
              </w:rPr>
              <w:t>1</w:t>
            </w:r>
            <w:r>
              <w:rPr>
                <w:rStyle w:val="21"/>
                <w:rFonts w:hint="eastAsia" w:ascii="宋体" w:hAnsi="宋体" w:eastAsia="宋体" w:cs="宋体"/>
                <w:sz w:val="18"/>
                <w:szCs w:val="18"/>
                <w:lang w:bidi="ar"/>
              </w:rPr>
              <w:t>万元以上</w:t>
            </w:r>
            <w:r>
              <w:rPr>
                <w:rStyle w:val="21"/>
                <w:rFonts w:hint="eastAsia" w:ascii="宋体" w:hAnsi="宋体" w:eastAsia="宋体" w:cs="宋体"/>
                <w:sz w:val="18"/>
                <w:szCs w:val="18"/>
                <w:lang w:val="en-US" w:eastAsia="zh-CN" w:bidi="ar"/>
              </w:rPr>
              <w:t>3</w:t>
            </w:r>
            <w:r>
              <w:rPr>
                <w:rStyle w:val="21"/>
                <w:rFonts w:hint="eastAsia" w:ascii="宋体" w:hAnsi="宋体" w:eastAsia="宋体" w:cs="宋体"/>
                <w:sz w:val="18"/>
                <w:szCs w:val="18"/>
                <w:lang w:bidi="ar"/>
              </w:rPr>
              <w:t>万元以下的罚款</w:t>
            </w:r>
          </w:p>
        </w:tc>
        <w:tc>
          <w:tcPr>
            <w:tcW w:w="1285" w:type="dxa"/>
            <w:vMerge w:val="continue"/>
            <w:tcBorders>
              <w:left w:val="single" w:color="auto" w:sz="4" w:space="0"/>
              <w:right w:val="single" w:color="auto" w:sz="4" w:space="0"/>
            </w:tcBorders>
            <w:noWrap w:val="0"/>
            <w:tcMar>
              <w:top w:w="0" w:type="dxa"/>
              <w:left w:w="0" w:type="dxa"/>
              <w:bottom w:w="0" w:type="dxa"/>
              <w:right w:w="0" w:type="dxa"/>
            </w:tcMar>
            <w:vAlign w:val="center"/>
          </w:tcPr>
          <w:p w14:paraId="3C6F0FA5">
            <w:pPr>
              <w:spacing w:line="280" w:lineRule="exact"/>
              <w:jc w:val="center"/>
              <w:rPr>
                <w:rStyle w:val="21"/>
                <w:rFonts w:hint="eastAsia" w:ascii="宋体" w:hAnsi="宋体" w:eastAsia="宋体" w:cs="宋体"/>
                <w:sz w:val="18"/>
                <w:szCs w:val="18"/>
                <w:lang w:bidi="ar"/>
              </w:rPr>
            </w:pPr>
          </w:p>
        </w:tc>
      </w:tr>
      <w:tr w14:paraId="0DED6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96" w:type="dxa"/>
            <w:vMerge w:val="continue"/>
            <w:tcBorders>
              <w:left w:val="single" w:color="auto" w:sz="4" w:space="0"/>
              <w:right w:val="single" w:color="auto" w:sz="4" w:space="0"/>
            </w:tcBorders>
            <w:noWrap w:val="0"/>
            <w:tcMar>
              <w:top w:w="0" w:type="dxa"/>
              <w:left w:w="0" w:type="dxa"/>
              <w:bottom w:w="0" w:type="dxa"/>
              <w:right w:w="0" w:type="dxa"/>
            </w:tcMar>
            <w:vAlign w:val="center"/>
          </w:tcPr>
          <w:p w14:paraId="3087A7DD">
            <w:pPr>
              <w:spacing w:line="280" w:lineRule="exact"/>
              <w:jc w:val="center"/>
              <w:rPr>
                <w:rFonts w:hint="eastAsia" w:ascii="宋体" w:hAnsi="宋体" w:eastAsia="宋体" w:cs="宋体"/>
                <w:sz w:val="18"/>
                <w:szCs w:val="18"/>
              </w:rPr>
            </w:pPr>
          </w:p>
        </w:tc>
        <w:tc>
          <w:tcPr>
            <w:tcW w:w="1257" w:type="dxa"/>
            <w:vMerge w:val="continue"/>
            <w:tcBorders>
              <w:left w:val="single" w:color="auto" w:sz="4" w:space="0"/>
              <w:right w:val="single" w:color="auto" w:sz="4" w:space="0"/>
            </w:tcBorders>
            <w:noWrap w:val="0"/>
            <w:tcMar>
              <w:top w:w="0" w:type="dxa"/>
              <w:left w:w="0" w:type="dxa"/>
              <w:bottom w:w="0" w:type="dxa"/>
              <w:right w:w="0" w:type="dxa"/>
            </w:tcMar>
            <w:vAlign w:val="center"/>
          </w:tcPr>
          <w:p w14:paraId="2517B27F">
            <w:pPr>
              <w:widowControl/>
              <w:spacing w:line="280" w:lineRule="exact"/>
              <w:textAlignment w:val="center"/>
              <w:rPr>
                <w:rFonts w:hint="eastAsia" w:ascii="宋体" w:hAnsi="宋体" w:eastAsia="宋体" w:cs="宋体"/>
                <w:kern w:val="0"/>
                <w:sz w:val="18"/>
                <w:szCs w:val="18"/>
                <w:lang w:bidi="ar"/>
              </w:rPr>
            </w:pPr>
          </w:p>
        </w:tc>
        <w:tc>
          <w:tcPr>
            <w:tcW w:w="3805" w:type="dxa"/>
            <w:vMerge w:val="continue"/>
            <w:tcBorders>
              <w:left w:val="single" w:color="auto" w:sz="4" w:space="0"/>
              <w:right w:val="single" w:color="auto" w:sz="4" w:space="0"/>
            </w:tcBorders>
            <w:noWrap w:val="0"/>
            <w:tcMar>
              <w:top w:w="0" w:type="dxa"/>
              <w:left w:w="0" w:type="dxa"/>
              <w:bottom w:w="0" w:type="dxa"/>
              <w:right w:w="0" w:type="dxa"/>
            </w:tcMar>
            <w:vAlign w:val="center"/>
          </w:tcPr>
          <w:p w14:paraId="78D682AD">
            <w:pPr>
              <w:widowControl/>
              <w:spacing w:line="280" w:lineRule="exact"/>
              <w:ind w:firstLine="360" w:firstLineChars="200"/>
              <w:textAlignment w:val="center"/>
              <w:rPr>
                <w:rFonts w:hint="eastAsia" w:ascii="宋体" w:hAnsi="宋体" w:eastAsia="宋体" w:cs="宋体"/>
                <w:kern w:val="0"/>
                <w:sz w:val="18"/>
                <w:szCs w:val="18"/>
                <w:lang w:bidi="ar"/>
              </w:rPr>
            </w:pPr>
          </w:p>
        </w:tc>
        <w:tc>
          <w:tcPr>
            <w:tcW w:w="1672" w:type="dxa"/>
            <w:vMerge w:val="continue"/>
            <w:tcBorders>
              <w:left w:val="single" w:color="auto" w:sz="4" w:space="0"/>
              <w:right w:val="single" w:color="auto" w:sz="4" w:space="0"/>
            </w:tcBorders>
            <w:noWrap w:val="0"/>
            <w:tcMar>
              <w:top w:w="0" w:type="dxa"/>
              <w:left w:w="0" w:type="dxa"/>
              <w:bottom w:w="0" w:type="dxa"/>
              <w:right w:w="0" w:type="dxa"/>
            </w:tcMar>
            <w:vAlign w:val="center"/>
          </w:tcPr>
          <w:p w14:paraId="4F9FE773">
            <w:pPr>
              <w:spacing w:line="280" w:lineRule="exact"/>
              <w:jc w:val="both"/>
              <w:rPr>
                <w:rFonts w:hint="eastAsia" w:ascii="宋体" w:hAnsi="宋体" w:eastAsia="宋体" w:cs="宋体"/>
                <w:sz w:val="18"/>
                <w:szCs w:val="18"/>
              </w:rPr>
            </w:pPr>
          </w:p>
        </w:tc>
        <w:tc>
          <w:tcPr>
            <w:tcW w:w="78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C3B1E0F">
            <w:pPr>
              <w:spacing w:line="280" w:lineRule="exact"/>
              <w:jc w:val="center"/>
              <w:rPr>
                <w:rFonts w:hint="eastAsia" w:ascii="宋体" w:hAnsi="宋体" w:eastAsia="宋体" w:cs="宋体"/>
                <w:sz w:val="18"/>
                <w:szCs w:val="18"/>
                <w:lang w:eastAsia="zh-CN"/>
              </w:rPr>
            </w:pPr>
            <w:r>
              <w:rPr>
                <w:rFonts w:hint="eastAsia" w:ascii="宋体" w:hAnsi="宋体" w:eastAsia="宋体" w:cs="宋体"/>
                <w:sz w:val="18"/>
                <w:szCs w:val="18"/>
                <w:lang w:eastAsia="zh-CN"/>
              </w:rPr>
              <w:t>较重</w:t>
            </w:r>
          </w:p>
        </w:tc>
        <w:tc>
          <w:tcPr>
            <w:tcW w:w="367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A44B9E8">
            <w:pPr>
              <w:spacing w:line="280" w:lineRule="exact"/>
              <w:jc w:val="left"/>
              <w:rPr>
                <w:rFonts w:hint="eastAsia" w:ascii="宋体" w:hAnsi="宋体" w:eastAsia="宋体" w:cs="宋体"/>
                <w:sz w:val="18"/>
                <w:szCs w:val="18"/>
              </w:rPr>
            </w:pPr>
            <w:r>
              <w:rPr>
                <w:rFonts w:hint="eastAsia" w:ascii="宋体" w:hAnsi="宋体" w:eastAsia="宋体" w:cs="宋体"/>
                <w:sz w:val="18"/>
                <w:szCs w:val="18"/>
              </w:rPr>
              <w:t>未在限期内汇交水文监测资料的</w:t>
            </w:r>
          </w:p>
        </w:tc>
        <w:tc>
          <w:tcPr>
            <w:tcW w:w="197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15E4809">
            <w:pPr>
              <w:spacing w:line="280" w:lineRule="exact"/>
              <w:jc w:val="left"/>
              <w:rPr>
                <w:rFonts w:hint="eastAsia" w:ascii="宋体" w:hAnsi="宋体" w:eastAsia="宋体" w:cs="宋体"/>
                <w:sz w:val="18"/>
                <w:szCs w:val="18"/>
              </w:rPr>
            </w:pPr>
            <w:r>
              <w:rPr>
                <w:rFonts w:hint="eastAsia" w:ascii="宋体" w:hAnsi="宋体" w:eastAsia="宋体" w:cs="宋体"/>
                <w:sz w:val="18"/>
                <w:szCs w:val="18"/>
              </w:rPr>
              <w:t>处</w:t>
            </w:r>
            <w:r>
              <w:rPr>
                <w:rFonts w:hint="eastAsia" w:ascii="宋体" w:hAnsi="宋体" w:eastAsia="宋体" w:cs="宋体"/>
                <w:sz w:val="18"/>
                <w:szCs w:val="18"/>
                <w:lang w:val="en-US" w:eastAsia="zh-CN"/>
              </w:rPr>
              <w:t>3</w:t>
            </w:r>
            <w:r>
              <w:rPr>
                <w:rFonts w:hint="eastAsia" w:ascii="宋体" w:hAnsi="宋体" w:eastAsia="宋体" w:cs="宋体"/>
                <w:sz w:val="18"/>
                <w:szCs w:val="18"/>
              </w:rPr>
              <w:t>万元以上</w:t>
            </w:r>
            <w:r>
              <w:rPr>
                <w:rFonts w:hint="eastAsia" w:ascii="宋体" w:hAnsi="宋体" w:eastAsia="宋体" w:cs="宋体"/>
                <w:sz w:val="18"/>
                <w:szCs w:val="18"/>
                <w:lang w:val="en-US" w:eastAsia="zh-CN"/>
              </w:rPr>
              <w:t>4</w:t>
            </w:r>
            <w:r>
              <w:rPr>
                <w:rFonts w:hint="eastAsia" w:ascii="宋体" w:hAnsi="宋体" w:eastAsia="宋体" w:cs="宋体"/>
                <w:sz w:val="18"/>
                <w:szCs w:val="18"/>
              </w:rPr>
              <w:t>万元以下的罚款</w:t>
            </w:r>
          </w:p>
        </w:tc>
        <w:tc>
          <w:tcPr>
            <w:tcW w:w="1285" w:type="dxa"/>
            <w:vMerge w:val="continue"/>
            <w:tcBorders>
              <w:left w:val="single" w:color="auto" w:sz="4" w:space="0"/>
              <w:right w:val="single" w:color="auto" w:sz="4" w:space="0"/>
            </w:tcBorders>
            <w:noWrap w:val="0"/>
            <w:tcMar>
              <w:top w:w="0" w:type="dxa"/>
              <w:left w:w="0" w:type="dxa"/>
              <w:bottom w:w="0" w:type="dxa"/>
              <w:right w:w="0" w:type="dxa"/>
            </w:tcMar>
            <w:vAlign w:val="center"/>
          </w:tcPr>
          <w:p w14:paraId="59B2420E">
            <w:pPr>
              <w:spacing w:line="280" w:lineRule="exact"/>
              <w:jc w:val="center"/>
              <w:rPr>
                <w:rStyle w:val="21"/>
                <w:rFonts w:hint="eastAsia" w:ascii="宋体" w:hAnsi="宋体" w:eastAsia="宋体" w:cs="宋体"/>
                <w:sz w:val="18"/>
                <w:szCs w:val="18"/>
                <w:lang w:bidi="ar"/>
              </w:rPr>
            </w:pPr>
          </w:p>
        </w:tc>
      </w:tr>
      <w:tr w14:paraId="58F8C3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96" w:type="dxa"/>
            <w:vMerge w:val="continue"/>
            <w:tcBorders>
              <w:left w:val="single" w:color="auto" w:sz="4" w:space="0"/>
              <w:right w:val="single" w:color="auto" w:sz="4" w:space="0"/>
            </w:tcBorders>
            <w:noWrap w:val="0"/>
            <w:tcMar>
              <w:top w:w="0" w:type="dxa"/>
              <w:left w:w="0" w:type="dxa"/>
              <w:bottom w:w="0" w:type="dxa"/>
              <w:right w:w="0" w:type="dxa"/>
            </w:tcMar>
            <w:vAlign w:val="center"/>
          </w:tcPr>
          <w:p w14:paraId="515F01CC">
            <w:pPr>
              <w:spacing w:line="280" w:lineRule="exact"/>
              <w:jc w:val="center"/>
              <w:rPr>
                <w:rFonts w:hint="eastAsia" w:ascii="宋体" w:hAnsi="宋体" w:eastAsia="宋体" w:cs="宋体"/>
                <w:sz w:val="18"/>
                <w:szCs w:val="18"/>
              </w:rPr>
            </w:pPr>
          </w:p>
        </w:tc>
        <w:tc>
          <w:tcPr>
            <w:tcW w:w="1257" w:type="dxa"/>
            <w:vMerge w:val="continue"/>
            <w:tcBorders>
              <w:left w:val="single" w:color="auto" w:sz="4" w:space="0"/>
              <w:right w:val="single" w:color="auto" w:sz="4" w:space="0"/>
            </w:tcBorders>
            <w:noWrap w:val="0"/>
            <w:tcMar>
              <w:top w:w="0" w:type="dxa"/>
              <w:left w:w="0" w:type="dxa"/>
              <w:bottom w:w="0" w:type="dxa"/>
              <w:right w:w="0" w:type="dxa"/>
            </w:tcMar>
            <w:vAlign w:val="center"/>
          </w:tcPr>
          <w:p w14:paraId="4AEFD700">
            <w:pPr>
              <w:widowControl/>
              <w:spacing w:line="280" w:lineRule="exact"/>
              <w:textAlignment w:val="center"/>
              <w:rPr>
                <w:rFonts w:hint="eastAsia" w:ascii="宋体" w:hAnsi="宋体" w:eastAsia="宋体" w:cs="宋体"/>
                <w:kern w:val="0"/>
                <w:sz w:val="18"/>
                <w:szCs w:val="18"/>
                <w:lang w:bidi="ar"/>
              </w:rPr>
            </w:pPr>
          </w:p>
        </w:tc>
        <w:tc>
          <w:tcPr>
            <w:tcW w:w="3805" w:type="dxa"/>
            <w:vMerge w:val="continue"/>
            <w:tcBorders>
              <w:left w:val="single" w:color="auto" w:sz="4" w:space="0"/>
              <w:right w:val="single" w:color="auto" w:sz="4" w:space="0"/>
            </w:tcBorders>
            <w:noWrap w:val="0"/>
            <w:tcMar>
              <w:top w:w="0" w:type="dxa"/>
              <w:left w:w="0" w:type="dxa"/>
              <w:bottom w:w="0" w:type="dxa"/>
              <w:right w:w="0" w:type="dxa"/>
            </w:tcMar>
            <w:vAlign w:val="center"/>
          </w:tcPr>
          <w:p w14:paraId="41A785F7">
            <w:pPr>
              <w:widowControl/>
              <w:spacing w:line="280" w:lineRule="exact"/>
              <w:ind w:firstLine="360" w:firstLineChars="200"/>
              <w:textAlignment w:val="center"/>
              <w:rPr>
                <w:rFonts w:hint="eastAsia" w:ascii="宋体" w:hAnsi="宋体" w:eastAsia="宋体" w:cs="宋体"/>
                <w:kern w:val="0"/>
                <w:sz w:val="18"/>
                <w:szCs w:val="18"/>
                <w:lang w:bidi="ar"/>
              </w:rPr>
            </w:pPr>
          </w:p>
        </w:tc>
        <w:tc>
          <w:tcPr>
            <w:tcW w:w="1672" w:type="dxa"/>
            <w:vMerge w:val="continue"/>
            <w:tcBorders>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70C3987">
            <w:pPr>
              <w:spacing w:line="280" w:lineRule="exact"/>
              <w:jc w:val="both"/>
              <w:rPr>
                <w:rFonts w:hint="eastAsia" w:ascii="宋体" w:hAnsi="宋体" w:eastAsia="宋体" w:cs="宋体"/>
                <w:sz w:val="18"/>
                <w:szCs w:val="18"/>
              </w:rPr>
            </w:pPr>
          </w:p>
        </w:tc>
        <w:tc>
          <w:tcPr>
            <w:tcW w:w="78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0CD85D0">
            <w:pPr>
              <w:spacing w:line="280" w:lineRule="exact"/>
              <w:jc w:val="center"/>
              <w:rPr>
                <w:rFonts w:hint="eastAsia" w:ascii="宋体" w:hAnsi="宋体" w:eastAsia="宋体" w:cs="宋体"/>
                <w:sz w:val="18"/>
                <w:szCs w:val="18"/>
              </w:rPr>
            </w:pPr>
            <w:r>
              <w:rPr>
                <w:rFonts w:hint="eastAsia" w:ascii="宋体" w:hAnsi="宋体" w:eastAsia="宋体" w:cs="宋体"/>
                <w:sz w:val="18"/>
                <w:szCs w:val="18"/>
              </w:rPr>
              <w:t>严重</w:t>
            </w:r>
          </w:p>
        </w:tc>
        <w:tc>
          <w:tcPr>
            <w:tcW w:w="367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0E40807">
            <w:pPr>
              <w:spacing w:line="280" w:lineRule="exact"/>
              <w:jc w:val="left"/>
              <w:rPr>
                <w:rFonts w:hint="eastAsia" w:ascii="宋体" w:hAnsi="宋体" w:eastAsia="宋体" w:cs="宋体"/>
                <w:sz w:val="18"/>
                <w:szCs w:val="18"/>
              </w:rPr>
            </w:pPr>
            <w:r>
              <w:rPr>
                <w:rFonts w:hint="eastAsia" w:ascii="宋体" w:hAnsi="宋体" w:eastAsia="宋体" w:cs="宋体"/>
                <w:sz w:val="18"/>
                <w:szCs w:val="18"/>
              </w:rPr>
              <w:t>拒绝汇交水文监测资料</w:t>
            </w:r>
          </w:p>
        </w:tc>
        <w:tc>
          <w:tcPr>
            <w:tcW w:w="197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34C5D16">
            <w:pPr>
              <w:spacing w:line="280" w:lineRule="exact"/>
              <w:jc w:val="left"/>
              <w:rPr>
                <w:rFonts w:hint="eastAsia" w:ascii="宋体" w:hAnsi="宋体" w:eastAsia="宋体" w:cs="宋体"/>
                <w:sz w:val="18"/>
                <w:szCs w:val="18"/>
              </w:rPr>
            </w:pPr>
            <w:r>
              <w:rPr>
                <w:rFonts w:hint="eastAsia" w:ascii="宋体" w:hAnsi="宋体" w:eastAsia="宋体" w:cs="宋体"/>
                <w:sz w:val="18"/>
                <w:szCs w:val="18"/>
              </w:rPr>
              <w:t>处</w:t>
            </w:r>
            <w:r>
              <w:rPr>
                <w:rFonts w:hint="eastAsia" w:ascii="宋体" w:hAnsi="宋体" w:eastAsia="宋体" w:cs="宋体"/>
                <w:sz w:val="18"/>
                <w:szCs w:val="18"/>
                <w:lang w:val="en-US" w:eastAsia="zh-CN"/>
              </w:rPr>
              <w:t>4万元以上5</w:t>
            </w:r>
            <w:r>
              <w:rPr>
                <w:rFonts w:hint="eastAsia" w:ascii="宋体" w:hAnsi="宋体" w:eastAsia="宋体" w:cs="宋体"/>
                <w:sz w:val="18"/>
                <w:szCs w:val="18"/>
              </w:rPr>
              <w:t>万元</w:t>
            </w:r>
            <w:r>
              <w:rPr>
                <w:rFonts w:hint="eastAsia" w:ascii="宋体" w:hAnsi="宋体" w:eastAsia="宋体" w:cs="宋体"/>
                <w:sz w:val="18"/>
                <w:szCs w:val="18"/>
                <w:lang w:val="en-US" w:eastAsia="zh-CN"/>
              </w:rPr>
              <w:t>以下的</w:t>
            </w:r>
            <w:r>
              <w:rPr>
                <w:rFonts w:hint="eastAsia" w:ascii="宋体" w:hAnsi="宋体" w:eastAsia="宋体" w:cs="宋体"/>
                <w:sz w:val="18"/>
                <w:szCs w:val="18"/>
              </w:rPr>
              <w:t>罚款</w:t>
            </w:r>
          </w:p>
        </w:tc>
        <w:tc>
          <w:tcPr>
            <w:tcW w:w="1285" w:type="dxa"/>
            <w:vMerge w:val="continue"/>
            <w:tcBorders>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F764A1A">
            <w:pPr>
              <w:spacing w:line="280" w:lineRule="exact"/>
              <w:jc w:val="center"/>
              <w:rPr>
                <w:rStyle w:val="21"/>
                <w:rFonts w:hint="eastAsia" w:ascii="宋体" w:hAnsi="宋体" w:eastAsia="宋体" w:cs="宋体"/>
                <w:sz w:val="18"/>
                <w:szCs w:val="18"/>
                <w:lang w:bidi="ar"/>
              </w:rPr>
            </w:pPr>
          </w:p>
        </w:tc>
      </w:tr>
      <w:tr w14:paraId="4D937B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96" w:type="dxa"/>
            <w:vMerge w:val="restart"/>
            <w:tcBorders>
              <w:left w:val="single" w:color="auto" w:sz="4" w:space="0"/>
              <w:right w:val="single" w:color="auto" w:sz="4" w:space="0"/>
            </w:tcBorders>
            <w:noWrap w:val="0"/>
            <w:tcMar>
              <w:top w:w="0" w:type="dxa"/>
              <w:left w:w="0" w:type="dxa"/>
              <w:bottom w:w="0" w:type="dxa"/>
              <w:right w:w="0" w:type="dxa"/>
            </w:tcMar>
            <w:vAlign w:val="center"/>
          </w:tcPr>
          <w:p w14:paraId="65706A33">
            <w:pPr>
              <w:spacing w:line="280" w:lineRule="exact"/>
              <w:jc w:val="center"/>
              <w:rPr>
                <w:rFonts w:hint="eastAsia" w:ascii="宋体" w:hAnsi="宋体" w:eastAsia="宋体" w:cs="宋体"/>
                <w:sz w:val="18"/>
                <w:szCs w:val="18"/>
              </w:rPr>
            </w:pPr>
            <w:r>
              <w:rPr>
                <w:rFonts w:hint="eastAsia" w:ascii="宋体" w:hAnsi="宋体" w:eastAsia="宋体" w:cs="宋体"/>
                <w:sz w:val="18"/>
                <w:szCs w:val="18"/>
                <w:lang w:val="en-US" w:eastAsia="zh-CN"/>
              </w:rPr>
              <w:t>37</w:t>
            </w:r>
          </w:p>
        </w:tc>
        <w:tc>
          <w:tcPr>
            <w:tcW w:w="1257" w:type="dxa"/>
            <w:vMerge w:val="restart"/>
            <w:tcBorders>
              <w:left w:val="single" w:color="auto" w:sz="4" w:space="0"/>
              <w:right w:val="single" w:color="auto" w:sz="4" w:space="0"/>
            </w:tcBorders>
            <w:noWrap w:val="0"/>
            <w:tcMar>
              <w:top w:w="0" w:type="dxa"/>
              <w:left w:w="0" w:type="dxa"/>
              <w:bottom w:w="0" w:type="dxa"/>
              <w:right w:w="0" w:type="dxa"/>
            </w:tcMar>
            <w:vAlign w:val="center"/>
          </w:tcPr>
          <w:p w14:paraId="739C78D3">
            <w:pPr>
              <w:widowControl/>
              <w:spacing w:line="280" w:lineRule="exact"/>
              <w:textAlignment w:val="center"/>
              <w:rPr>
                <w:rFonts w:hint="eastAsia" w:ascii="宋体" w:hAnsi="宋体" w:eastAsia="宋体" w:cs="宋体"/>
                <w:kern w:val="0"/>
                <w:sz w:val="18"/>
                <w:szCs w:val="18"/>
                <w:lang w:bidi="ar"/>
              </w:rPr>
            </w:pPr>
            <w:r>
              <w:rPr>
                <w:rFonts w:hint="eastAsia" w:ascii="宋体" w:hAnsi="宋体" w:eastAsia="宋体" w:cs="宋体"/>
                <w:kern w:val="0"/>
                <w:sz w:val="18"/>
                <w:szCs w:val="18"/>
                <w:lang w:bidi="ar"/>
              </w:rPr>
              <w:t>对拒不汇交水文监测资料，非法向社会传播水文情报预报造成严重经济损失和不良影响行为的行政处罚</w:t>
            </w:r>
          </w:p>
        </w:tc>
        <w:tc>
          <w:tcPr>
            <w:tcW w:w="3805" w:type="dxa"/>
            <w:vMerge w:val="restart"/>
            <w:tcBorders>
              <w:left w:val="single" w:color="auto" w:sz="4" w:space="0"/>
              <w:right w:val="single" w:color="auto" w:sz="4" w:space="0"/>
            </w:tcBorders>
            <w:noWrap w:val="0"/>
            <w:tcMar>
              <w:top w:w="0" w:type="dxa"/>
              <w:left w:w="0" w:type="dxa"/>
              <w:bottom w:w="0" w:type="dxa"/>
              <w:right w:w="0" w:type="dxa"/>
            </w:tcMar>
            <w:vAlign w:val="center"/>
          </w:tcPr>
          <w:p w14:paraId="230E79CF">
            <w:pPr>
              <w:widowControl/>
              <w:spacing w:line="280" w:lineRule="exact"/>
              <w:jc w:val="both"/>
              <w:textAlignment w:val="center"/>
              <w:rPr>
                <w:rFonts w:hint="eastAsia" w:ascii="宋体" w:hAnsi="宋体" w:eastAsia="宋体" w:cs="宋体"/>
                <w:kern w:val="0"/>
                <w:sz w:val="18"/>
                <w:szCs w:val="18"/>
                <w:lang w:bidi="ar"/>
              </w:rPr>
            </w:pPr>
            <w:r>
              <w:rPr>
                <w:rFonts w:hint="eastAsia" w:ascii="宋体" w:hAnsi="宋体" w:eastAsia="宋体" w:cs="宋体"/>
                <w:kern w:val="0"/>
                <w:sz w:val="18"/>
                <w:szCs w:val="18"/>
                <w:lang w:bidi="ar"/>
              </w:rPr>
              <w:t>《中华人民共和国水文条例》第四十条 违反本条例规定，有下列行为之一的，责令停止违法行为，处1万元以上5万元以下罚款：</w:t>
            </w:r>
          </w:p>
          <w:p w14:paraId="771B6347">
            <w:pPr>
              <w:widowControl/>
              <w:spacing w:line="280" w:lineRule="exact"/>
              <w:jc w:val="both"/>
              <w:textAlignment w:val="center"/>
              <w:rPr>
                <w:rFonts w:hint="eastAsia" w:ascii="宋体" w:hAnsi="宋体" w:eastAsia="宋体" w:cs="宋体"/>
                <w:kern w:val="0"/>
                <w:sz w:val="18"/>
                <w:szCs w:val="18"/>
                <w:lang w:bidi="ar"/>
              </w:rPr>
            </w:pPr>
            <w:r>
              <w:rPr>
                <w:rFonts w:hint="eastAsia" w:ascii="宋体" w:hAnsi="宋体" w:eastAsia="宋体" w:cs="宋体"/>
                <w:kern w:val="0"/>
                <w:sz w:val="18"/>
                <w:szCs w:val="18"/>
                <w:lang w:bidi="ar"/>
              </w:rPr>
              <w:t>（一）拒不汇交水文监测资料的；</w:t>
            </w:r>
          </w:p>
          <w:p w14:paraId="4D281360">
            <w:pPr>
              <w:widowControl/>
              <w:spacing w:line="280" w:lineRule="exact"/>
              <w:ind w:firstLine="0" w:firstLineChars="0"/>
              <w:textAlignment w:val="center"/>
              <w:rPr>
                <w:rFonts w:hint="eastAsia" w:ascii="宋体" w:hAnsi="宋体" w:eastAsia="宋体" w:cs="宋体"/>
                <w:kern w:val="0"/>
                <w:sz w:val="18"/>
                <w:szCs w:val="18"/>
                <w:lang w:bidi="ar"/>
              </w:rPr>
            </w:pPr>
            <w:r>
              <w:rPr>
                <w:rFonts w:hint="eastAsia" w:ascii="宋体" w:hAnsi="宋体" w:eastAsia="宋体" w:cs="宋体"/>
                <w:kern w:val="0"/>
                <w:sz w:val="18"/>
                <w:szCs w:val="18"/>
                <w:lang w:bidi="ar"/>
              </w:rPr>
              <w:t>（二）非法向社会传播水文情报预报，造成严重经济损失和不良影响的。</w:t>
            </w:r>
          </w:p>
        </w:tc>
        <w:tc>
          <w:tcPr>
            <w:tcW w:w="1672" w:type="dxa"/>
            <w:vMerge w:val="restart"/>
            <w:tcBorders>
              <w:left w:val="single" w:color="auto" w:sz="4" w:space="0"/>
              <w:right w:val="single" w:color="auto" w:sz="4" w:space="0"/>
            </w:tcBorders>
            <w:noWrap w:val="0"/>
            <w:tcMar>
              <w:top w:w="0" w:type="dxa"/>
              <w:left w:w="0" w:type="dxa"/>
              <w:bottom w:w="0" w:type="dxa"/>
              <w:right w:w="0" w:type="dxa"/>
            </w:tcMar>
            <w:vAlign w:val="center"/>
          </w:tcPr>
          <w:p w14:paraId="2DE90DDA">
            <w:pPr>
              <w:spacing w:line="280" w:lineRule="exact"/>
              <w:jc w:val="both"/>
              <w:rPr>
                <w:rFonts w:hint="eastAsia" w:ascii="宋体" w:hAnsi="宋体" w:eastAsia="宋体" w:cs="宋体"/>
                <w:sz w:val="18"/>
                <w:szCs w:val="18"/>
              </w:rPr>
            </w:pPr>
            <w:r>
              <w:rPr>
                <w:rFonts w:hint="eastAsia" w:ascii="宋体" w:hAnsi="宋体" w:eastAsia="宋体" w:cs="宋体"/>
                <w:kern w:val="0"/>
                <w:sz w:val="18"/>
                <w:szCs w:val="18"/>
                <w:lang w:bidi="ar"/>
              </w:rPr>
              <w:t>非法向社会传播水文情报预报，造成严重经济损失和不良影响的</w:t>
            </w:r>
          </w:p>
        </w:tc>
        <w:tc>
          <w:tcPr>
            <w:tcW w:w="78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CDA2797">
            <w:pPr>
              <w:spacing w:line="280" w:lineRule="exact"/>
              <w:jc w:val="center"/>
              <w:rPr>
                <w:rFonts w:hint="eastAsia" w:ascii="宋体" w:hAnsi="宋体" w:eastAsia="宋体" w:cs="宋体"/>
                <w:sz w:val="18"/>
                <w:szCs w:val="18"/>
              </w:rPr>
            </w:pPr>
            <w:r>
              <w:rPr>
                <w:rFonts w:hint="eastAsia" w:ascii="宋体" w:hAnsi="宋体" w:eastAsia="宋体" w:cs="宋体"/>
                <w:sz w:val="18"/>
                <w:szCs w:val="18"/>
              </w:rPr>
              <w:t>轻微</w:t>
            </w:r>
          </w:p>
        </w:tc>
        <w:tc>
          <w:tcPr>
            <w:tcW w:w="367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4CC1BAB6">
            <w:pPr>
              <w:snapToGrid w:val="0"/>
              <w:spacing w:line="28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4EDD7576">
            <w:pPr>
              <w:spacing w:line="280" w:lineRule="exact"/>
              <w:rPr>
                <w:rStyle w:val="21"/>
                <w:rFonts w:hint="eastAsia" w:ascii="宋体" w:hAnsi="宋体" w:eastAsia="宋体" w:cs="宋体"/>
                <w:sz w:val="18"/>
                <w:szCs w:val="18"/>
                <w:lang w:bidi="ar"/>
              </w:rPr>
            </w:pPr>
          </w:p>
        </w:tc>
        <w:tc>
          <w:tcPr>
            <w:tcW w:w="197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2460E06E">
            <w:pPr>
              <w:snapToGrid w:val="0"/>
              <w:spacing w:line="28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049365E3">
            <w:pPr>
              <w:spacing w:line="280" w:lineRule="exact"/>
              <w:rPr>
                <w:rStyle w:val="21"/>
                <w:rFonts w:hint="eastAsia" w:ascii="宋体" w:hAnsi="宋体" w:eastAsia="宋体" w:cs="宋体"/>
                <w:sz w:val="18"/>
                <w:szCs w:val="18"/>
                <w:lang w:bidi="ar"/>
              </w:rPr>
            </w:pPr>
          </w:p>
        </w:tc>
        <w:tc>
          <w:tcPr>
            <w:tcW w:w="1285" w:type="dxa"/>
            <w:vMerge w:val="restart"/>
            <w:tcBorders>
              <w:top w:val="single" w:color="auto" w:sz="4" w:space="0"/>
              <w:left w:val="single" w:color="auto" w:sz="4" w:space="0"/>
              <w:right w:val="single" w:color="auto" w:sz="4" w:space="0"/>
            </w:tcBorders>
            <w:noWrap w:val="0"/>
            <w:tcMar>
              <w:top w:w="0" w:type="dxa"/>
              <w:left w:w="0" w:type="dxa"/>
              <w:bottom w:w="0" w:type="dxa"/>
              <w:right w:w="0" w:type="dxa"/>
            </w:tcMar>
            <w:vAlign w:val="center"/>
          </w:tcPr>
          <w:p w14:paraId="2AD77C8E">
            <w:pPr>
              <w:spacing w:line="280" w:lineRule="exact"/>
              <w:jc w:val="center"/>
              <w:rPr>
                <w:rStyle w:val="21"/>
                <w:rFonts w:hint="eastAsia" w:ascii="宋体" w:hAnsi="宋体" w:eastAsia="宋体" w:cs="宋体"/>
                <w:sz w:val="18"/>
                <w:szCs w:val="18"/>
                <w:lang w:bidi="ar"/>
              </w:rPr>
            </w:pPr>
          </w:p>
        </w:tc>
      </w:tr>
      <w:tr w14:paraId="3771F6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496" w:type="dxa"/>
            <w:vMerge w:val="continue"/>
            <w:tcBorders>
              <w:left w:val="single" w:color="auto" w:sz="4" w:space="0"/>
              <w:right w:val="single" w:color="auto" w:sz="4" w:space="0"/>
            </w:tcBorders>
            <w:noWrap w:val="0"/>
            <w:tcMar>
              <w:top w:w="0" w:type="dxa"/>
              <w:left w:w="0" w:type="dxa"/>
              <w:bottom w:w="0" w:type="dxa"/>
              <w:right w:w="0" w:type="dxa"/>
            </w:tcMar>
            <w:vAlign w:val="center"/>
          </w:tcPr>
          <w:p w14:paraId="782E0CED">
            <w:pPr>
              <w:spacing w:line="280" w:lineRule="exact"/>
              <w:jc w:val="center"/>
              <w:rPr>
                <w:rFonts w:hint="eastAsia" w:ascii="宋体" w:hAnsi="宋体" w:eastAsia="宋体" w:cs="宋体"/>
                <w:sz w:val="18"/>
                <w:szCs w:val="18"/>
              </w:rPr>
            </w:pPr>
          </w:p>
        </w:tc>
        <w:tc>
          <w:tcPr>
            <w:tcW w:w="1257" w:type="dxa"/>
            <w:vMerge w:val="continue"/>
            <w:tcBorders>
              <w:left w:val="single" w:color="auto" w:sz="4" w:space="0"/>
              <w:right w:val="single" w:color="auto" w:sz="4" w:space="0"/>
            </w:tcBorders>
            <w:noWrap w:val="0"/>
            <w:tcMar>
              <w:top w:w="0" w:type="dxa"/>
              <w:left w:w="0" w:type="dxa"/>
              <w:bottom w:w="0" w:type="dxa"/>
              <w:right w:w="0" w:type="dxa"/>
            </w:tcMar>
            <w:vAlign w:val="center"/>
          </w:tcPr>
          <w:p w14:paraId="2625D100">
            <w:pPr>
              <w:widowControl/>
              <w:spacing w:line="280" w:lineRule="exact"/>
              <w:textAlignment w:val="center"/>
              <w:rPr>
                <w:rFonts w:hint="eastAsia" w:ascii="宋体" w:hAnsi="宋体" w:eastAsia="宋体" w:cs="宋体"/>
                <w:kern w:val="0"/>
                <w:sz w:val="18"/>
                <w:szCs w:val="18"/>
                <w:lang w:bidi="ar"/>
              </w:rPr>
            </w:pPr>
          </w:p>
        </w:tc>
        <w:tc>
          <w:tcPr>
            <w:tcW w:w="3805" w:type="dxa"/>
            <w:vMerge w:val="continue"/>
            <w:tcBorders>
              <w:left w:val="single" w:color="auto" w:sz="4" w:space="0"/>
              <w:right w:val="single" w:color="auto" w:sz="4" w:space="0"/>
            </w:tcBorders>
            <w:noWrap w:val="0"/>
            <w:tcMar>
              <w:top w:w="0" w:type="dxa"/>
              <w:left w:w="0" w:type="dxa"/>
              <w:bottom w:w="0" w:type="dxa"/>
              <w:right w:w="0" w:type="dxa"/>
            </w:tcMar>
            <w:vAlign w:val="center"/>
          </w:tcPr>
          <w:p w14:paraId="37F90CBA">
            <w:pPr>
              <w:widowControl/>
              <w:spacing w:line="280" w:lineRule="exact"/>
              <w:ind w:firstLine="360" w:firstLineChars="200"/>
              <w:textAlignment w:val="center"/>
              <w:rPr>
                <w:rFonts w:hint="eastAsia" w:ascii="宋体" w:hAnsi="宋体" w:eastAsia="宋体" w:cs="宋体"/>
                <w:kern w:val="0"/>
                <w:sz w:val="18"/>
                <w:szCs w:val="18"/>
                <w:lang w:bidi="ar"/>
              </w:rPr>
            </w:pPr>
          </w:p>
        </w:tc>
        <w:tc>
          <w:tcPr>
            <w:tcW w:w="1672" w:type="dxa"/>
            <w:vMerge w:val="continue"/>
            <w:tcBorders>
              <w:left w:val="single" w:color="auto" w:sz="4" w:space="0"/>
              <w:right w:val="single" w:color="auto" w:sz="4" w:space="0"/>
            </w:tcBorders>
            <w:noWrap w:val="0"/>
            <w:tcMar>
              <w:top w:w="0" w:type="dxa"/>
              <w:left w:w="0" w:type="dxa"/>
              <w:bottom w:w="0" w:type="dxa"/>
              <w:right w:w="0" w:type="dxa"/>
            </w:tcMar>
            <w:vAlign w:val="center"/>
          </w:tcPr>
          <w:p w14:paraId="2D24CBEB">
            <w:pPr>
              <w:spacing w:line="280" w:lineRule="exact"/>
              <w:jc w:val="both"/>
              <w:rPr>
                <w:rFonts w:hint="eastAsia" w:ascii="宋体" w:hAnsi="宋体" w:eastAsia="宋体" w:cs="宋体"/>
                <w:sz w:val="18"/>
                <w:szCs w:val="18"/>
              </w:rPr>
            </w:pPr>
          </w:p>
        </w:tc>
        <w:tc>
          <w:tcPr>
            <w:tcW w:w="78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31917D0">
            <w:pPr>
              <w:spacing w:line="280" w:lineRule="exact"/>
              <w:jc w:val="center"/>
              <w:rPr>
                <w:rFonts w:hint="eastAsia" w:ascii="宋体" w:hAnsi="宋体" w:eastAsia="宋体" w:cs="宋体"/>
                <w:sz w:val="18"/>
                <w:szCs w:val="18"/>
              </w:rPr>
            </w:pPr>
            <w:r>
              <w:rPr>
                <w:rFonts w:hint="eastAsia" w:ascii="宋体" w:hAnsi="宋体" w:eastAsia="宋体" w:cs="宋体"/>
                <w:sz w:val="18"/>
                <w:szCs w:val="18"/>
              </w:rPr>
              <w:t>较轻</w:t>
            </w:r>
          </w:p>
        </w:tc>
        <w:tc>
          <w:tcPr>
            <w:tcW w:w="367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8BA16DA">
            <w:pPr>
              <w:spacing w:line="280" w:lineRule="exact"/>
              <w:rPr>
                <w:rFonts w:hint="eastAsia" w:ascii="宋体" w:hAnsi="宋体" w:eastAsia="宋体" w:cs="宋体"/>
                <w:color w:val="000000"/>
                <w:sz w:val="18"/>
                <w:szCs w:val="18"/>
                <w:lang w:bidi="ar"/>
              </w:rPr>
            </w:pPr>
            <w:r>
              <w:rPr>
                <w:rStyle w:val="21"/>
                <w:rFonts w:hint="eastAsia" w:ascii="宋体" w:hAnsi="宋体" w:eastAsia="宋体" w:cs="宋体"/>
                <w:sz w:val="18"/>
                <w:szCs w:val="18"/>
                <w:lang w:bidi="ar"/>
              </w:rPr>
              <w:t>造成的损失在</w:t>
            </w:r>
            <w:r>
              <w:rPr>
                <w:rStyle w:val="21"/>
                <w:rFonts w:hint="eastAsia" w:ascii="宋体" w:hAnsi="宋体" w:eastAsia="宋体" w:cs="宋体"/>
                <w:sz w:val="18"/>
                <w:szCs w:val="18"/>
                <w:lang w:val="en-US" w:eastAsia="zh-CN" w:bidi="ar"/>
              </w:rPr>
              <w:t>10</w:t>
            </w:r>
            <w:r>
              <w:rPr>
                <w:rStyle w:val="21"/>
                <w:rFonts w:hint="eastAsia" w:ascii="宋体" w:hAnsi="宋体" w:eastAsia="宋体" w:cs="宋体"/>
                <w:sz w:val="18"/>
                <w:szCs w:val="18"/>
                <w:lang w:bidi="ar"/>
              </w:rPr>
              <w:t>万元以下或不良影响较小，在限期内停止违法行为，积极消除影响的</w:t>
            </w:r>
          </w:p>
        </w:tc>
        <w:tc>
          <w:tcPr>
            <w:tcW w:w="197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9678A53">
            <w:pPr>
              <w:spacing w:line="280" w:lineRule="exact"/>
              <w:rPr>
                <w:rFonts w:hint="eastAsia" w:ascii="宋体" w:hAnsi="宋体" w:eastAsia="宋体" w:cs="宋体"/>
                <w:color w:val="000000"/>
                <w:sz w:val="18"/>
                <w:szCs w:val="18"/>
                <w:lang w:bidi="ar"/>
              </w:rPr>
            </w:pPr>
            <w:r>
              <w:rPr>
                <w:rStyle w:val="21"/>
                <w:rFonts w:hint="eastAsia" w:ascii="宋体" w:hAnsi="宋体" w:eastAsia="宋体" w:cs="宋体"/>
                <w:sz w:val="18"/>
                <w:szCs w:val="18"/>
                <w:lang w:bidi="ar"/>
              </w:rPr>
              <w:t>处</w:t>
            </w:r>
            <w:r>
              <w:rPr>
                <w:rStyle w:val="21"/>
                <w:rFonts w:hint="eastAsia" w:ascii="宋体" w:hAnsi="宋体" w:eastAsia="宋体" w:cs="宋体"/>
                <w:sz w:val="18"/>
                <w:szCs w:val="18"/>
                <w:lang w:val="en-US" w:eastAsia="zh-CN" w:bidi="ar"/>
              </w:rPr>
              <w:t>1</w:t>
            </w:r>
            <w:r>
              <w:rPr>
                <w:rStyle w:val="21"/>
                <w:rFonts w:hint="eastAsia" w:ascii="宋体" w:hAnsi="宋体" w:eastAsia="宋体" w:cs="宋体"/>
                <w:sz w:val="18"/>
                <w:szCs w:val="18"/>
                <w:lang w:bidi="ar"/>
              </w:rPr>
              <w:t>万元以上</w:t>
            </w:r>
            <w:r>
              <w:rPr>
                <w:rStyle w:val="21"/>
                <w:rFonts w:hint="eastAsia" w:ascii="宋体" w:hAnsi="宋体" w:eastAsia="宋体" w:cs="宋体"/>
                <w:sz w:val="18"/>
                <w:szCs w:val="18"/>
                <w:lang w:val="en-US" w:eastAsia="zh-CN" w:bidi="ar"/>
              </w:rPr>
              <w:t>2</w:t>
            </w:r>
            <w:r>
              <w:rPr>
                <w:rStyle w:val="21"/>
                <w:rFonts w:hint="eastAsia" w:ascii="宋体" w:hAnsi="宋体" w:eastAsia="宋体" w:cs="宋体"/>
                <w:sz w:val="18"/>
                <w:szCs w:val="18"/>
                <w:lang w:bidi="ar"/>
              </w:rPr>
              <w:t>万元以下的罚款</w:t>
            </w:r>
          </w:p>
        </w:tc>
        <w:tc>
          <w:tcPr>
            <w:tcW w:w="1285" w:type="dxa"/>
            <w:vMerge w:val="continue"/>
            <w:tcBorders>
              <w:left w:val="single" w:color="auto" w:sz="4" w:space="0"/>
              <w:right w:val="single" w:color="auto" w:sz="4" w:space="0"/>
            </w:tcBorders>
            <w:noWrap w:val="0"/>
            <w:tcMar>
              <w:top w:w="0" w:type="dxa"/>
              <w:left w:w="0" w:type="dxa"/>
              <w:bottom w:w="0" w:type="dxa"/>
              <w:right w:w="0" w:type="dxa"/>
            </w:tcMar>
            <w:vAlign w:val="center"/>
          </w:tcPr>
          <w:p w14:paraId="00115333">
            <w:pPr>
              <w:spacing w:line="280" w:lineRule="exact"/>
              <w:jc w:val="center"/>
              <w:rPr>
                <w:rStyle w:val="21"/>
                <w:rFonts w:hint="eastAsia" w:ascii="宋体" w:hAnsi="宋体" w:eastAsia="宋体" w:cs="宋体"/>
                <w:sz w:val="18"/>
                <w:szCs w:val="18"/>
                <w:lang w:bidi="ar"/>
              </w:rPr>
            </w:pPr>
          </w:p>
        </w:tc>
      </w:tr>
      <w:tr w14:paraId="55E554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jc w:val="center"/>
        </w:trPr>
        <w:tc>
          <w:tcPr>
            <w:tcW w:w="496" w:type="dxa"/>
            <w:vMerge w:val="continue"/>
            <w:tcBorders>
              <w:left w:val="single" w:color="auto" w:sz="4" w:space="0"/>
              <w:right w:val="single" w:color="auto" w:sz="4" w:space="0"/>
            </w:tcBorders>
            <w:noWrap w:val="0"/>
            <w:tcMar>
              <w:top w:w="0" w:type="dxa"/>
              <w:left w:w="0" w:type="dxa"/>
              <w:bottom w:w="0" w:type="dxa"/>
              <w:right w:w="0" w:type="dxa"/>
            </w:tcMar>
            <w:vAlign w:val="center"/>
          </w:tcPr>
          <w:p w14:paraId="484E3FD3">
            <w:pPr>
              <w:spacing w:line="280" w:lineRule="exact"/>
              <w:jc w:val="center"/>
              <w:rPr>
                <w:rFonts w:hint="eastAsia" w:ascii="宋体" w:hAnsi="宋体" w:eastAsia="宋体" w:cs="宋体"/>
                <w:sz w:val="18"/>
                <w:szCs w:val="18"/>
              </w:rPr>
            </w:pPr>
          </w:p>
        </w:tc>
        <w:tc>
          <w:tcPr>
            <w:tcW w:w="1257" w:type="dxa"/>
            <w:vMerge w:val="continue"/>
            <w:tcBorders>
              <w:left w:val="single" w:color="auto" w:sz="4" w:space="0"/>
              <w:right w:val="single" w:color="auto" w:sz="4" w:space="0"/>
            </w:tcBorders>
            <w:noWrap w:val="0"/>
            <w:tcMar>
              <w:top w:w="0" w:type="dxa"/>
              <w:left w:w="0" w:type="dxa"/>
              <w:bottom w:w="0" w:type="dxa"/>
              <w:right w:w="0" w:type="dxa"/>
            </w:tcMar>
            <w:vAlign w:val="center"/>
          </w:tcPr>
          <w:p w14:paraId="05A15F9E">
            <w:pPr>
              <w:widowControl/>
              <w:spacing w:line="280" w:lineRule="exact"/>
              <w:textAlignment w:val="center"/>
              <w:rPr>
                <w:rFonts w:hint="eastAsia" w:ascii="宋体" w:hAnsi="宋体" w:eastAsia="宋体" w:cs="宋体"/>
                <w:kern w:val="0"/>
                <w:sz w:val="18"/>
                <w:szCs w:val="18"/>
                <w:lang w:bidi="ar"/>
              </w:rPr>
            </w:pPr>
          </w:p>
        </w:tc>
        <w:tc>
          <w:tcPr>
            <w:tcW w:w="3805" w:type="dxa"/>
            <w:vMerge w:val="continue"/>
            <w:tcBorders>
              <w:left w:val="single" w:color="auto" w:sz="4" w:space="0"/>
              <w:right w:val="single" w:color="auto" w:sz="4" w:space="0"/>
            </w:tcBorders>
            <w:noWrap w:val="0"/>
            <w:tcMar>
              <w:top w:w="0" w:type="dxa"/>
              <w:left w:w="0" w:type="dxa"/>
              <w:bottom w:w="0" w:type="dxa"/>
              <w:right w:w="0" w:type="dxa"/>
            </w:tcMar>
            <w:vAlign w:val="center"/>
          </w:tcPr>
          <w:p w14:paraId="5D6F4A56">
            <w:pPr>
              <w:widowControl/>
              <w:spacing w:line="280" w:lineRule="exact"/>
              <w:ind w:firstLine="360" w:firstLineChars="200"/>
              <w:textAlignment w:val="center"/>
              <w:rPr>
                <w:rFonts w:hint="eastAsia" w:ascii="宋体" w:hAnsi="宋体" w:eastAsia="宋体" w:cs="宋体"/>
                <w:kern w:val="0"/>
                <w:sz w:val="18"/>
                <w:szCs w:val="18"/>
                <w:lang w:bidi="ar"/>
              </w:rPr>
            </w:pPr>
          </w:p>
        </w:tc>
        <w:tc>
          <w:tcPr>
            <w:tcW w:w="1672" w:type="dxa"/>
            <w:vMerge w:val="continue"/>
            <w:tcBorders>
              <w:left w:val="single" w:color="auto" w:sz="4" w:space="0"/>
              <w:right w:val="single" w:color="auto" w:sz="4" w:space="0"/>
            </w:tcBorders>
            <w:noWrap w:val="0"/>
            <w:tcMar>
              <w:top w:w="0" w:type="dxa"/>
              <w:left w:w="0" w:type="dxa"/>
              <w:bottom w:w="0" w:type="dxa"/>
              <w:right w:w="0" w:type="dxa"/>
            </w:tcMar>
            <w:vAlign w:val="center"/>
          </w:tcPr>
          <w:p w14:paraId="58A4A287">
            <w:pPr>
              <w:spacing w:line="280" w:lineRule="exact"/>
              <w:jc w:val="both"/>
              <w:rPr>
                <w:rFonts w:hint="eastAsia" w:ascii="宋体" w:hAnsi="宋体" w:eastAsia="宋体" w:cs="宋体"/>
                <w:sz w:val="18"/>
                <w:szCs w:val="18"/>
              </w:rPr>
            </w:pPr>
          </w:p>
        </w:tc>
        <w:tc>
          <w:tcPr>
            <w:tcW w:w="78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D27AE6F">
            <w:pPr>
              <w:spacing w:line="280" w:lineRule="exact"/>
              <w:jc w:val="center"/>
              <w:rPr>
                <w:rFonts w:hint="eastAsia" w:ascii="宋体" w:hAnsi="宋体" w:eastAsia="宋体" w:cs="宋体"/>
                <w:sz w:val="18"/>
                <w:szCs w:val="18"/>
              </w:rPr>
            </w:pPr>
            <w:r>
              <w:rPr>
                <w:rFonts w:hint="eastAsia" w:ascii="宋体" w:hAnsi="宋体" w:eastAsia="宋体" w:cs="宋体"/>
                <w:sz w:val="18"/>
                <w:szCs w:val="18"/>
              </w:rPr>
              <w:t>一般</w:t>
            </w:r>
          </w:p>
        </w:tc>
        <w:tc>
          <w:tcPr>
            <w:tcW w:w="367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E58E063">
            <w:pPr>
              <w:spacing w:line="280" w:lineRule="exact"/>
              <w:rPr>
                <w:rFonts w:hint="eastAsia" w:ascii="宋体" w:hAnsi="宋体" w:eastAsia="宋体" w:cs="宋体"/>
                <w:color w:val="000000"/>
                <w:sz w:val="18"/>
                <w:szCs w:val="18"/>
                <w:lang w:bidi="ar"/>
              </w:rPr>
            </w:pPr>
            <w:r>
              <w:rPr>
                <w:rStyle w:val="21"/>
                <w:rFonts w:hint="eastAsia" w:ascii="宋体" w:hAnsi="宋体" w:eastAsia="宋体" w:cs="宋体"/>
                <w:sz w:val="18"/>
                <w:szCs w:val="18"/>
                <w:lang w:bidi="ar"/>
              </w:rPr>
              <w:t>造成的损失在</w:t>
            </w:r>
            <w:r>
              <w:rPr>
                <w:rStyle w:val="21"/>
                <w:rFonts w:hint="eastAsia" w:ascii="宋体" w:hAnsi="宋体" w:eastAsia="宋体" w:cs="宋体"/>
                <w:sz w:val="18"/>
                <w:szCs w:val="18"/>
                <w:lang w:val="en-US" w:eastAsia="zh-CN" w:bidi="ar"/>
              </w:rPr>
              <w:t>10</w:t>
            </w:r>
            <w:r>
              <w:rPr>
                <w:rStyle w:val="21"/>
                <w:rFonts w:hint="eastAsia" w:ascii="宋体" w:hAnsi="宋体" w:eastAsia="宋体" w:cs="宋体"/>
                <w:sz w:val="18"/>
                <w:szCs w:val="18"/>
                <w:lang w:bidi="ar"/>
              </w:rPr>
              <w:t>万元以上</w:t>
            </w:r>
            <w:r>
              <w:rPr>
                <w:rStyle w:val="21"/>
                <w:rFonts w:hint="eastAsia" w:ascii="宋体" w:hAnsi="宋体" w:eastAsia="宋体" w:cs="宋体"/>
                <w:sz w:val="18"/>
                <w:szCs w:val="18"/>
                <w:lang w:val="en-US" w:eastAsia="zh-CN" w:bidi="ar"/>
              </w:rPr>
              <w:t>30</w:t>
            </w:r>
            <w:r>
              <w:rPr>
                <w:rStyle w:val="21"/>
                <w:rFonts w:hint="eastAsia" w:ascii="宋体" w:hAnsi="宋体" w:eastAsia="宋体" w:cs="宋体"/>
                <w:sz w:val="18"/>
                <w:szCs w:val="18"/>
                <w:lang w:bidi="ar"/>
              </w:rPr>
              <w:t>万元以下或不良影响较大，在限期内停止违法行为，积极消除影响的</w:t>
            </w:r>
          </w:p>
        </w:tc>
        <w:tc>
          <w:tcPr>
            <w:tcW w:w="197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087FDB2">
            <w:pPr>
              <w:spacing w:line="280" w:lineRule="exact"/>
              <w:rPr>
                <w:rFonts w:hint="eastAsia" w:ascii="宋体" w:hAnsi="宋体" w:eastAsia="宋体" w:cs="宋体"/>
                <w:color w:val="000000"/>
                <w:sz w:val="18"/>
                <w:szCs w:val="18"/>
                <w:lang w:bidi="ar"/>
              </w:rPr>
            </w:pPr>
            <w:r>
              <w:rPr>
                <w:rStyle w:val="21"/>
                <w:rFonts w:hint="eastAsia" w:ascii="宋体" w:hAnsi="宋体" w:eastAsia="宋体" w:cs="宋体"/>
                <w:sz w:val="18"/>
                <w:szCs w:val="18"/>
                <w:lang w:bidi="ar"/>
              </w:rPr>
              <w:t>处</w:t>
            </w:r>
            <w:r>
              <w:rPr>
                <w:rStyle w:val="21"/>
                <w:rFonts w:hint="eastAsia" w:ascii="宋体" w:hAnsi="宋体" w:eastAsia="宋体" w:cs="宋体"/>
                <w:sz w:val="18"/>
                <w:szCs w:val="18"/>
                <w:lang w:val="en-US" w:eastAsia="zh-CN" w:bidi="ar"/>
              </w:rPr>
              <w:t>2</w:t>
            </w:r>
            <w:r>
              <w:rPr>
                <w:rStyle w:val="21"/>
                <w:rFonts w:hint="eastAsia" w:ascii="宋体" w:hAnsi="宋体" w:eastAsia="宋体" w:cs="宋体"/>
                <w:sz w:val="18"/>
                <w:szCs w:val="18"/>
                <w:lang w:bidi="ar"/>
              </w:rPr>
              <w:t>万元以上</w:t>
            </w:r>
            <w:r>
              <w:rPr>
                <w:rStyle w:val="21"/>
                <w:rFonts w:hint="eastAsia" w:ascii="宋体" w:hAnsi="宋体" w:eastAsia="宋体" w:cs="宋体"/>
                <w:sz w:val="18"/>
                <w:szCs w:val="18"/>
                <w:lang w:val="en-US" w:eastAsia="zh-CN" w:bidi="ar"/>
              </w:rPr>
              <w:t>3</w:t>
            </w:r>
            <w:r>
              <w:rPr>
                <w:rStyle w:val="21"/>
                <w:rFonts w:hint="eastAsia" w:ascii="宋体" w:hAnsi="宋体" w:eastAsia="宋体" w:cs="宋体"/>
                <w:sz w:val="18"/>
                <w:szCs w:val="18"/>
                <w:lang w:bidi="ar"/>
              </w:rPr>
              <w:t>万元以下的罚款</w:t>
            </w:r>
          </w:p>
        </w:tc>
        <w:tc>
          <w:tcPr>
            <w:tcW w:w="1285" w:type="dxa"/>
            <w:vMerge w:val="continue"/>
            <w:tcBorders>
              <w:left w:val="single" w:color="auto" w:sz="4" w:space="0"/>
              <w:right w:val="single" w:color="auto" w:sz="4" w:space="0"/>
            </w:tcBorders>
            <w:noWrap w:val="0"/>
            <w:tcMar>
              <w:top w:w="0" w:type="dxa"/>
              <w:left w:w="0" w:type="dxa"/>
              <w:bottom w:w="0" w:type="dxa"/>
              <w:right w:w="0" w:type="dxa"/>
            </w:tcMar>
            <w:vAlign w:val="center"/>
          </w:tcPr>
          <w:p w14:paraId="75ADE69C">
            <w:pPr>
              <w:spacing w:line="280" w:lineRule="exact"/>
              <w:jc w:val="center"/>
              <w:rPr>
                <w:rStyle w:val="21"/>
                <w:rFonts w:hint="eastAsia" w:ascii="宋体" w:hAnsi="宋体" w:eastAsia="宋体" w:cs="宋体"/>
                <w:sz w:val="18"/>
                <w:szCs w:val="18"/>
                <w:lang w:bidi="ar"/>
              </w:rPr>
            </w:pPr>
          </w:p>
        </w:tc>
      </w:tr>
      <w:tr w14:paraId="390D40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jc w:val="center"/>
        </w:trPr>
        <w:tc>
          <w:tcPr>
            <w:tcW w:w="496" w:type="dxa"/>
            <w:vMerge w:val="continue"/>
            <w:tcBorders>
              <w:left w:val="single" w:color="auto" w:sz="4" w:space="0"/>
              <w:right w:val="single" w:color="auto" w:sz="4" w:space="0"/>
            </w:tcBorders>
            <w:noWrap w:val="0"/>
            <w:tcMar>
              <w:top w:w="0" w:type="dxa"/>
              <w:left w:w="0" w:type="dxa"/>
              <w:bottom w:w="0" w:type="dxa"/>
              <w:right w:w="0" w:type="dxa"/>
            </w:tcMar>
            <w:vAlign w:val="center"/>
          </w:tcPr>
          <w:p w14:paraId="1E63B4AC">
            <w:pPr>
              <w:spacing w:line="280" w:lineRule="exact"/>
              <w:jc w:val="center"/>
              <w:rPr>
                <w:rFonts w:hint="eastAsia" w:ascii="宋体" w:hAnsi="宋体" w:eastAsia="宋体" w:cs="宋体"/>
                <w:sz w:val="18"/>
                <w:szCs w:val="18"/>
              </w:rPr>
            </w:pPr>
          </w:p>
        </w:tc>
        <w:tc>
          <w:tcPr>
            <w:tcW w:w="1257" w:type="dxa"/>
            <w:vMerge w:val="continue"/>
            <w:tcBorders>
              <w:left w:val="single" w:color="auto" w:sz="4" w:space="0"/>
              <w:right w:val="single" w:color="auto" w:sz="4" w:space="0"/>
            </w:tcBorders>
            <w:noWrap w:val="0"/>
            <w:tcMar>
              <w:top w:w="0" w:type="dxa"/>
              <w:left w:w="0" w:type="dxa"/>
              <w:bottom w:w="0" w:type="dxa"/>
              <w:right w:w="0" w:type="dxa"/>
            </w:tcMar>
            <w:vAlign w:val="center"/>
          </w:tcPr>
          <w:p w14:paraId="122A1F06">
            <w:pPr>
              <w:widowControl/>
              <w:spacing w:line="280" w:lineRule="exact"/>
              <w:textAlignment w:val="center"/>
              <w:rPr>
                <w:rFonts w:hint="eastAsia" w:ascii="宋体" w:hAnsi="宋体" w:eastAsia="宋体" w:cs="宋体"/>
                <w:kern w:val="0"/>
                <w:sz w:val="18"/>
                <w:szCs w:val="18"/>
                <w:lang w:bidi="ar"/>
              </w:rPr>
            </w:pPr>
          </w:p>
        </w:tc>
        <w:tc>
          <w:tcPr>
            <w:tcW w:w="3805" w:type="dxa"/>
            <w:vMerge w:val="continue"/>
            <w:tcBorders>
              <w:left w:val="single" w:color="auto" w:sz="4" w:space="0"/>
              <w:right w:val="single" w:color="auto" w:sz="4" w:space="0"/>
            </w:tcBorders>
            <w:noWrap w:val="0"/>
            <w:tcMar>
              <w:top w:w="0" w:type="dxa"/>
              <w:left w:w="0" w:type="dxa"/>
              <w:bottom w:w="0" w:type="dxa"/>
              <w:right w:w="0" w:type="dxa"/>
            </w:tcMar>
            <w:vAlign w:val="center"/>
          </w:tcPr>
          <w:p w14:paraId="02A94246">
            <w:pPr>
              <w:widowControl/>
              <w:spacing w:line="280" w:lineRule="exact"/>
              <w:ind w:firstLine="360" w:firstLineChars="200"/>
              <w:textAlignment w:val="center"/>
              <w:rPr>
                <w:rFonts w:hint="eastAsia" w:ascii="宋体" w:hAnsi="宋体" w:eastAsia="宋体" w:cs="宋体"/>
                <w:kern w:val="0"/>
                <w:sz w:val="18"/>
                <w:szCs w:val="18"/>
                <w:lang w:bidi="ar"/>
              </w:rPr>
            </w:pPr>
          </w:p>
        </w:tc>
        <w:tc>
          <w:tcPr>
            <w:tcW w:w="1672" w:type="dxa"/>
            <w:vMerge w:val="continue"/>
            <w:tcBorders>
              <w:left w:val="single" w:color="auto" w:sz="4" w:space="0"/>
              <w:right w:val="single" w:color="auto" w:sz="4" w:space="0"/>
            </w:tcBorders>
            <w:noWrap w:val="0"/>
            <w:tcMar>
              <w:top w:w="0" w:type="dxa"/>
              <w:left w:w="0" w:type="dxa"/>
              <w:bottom w:w="0" w:type="dxa"/>
              <w:right w:w="0" w:type="dxa"/>
            </w:tcMar>
            <w:vAlign w:val="center"/>
          </w:tcPr>
          <w:p w14:paraId="3DB48831">
            <w:pPr>
              <w:spacing w:line="280" w:lineRule="exact"/>
              <w:jc w:val="both"/>
              <w:rPr>
                <w:rFonts w:hint="eastAsia" w:ascii="宋体" w:hAnsi="宋体" w:eastAsia="宋体" w:cs="宋体"/>
                <w:sz w:val="18"/>
                <w:szCs w:val="18"/>
              </w:rPr>
            </w:pPr>
          </w:p>
        </w:tc>
        <w:tc>
          <w:tcPr>
            <w:tcW w:w="78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4217003">
            <w:pPr>
              <w:spacing w:line="280" w:lineRule="exact"/>
              <w:jc w:val="center"/>
              <w:rPr>
                <w:rFonts w:hint="eastAsia" w:ascii="宋体" w:hAnsi="宋体" w:eastAsia="宋体" w:cs="宋体"/>
                <w:sz w:val="18"/>
                <w:szCs w:val="18"/>
                <w:lang w:eastAsia="zh-CN"/>
              </w:rPr>
            </w:pPr>
            <w:r>
              <w:rPr>
                <w:rFonts w:hint="eastAsia" w:ascii="宋体" w:hAnsi="宋体" w:eastAsia="宋体" w:cs="宋体"/>
                <w:sz w:val="18"/>
                <w:szCs w:val="18"/>
                <w:lang w:eastAsia="zh-CN"/>
              </w:rPr>
              <w:t>较重</w:t>
            </w:r>
          </w:p>
        </w:tc>
        <w:tc>
          <w:tcPr>
            <w:tcW w:w="367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A636032">
            <w:pPr>
              <w:spacing w:line="280" w:lineRule="exact"/>
              <w:rPr>
                <w:rFonts w:hint="eastAsia" w:ascii="宋体" w:hAnsi="宋体" w:eastAsia="宋体" w:cs="宋体"/>
                <w:color w:val="000000"/>
                <w:sz w:val="18"/>
                <w:szCs w:val="18"/>
                <w:lang w:bidi="ar"/>
              </w:rPr>
            </w:pPr>
            <w:r>
              <w:rPr>
                <w:rStyle w:val="21"/>
                <w:rFonts w:hint="eastAsia" w:ascii="宋体" w:hAnsi="宋体" w:eastAsia="宋体" w:cs="宋体"/>
                <w:sz w:val="18"/>
                <w:szCs w:val="18"/>
                <w:lang w:bidi="ar"/>
              </w:rPr>
              <w:t>造成的损失在</w:t>
            </w:r>
            <w:r>
              <w:rPr>
                <w:rStyle w:val="21"/>
                <w:rFonts w:hint="eastAsia" w:ascii="宋体" w:hAnsi="宋体" w:eastAsia="宋体" w:cs="宋体"/>
                <w:sz w:val="18"/>
                <w:szCs w:val="18"/>
                <w:lang w:val="en-US" w:eastAsia="zh-CN" w:bidi="ar"/>
              </w:rPr>
              <w:t>30</w:t>
            </w:r>
            <w:r>
              <w:rPr>
                <w:rStyle w:val="21"/>
                <w:rFonts w:hint="eastAsia" w:ascii="宋体" w:hAnsi="宋体" w:eastAsia="宋体" w:cs="宋体"/>
                <w:sz w:val="18"/>
                <w:szCs w:val="18"/>
                <w:lang w:bidi="ar"/>
              </w:rPr>
              <w:t>万元以上的，或者不良影响重大大的，或者未在限期内停止违法行为、消除影响的</w:t>
            </w:r>
          </w:p>
        </w:tc>
        <w:tc>
          <w:tcPr>
            <w:tcW w:w="197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7FC64DC">
            <w:pPr>
              <w:spacing w:line="280" w:lineRule="exact"/>
              <w:rPr>
                <w:rFonts w:hint="eastAsia" w:ascii="宋体" w:hAnsi="宋体" w:eastAsia="宋体" w:cs="宋体"/>
                <w:color w:val="000000"/>
                <w:sz w:val="18"/>
                <w:szCs w:val="18"/>
                <w:lang w:bidi="ar"/>
              </w:rPr>
            </w:pPr>
            <w:r>
              <w:rPr>
                <w:rStyle w:val="21"/>
                <w:rFonts w:hint="eastAsia" w:ascii="宋体" w:hAnsi="宋体" w:eastAsia="宋体" w:cs="宋体"/>
                <w:sz w:val="18"/>
                <w:szCs w:val="18"/>
                <w:lang w:bidi="ar"/>
              </w:rPr>
              <w:t>处</w:t>
            </w:r>
            <w:r>
              <w:rPr>
                <w:rStyle w:val="21"/>
                <w:rFonts w:hint="eastAsia" w:ascii="宋体" w:hAnsi="宋体" w:eastAsia="宋体" w:cs="宋体"/>
                <w:sz w:val="18"/>
                <w:szCs w:val="18"/>
                <w:lang w:val="en-US" w:eastAsia="zh-CN" w:bidi="ar"/>
              </w:rPr>
              <w:t>3</w:t>
            </w:r>
            <w:r>
              <w:rPr>
                <w:rStyle w:val="21"/>
                <w:rFonts w:hint="eastAsia" w:ascii="宋体" w:hAnsi="宋体" w:eastAsia="宋体" w:cs="宋体"/>
                <w:sz w:val="18"/>
                <w:szCs w:val="18"/>
                <w:lang w:bidi="ar"/>
              </w:rPr>
              <w:t>万元以上</w:t>
            </w:r>
            <w:r>
              <w:rPr>
                <w:rStyle w:val="21"/>
                <w:rFonts w:hint="eastAsia" w:ascii="宋体" w:hAnsi="宋体" w:eastAsia="宋体" w:cs="宋体"/>
                <w:sz w:val="18"/>
                <w:szCs w:val="18"/>
                <w:lang w:val="en-US" w:eastAsia="zh-CN" w:bidi="ar"/>
              </w:rPr>
              <w:t>4</w:t>
            </w:r>
            <w:r>
              <w:rPr>
                <w:rStyle w:val="21"/>
                <w:rFonts w:hint="eastAsia" w:ascii="宋体" w:hAnsi="宋体" w:eastAsia="宋体" w:cs="宋体"/>
                <w:sz w:val="18"/>
                <w:szCs w:val="18"/>
                <w:lang w:bidi="ar"/>
              </w:rPr>
              <w:t>万元以下的罚款</w:t>
            </w:r>
          </w:p>
        </w:tc>
        <w:tc>
          <w:tcPr>
            <w:tcW w:w="1285" w:type="dxa"/>
            <w:vMerge w:val="continue"/>
            <w:tcBorders>
              <w:left w:val="single" w:color="auto" w:sz="4" w:space="0"/>
              <w:right w:val="single" w:color="auto" w:sz="4" w:space="0"/>
            </w:tcBorders>
            <w:noWrap w:val="0"/>
            <w:tcMar>
              <w:top w:w="0" w:type="dxa"/>
              <w:left w:w="0" w:type="dxa"/>
              <w:bottom w:w="0" w:type="dxa"/>
              <w:right w:w="0" w:type="dxa"/>
            </w:tcMar>
            <w:vAlign w:val="center"/>
          </w:tcPr>
          <w:p w14:paraId="654D2CD8">
            <w:pPr>
              <w:spacing w:line="280" w:lineRule="exact"/>
              <w:jc w:val="center"/>
              <w:rPr>
                <w:rStyle w:val="21"/>
                <w:rFonts w:hint="eastAsia" w:ascii="宋体" w:hAnsi="宋体" w:eastAsia="宋体" w:cs="宋体"/>
                <w:sz w:val="18"/>
                <w:szCs w:val="18"/>
                <w:lang w:bidi="ar"/>
              </w:rPr>
            </w:pPr>
          </w:p>
        </w:tc>
      </w:tr>
      <w:tr w14:paraId="357569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jc w:val="center"/>
        </w:trPr>
        <w:tc>
          <w:tcPr>
            <w:tcW w:w="496" w:type="dxa"/>
            <w:vMerge w:val="continue"/>
            <w:tcBorders>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2100531">
            <w:pPr>
              <w:spacing w:line="280" w:lineRule="exact"/>
              <w:jc w:val="center"/>
              <w:rPr>
                <w:rFonts w:hint="eastAsia" w:ascii="宋体" w:hAnsi="宋体" w:eastAsia="宋体" w:cs="宋体"/>
                <w:sz w:val="18"/>
                <w:szCs w:val="18"/>
              </w:rPr>
            </w:pPr>
          </w:p>
        </w:tc>
        <w:tc>
          <w:tcPr>
            <w:tcW w:w="1257" w:type="dxa"/>
            <w:vMerge w:val="continue"/>
            <w:tcBorders>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9C66F1D">
            <w:pPr>
              <w:widowControl/>
              <w:spacing w:line="280" w:lineRule="exact"/>
              <w:textAlignment w:val="center"/>
              <w:rPr>
                <w:rFonts w:hint="eastAsia" w:ascii="宋体" w:hAnsi="宋体" w:eastAsia="宋体" w:cs="宋体"/>
                <w:kern w:val="0"/>
                <w:sz w:val="18"/>
                <w:szCs w:val="18"/>
                <w:lang w:bidi="ar"/>
              </w:rPr>
            </w:pPr>
          </w:p>
        </w:tc>
        <w:tc>
          <w:tcPr>
            <w:tcW w:w="3805" w:type="dxa"/>
            <w:vMerge w:val="continue"/>
            <w:tcBorders>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DDC3724">
            <w:pPr>
              <w:widowControl/>
              <w:spacing w:line="280" w:lineRule="exact"/>
              <w:ind w:firstLine="360" w:firstLineChars="200"/>
              <w:textAlignment w:val="center"/>
              <w:rPr>
                <w:rFonts w:hint="eastAsia" w:ascii="宋体" w:hAnsi="宋体" w:eastAsia="宋体" w:cs="宋体"/>
                <w:kern w:val="0"/>
                <w:sz w:val="18"/>
                <w:szCs w:val="18"/>
                <w:lang w:bidi="ar"/>
              </w:rPr>
            </w:pPr>
          </w:p>
        </w:tc>
        <w:tc>
          <w:tcPr>
            <w:tcW w:w="1672" w:type="dxa"/>
            <w:vMerge w:val="continue"/>
            <w:tcBorders>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165A5C1">
            <w:pPr>
              <w:spacing w:line="280" w:lineRule="exact"/>
              <w:jc w:val="both"/>
              <w:rPr>
                <w:rFonts w:hint="eastAsia" w:ascii="宋体" w:hAnsi="宋体" w:eastAsia="宋体" w:cs="宋体"/>
                <w:sz w:val="18"/>
                <w:szCs w:val="18"/>
              </w:rPr>
            </w:pPr>
          </w:p>
        </w:tc>
        <w:tc>
          <w:tcPr>
            <w:tcW w:w="78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DD376F4">
            <w:pPr>
              <w:spacing w:line="280" w:lineRule="exact"/>
              <w:jc w:val="center"/>
              <w:rPr>
                <w:rFonts w:hint="eastAsia" w:ascii="宋体" w:hAnsi="宋体" w:eastAsia="宋体" w:cs="宋体"/>
                <w:sz w:val="18"/>
                <w:szCs w:val="18"/>
              </w:rPr>
            </w:pPr>
            <w:r>
              <w:rPr>
                <w:rFonts w:hint="eastAsia" w:ascii="宋体" w:hAnsi="宋体" w:eastAsia="宋体" w:cs="宋体"/>
                <w:sz w:val="18"/>
                <w:szCs w:val="18"/>
              </w:rPr>
              <w:t>严重</w:t>
            </w:r>
          </w:p>
        </w:tc>
        <w:tc>
          <w:tcPr>
            <w:tcW w:w="367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1086325">
            <w:pPr>
              <w:spacing w:line="280" w:lineRule="exact"/>
              <w:rPr>
                <w:rFonts w:hint="eastAsia" w:ascii="宋体" w:hAnsi="宋体" w:eastAsia="宋体" w:cs="宋体"/>
                <w:color w:val="000000"/>
                <w:sz w:val="18"/>
                <w:szCs w:val="18"/>
                <w:lang w:bidi="ar"/>
              </w:rPr>
            </w:pPr>
            <w:r>
              <w:rPr>
                <w:rStyle w:val="21"/>
                <w:rFonts w:hint="eastAsia" w:ascii="宋体" w:hAnsi="宋体" w:eastAsia="宋体" w:cs="宋体"/>
                <w:sz w:val="18"/>
                <w:szCs w:val="18"/>
                <w:lang w:bidi="ar"/>
              </w:rPr>
              <w:t>拒不停止违法行为的，或者被外界引用对社会安定造成巨大负面影响的，或者造成的经济损失在</w:t>
            </w:r>
            <w:r>
              <w:rPr>
                <w:rStyle w:val="21"/>
                <w:rFonts w:hint="eastAsia" w:ascii="宋体" w:hAnsi="宋体" w:eastAsia="宋体" w:cs="宋体"/>
                <w:sz w:val="18"/>
                <w:szCs w:val="18"/>
                <w:lang w:val="en-US" w:eastAsia="zh-CN" w:bidi="ar"/>
              </w:rPr>
              <w:t>50</w:t>
            </w:r>
            <w:r>
              <w:rPr>
                <w:rStyle w:val="21"/>
                <w:rFonts w:hint="eastAsia" w:ascii="宋体" w:hAnsi="宋体" w:eastAsia="宋体" w:cs="宋体"/>
                <w:sz w:val="18"/>
                <w:szCs w:val="18"/>
                <w:lang w:bidi="ar"/>
              </w:rPr>
              <w:t>万元以上的</w:t>
            </w:r>
          </w:p>
        </w:tc>
        <w:tc>
          <w:tcPr>
            <w:tcW w:w="197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0AEA630">
            <w:pPr>
              <w:spacing w:line="280" w:lineRule="exact"/>
              <w:rPr>
                <w:rFonts w:hint="eastAsia" w:ascii="宋体" w:hAnsi="宋体" w:eastAsia="宋体" w:cs="宋体"/>
                <w:color w:val="000000"/>
                <w:sz w:val="18"/>
                <w:szCs w:val="18"/>
                <w:lang w:bidi="ar"/>
              </w:rPr>
            </w:pPr>
            <w:r>
              <w:rPr>
                <w:rStyle w:val="21"/>
                <w:rFonts w:hint="eastAsia" w:ascii="宋体" w:hAnsi="宋体" w:eastAsia="宋体" w:cs="宋体"/>
                <w:sz w:val="18"/>
                <w:szCs w:val="18"/>
                <w:lang w:bidi="ar"/>
              </w:rPr>
              <w:t>处</w:t>
            </w:r>
            <w:r>
              <w:rPr>
                <w:rStyle w:val="21"/>
                <w:rFonts w:hint="eastAsia" w:ascii="宋体" w:hAnsi="宋体" w:eastAsia="宋体" w:cs="宋体"/>
                <w:sz w:val="18"/>
                <w:szCs w:val="18"/>
                <w:lang w:val="en-US" w:eastAsia="zh-CN" w:bidi="ar"/>
              </w:rPr>
              <w:t>4</w:t>
            </w:r>
            <w:r>
              <w:rPr>
                <w:rStyle w:val="21"/>
                <w:rFonts w:hint="eastAsia" w:ascii="宋体" w:hAnsi="宋体" w:eastAsia="宋体" w:cs="宋体"/>
                <w:sz w:val="18"/>
                <w:szCs w:val="18"/>
                <w:lang w:bidi="ar"/>
              </w:rPr>
              <w:t>万元以上</w:t>
            </w:r>
            <w:r>
              <w:rPr>
                <w:rStyle w:val="21"/>
                <w:rFonts w:hint="eastAsia" w:ascii="宋体" w:hAnsi="宋体" w:eastAsia="宋体" w:cs="宋体"/>
                <w:sz w:val="18"/>
                <w:szCs w:val="18"/>
                <w:lang w:val="en-US" w:eastAsia="zh-CN" w:bidi="ar"/>
              </w:rPr>
              <w:t>5</w:t>
            </w:r>
            <w:r>
              <w:rPr>
                <w:rStyle w:val="21"/>
                <w:rFonts w:hint="eastAsia" w:ascii="宋体" w:hAnsi="宋体" w:eastAsia="宋体" w:cs="宋体"/>
                <w:sz w:val="18"/>
                <w:szCs w:val="18"/>
                <w:lang w:bidi="ar"/>
              </w:rPr>
              <w:t>万元以下的罚款</w:t>
            </w:r>
          </w:p>
        </w:tc>
        <w:tc>
          <w:tcPr>
            <w:tcW w:w="1285" w:type="dxa"/>
            <w:vMerge w:val="continue"/>
            <w:tcBorders>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42BABF8">
            <w:pPr>
              <w:spacing w:line="280" w:lineRule="exact"/>
              <w:jc w:val="center"/>
              <w:rPr>
                <w:rStyle w:val="21"/>
                <w:rFonts w:hint="eastAsia" w:ascii="宋体" w:hAnsi="宋体" w:eastAsia="宋体" w:cs="宋体"/>
                <w:sz w:val="18"/>
                <w:szCs w:val="18"/>
                <w:lang w:bidi="ar"/>
              </w:rPr>
            </w:pPr>
          </w:p>
        </w:tc>
      </w:tr>
      <w:tr w14:paraId="3F197B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96" w:type="dxa"/>
            <w:vMerge w:val="restart"/>
            <w:tcBorders>
              <w:left w:val="single" w:color="auto" w:sz="4" w:space="0"/>
              <w:right w:val="single" w:color="auto" w:sz="4" w:space="0"/>
            </w:tcBorders>
            <w:noWrap w:val="0"/>
            <w:tcMar>
              <w:top w:w="0" w:type="dxa"/>
              <w:left w:w="0" w:type="dxa"/>
              <w:bottom w:w="0" w:type="dxa"/>
              <w:right w:w="0" w:type="dxa"/>
            </w:tcMar>
            <w:vAlign w:val="center"/>
          </w:tcPr>
          <w:p w14:paraId="1C3FA4B2">
            <w:pPr>
              <w:widowControl/>
              <w:spacing w:line="280" w:lineRule="exact"/>
              <w:jc w:val="center"/>
              <w:textAlignment w:val="center"/>
              <w:rPr>
                <w:rFonts w:hint="eastAsia" w:ascii="宋体" w:hAnsi="宋体" w:eastAsia="宋体" w:cs="宋体"/>
                <w:sz w:val="18"/>
                <w:szCs w:val="18"/>
                <w:lang w:eastAsia="zh-CN"/>
              </w:rPr>
            </w:pPr>
            <w:r>
              <w:rPr>
                <w:rFonts w:hint="eastAsia" w:ascii="宋体" w:hAnsi="宋体" w:eastAsia="宋体" w:cs="宋体"/>
                <w:kern w:val="0"/>
                <w:sz w:val="18"/>
                <w:szCs w:val="18"/>
                <w:lang w:bidi="ar"/>
              </w:rPr>
              <w:t>3</w:t>
            </w:r>
            <w:r>
              <w:rPr>
                <w:rFonts w:hint="eastAsia" w:ascii="宋体" w:hAnsi="宋体" w:eastAsia="宋体" w:cs="宋体"/>
                <w:kern w:val="0"/>
                <w:sz w:val="18"/>
                <w:szCs w:val="18"/>
                <w:lang w:val="en-US" w:eastAsia="zh-CN" w:bidi="ar"/>
              </w:rPr>
              <w:t>8</w:t>
            </w:r>
          </w:p>
        </w:tc>
        <w:tc>
          <w:tcPr>
            <w:tcW w:w="1257" w:type="dxa"/>
            <w:vMerge w:val="restart"/>
            <w:tcBorders>
              <w:left w:val="single" w:color="auto" w:sz="4" w:space="0"/>
              <w:right w:val="single" w:color="auto" w:sz="4" w:space="0"/>
            </w:tcBorders>
            <w:noWrap w:val="0"/>
            <w:tcMar>
              <w:top w:w="0" w:type="dxa"/>
              <w:left w:w="0" w:type="dxa"/>
              <w:bottom w:w="0" w:type="dxa"/>
              <w:right w:w="0" w:type="dxa"/>
            </w:tcMar>
            <w:vAlign w:val="center"/>
          </w:tcPr>
          <w:p w14:paraId="7A977B24">
            <w:pPr>
              <w:widowControl/>
              <w:spacing w:line="280" w:lineRule="exact"/>
              <w:jc w:val="both"/>
              <w:textAlignment w:val="center"/>
              <w:rPr>
                <w:rFonts w:hint="eastAsia" w:ascii="宋体" w:hAnsi="宋体" w:eastAsia="宋体" w:cs="宋体"/>
                <w:kern w:val="0"/>
                <w:sz w:val="18"/>
                <w:szCs w:val="18"/>
                <w:lang w:bidi="ar"/>
              </w:rPr>
            </w:pPr>
            <w:r>
              <w:rPr>
                <w:rFonts w:hint="eastAsia" w:ascii="宋体" w:hAnsi="宋体" w:eastAsia="宋体" w:cs="宋体"/>
                <w:kern w:val="0"/>
                <w:sz w:val="18"/>
                <w:szCs w:val="18"/>
                <w:lang w:bidi="ar"/>
              </w:rPr>
              <w:t>对侵占、毁坏水文监测设施或者未经批准擅自移动、擅自使用水文监测设施行为的行政处罚</w:t>
            </w:r>
          </w:p>
        </w:tc>
        <w:tc>
          <w:tcPr>
            <w:tcW w:w="3805" w:type="dxa"/>
            <w:vMerge w:val="restart"/>
            <w:tcBorders>
              <w:top w:val="single" w:color="auto" w:sz="4" w:space="0"/>
              <w:left w:val="single" w:color="auto" w:sz="4" w:space="0"/>
              <w:right w:val="single" w:color="auto" w:sz="4" w:space="0"/>
            </w:tcBorders>
            <w:noWrap w:val="0"/>
            <w:tcMar>
              <w:top w:w="0" w:type="dxa"/>
              <w:left w:w="0" w:type="dxa"/>
              <w:bottom w:w="0" w:type="dxa"/>
              <w:right w:w="0" w:type="dxa"/>
            </w:tcMar>
            <w:vAlign w:val="center"/>
          </w:tcPr>
          <w:p w14:paraId="5303BF7C">
            <w:pPr>
              <w:widowControl/>
              <w:spacing w:line="280" w:lineRule="exact"/>
              <w:textAlignment w:val="center"/>
              <w:rPr>
                <w:rFonts w:hint="eastAsia" w:ascii="宋体" w:hAnsi="宋体" w:eastAsia="宋体" w:cs="宋体"/>
                <w:kern w:val="0"/>
                <w:sz w:val="18"/>
                <w:szCs w:val="18"/>
                <w:lang w:bidi="ar"/>
              </w:rPr>
            </w:pPr>
            <w:r>
              <w:rPr>
                <w:rFonts w:hint="eastAsia" w:ascii="宋体" w:hAnsi="宋体" w:eastAsia="宋体" w:cs="宋体"/>
                <w:kern w:val="0"/>
                <w:sz w:val="18"/>
                <w:szCs w:val="18"/>
                <w:lang w:bidi="ar"/>
              </w:rPr>
              <w:t>《中华人民共和国水文条例》第四十一条 违反本条例规定，侵占、毁坏水文监测设施或者未经批准擅自移动、擅自使用水文监测设施的，责令停止违法行为，限期恢复原状或者采取其他补救措施，可以处5万元以下罚款；构成违反治安管理行为的，依法给予治安管理处罚；构成犯罪的，依法追究刑事责任。</w:t>
            </w:r>
          </w:p>
        </w:tc>
        <w:tc>
          <w:tcPr>
            <w:tcW w:w="1672" w:type="dxa"/>
            <w:vMerge w:val="restart"/>
            <w:tcBorders>
              <w:top w:val="single" w:color="auto" w:sz="4" w:space="0"/>
              <w:left w:val="single" w:color="auto" w:sz="4" w:space="0"/>
              <w:right w:val="single" w:color="auto" w:sz="4" w:space="0"/>
            </w:tcBorders>
            <w:noWrap w:val="0"/>
            <w:tcMar>
              <w:top w:w="0" w:type="dxa"/>
              <w:left w:w="0" w:type="dxa"/>
              <w:bottom w:w="0" w:type="dxa"/>
              <w:right w:w="0" w:type="dxa"/>
            </w:tcMar>
            <w:vAlign w:val="center"/>
          </w:tcPr>
          <w:p w14:paraId="3A741597">
            <w:pPr>
              <w:spacing w:line="280" w:lineRule="exact"/>
              <w:jc w:val="both"/>
              <w:rPr>
                <w:rFonts w:hint="eastAsia" w:ascii="宋体" w:hAnsi="宋体" w:eastAsia="宋体" w:cs="宋体"/>
                <w:sz w:val="18"/>
                <w:szCs w:val="18"/>
              </w:rPr>
            </w:pPr>
            <w:r>
              <w:rPr>
                <w:rFonts w:hint="eastAsia" w:ascii="宋体" w:hAnsi="宋体" w:eastAsia="宋体" w:cs="宋体"/>
                <w:kern w:val="0"/>
                <w:sz w:val="18"/>
                <w:szCs w:val="18"/>
                <w:lang w:bidi="ar"/>
              </w:rPr>
              <w:t>侵占、毁坏水文监测设施或者未经批准擅自移动、擅自使用水文监测设施的</w:t>
            </w:r>
          </w:p>
        </w:tc>
        <w:tc>
          <w:tcPr>
            <w:tcW w:w="78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E9E87AA">
            <w:pPr>
              <w:spacing w:line="280" w:lineRule="exact"/>
              <w:jc w:val="center"/>
              <w:rPr>
                <w:rFonts w:hint="eastAsia" w:ascii="宋体" w:hAnsi="宋体" w:eastAsia="宋体" w:cs="宋体"/>
                <w:sz w:val="18"/>
                <w:szCs w:val="18"/>
              </w:rPr>
            </w:pPr>
            <w:r>
              <w:rPr>
                <w:rFonts w:hint="eastAsia" w:ascii="宋体" w:hAnsi="宋体" w:eastAsia="宋体" w:cs="宋体"/>
                <w:sz w:val="18"/>
                <w:szCs w:val="18"/>
              </w:rPr>
              <w:t>轻微</w:t>
            </w:r>
          </w:p>
        </w:tc>
        <w:tc>
          <w:tcPr>
            <w:tcW w:w="367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9E31811">
            <w:pPr>
              <w:spacing w:line="280" w:lineRule="exact"/>
              <w:rPr>
                <w:rStyle w:val="21"/>
                <w:rFonts w:hint="eastAsia" w:ascii="宋体" w:hAnsi="宋体" w:eastAsia="宋体" w:cs="宋体"/>
                <w:color w:val="auto"/>
                <w:sz w:val="18"/>
                <w:szCs w:val="18"/>
                <w:lang w:bidi="ar"/>
              </w:rPr>
            </w:pPr>
          </w:p>
        </w:tc>
        <w:tc>
          <w:tcPr>
            <w:tcW w:w="197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7E00125">
            <w:pPr>
              <w:spacing w:line="280" w:lineRule="exact"/>
              <w:rPr>
                <w:rStyle w:val="21"/>
                <w:rFonts w:hint="eastAsia" w:ascii="宋体" w:hAnsi="宋体" w:eastAsia="宋体" w:cs="宋体"/>
                <w:color w:val="auto"/>
                <w:sz w:val="18"/>
                <w:szCs w:val="18"/>
                <w:lang w:bidi="ar"/>
              </w:rPr>
            </w:pPr>
          </w:p>
        </w:tc>
        <w:tc>
          <w:tcPr>
            <w:tcW w:w="1285" w:type="dxa"/>
            <w:vMerge w:val="restart"/>
            <w:tcBorders>
              <w:top w:val="single" w:color="auto" w:sz="4" w:space="0"/>
              <w:left w:val="single" w:color="auto" w:sz="4" w:space="0"/>
              <w:right w:val="single" w:color="auto" w:sz="4" w:space="0"/>
            </w:tcBorders>
            <w:noWrap w:val="0"/>
            <w:tcMar>
              <w:top w:w="0" w:type="dxa"/>
              <w:left w:w="0" w:type="dxa"/>
              <w:bottom w:w="0" w:type="dxa"/>
              <w:right w:w="0" w:type="dxa"/>
            </w:tcMar>
            <w:vAlign w:val="center"/>
          </w:tcPr>
          <w:p w14:paraId="62590398">
            <w:pPr>
              <w:spacing w:line="280" w:lineRule="exact"/>
              <w:jc w:val="center"/>
              <w:rPr>
                <w:rStyle w:val="21"/>
                <w:rFonts w:hint="eastAsia" w:ascii="宋体" w:hAnsi="宋体" w:eastAsia="宋体" w:cs="宋体"/>
                <w:color w:val="auto"/>
                <w:sz w:val="18"/>
                <w:szCs w:val="18"/>
                <w:lang w:bidi="ar"/>
              </w:rPr>
            </w:pPr>
          </w:p>
        </w:tc>
      </w:tr>
      <w:tr w14:paraId="3A7677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496" w:type="dxa"/>
            <w:vMerge w:val="continue"/>
            <w:tcBorders>
              <w:left w:val="single" w:color="auto" w:sz="4" w:space="0"/>
              <w:right w:val="single" w:color="auto" w:sz="4" w:space="0"/>
            </w:tcBorders>
            <w:noWrap w:val="0"/>
            <w:tcMar>
              <w:top w:w="0" w:type="dxa"/>
              <w:left w:w="0" w:type="dxa"/>
              <w:bottom w:w="0" w:type="dxa"/>
              <w:right w:w="0" w:type="dxa"/>
            </w:tcMar>
            <w:vAlign w:val="center"/>
          </w:tcPr>
          <w:p w14:paraId="5FED4DB6">
            <w:pPr>
              <w:spacing w:line="280" w:lineRule="exact"/>
              <w:jc w:val="center"/>
              <w:rPr>
                <w:rFonts w:hint="eastAsia" w:ascii="宋体" w:hAnsi="宋体" w:eastAsia="宋体" w:cs="宋体"/>
                <w:sz w:val="18"/>
                <w:szCs w:val="18"/>
              </w:rPr>
            </w:pPr>
          </w:p>
        </w:tc>
        <w:tc>
          <w:tcPr>
            <w:tcW w:w="1257" w:type="dxa"/>
            <w:vMerge w:val="continue"/>
            <w:tcBorders>
              <w:left w:val="single" w:color="auto" w:sz="4" w:space="0"/>
              <w:right w:val="single" w:color="auto" w:sz="4" w:space="0"/>
            </w:tcBorders>
            <w:noWrap w:val="0"/>
            <w:tcMar>
              <w:top w:w="0" w:type="dxa"/>
              <w:left w:w="0" w:type="dxa"/>
              <w:bottom w:w="0" w:type="dxa"/>
              <w:right w:w="0" w:type="dxa"/>
            </w:tcMar>
            <w:vAlign w:val="center"/>
          </w:tcPr>
          <w:p w14:paraId="4BACF0BB">
            <w:pPr>
              <w:widowControl/>
              <w:spacing w:line="280" w:lineRule="exact"/>
              <w:textAlignment w:val="center"/>
              <w:rPr>
                <w:rFonts w:hint="eastAsia" w:ascii="宋体" w:hAnsi="宋体" w:eastAsia="宋体" w:cs="宋体"/>
                <w:kern w:val="0"/>
                <w:sz w:val="18"/>
                <w:szCs w:val="18"/>
                <w:lang w:bidi="ar"/>
              </w:rPr>
            </w:pPr>
          </w:p>
        </w:tc>
        <w:tc>
          <w:tcPr>
            <w:tcW w:w="3805" w:type="dxa"/>
            <w:vMerge w:val="continue"/>
            <w:tcBorders>
              <w:left w:val="single" w:color="auto" w:sz="4" w:space="0"/>
              <w:right w:val="single" w:color="auto" w:sz="4" w:space="0"/>
            </w:tcBorders>
            <w:noWrap w:val="0"/>
            <w:tcMar>
              <w:top w:w="0" w:type="dxa"/>
              <w:left w:w="0" w:type="dxa"/>
              <w:bottom w:w="0" w:type="dxa"/>
              <w:right w:w="0" w:type="dxa"/>
            </w:tcMar>
            <w:vAlign w:val="center"/>
          </w:tcPr>
          <w:p w14:paraId="2B243EA1">
            <w:pPr>
              <w:widowControl/>
              <w:spacing w:line="280" w:lineRule="exact"/>
              <w:ind w:firstLine="360" w:firstLineChars="200"/>
              <w:textAlignment w:val="center"/>
              <w:rPr>
                <w:rFonts w:hint="eastAsia" w:ascii="宋体" w:hAnsi="宋体" w:eastAsia="宋体" w:cs="宋体"/>
                <w:kern w:val="0"/>
                <w:sz w:val="18"/>
                <w:szCs w:val="18"/>
                <w:lang w:bidi="ar"/>
              </w:rPr>
            </w:pPr>
          </w:p>
        </w:tc>
        <w:tc>
          <w:tcPr>
            <w:tcW w:w="1672" w:type="dxa"/>
            <w:vMerge w:val="continue"/>
            <w:tcBorders>
              <w:left w:val="single" w:color="auto" w:sz="4" w:space="0"/>
              <w:right w:val="single" w:color="auto" w:sz="4" w:space="0"/>
            </w:tcBorders>
            <w:noWrap w:val="0"/>
            <w:tcMar>
              <w:top w:w="0" w:type="dxa"/>
              <w:left w:w="0" w:type="dxa"/>
              <w:bottom w:w="0" w:type="dxa"/>
              <w:right w:w="0" w:type="dxa"/>
            </w:tcMar>
            <w:vAlign w:val="center"/>
          </w:tcPr>
          <w:p w14:paraId="0E67ACAB">
            <w:pPr>
              <w:spacing w:line="280" w:lineRule="exact"/>
              <w:jc w:val="both"/>
              <w:rPr>
                <w:rFonts w:hint="eastAsia" w:ascii="宋体" w:hAnsi="宋体" w:eastAsia="宋体" w:cs="宋体"/>
                <w:sz w:val="18"/>
                <w:szCs w:val="18"/>
              </w:rPr>
            </w:pPr>
          </w:p>
        </w:tc>
        <w:tc>
          <w:tcPr>
            <w:tcW w:w="78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E79635E">
            <w:pPr>
              <w:spacing w:line="280" w:lineRule="exact"/>
              <w:jc w:val="center"/>
              <w:rPr>
                <w:rFonts w:hint="eastAsia" w:ascii="宋体" w:hAnsi="宋体" w:eastAsia="宋体" w:cs="宋体"/>
                <w:sz w:val="18"/>
                <w:szCs w:val="18"/>
              </w:rPr>
            </w:pPr>
            <w:r>
              <w:rPr>
                <w:rFonts w:hint="eastAsia" w:ascii="宋体" w:hAnsi="宋体" w:eastAsia="宋体" w:cs="宋体"/>
                <w:sz w:val="18"/>
                <w:szCs w:val="18"/>
              </w:rPr>
              <w:t>较轻</w:t>
            </w:r>
          </w:p>
        </w:tc>
        <w:tc>
          <w:tcPr>
            <w:tcW w:w="367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CA21125">
            <w:pPr>
              <w:spacing w:line="280" w:lineRule="exact"/>
              <w:rPr>
                <w:rFonts w:hint="eastAsia" w:ascii="宋体" w:hAnsi="宋体" w:eastAsia="宋体" w:cs="宋体"/>
                <w:color w:val="000000"/>
                <w:sz w:val="18"/>
                <w:szCs w:val="18"/>
                <w:lang w:bidi="ar"/>
              </w:rPr>
            </w:pPr>
            <w:r>
              <w:rPr>
                <w:rStyle w:val="21"/>
                <w:rFonts w:hint="eastAsia" w:ascii="宋体" w:hAnsi="宋体" w:eastAsia="宋体" w:cs="宋体"/>
                <w:sz w:val="18"/>
                <w:szCs w:val="18"/>
                <w:lang w:bidi="ar"/>
              </w:rPr>
              <w:t>违法行为未对水文监测设施造成损坏，且在限期内停止违法行为，并采取补救措施的</w:t>
            </w:r>
          </w:p>
        </w:tc>
        <w:tc>
          <w:tcPr>
            <w:tcW w:w="197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78A74AA">
            <w:pPr>
              <w:spacing w:line="280" w:lineRule="exact"/>
              <w:rPr>
                <w:rFonts w:hint="eastAsia" w:ascii="宋体" w:hAnsi="宋体" w:eastAsia="宋体" w:cs="宋体"/>
                <w:color w:val="000000"/>
                <w:sz w:val="18"/>
                <w:szCs w:val="18"/>
                <w:lang w:bidi="ar"/>
              </w:rPr>
            </w:pPr>
            <w:r>
              <w:rPr>
                <w:rStyle w:val="21"/>
                <w:rFonts w:hint="eastAsia" w:ascii="宋体" w:hAnsi="宋体" w:eastAsia="宋体" w:cs="宋体"/>
                <w:sz w:val="18"/>
                <w:szCs w:val="18"/>
                <w:lang w:bidi="ar"/>
              </w:rPr>
              <w:t>处</w:t>
            </w:r>
            <w:r>
              <w:rPr>
                <w:rStyle w:val="21"/>
                <w:rFonts w:hint="eastAsia" w:ascii="宋体" w:hAnsi="宋体" w:eastAsia="宋体" w:cs="宋体"/>
                <w:sz w:val="18"/>
                <w:szCs w:val="18"/>
                <w:lang w:val="en-US" w:eastAsia="zh-CN" w:bidi="ar"/>
              </w:rPr>
              <w:t>1</w:t>
            </w:r>
            <w:r>
              <w:rPr>
                <w:rStyle w:val="21"/>
                <w:rFonts w:hint="eastAsia" w:ascii="宋体" w:hAnsi="宋体" w:eastAsia="宋体" w:cs="宋体"/>
                <w:sz w:val="18"/>
                <w:szCs w:val="18"/>
                <w:lang w:bidi="ar"/>
              </w:rPr>
              <w:t>万元以上</w:t>
            </w:r>
            <w:r>
              <w:rPr>
                <w:rStyle w:val="21"/>
                <w:rFonts w:hint="eastAsia" w:ascii="宋体" w:hAnsi="宋体" w:eastAsia="宋体" w:cs="宋体"/>
                <w:sz w:val="18"/>
                <w:szCs w:val="18"/>
                <w:lang w:val="en-US" w:eastAsia="zh-CN" w:bidi="ar"/>
              </w:rPr>
              <w:t>2</w:t>
            </w:r>
            <w:r>
              <w:rPr>
                <w:rStyle w:val="21"/>
                <w:rFonts w:hint="eastAsia" w:ascii="宋体" w:hAnsi="宋体" w:eastAsia="宋体" w:cs="宋体"/>
                <w:sz w:val="18"/>
                <w:szCs w:val="18"/>
                <w:lang w:bidi="ar"/>
              </w:rPr>
              <w:t>万元以下的罚款</w:t>
            </w:r>
          </w:p>
        </w:tc>
        <w:tc>
          <w:tcPr>
            <w:tcW w:w="1285" w:type="dxa"/>
            <w:vMerge w:val="continue"/>
            <w:tcBorders>
              <w:left w:val="single" w:color="auto" w:sz="4" w:space="0"/>
              <w:right w:val="single" w:color="auto" w:sz="4" w:space="0"/>
            </w:tcBorders>
            <w:noWrap w:val="0"/>
            <w:tcMar>
              <w:top w:w="0" w:type="dxa"/>
              <w:left w:w="0" w:type="dxa"/>
              <w:bottom w:w="0" w:type="dxa"/>
              <w:right w:w="0" w:type="dxa"/>
            </w:tcMar>
            <w:vAlign w:val="center"/>
          </w:tcPr>
          <w:p w14:paraId="7697A651">
            <w:pPr>
              <w:spacing w:line="280" w:lineRule="exact"/>
              <w:jc w:val="center"/>
              <w:rPr>
                <w:rStyle w:val="21"/>
                <w:rFonts w:hint="eastAsia" w:ascii="宋体" w:hAnsi="宋体" w:eastAsia="宋体" w:cs="宋体"/>
                <w:sz w:val="18"/>
                <w:szCs w:val="18"/>
                <w:lang w:bidi="ar"/>
              </w:rPr>
            </w:pPr>
          </w:p>
        </w:tc>
      </w:tr>
      <w:tr w14:paraId="77114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jc w:val="center"/>
        </w:trPr>
        <w:tc>
          <w:tcPr>
            <w:tcW w:w="496" w:type="dxa"/>
            <w:vMerge w:val="continue"/>
            <w:tcBorders>
              <w:left w:val="single" w:color="auto" w:sz="4" w:space="0"/>
              <w:right w:val="single" w:color="auto" w:sz="4" w:space="0"/>
            </w:tcBorders>
            <w:noWrap w:val="0"/>
            <w:tcMar>
              <w:top w:w="0" w:type="dxa"/>
              <w:left w:w="0" w:type="dxa"/>
              <w:bottom w:w="0" w:type="dxa"/>
              <w:right w:w="0" w:type="dxa"/>
            </w:tcMar>
            <w:vAlign w:val="center"/>
          </w:tcPr>
          <w:p w14:paraId="181D2139">
            <w:pPr>
              <w:spacing w:line="280" w:lineRule="exact"/>
              <w:jc w:val="center"/>
              <w:rPr>
                <w:rFonts w:hint="eastAsia" w:ascii="宋体" w:hAnsi="宋体" w:eastAsia="宋体" w:cs="宋体"/>
                <w:sz w:val="18"/>
                <w:szCs w:val="18"/>
              </w:rPr>
            </w:pPr>
          </w:p>
        </w:tc>
        <w:tc>
          <w:tcPr>
            <w:tcW w:w="1257" w:type="dxa"/>
            <w:vMerge w:val="continue"/>
            <w:tcBorders>
              <w:left w:val="single" w:color="auto" w:sz="4" w:space="0"/>
              <w:right w:val="single" w:color="auto" w:sz="4" w:space="0"/>
            </w:tcBorders>
            <w:noWrap w:val="0"/>
            <w:tcMar>
              <w:top w:w="0" w:type="dxa"/>
              <w:left w:w="0" w:type="dxa"/>
              <w:bottom w:w="0" w:type="dxa"/>
              <w:right w:w="0" w:type="dxa"/>
            </w:tcMar>
            <w:vAlign w:val="center"/>
          </w:tcPr>
          <w:p w14:paraId="6387F1EB">
            <w:pPr>
              <w:widowControl/>
              <w:spacing w:line="280" w:lineRule="exact"/>
              <w:textAlignment w:val="center"/>
              <w:rPr>
                <w:rFonts w:hint="eastAsia" w:ascii="宋体" w:hAnsi="宋体" w:eastAsia="宋体" w:cs="宋体"/>
                <w:kern w:val="0"/>
                <w:sz w:val="18"/>
                <w:szCs w:val="18"/>
                <w:lang w:bidi="ar"/>
              </w:rPr>
            </w:pPr>
          </w:p>
        </w:tc>
        <w:tc>
          <w:tcPr>
            <w:tcW w:w="3805" w:type="dxa"/>
            <w:vMerge w:val="continue"/>
            <w:tcBorders>
              <w:left w:val="single" w:color="auto" w:sz="4" w:space="0"/>
              <w:right w:val="single" w:color="auto" w:sz="4" w:space="0"/>
            </w:tcBorders>
            <w:noWrap w:val="0"/>
            <w:tcMar>
              <w:top w:w="0" w:type="dxa"/>
              <w:left w:w="0" w:type="dxa"/>
              <w:bottom w:w="0" w:type="dxa"/>
              <w:right w:w="0" w:type="dxa"/>
            </w:tcMar>
            <w:vAlign w:val="center"/>
          </w:tcPr>
          <w:p w14:paraId="563C14C3">
            <w:pPr>
              <w:widowControl/>
              <w:spacing w:line="280" w:lineRule="exact"/>
              <w:ind w:firstLine="360" w:firstLineChars="200"/>
              <w:textAlignment w:val="center"/>
              <w:rPr>
                <w:rFonts w:hint="eastAsia" w:ascii="宋体" w:hAnsi="宋体" w:eastAsia="宋体" w:cs="宋体"/>
                <w:kern w:val="0"/>
                <w:sz w:val="18"/>
                <w:szCs w:val="18"/>
                <w:lang w:bidi="ar"/>
              </w:rPr>
            </w:pPr>
          </w:p>
        </w:tc>
        <w:tc>
          <w:tcPr>
            <w:tcW w:w="1672" w:type="dxa"/>
            <w:vMerge w:val="continue"/>
            <w:tcBorders>
              <w:left w:val="single" w:color="auto" w:sz="4" w:space="0"/>
              <w:right w:val="single" w:color="auto" w:sz="4" w:space="0"/>
            </w:tcBorders>
            <w:noWrap w:val="0"/>
            <w:tcMar>
              <w:top w:w="0" w:type="dxa"/>
              <w:left w:w="0" w:type="dxa"/>
              <w:bottom w:w="0" w:type="dxa"/>
              <w:right w:w="0" w:type="dxa"/>
            </w:tcMar>
            <w:vAlign w:val="center"/>
          </w:tcPr>
          <w:p w14:paraId="38C686C6">
            <w:pPr>
              <w:spacing w:line="280" w:lineRule="exact"/>
              <w:jc w:val="both"/>
              <w:rPr>
                <w:rFonts w:hint="eastAsia" w:ascii="宋体" w:hAnsi="宋体" w:eastAsia="宋体" w:cs="宋体"/>
                <w:sz w:val="18"/>
                <w:szCs w:val="18"/>
              </w:rPr>
            </w:pPr>
          </w:p>
        </w:tc>
        <w:tc>
          <w:tcPr>
            <w:tcW w:w="78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2AD5046">
            <w:pPr>
              <w:spacing w:line="280" w:lineRule="exact"/>
              <w:jc w:val="center"/>
              <w:rPr>
                <w:rFonts w:hint="eastAsia" w:ascii="宋体" w:hAnsi="宋体" w:eastAsia="宋体" w:cs="宋体"/>
                <w:sz w:val="18"/>
                <w:szCs w:val="18"/>
              </w:rPr>
            </w:pPr>
            <w:r>
              <w:rPr>
                <w:rFonts w:hint="eastAsia" w:ascii="宋体" w:hAnsi="宋体" w:eastAsia="宋体" w:cs="宋体"/>
                <w:sz w:val="18"/>
                <w:szCs w:val="18"/>
              </w:rPr>
              <w:t>一般</w:t>
            </w:r>
          </w:p>
        </w:tc>
        <w:tc>
          <w:tcPr>
            <w:tcW w:w="367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D1B3A8D">
            <w:pPr>
              <w:spacing w:line="280" w:lineRule="exact"/>
              <w:rPr>
                <w:rFonts w:hint="eastAsia" w:ascii="宋体" w:hAnsi="宋体" w:eastAsia="宋体" w:cs="宋体"/>
                <w:color w:val="000000"/>
                <w:sz w:val="18"/>
                <w:szCs w:val="18"/>
                <w:lang w:bidi="ar"/>
              </w:rPr>
            </w:pPr>
            <w:r>
              <w:rPr>
                <w:rStyle w:val="21"/>
                <w:rFonts w:hint="eastAsia" w:ascii="宋体" w:hAnsi="宋体" w:eastAsia="宋体" w:cs="宋体"/>
                <w:sz w:val="18"/>
                <w:szCs w:val="18"/>
                <w:lang w:bidi="ar"/>
              </w:rPr>
              <w:t>违法行为对水文监测设施造成的损失在</w:t>
            </w:r>
            <w:r>
              <w:rPr>
                <w:rStyle w:val="21"/>
                <w:rFonts w:hint="eastAsia" w:ascii="宋体" w:hAnsi="宋体" w:eastAsia="宋体" w:cs="宋体"/>
                <w:sz w:val="18"/>
                <w:szCs w:val="18"/>
                <w:lang w:val="en-US" w:eastAsia="zh-CN" w:bidi="ar"/>
              </w:rPr>
              <w:t>1</w:t>
            </w:r>
            <w:r>
              <w:rPr>
                <w:rStyle w:val="21"/>
                <w:rFonts w:hint="eastAsia" w:ascii="宋体" w:hAnsi="宋体" w:eastAsia="宋体" w:cs="宋体"/>
                <w:sz w:val="18"/>
                <w:szCs w:val="18"/>
                <w:lang w:bidi="ar"/>
              </w:rPr>
              <w:t>万元以下，且在限期内停止违法行为，采取补救措施的</w:t>
            </w:r>
          </w:p>
        </w:tc>
        <w:tc>
          <w:tcPr>
            <w:tcW w:w="197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D1C722C">
            <w:pPr>
              <w:spacing w:line="280" w:lineRule="exact"/>
              <w:rPr>
                <w:rFonts w:hint="eastAsia" w:ascii="宋体" w:hAnsi="宋体" w:eastAsia="宋体" w:cs="宋体"/>
                <w:color w:val="000000"/>
                <w:sz w:val="18"/>
                <w:szCs w:val="18"/>
                <w:lang w:bidi="ar"/>
              </w:rPr>
            </w:pPr>
            <w:r>
              <w:rPr>
                <w:rStyle w:val="21"/>
                <w:rFonts w:hint="eastAsia" w:ascii="宋体" w:hAnsi="宋体" w:eastAsia="宋体" w:cs="宋体"/>
                <w:sz w:val="18"/>
                <w:szCs w:val="18"/>
                <w:lang w:bidi="ar"/>
              </w:rPr>
              <w:t>处</w:t>
            </w:r>
            <w:r>
              <w:rPr>
                <w:rStyle w:val="21"/>
                <w:rFonts w:hint="eastAsia" w:ascii="宋体" w:hAnsi="宋体" w:eastAsia="宋体" w:cs="宋体"/>
                <w:sz w:val="18"/>
                <w:szCs w:val="18"/>
                <w:lang w:val="en-US" w:eastAsia="zh-CN" w:bidi="ar"/>
              </w:rPr>
              <w:t>2</w:t>
            </w:r>
            <w:r>
              <w:rPr>
                <w:rStyle w:val="21"/>
                <w:rFonts w:hint="eastAsia" w:ascii="宋体" w:hAnsi="宋体" w:eastAsia="宋体" w:cs="宋体"/>
                <w:sz w:val="18"/>
                <w:szCs w:val="18"/>
                <w:lang w:bidi="ar"/>
              </w:rPr>
              <w:t>万元以上</w:t>
            </w:r>
            <w:r>
              <w:rPr>
                <w:rStyle w:val="21"/>
                <w:rFonts w:hint="eastAsia" w:ascii="宋体" w:hAnsi="宋体" w:eastAsia="宋体" w:cs="宋体"/>
                <w:sz w:val="18"/>
                <w:szCs w:val="18"/>
                <w:lang w:val="en-US" w:eastAsia="zh-CN" w:bidi="ar"/>
              </w:rPr>
              <w:t>3</w:t>
            </w:r>
            <w:r>
              <w:rPr>
                <w:rStyle w:val="21"/>
                <w:rFonts w:hint="eastAsia" w:ascii="宋体" w:hAnsi="宋体" w:eastAsia="宋体" w:cs="宋体"/>
                <w:sz w:val="18"/>
                <w:szCs w:val="18"/>
                <w:lang w:bidi="ar"/>
              </w:rPr>
              <w:t>万元以下的罚款</w:t>
            </w:r>
          </w:p>
        </w:tc>
        <w:tc>
          <w:tcPr>
            <w:tcW w:w="1285" w:type="dxa"/>
            <w:vMerge w:val="continue"/>
            <w:tcBorders>
              <w:left w:val="single" w:color="auto" w:sz="4" w:space="0"/>
              <w:right w:val="single" w:color="auto" w:sz="4" w:space="0"/>
            </w:tcBorders>
            <w:noWrap w:val="0"/>
            <w:tcMar>
              <w:top w:w="0" w:type="dxa"/>
              <w:left w:w="0" w:type="dxa"/>
              <w:bottom w:w="0" w:type="dxa"/>
              <w:right w:w="0" w:type="dxa"/>
            </w:tcMar>
            <w:vAlign w:val="center"/>
          </w:tcPr>
          <w:p w14:paraId="7CB06F21">
            <w:pPr>
              <w:spacing w:line="280" w:lineRule="exact"/>
              <w:jc w:val="center"/>
              <w:rPr>
                <w:rStyle w:val="21"/>
                <w:rFonts w:hint="eastAsia" w:ascii="宋体" w:hAnsi="宋体" w:eastAsia="宋体" w:cs="宋体"/>
                <w:sz w:val="18"/>
                <w:szCs w:val="18"/>
                <w:lang w:bidi="ar"/>
              </w:rPr>
            </w:pPr>
          </w:p>
        </w:tc>
      </w:tr>
      <w:tr w14:paraId="59EB35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jc w:val="center"/>
        </w:trPr>
        <w:tc>
          <w:tcPr>
            <w:tcW w:w="496" w:type="dxa"/>
            <w:vMerge w:val="continue"/>
            <w:tcBorders>
              <w:left w:val="single" w:color="auto" w:sz="4" w:space="0"/>
              <w:right w:val="single" w:color="auto" w:sz="4" w:space="0"/>
            </w:tcBorders>
            <w:noWrap w:val="0"/>
            <w:tcMar>
              <w:top w:w="0" w:type="dxa"/>
              <w:left w:w="0" w:type="dxa"/>
              <w:bottom w:w="0" w:type="dxa"/>
              <w:right w:w="0" w:type="dxa"/>
            </w:tcMar>
            <w:vAlign w:val="center"/>
          </w:tcPr>
          <w:p w14:paraId="286FC96D">
            <w:pPr>
              <w:spacing w:line="280" w:lineRule="exact"/>
              <w:jc w:val="center"/>
              <w:rPr>
                <w:rFonts w:hint="eastAsia" w:ascii="宋体" w:hAnsi="宋体" w:eastAsia="宋体" w:cs="宋体"/>
                <w:sz w:val="18"/>
                <w:szCs w:val="18"/>
              </w:rPr>
            </w:pPr>
          </w:p>
        </w:tc>
        <w:tc>
          <w:tcPr>
            <w:tcW w:w="1257" w:type="dxa"/>
            <w:vMerge w:val="continue"/>
            <w:tcBorders>
              <w:left w:val="single" w:color="auto" w:sz="4" w:space="0"/>
              <w:right w:val="single" w:color="auto" w:sz="4" w:space="0"/>
            </w:tcBorders>
            <w:noWrap w:val="0"/>
            <w:tcMar>
              <w:top w:w="0" w:type="dxa"/>
              <w:left w:w="0" w:type="dxa"/>
              <w:bottom w:w="0" w:type="dxa"/>
              <w:right w:w="0" w:type="dxa"/>
            </w:tcMar>
            <w:vAlign w:val="center"/>
          </w:tcPr>
          <w:p w14:paraId="06DE4AD2">
            <w:pPr>
              <w:widowControl/>
              <w:spacing w:line="280" w:lineRule="exact"/>
              <w:textAlignment w:val="center"/>
              <w:rPr>
                <w:rFonts w:hint="eastAsia" w:ascii="宋体" w:hAnsi="宋体" w:eastAsia="宋体" w:cs="宋体"/>
                <w:kern w:val="0"/>
                <w:sz w:val="18"/>
                <w:szCs w:val="18"/>
                <w:lang w:bidi="ar"/>
              </w:rPr>
            </w:pPr>
          </w:p>
        </w:tc>
        <w:tc>
          <w:tcPr>
            <w:tcW w:w="3805" w:type="dxa"/>
            <w:vMerge w:val="continue"/>
            <w:tcBorders>
              <w:left w:val="single" w:color="auto" w:sz="4" w:space="0"/>
              <w:right w:val="single" w:color="auto" w:sz="4" w:space="0"/>
            </w:tcBorders>
            <w:noWrap w:val="0"/>
            <w:tcMar>
              <w:top w:w="0" w:type="dxa"/>
              <w:left w:w="0" w:type="dxa"/>
              <w:bottom w:w="0" w:type="dxa"/>
              <w:right w:w="0" w:type="dxa"/>
            </w:tcMar>
            <w:vAlign w:val="center"/>
          </w:tcPr>
          <w:p w14:paraId="2E59D9B3">
            <w:pPr>
              <w:widowControl/>
              <w:spacing w:line="280" w:lineRule="exact"/>
              <w:ind w:firstLine="360" w:firstLineChars="200"/>
              <w:textAlignment w:val="center"/>
              <w:rPr>
                <w:rFonts w:hint="eastAsia" w:ascii="宋体" w:hAnsi="宋体" w:eastAsia="宋体" w:cs="宋体"/>
                <w:kern w:val="0"/>
                <w:sz w:val="18"/>
                <w:szCs w:val="18"/>
                <w:lang w:bidi="ar"/>
              </w:rPr>
            </w:pPr>
          </w:p>
        </w:tc>
        <w:tc>
          <w:tcPr>
            <w:tcW w:w="1672" w:type="dxa"/>
            <w:vMerge w:val="continue"/>
            <w:tcBorders>
              <w:left w:val="single" w:color="auto" w:sz="4" w:space="0"/>
              <w:right w:val="single" w:color="auto" w:sz="4" w:space="0"/>
            </w:tcBorders>
            <w:noWrap w:val="0"/>
            <w:tcMar>
              <w:top w:w="0" w:type="dxa"/>
              <w:left w:w="0" w:type="dxa"/>
              <w:bottom w:w="0" w:type="dxa"/>
              <w:right w:w="0" w:type="dxa"/>
            </w:tcMar>
            <w:vAlign w:val="center"/>
          </w:tcPr>
          <w:p w14:paraId="1877F79B">
            <w:pPr>
              <w:spacing w:line="280" w:lineRule="exact"/>
              <w:jc w:val="both"/>
              <w:rPr>
                <w:rFonts w:hint="eastAsia" w:ascii="宋体" w:hAnsi="宋体" w:eastAsia="宋体" w:cs="宋体"/>
                <w:sz w:val="18"/>
                <w:szCs w:val="18"/>
              </w:rPr>
            </w:pPr>
          </w:p>
        </w:tc>
        <w:tc>
          <w:tcPr>
            <w:tcW w:w="78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F0D18AD">
            <w:pPr>
              <w:spacing w:line="280" w:lineRule="exact"/>
              <w:jc w:val="center"/>
              <w:rPr>
                <w:rFonts w:hint="eastAsia" w:ascii="宋体" w:hAnsi="宋体" w:eastAsia="宋体" w:cs="宋体"/>
                <w:sz w:val="18"/>
                <w:szCs w:val="18"/>
                <w:lang w:eastAsia="zh-CN"/>
              </w:rPr>
            </w:pPr>
            <w:r>
              <w:rPr>
                <w:rFonts w:hint="eastAsia" w:ascii="宋体" w:hAnsi="宋体" w:eastAsia="宋体" w:cs="宋体"/>
                <w:sz w:val="18"/>
                <w:szCs w:val="18"/>
                <w:lang w:eastAsia="zh-CN"/>
              </w:rPr>
              <w:t>较重</w:t>
            </w:r>
          </w:p>
        </w:tc>
        <w:tc>
          <w:tcPr>
            <w:tcW w:w="367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754E071">
            <w:pPr>
              <w:spacing w:line="280" w:lineRule="exact"/>
              <w:rPr>
                <w:rFonts w:hint="eastAsia" w:ascii="宋体" w:hAnsi="宋体" w:eastAsia="宋体" w:cs="宋体"/>
                <w:color w:val="000000"/>
                <w:sz w:val="18"/>
                <w:szCs w:val="18"/>
                <w:lang w:bidi="ar"/>
              </w:rPr>
            </w:pPr>
            <w:r>
              <w:rPr>
                <w:rStyle w:val="21"/>
                <w:rFonts w:hint="eastAsia" w:ascii="宋体" w:hAnsi="宋体" w:eastAsia="宋体" w:cs="宋体"/>
                <w:sz w:val="18"/>
                <w:szCs w:val="18"/>
                <w:lang w:bidi="ar"/>
              </w:rPr>
              <w:t>违违法行为对水文监测设施造成的损失在</w:t>
            </w:r>
            <w:r>
              <w:rPr>
                <w:rStyle w:val="21"/>
                <w:rFonts w:hint="eastAsia" w:ascii="宋体" w:hAnsi="宋体" w:eastAsia="宋体" w:cs="宋体"/>
                <w:sz w:val="18"/>
                <w:szCs w:val="18"/>
                <w:lang w:val="en-US" w:eastAsia="zh-CN" w:bidi="ar"/>
              </w:rPr>
              <w:t>1</w:t>
            </w:r>
            <w:r>
              <w:rPr>
                <w:rStyle w:val="21"/>
                <w:rFonts w:hint="eastAsia" w:ascii="宋体" w:hAnsi="宋体" w:eastAsia="宋体" w:cs="宋体"/>
                <w:sz w:val="18"/>
                <w:szCs w:val="18"/>
                <w:lang w:bidi="ar"/>
              </w:rPr>
              <w:t>万元以上</w:t>
            </w:r>
            <w:r>
              <w:rPr>
                <w:rStyle w:val="21"/>
                <w:rFonts w:hint="eastAsia" w:ascii="宋体" w:hAnsi="宋体" w:eastAsia="宋体" w:cs="宋体"/>
                <w:sz w:val="18"/>
                <w:szCs w:val="18"/>
                <w:lang w:val="en-US" w:eastAsia="zh-CN" w:bidi="ar"/>
              </w:rPr>
              <w:t>3</w:t>
            </w:r>
            <w:r>
              <w:rPr>
                <w:rStyle w:val="21"/>
                <w:rFonts w:hint="eastAsia" w:ascii="宋体" w:hAnsi="宋体" w:eastAsia="宋体" w:cs="宋体"/>
                <w:sz w:val="18"/>
                <w:szCs w:val="18"/>
                <w:lang w:bidi="ar"/>
              </w:rPr>
              <w:t>万元以下，或者未在限期内停止违法行为，采取补救措施的</w:t>
            </w:r>
          </w:p>
        </w:tc>
        <w:tc>
          <w:tcPr>
            <w:tcW w:w="197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703C466">
            <w:pPr>
              <w:spacing w:line="280" w:lineRule="exact"/>
              <w:rPr>
                <w:rFonts w:hint="eastAsia" w:ascii="宋体" w:hAnsi="宋体" w:eastAsia="宋体" w:cs="宋体"/>
                <w:color w:val="000000"/>
                <w:sz w:val="18"/>
                <w:szCs w:val="18"/>
                <w:lang w:bidi="ar"/>
              </w:rPr>
            </w:pPr>
            <w:r>
              <w:rPr>
                <w:rStyle w:val="21"/>
                <w:rFonts w:hint="eastAsia" w:ascii="宋体" w:hAnsi="宋体" w:eastAsia="宋体" w:cs="宋体"/>
                <w:sz w:val="18"/>
                <w:szCs w:val="18"/>
                <w:lang w:bidi="ar"/>
              </w:rPr>
              <w:t>处</w:t>
            </w:r>
            <w:r>
              <w:rPr>
                <w:rStyle w:val="21"/>
                <w:rFonts w:hint="eastAsia" w:ascii="宋体" w:hAnsi="宋体" w:eastAsia="宋体" w:cs="宋体"/>
                <w:sz w:val="18"/>
                <w:szCs w:val="18"/>
                <w:lang w:val="en-US" w:eastAsia="zh-CN" w:bidi="ar"/>
              </w:rPr>
              <w:t>3</w:t>
            </w:r>
            <w:r>
              <w:rPr>
                <w:rStyle w:val="21"/>
                <w:rFonts w:hint="eastAsia" w:ascii="宋体" w:hAnsi="宋体" w:eastAsia="宋体" w:cs="宋体"/>
                <w:sz w:val="18"/>
                <w:szCs w:val="18"/>
                <w:lang w:bidi="ar"/>
              </w:rPr>
              <w:t>万元以上</w:t>
            </w:r>
            <w:r>
              <w:rPr>
                <w:rStyle w:val="21"/>
                <w:rFonts w:hint="eastAsia" w:ascii="宋体" w:hAnsi="宋体" w:eastAsia="宋体" w:cs="宋体"/>
                <w:sz w:val="18"/>
                <w:szCs w:val="18"/>
                <w:lang w:val="en-US" w:eastAsia="zh-CN" w:bidi="ar"/>
              </w:rPr>
              <w:t>4</w:t>
            </w:r>
            <w:r>
              <w:rPr>
                <w:rStyle w:val="21"/>
                <w:rFonts w:hint="eastAsia" w:ascii="宋体" w:hAnsi="宋体" w:eastAsia="宋体" w:cs="宋体"/>
                <w:sz w:val="18"/>
                <w:szCs w:val="18"/>
                <w:lang w:bidi="ar"/>
              </w:rPr>
              <w:t>万元以下的罚款</w:t>
            </w:r>
          </w:p>
        </w:tc>
        <w:tc>
          <w:tcPr>
            <w:tcW w:w="1285" w:type="dxa"/>
            <w:vMerge w:val="continue"/>
            <w:tcBorders>
              <w:left w:val="single" w:color="auto" w:sz="4" w:space="0"/>
              <w:right w:val="single" w:color="auto" w:sz="4" w:space="0"/>
            </w:tcBorders>
            <w:noWrap w:val="0"/>
            <w:tcMar>
              <w:top w:w="0" w:type="dxa"/>
              <w:left w:w="0" w:type="dxa"/>
              <w:bottom w:w="0" w:type="dxa"/>
              <w:right w:w="0" w:type="dxa"/>
            </w:tcMar>
            <w:vAlign w:val="center"/>
          </w:tcPr>
          <w:p w14:paraId="4A116650">
            <w:pPr>
              <w:spacing w:line="280" w:lineRule="exact"/>
              <w:jc w:val="center"/>
              <w:rPr>
                <w:rStyle w:val="21"/>
                <w:rFonts w:hint="eastAsia" w:ascii="宋体" w:hAnsi="宋体" w:eastAsia="宋体" w:cs="宋体"/>
                <w:sz w:val="18"/>
                <w:szCs w:val="18"/>
                <w:lang w:bidi="ar"/>
              </w:rPr>
            </w:pPr>
          </w:p>
        </w:tc>
      </w:tr>
      <w:tr w14:paraId="2B5244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496" w:type="dxa"/>
            <w:vMerge w:val="continue"/>
            <w:tcBorders>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292D634">
            <w:pPr>
              <w:spacing w:line="280" w:lineRule="exact"/>
              <w:jc w:val="center"/>
              <w:rPr>
                <w:rFonts w:hint="eastAsia" w:ascii="宋体" w:hAnsi="宋体" w:eastAsia="宋体" w:cs="宋体"/>
                <w:sz w:val="18"/>
                <w:szCs w:val="18"/>
              </w:rPr>
            </w:pPr>
          </w:p>
        </w:tc>
        <w:tc>
          <w:tcPr>
            <w:tcW w:w="1257" w:type="dxa"/>
            <w:vMerge w:val="continue"/>
            <w:tcBorders>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9826EC0">
            <w:pPr>
              <w:widowControl/>
              <w:spacing w:line="280" w:lineRule="exact"/>
              <w:textAlignment w:val="center"/>
              <w:rPr>
                <w:rFonts w:hint="eastAsia" w:ascii="宋体" w:hAnsi="宋体" w:eastAsia="宋体" w:cs="宋体"/>
                <w:kern w:val="0"/>
                <w:sz w:val="18"/>
                <w:szCs w:val="18"/>
                <w:lang w:bidi="ar"/>
              </w:rPr>
            </w:pPr>
          </w:p>
        </w:tc>
        <w:tc>
          <w:tcPr>
            <w:tcW w:w="3805" w:type="dxa"/>
            <w:vMerge w:val="continue"/>
            <w:tcBorders>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9C37D19">
            <w:pPr>
              <w:widowControl/>
              <w:spacing w:line="280" w:lineRule="exact"/>
              <w:ind w:firstLine="360" w:firstLineChars="200"/>
              <w:textAlignment w:val="center"/>
              <w:rPr>
                <w:rFonts w:hint="eastAsia" w:ascii="宋体" w:hAnsi="宋体" w:eastAsia="宋体" w:cs="宋体"/>
                <w:kern w:val="0"/>
                <w:sz w:val="18"/>
                <w:szCs w:val="18"/>
                <w:lang w:bidi="ar"/>
              </w:rPr>
            </w:pPr>
          </w:p>
        </w:tc>
        <w:tc>
          <w:tcPr>
            <w:tcW w:w="1672" w:type="dxa"/>
            <w:vMerge w:val="continue"/>
            <w:tcBorders>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71A9A9C">
            <w:pPr>
              <w:spacing w:line="280" w:lineRule="exact"/>
              <w:jc w:val="both"/>
              <w:rPr>
                <w:rFonts w:hint="eastAsia" w:ascii="宋体" w:hAnsi="宋体" w:eastAsia="宋体" w:cs="宋体"/>
                <w:sz w:val="18"/>
                <w:szCs w:val="18"/>
              </w:rPr>
            </w:pPr>
          </w:p>
        </w:tc>
        <w:tc>
          <w:tcPr>
            <w:tcW w:w="78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C88087D">
            <w:pPr>
              <w:spacing w:line="280" w:lineRule="exact"/>
              <w:jc w:val="center"/>
              <w:rPr>
                <w:rFonts w:hint="eastAsia" w:ascii="宋体" w:hAnsi="宋体" w:eastAsia="宋体" w:cs="宋体"/>
                <w:sz w:val="18"/>
                <w:szCs w:val="18"/>
              </w:rPr>
            </w:pPr>
            <w:r>
              <w:rPr>
                <w:rFonts w:hint="eastAsia" w:ascii="宋体" w:hAnsi="宋体" w:eastAsia="宋体" w:cs="宋体"/>
                <w:sz w:val="18"/>
                <w:szCs w:val="18"/>
              </w:rPr>
              <w:t>严重</w:t>
            </w:r>
          </w:p>
        </w:tc>
        <w:tc>
          <w:tcPr>
            <w:tcW w:w="367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7D4220F">
            <w:pPr>
              <w:spacing w:line="280" w:lineRule="exact"/>
              <w:rPr>
                <w:rFonts w:hint="eastAsia" w:ascii="宋体" w:hAnsi="宋体" w:eastAsia="宋体" w:cs="宋体"/>
                <w:color w:val="000000"/>
                <w:sz w:val="18"/>
                <w:szCs w:val="18"/>
                <w:lang w:bidi="ar"/>
              </w:rPr>
            </w:pPr>
            <w:r>
              <w:rPr>
                <w:rStyle w:val="21"/>
                <w:rFonts w:hint="eastAsia" w:ascii="宋体" w:hAnsi="宋体" w:eastAsia="宋体" w:cs="宋体"/>
                <w:sz w:val="18"/>
                <w:szCs w:val="18"/>
                <w:lang w:bidi="ar"/>
              </w:rPr>
              <w:t>拒不停止违法行为、采取补救措施的，或者造成的损失在</w:t>
            </w:r>
            <w:r>
              <w:rPr>
                <w:rStyle w:val="21"/>
                <w:rFonts w:hint="eastAsia" w:ascii="宋体" w:hAnsi="宋体" w:eastAsia="宋体" w:cs="宋体"/>
                <w:sz w:val="18"/>
                <w:szCs w:val="18"/>
                <w:lang w:val="en-US" w:eastAsia="zh-CN" w:bidi="ar"/>
              </w:rPr>
              <w:t>3</w:t>
            </w:r>
            <w:r>
              <w:rPr>
                <w:rStyle w:val="21"/>
                <w:rFonts w:hint="eastAsia" w:ascii="宋体" w:hAnsi="宋体" w:eastAsia="宋体" w:cs="宋体"/>
                <w:sz w:val="18"/>
                <w:szCs w:val="18"/>
                <w:lang w:bidi="ar"/>
              </w:rPr>
              <w:t>万元以上的</w:t>
            </w:r>
          </w:p>
        </w:tc>
        <w:tc>
          <w:tcPr>
            <w:tcW w:w="197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74847C4">
            <w:pPr>
              <w:spacing w:line="280" w:lineRule="exact"/>
              <w:rPr>
                <w:rFonts w:hint="eastAsia" w:ascii="宋体" w:hAnsi="宋体" w:eastAsia="宋体" w:cs="宋体"/>
                <w:color w:val="000000"/>
                <w:sz w:val="18"/>
                <w:szCs w:val="18"/>
                <w:lang w:bidi="ar"/>
              </w:rPr>
            </w:pPr>
            <w:r>
              <w:rPr>
                <w:rStyle w:val="21"/>
                <w:rFonts w:hint="eastAsia" w:ascii="宋体" w:hAnsi="宋体" w:eastAsia="宋体" w:cs="宋体"/>
                <w:sz w:val="18"/>
                <w:szCs w:val="18"/>
                <w:lang w:bidi="ar"/>
              </w:rPr>
              <w:t>处</w:t>
            </w:r>
            <w:r>
              <w:rPr>
                <w:rStyle w:val="21"/>
                <w:rFonts w:hint="eastAsia" w:ascii="宋体" w:hAnsi="宋体" w:eastAsia="宋体" w:cs="宋体"/>
                <w:sz w:val="18"/>
                <w:szCs w:val="18"/>
                <w:lang w:val="en-US" w:eastAsia="zh-CN" w:bidi="ar"/>
              </w:rPr>
              <w:t>4</w:t>
            </w:r>
            <w:r>
              <w:rPr>
                <w:rStyle w:val="21"/>
                <w:rFonts w:hint="eastAsia" w:ascii="宋体" w:hAnsi="宋体" w:eastAsia="宋体" w:cs="宋体"/>
                <w:sz w:val="18"/>
                <w:szCs w:val="18"/>
                <w:lang w:bidi="ar"/>
              </w:rPr>
              <w:t>万元以上</w:t>
            </w:r>
            <w:r>
              <w:rPr>
                <w:rStyle w:val="21"/>
                <w:rFonts w:hint="eastAsia" w:ascii="宋体" w:hAnsi="宋体" w:eastAsia="宋体" w:cs="宋体"/>
                <w:sz w:val="18"/>
                <w:szCs w:val="18"/>
                <w:lang w:val="en-US" w:eastAsia="zh-CN" w:bidi="ar"/>
              </w:rPr>
              <w:t>5</w:t>
            </w:r>
            <w:r>
              <w:rPr>
                <w:rStyle w:val="21"/>
                <w:rFonts w:hint="eastAsia" w:ascii="宋体" w:hAnsi="宋体" w:eastAsia="宋体" w:cs="宋体"/>
                <w:sz w:val="18"/>
                <w:szCs w:val="18"/>
                <w:lang w:bidi="ar"/>
              </w:rPr>
              <w:t>万元以下的罚款</w:t>
            </w:r>
          </w:p>
        </w:tc>
        <w:tc>
          <w:tcPr>
            <w:tcW w:w="1285" w:type="dxa"/>
            <w:vMerge w:val="continue"/>
            <w:tcBorders>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B1DDF71">
            <w:pPr>
              <w:spacing w:line="280" w:lineRule="exact"/>
              <w:jc w:val="center"/>
              <w:rPr>
                <w:rStyle w:val="21"/>
                <w:rFonts w:hint="eastAsia" w:ascii="宋体" w:hAnsi="宋体" w:eastAsia="宋体" w:cs="宋体"/>
                <w:sz w:val="18"/>
                <w:szCs w:val="18"/>
                <w:lang w:bidi="ar"/>
              </w:rPr>
            </w:pPr>
          </w:p>
        </w:tc>
      </w:tr>
      <w:tr w14:paraId="1EBA23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96" w:type="dxa"/>
            <w:vMerge w:val="restart"/>
            <w:tcBorders>
              <w:left w:val="single" w:color="auto" w:sz="4" w:space="0"/>
              <w:right w:val="single" w:color="auto" w:sz="4" w:space="0"/>
            </w:tcBorders>
            <w:noWrap w:val="0"/>
            <w:tcMar>
              <w:top w:w="0" w:type="dxa"/>
              <w:left w:w="0" w:type="dxa"/>
              <w:bottom w:w="0" w:type="dxa"/>
              <w:right w:w="0" w:type="dxa"/>
            </w:tcMar>
            <w:vAlign w:val="center"/>
          </w:tcPr>
          <w:p w14:paraId="0171CDA4">
            <w:pPr>
              <w:widowControl/>
              <w:spacing w:line="280" w:lineRule="exact"/>
              <w:jc w:val="center"/>
              <w:textAlignment w:val="center"/>
              <w:rPr>
                <w:rFonts w:hint="eastAsia" w:ascii="宋体" w:hAnsi="宋体" w:eastAsia="宋体" w:cs="宋体"/>
                <w:sz w:val="18"/>
                <w:szCs w:val="18"/>
                <w:lang w:val="en-US" w:eastAsia="zh-CN"/>
              </w:rPr>
            </w:pPr>
            <w:r>
              <w:rPr>
                <w:rFonts w:hint="eastAsia" w:ascii="宋体" w:hAnsi="宋体" w:eastAsia="宋体" w:cs="宋体"/>
                <w:kern w:val="0"/>
                <w:sz w:val="18"/>
                <w:szCs w:val="18"/>
                <w:lang w:val="en-US" w:eastAsia="zh-CN" w:bidi="ar"/>
              </w:rPr>
              <w:t>39</w:t>
            </w:r>
          </w:p>
        </w:tc>
        <w:tc>
          <w:tcPr>
            <w:tcW w:w="1257" w:type="dxa"/>
            <w:vMerge w:val="restart"/>
            <w:tcBorders>
              <w:left w:val="single" w:color="auto" w:sz="4" w:space="0"/>
              <w:right w:val="single" w:color="auto" w:sz="4" w:space="0"/>
            </w:tcBorders>
            <w:noWrap w:val="0"/>
            <w:tcMar>
              <w:top w:w="0" w:type="dxa"/>
              <w:left w:w="0" w:type="dxa"/>
              <w:bottom w:w="0" w:type="dxa"/>
              <w:right w:w="0" w:type="dxa"/>
            </w:tcMar>
            <w:vAlign w:val="center"/>
          </w:tcPr>
          <w:p w14:paraId="571E9464">
            <w:pPr>
              <w:widowControl/>
              <w:spacing w:line="280" w:lineRule="exact"/>
              <w:jc w:val="both"/>
              <w:textAlignment w:val="center"/>
              <w:rPr>
                <w:rFonts w:hint="eastAsia" w:ascii="宋体" w:hAnsi="宋体" w:eastAsia="宋体" w:cs="宋体"/>
                <w:kern w:val="0"/>
                <w:sz w:val="18"/>
                <w:szCs w:val="18"/>
                <w:lang w:bidi="ar"/>
              </w:rPr>
            </w:pPr>
            <w:r>
              <w:rPr>
                <w:rFonts w:hint="eastAsia" w:ascii="宋体" w:hAnsi="宋体" w:eastAsia="宋体" w:cs="宋体"/>
                <w:kern w:val="0"/>
                <w:sz w:val="18"/>
                <w:szCs w:val="18"/>
                <w:lang w:bidi="ar"/>
              </w:rPr>
              <w:t>对在水文监测环境保护范围内从事种植高秆作物、堆放物料、修建建筑物、停靠船只、取土挖砂等禁止性行为的行政处罚</w:t>
            </w:r>
          </w:p>
        </w:tc>
        <w:tc>
          <w:tcPr>
            <w:tcW w:w="3805" w:type="dxa"/>
            <w:vMerge w:val="restart"/>
            <w:tcBorders>
              <w:top w:val="single" w:color="auto" w:sz="4" w:space="0"/>
              <w:left w:val="single" w:color="auto" w:sz="4" w:space="0"/>
              <w:right w:val="single" w:color="auto" w:sz="4" w:space="0"/>
            </w:tcBorders>
            <w:noWrap w:val="0"/>
            <w:tcMar>
              <w:top w:w="0" w:type="dxa"/>
              <w:left w:w="0" w:type="dxa"/>
              <w:bottom w:w="0" w:type="dxa"/>
              <w:right w:w="0" w:type="dxa"/>
            </w:tcMar>
            <w:vAlign w:val="center"/>
          </w:tcPr>
          <w:p w14:paraId="5BCD888D">
            <w:pPr>
              <w:widowControl/>
              <w:spacing w:line="280" w:lineRule="exact"/>
              <w:textAlignment w:val="center"/>
              <w:rPr>
                <w:rFonts w:hint="eastAsia" w:ascii="宋体" w:hAnsi="宋体" w:eastAsia="宋体" w:cs="宋体"/>
                <w:kern w:val="0"/>
                <w:sz w:val="18"/>
                <w:szCs w:val="18"/>
                <w:lang w:bidi="ar"/>
              </w:rPr>
            </w:pPr>
            <w:r>
              <w:rPr>
                <w:rFonts w:hint="eastAsia" w:ascii="宋体" w:hAnsi="宋体" w:eastAsia="宋体" w:cs="宋体"/>
                <w:kern w:val="0"/>
                <w:sz w:val="18"/>
                <w:szCs w:val="18"/>
                <w:lang w:bidi="ar"/>
              </w:rPr>
              <w:t>《中华人民共和国水文条例》第三十二条 禁止在水文监测环境保护范围内从事下列活动：</w:t>
            </w:r>
          </w:p>
          <w:p w14:paraId="3CDC197A">
            <w:pPr>
              <w:widowControl/>
              <w:spacing w:line="280" w:lineRule="exact"/>
              <w:textAlignment w:val="center"/>
              <w:rPr>
                <w:rFonts w:hint="eastAsia" w:ascii="宋体" w:hAnsi="宋体" w:eastAsia="宋体" w:cs="宋体"/>
                <w:kern w:val="0"/>
                <w:sz w:val="18"/>
                <w:szCs w:val="18"/>
                <w:lang w:bidi="ar"/>
              </w:rPr>
            </w:pPr>
            <w:r>
              <w:rPr>
                <w:rFonts w:hint="eastAsia" w:ascii="宋体" w:hAnsi="宋体" w:eastAsia="宋体" w:cs="宋体"/>
                <w:kern w:val="0"/>
                <w:sz w:val="18"/>
                <w:szCs w:val="18"/>
                <w:lang w:bidi="ar"/>
              </w:rPr>
              <w:t>（一）种植高秆作物、堆放物料、修建建筑物、停靠船只；</w:t>
            </w:r>
          </w:p>
          <w:p w14:paraId="6B070B86">
            <w:pPr>
              <w:widowControl/>
              <w:spacing w:line="280" w:lineRule="exact"/>
              <w:textAlignment w:val="center"/>
              <w:rPr>
                <w:rFonts w:hint="eastAsia" w:ascii="宋体" w:hAnsi="宋体" w:eastAsia="宋体" w:cs="宋体"/>
                <w:kern w:val="0"/>
                <w:sz w:val="18"/>
                <w:szCs w:val="18"/>
                <w:lang w:bidi="ar"/>
              </w:rPr>
            </w:pPr>
            <w:r>
              <w:rPr>
                <w:rFonts w:hint="eastAsia" w:ascii="宋体" w:hAnsi="宋体" w:eastAsia="宋体" w:cs="宋体"/>
                <w:kern w:val="0"/>
                <w:sz w:val="18"/>
                <w:szCs w:val="18"/>
                <w:lang w:bidi="ar"/>
              </w:rPr>
              <w:t>（二）取土、挖砂、采石、淘金、爆破和倾倒废弃物；</w:t>
            </w:r>
          </w:p>
          <w:p w14:paraId="2F4FBC82">
            <w:pPr>
              <w:widowControl/>
              <w:spacing w:line="280" w:lineRule="exact"/>
              <w:textAlignment w:val="center"/>
              <w:rPr>
                <w:rFonts w:hint="eastAsia" w:ascii="宋体" w:hAnsi="宋体" w:eastAsia="宋体" w:cs="宋体"/>
                <w:kern w:val="0"/>
                <w:sz w:val="18"/>
                <w:szCs w:val="18"/>
                <w:lang w:bidi="ar"/>
              </w:rPr>
            </w:pPr>
            <w:r>
              <w:rPr>
                <w:rFonts w:hint="eastAsia" w:ascii="宋体" w:hAnsi="宋体" w:eastAsia="宋体" w:cs="宋体"/>
                <w:kern w:val="0"/>
                <w:sz w:val="18"/>
                <w:szCs w:val="18"/>
                <w:lang w:bidi="ar"/>
              </w:rPr>
              <w:t>（三）在监测断面取水、排污或者在过河设备、气象观测场、监测断面的上空架设线路；</w:t>
            </w:r>
          </w:p>
          <w:p w14:paraId="60A8FBCD">
            <w:pPr>
              <w:widowControl/>
              <w:spacing w:line="280" w:lineRule="exact"/>
              <w:textAlignment w:val="center"/>
              <w:rPr>
                <w:rFonts w:hint="eastAsia" w:ascii="宋体" w:hAnsi="宋体" w:eastAsia="宋体" w:cs="宋体"/>
                <w:kern w:val="0"/>
                <w:sz w:val="18"/>
                <w:szCs w:val="18"/>
                <w:lang w:bidi="ar"/>
              </w:rPr>
            </w:pPr>
            <w:r>
              <w:rPr>
                <w:rFonts w:hint="eastAsia" w:ascii="宋体" w:hAnsi="宋体" w:eastAsia="宋体" w:cs="宋体"/>
                <w:kern w:val="0"/>
                <w:sz w:val="18"/>
                <w:szCs w:val="18"/>
                <w:lang w:bidi="ar"/>
              </w:rPr>
              <w:t>（四）其他对水文监测有影响的活动。</w:t>
            </w:r>
          </w:p>
          <w:p w14:paraId="1FC6D3D9">
            <w:pPr>
              <w:widowControl/>
              <w:spacing w:line="280" w:lineRule="exact"/>
              <w:textAlignment w:val="center"/>
              <w:rPr>
                <w:rFonts w:hint="eastAsia" w:ascii="宋体" w:hAnsi="宋体" w:eastAsia="宋体" w:cs="宋体"/>
                <w:kern w:val="0"/>
                <w:sz w:val="18"/>
                <w:szCs w:val="18"/>
                <w:lang w:bidi="ar"/>
              </w:rPr>
            </w:pPr>
            <w:r>
              <w:rPr>
                <w:rFonts w:hint="eastAsia" w:ascii="宋体" w:hAnsi="宋体" w:eastAsia="宋体" w:cs="宋体"/>
                <w:kern w:val="0"/>
                <w:sz w:val="18"/>
                <w:szCs w:val="18"/>
                <w:lang w:bidi="ar"/>
              </w:rPr>
              <w:t>第四十二条 违反本条例规定，从事本条例第三十二条所列活动的，责令停止违法行为，限期恢复原状或者采取其他补救措施，可以处1万元以下罚款；构成违反治安管理行为的，依法给予治安管理处罚；构成犯罪的，依法追究刑事责任。</w:t>
            </w:r>
          </w:p>
        </w:tc>
        <w:tc>
          <w:tcPr>
            <w:tcW w:w="1672" w:type="dxa"/>
            <w:vMerge w:val="restart"/>
            <w:tcBorders>
              <w:top w:val="single" w:color="auto" w:sz="4" w:space="0"/>
              <w:left w:val="single" w:color="auto" w:sz="4" w:space="0"/>
              <w:right w:val="single" w:color="auto" w:sz="4" w:space="0"/>
            </w:tcBorders>
            <w:noWrap w:val="0"/>
            <w:tcMar>
              <w:top w:w="0" w:type="dxa"/>
              <w:left w:w="0" w:type="dxa"/>
              <w:bottom w:w="0" w:type="dxa"/>
              <w:right w:w="0" w:type="dxa"/>
            </w:tcMar>
            <w:vAlign w:val="center"/>
          </w:tcPr>
          <w:p w14:paraId="0AE92AFF">
            <w:pPr>
              <w:spacing w:line="280" w:lineRule="exact"/>
              <w:jc w:val="both"/>
              <w:rPr>
                <w:rFonts w:hint="eastAsia" w:ascii="宋体" w:hAnsi="宋体" w:eastAsia="宋体" w:cs="宋体"/>
                <w:sz w:val="18"/>
                <w:szCs w:val="18"/>
              </w:rPr>
            </w:pPr>
            <w:r>
              <w:rPr>
                <w:rFonts w:hint="eastAsia" w:ascii="宋体" w:hAnsi="宋体" w:eastAsia="宋体" w:cs="宋体"/>
                <w:kern w:val="0"/>
                <w:sz w:val="18"/>
                <w:szCs w:val="18"/>
                <w:lang w:bidi="ar"/>
              </w:rPr>
              <w:t>对在水文监测环境保护范围内从事种植高秆作物、堆放物料、修建建筑物、停靠船只、取土挖砂等禁止性行为的</w:t>
            </w:r>
          </w:p>
        </w:tc>
        <w:tc>
          <w:tcPr>
            <w:tcW w:w="78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FC5B6F2">
            <w:pPr>
              <w:spacing w:line="280" w:lineRule="exact"/>
              <w:jc w:val="center"/>
              <w:rPr>
                <w:rFonts w:hint="eastAsia" w:ascii="宋体" w:hAnsi="宋体" w:eastAsia="宋体" w:cs="宋体"/>
                <w:sz w:val="18"/>
                <w:szCs w:val="18"/>
              </w:rPr>
            </w:pPr>
            <w:r>
              <w:rPr>
                <w:rFonts w:hint="eastAsia" w:ascii="宋体" w:hAnsi="宋体" w:eastAsia="宋体" w:cs="宋体"/>
                <w:sz w:val="18"/>
                <w:szCs w:val="18"/>
              </w:rPr>
              <w:t>轻微</w:t>
            </w:r>
          </w:p>
        </w:tc>
        <w:tc>
          <w:tcPr>
            <w:tcW w:w="367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4848B876">
            <w:pPr>
              <w:snapToGrid w:val="0"/>
              <w:spacing w:line="28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1706B46B">
            <w:pPr>
              <w:spacing w:line="280" w:lineRule="exact"/>
              <w:rPr>
                <w:rStyle w:val="21"/>
                <w:rFonts w:hint="eastAsia" w:ascii="宋体" w:hAnsi="宋体" w:eastAsia="宋体" w:cs="宋体"/>
                <w:color w:val="auto"/>
                <w:sz w:val="18"/>
                <w:szCs w:val="18"/>
                <w:lang w:bidi="ar"/>
              </w:rPr>
            </w:pPr>
          </w:p>
        </w:tc>
        <w:tc>
          <w:tcPr>
            <w:tcW w:w="197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125E2D89">
            <w:pPr>
              <w:snapToGrid w:val="0"/>
              <w:spacing w:line="28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4BAB12A3">
            <w:pPr>
              <w:spacing w:line="280" w:lineRule="exact"/>
              <w:rPr>
                <w:rStyle w:val="21"/>
                <w:rFonts w:hint="eastAsia" w:ascii="宋体" w:hAnsi="宋体" w:eastAsia="宋体" w:cs="宋体"/>
                <w:color w:val="auto"/>
                <w:sz w:val="18"/>
                <w:szCs w:val="18"/>
                <w:lang w:bidi="ar"/>
              </w:rPr>
            </w:pPr>
          </w:p>
        </w:tc>
        <w:tc>
          <w:tcPr>
            <w:tcW w:w="1285" w:type="dxa"/>
            <w:vMerge w:val="restart"/>
            <w:tcBorders>
              <w:top w:val="single" w:color="auto" w:sz="4" w:space="0"/>
              <w:left w:val="single" w:color="auto" w:sz="4" w:space="0"/>
              <w:right w:val="single" w:color="auto" w:sz="4" w:space="0"/>
            </w:tcBorders>
            <w:noWrap w:val="0"/>
            <w:tcMar>
              <w:top w:w="0" w:type="dxa"/>
              <w:left w:w="0" w:type="dxa"/>
              <w:bottom w:w="0" w:type="dxa"/>
              <w:right w:w="0" w:type="dxa"/>
            </w:tcMar>
            <w:vAlign w:val="center"/>
          </w:tcPr>
          <w:p w14:paraId="6CC0DE73">
            <w:pPr>
              <w:spacing w:line="280" w:lineRule="exact"/>
              <w:jc w:val="center"/>
              <w:rPr>
                <w:rStyle w:val="21"/>
                <w:rFonts w:hint="eastAsia" w:ascii="宋体" w:hAnsi="宋体" w:eastAsia="宋体" w:cs="宋体"/>
                <w:color w:val="auto"/>
                <w:sz w:val="18"/>
                <w:szCs w:val="18"/>
                <w:lang w:bidi="ar"/>
              </w:rPr>
            </w:pPr>
          </w:p>
        </w:tc>
      </w:tr>
      <w:tr w14:paraId="7CED60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96" w:type="dxa"/>
            <w:vMerge w:val="continue"/>
            <w:tcBorders>
              <w:left w:val="single" w:color="auto" w:sz="4" w:space="0"/>
              <w:right w:val="single" w:color="auto" w:sz="4" w:space="0"/>
            </w:tcBorders>
            <w:noWrap w:val="0"/>
            <w:tcMar>
              <w:top w:w="0" w:type="dxa"/>
              <w:left w:w="0" w:type="dxa"/>
              <w:bottom w:w="0" w:type="dxa"/>
              <w:right w:w="0" w:type="dxa"/>
            </w:tcMar>
            <w:vAlign w:val="center"/>
          </w:tcPr>
          <w:p w14:paraId="5AFA12FE">
            <w:pPr>
              <w:spacing w:line="280" w:lineRule="exact"/>
              <w:jc w:val="center"/>
              <w:rPr>
                <w:rFonts w:hint="eastAsia" w:ascii="宋体" w:hAnsi="宋体" w:eastAsia="宋体" w:cs="宋体"/>
                <w:sz w:val="18"/>
                <w:szCs w:val="18"/>
              </w:rPr>
            </w:pPr>
          </w:p>
        </w:tc>
        <w:tc>
          <w:tcPr>
            <w:tcW w:w="1257" w:type="dxa"/>
            <w:vMerge w:val="continue"/>
            <w:tcBorders>
              <w:left w:val="single" w:color="auto" w:sz="4" w:space="0"/>
              <w:right w:val="single" w:color="auto" w:sz="4" w:space="0"/>
            </w:tcBorders>
            <w:noWrap w:val="0"/>
            <w:tcMar>
              <w:top w:w="0" w:type="dxa"/>
              <w:left w:w="0" w:type="dxa"/>
              <w:bottom w:w="0" w:type="dxa"/>
              <w:right w:w="0" w:type="dxa"/>
            </w:tcMar>
            <w:vAlign w:val="center"/>
          </w:tcPr>
          <w:p w14:paraId="21D764FC">
            <w:pPr>
              <w:widowControl/>
              <w:spacing w:line="280" w:lineRule="exact"/>
              <w:textAlignment w:val="center"/>
              <w:rPr>
                <w:rFonts w:hint="eastAsia" w:ascii="宋体" w:hAnsi="宋体" w:eastAsia="宋体" w:cs="宋体"/>
                <w:kern w:val="0"/>
                <w:sz w:val="18"/>
                <w:szCs w:val="18"/>
                <w:lang w:bidi="ar"/>
              </w:rPr>
            </w:pPr>
          </w:p>
        </w:tc>
        <w:tc>
          <w:tcPr>
            <w:tcW w:w="3805" w:type="dxa"/>
            <w:vMerge w:val="continue"/>
            <w:tcBorders>
              <w:left w:val="single" w:color="auto" w:sz="4" w:space="0"/>
              <w:right w:val="single" w:color="auto" w:sz="4" w:space="0"/>
            </w:tcBorders>
            <w:noWrap w:val="0"/>
            <w:tcMar>
              <w:top w:w="0" w:type="dxa"/>
              <w:left w:w="0" w:type="dxa"/>
              <w:bottom w:w="0" w:type="dxa"/>
              <w:right w:w="0" w:type="dxa"/>
            </w:tcMar>
            <w:vAlign w:val="center"/>
          </w:tcPr>
          <w:p w14:paraId="70AC1AE3">
            <w:pPr>
              <w:widowControl/>
              <w:spacing w:line="280" w:lineRule="exact"/>
              <w:ind w:firstLine="360" w:firstLineChars="200"/>
              <w:textAlignment w:val="center"/>
              <w:rPr>
                <w:rFonts w:hint="eastAsia" w:ascii="宋体" w:hAnsi="宋体" w:eastAsia="宋体" w:cs="宋体"/>
                <w:kern w:val="0"/>
                <w:sz w:val="18"/>
                <w:szCs w:val="18"/>
                <w:lang w:bidi="ar"/>
              </w:rPr>
            </w:pPr>
          </w:p>
        </w:tc>
        <w:tc>
          <w:tcPr>
            <w:tcW w:w="1672" w:type="dxa"/>
            <w:vMerge w:val="continue"/>
            <w:tcBorders>
              <w:left w:val="single" w:color="auto" w:sz="4" w:space="0"/>
              <w:right w:val="single" w:color="auto" w:sz="4" w:space="0"/>
            </w:tcBorders>
            <w:noWrap w:val="0"/>
            <w:tcMar>
              <w:top w:w="0" w:type="dxa"/>
              <w:left w:w="0" w:type="dxa"/>
              <w:bottom w:w="0" w:type="dxa"/>
              <w:right w:w="0" w:type="dxa"/>
            </w:tcMar>
            <w:vAlign w:val="center"/>
          </w:tcPr>
          <w:p w14:paraId="159BBA57">
            <w:pPr>
              <w:spacing w:line="280" w:lineRule="exact"/>
              <w:jc w:val="both"/>
              <w:rPr>
                <w:rFonts w:hint="eastAsia" w:ascii="宋体" w:hAnsi="宋体" w:eastAsia="宋体" w:cs="宋体"/>
                <w:sz w:val="18"/>
                <w:szCs w:val="18"/>
              </w:rPr>
            </w:pPr>
          </w:p>
        </w:tc>
        <w:tc>
          <w:tcPr>
            <w:tcW w:w="78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5EF32CD">
            <w:pPr>
              <w:spacing w:line="280" w:lineRule="exact"/>
              <w:jc w:val="center"/>
              <w:rPr>
                <w:rFonts w:hint="eastAsia" w:ascii="宋体" w:hAnsi="宋体" w:eastAsia="宋体" w:cs="宋体"/>
                <w:sz w:val="18"/>
                <w:szCs w:val="18"/>
              </w:rPr>
            </w:pPr>
            <w:r>
              <w:rPr>
                <w:rFonts w:hint="eastAsia" w:ascii="宋体" w:hAnsi="宋体" w:eastAsia="宋体" w:cs="宋体"/>
                <w:sz w:val="18"/>
                <w:szCs w:val="18"/>
              </w:rPr>
              <w:t>较轻</w:t>
            </w:r>
          </w:p>
        </w:tc>
        <w:tc>
          <w:tcPr>
            <w:tcW w:w="367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2ABAE241">
            <w:pPr>
              <w:snapToGrid w:val="0"/>
              <w:spacing w:line="28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1E566CBC">
            <w:pPr>
              <w:spacing w:line="280" w:lineRule="exact"/>
              <w:rPr>
                <w:rStyle w:val="21"/>
                <w:rFonts w:hint="eastAsia" w:ascii="宋体" w:hAnsi="宋体" w:eastAsia="宋体" w:cs="宋体"/>
                <w:color w:val="auto"/>
                <w:sz w:val="18"/>
                <w:szCs w:val="18"/>
                <w:lang w:bidi="ar"/>
              </w:rPr>
            </w:pPr>
          </w:p>
        </w:tc>
        <w:tc>
          <w:tcPr>
            <w:tcW w:w="197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43680EAB">
            <w:pPr>
              <w:snapToGrid w:val="0"/>
              <w:spacing w:line="28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445B57FD">
            <w:pPr>
              <w:spacing w:line="280" w:lineRule="exact"/>
              <w:rPr>
                <w:rStyle w:val="21"/>
                <w:rFonts w:hint="eastAsia" w:ascii="宋体" w:hAnsi="宋体" w:eastAsia="宋体" w:cs="宋体"/>
                <w:color w:val="auto"/>
                <w:sz w:val="18"/>
                <w:szCs w:val="18"/>
                <w:lang w:bidi="ar"/>
              </w:rPr>
            </w:pPr>
          </w:p>
        </w:tc>
        <w:tc>
          <w:tcPr>
            <w:tcW w:w="1285" w:type="dxa"/>
            <w:vMerge w:val="continue"/>
            <w:tcBorders>
              <w:left w:val="single" w:color="auto" w:sz="4" w:space="0"/>
              <w:right w:val="single" w:color="auto" w:sz="4" w:space="0"/>
            </w:tcBorders>
            <w:noWrap w:val="0"/>
            <w:tcMar>
              <w:top w:w="0" w:type="dxa"/>
              <w:left w:w="0" w:type="dxa"/>
              <w:bottom w:w="0" w:type="dxa"/>
              <w:right w:w="0" w:type="dxa"/>
            </w:tcMar>
            <w:vAlign w:val="center"/>
          </w:tcPr>
          <w:p w14:paraId="697BAE21">
            <w:pPr>
              <w:spacing w:line="280" w:lineRule="exact"/>
              <w:jc w:val="center"/>
              <w:rPr>
                <w:rStyle w:val="21"/>
                <w:rFonts w:hint="eastAsia" w:ascii="宋体" w:hAnsi="宋体" w:eastAsia="宋体" w:cs="宋体"/>
                <w:color w:val="auto"/>
                <w:sz w:val="18"/>
                <w:szCs w:val="18"/>
                <w:lang w:bidi="ar"/>
              </w:rPr>
            </w:pPr>
          </w:p>
        </w:tc>
      </w:tr>
      <w:tr w14:paraId="6F2F18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jc w:val="center"/>
        </w:trPr>
        <w:tc>
          <w:tcPr>
            <w:tcW w:w="496" w:type="dxa"/>
            <w:vMerge w:val="continue"/>
            <w:tcBorders>
              <w:left w:val="single" w:color="auto" w:sz="4" w:space="0"/>
              <w:right w:val="single" w:color="auto" w:sz="4" w:space="0"/>
            </w:tcBorders>
            <w:noWrap w:val="0"/>
            <w:tcMar>
              <w:top w:w="0" w:type="dxa"/>
              <w:left w:w="0" w:type="dxa"/>
              <w:bottom w:w="0" w:type="dxa"/>
              <w:right w:w="0" w:type="dxa"/>
            </w:tcMar>
            <w:vAlign w:val="center"/>
          </w:tcPr>
          <w:p w14:paraId="09946739">
            <w:pPr>
              <w:spacing w:line="280" w:lineRule="exact"/>
              <w:jc w:val="center"/>
              <w:rPr>
                <w:rFonts w:hint="eastAsia" w:ascii="宋体" w:hAnsi="宋体" w:eastAsia="宋体" w:cs="宋体"/>
                <w:sz w:val="18"/>
                <w:szCs w:val="18"/>
              </w:rPr>
            </w:pPr>
          </w:p>
        </w:tc>
        <w:tc>
          <w:tcPr>
            <w:tcW w:w="1257" w:type="dxa"/>
            <w:vMerge w:val="continue"/>
            <w:tcBorders>
              <w:left w:val="single" w:color="auto" w:sz="4" w:space="0"/>
              <w:right w:val="single" w:color="auto" w:sz="4" w:space="0"/>
            </w:tcBorders>
            <w:noWrap w:val="0"/>
            <w:tcMar>
              <w:top w:w="0" w:type="dxa"/>
              <w:left w:w="0" w:type="dxa"/>
              <w:bottom w:w="0" w:type="dxa"/>
              <w:right w:w="0" w:type="dxa"/>
            </w:tcMar>
            <w:vAlign w:val="center"/>
          </w:tcPr>
          <w:p w14:paraId="0F113D0A">
            <w:pPr>
              <w:widowControl/>
              <w:spacing w:line="280" w:lineRule="exact"/>
              <w:textAlignment w:val="center"/>
              <w:rPr>
                <w:rFonts w:hint="eastAsia" w:ascii="宋体" w:hAnsi="宋体" w:eastAsia="宋体" w:cs="宋体"/>
                <w:kern w:val="0"/>
                <w:sz w:val="18"/>
                <w:szCs w:val="18"/>
                <w:lang w:bidi="ar"/>
              </w:rPr>
            </w:pPr>
          </w:p>
        </w:tc>
        <w:tc>
          <w:tcPr>
            <w:tcW w:w="3805" w:type="dxa"/>
            <w:vMerge w:val="continue"/>
            <w:tcBorders>
              <w:left w:val="single" w:color="auto" w:sz="4" w:space="0"/>
              <w:right w:val="single" w:color="auto" w:sz="4" w:space="0"/>
            </w:tcBorders>
            <w:noWrap w:val="0"/>
            <w:tcMar>
              <w:top w:w="0" w:type="dxa"/>
              <w:left w:w="0" w:type="dxa"/>
              <w:bottom w:w="0" w:type="dxa"/>
              <w:right w:w="0" w:type="dxa"/>
            </w:tcMar>
            <w:vAlign w:val="center"/>
          </w:tcPr>
          <w:p w14:paraId="1EB55398">
            <w:pPr>
              <w:widowControl/>
              <w:spacing w:line="280" w:lineRule="exact"/>
              <w:ind w:firstLine="360" w:firstLineChars="200"/>
              <w:textAlignment w:val="center"/>
              <w:rPr>
                <w:rFonts w:hint="eastAsia" w:ascii="宋体" w:hAnsi="宋体" w:eastAsia="宋体" w:cs="宋体"/>
                <w:kern w:val="0"/>
                <w:sz w:val="18"/>
                <w:szCs w:val="18"/>
                <w:lang w:bidi="ar"/>
              </w:rPr>
            </w:pPr>
          </w:p>
        </w:tc>
        <w:tc>
          <w:tcPr>
            <w:tcW w:w="1672" w:type="dxa"/>
            <w:vMerge w:val="continue"/>
            <w:tcBorders>
              <w:left w:val="single" w:color="auto" w:sz="4" w:space="0"/>
              <w:right w:val="single" w:color="auto" w:sz="4" w:space="0"/>
            </w:tcBorders>
            <w:noWrap w:val="0"/>
            <w:tcMar>
              <w:top w:w="0" w:type="dxa"/>
              <w:left w:w="0" w:type="dxa"/>
              <w:bottom w:w="0" w:type="dxa"/>
              <w:right w:w="0" w:type="dxa"/>
            </w:tcMar>
            <w:vAlign w:val="center"/>
          </w:tcPr>
          <w:p w14:paraId="1D0CD3FA">
            <w:pPr>
              <w:spacing w:line="280" w:lineRule="exact"/>
              <w:jc w:val="both"/>
              <w:rPr>
                <w:rFonts w:hint="eastAsia" w:ascii="宋体" w:hAnsi="宋体" w:eastAsia="宋体" w:cs="宋体"/>
                <w:sz w:val="18"/>
                <w:szCs w:val="18"/>
              </w:rPr>
            </w:pPr>
          </w:p>
        </w:tc>
        <w:tc>
          <w:tcPr>
            <w:tcW w:w="78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3484A8D">
            <w:pPr>
              <w:spacing w:line="280" w:lineRule="exact"/>
              <w:jc w:val="center"/>
              <w:rPr>
                <w:rFonts w:hint="eastAsia" w:ascii="宋体" w:hAnsi="宋体" w:eastAsia="宋体" w:cs="宋体"/>
                <w:sz w:val="18"/>
                <w:szCs w:val="18"/>
              </w:rPr>
            </w:pPr>
            <w:r>
              <w:rPr>
                <w:rFonts w:hint="eastAsia" w:ascii="宋体" w:hAnsi="宋体" w:eastAsia="宋体" w:cs="宋体"/>
                <w:sz w:val="18"/>
                <w:szCs w:val="18"/>
              </w:rPr>
              <w:t>一般</w:t>
            </w:r>
          </w:p>
        </w:tc>
        <w:tc>
          <w:tcPr>
            <w:tcW w:w="367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0756C98">
            <w:pPr>
              <w:spacing w:line="280" w:lineRule="exact"/>
              <w:rPr>
                <w:rFonts w:hint="eastAsia" w:ascii="宋体" w:hAnsi="宋体" w:eastAsia="宋体" w:cs="宋体"/>
                <w:color w:val="000000"/>
                <w:sz w:val="18"/>
                <w:szCs w:val="18"/>
                <w:lang w:bidi="ar"/>
              </w:rPr>
            </w:pPr>
            <w:r>
              <w:rPr>
                <w:rStyle w:val="21"/>
                <w:rFonts w:hint="eastAsia" w:ascii="宋体" w:hAnsi="宋体" w:eastAsia="宋体" w:cs="宋体"/>
                <w:sz w:val="18"/>
                <w:szCs w:val="18"/>
                <w:lang w:bidi="ar"/>
              </w:rPr>
              <w:t>不直接影响水文监测，在限期内停止违法行为、恢复原状或者采取补救措施的</w:t>
            </w:r>
          </w:p>
        </w:tc>
        <w:tc>
          <w:tcPr>
            <w:tcW w:w="197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4E36E22">
            <w:pPr>
              <w:spacing w:line="280" w:lineRule="exact"/>
              <w:rPr>
                <w:rFonts w:hint="eastAsia" w:ascii="宋体" w:hAnsi="宋体" w:eastAsia="宋体" w:cs="宋体"/>
                <w:color w:val="000000"/>
                <w:sz w:val="18"/>
                <w:szCs w:val="18"/>
                <w:lang w:bidi="ar"/>
              </w:rPr>
            </w:pPr>
            <w:r>
              <w:rPr>
                <w:rStyle w:val="21"/>
                <w:rFonts w:hint="eastAsia" w:ascii="宋体" w:hAnsi="宋体" w:eastAsia="宋体" w:cs="宋体"/>
                <w:sz w:val="18"/>
                <w:szCs w:val="18"/>
                <w:lang w:bidi="ar"/>
              </w:rPr>
              <w:t>处</w:t>
            </w:r>
            <w:r>
              <w:rPr>
                <w:rStyle w:val="21"/>
                <w:rFonts w:hint="eastAsia" w:ascii="宋体" w:hAnsi="宋体" w:eastAsia="宋体" w:cs="宋体"/>
                <w:sz w:val="18"/>
                <w:szCs w:val="18"/>
                <w:lang w:val="en-US" w:eastAsia="zh-CN" w:bidi="ar"/>
              </w:rPr>
              <w:t>3</w:t>
            </w:r>
            <w:r>
              <w:rPr>
                <w:rStyle w:val="21"/>
                <w:rFonts w:hint="eastAsia" w:ascii="宋体" w:hAnsi="宋体" w:eastAsia="宋体" w:cs="宋体"/>
                <w:sz w:val="18"/>
                <w:szCs w:val="18"/>
                <w:lang w:bidi="ar"/>
              </w:rPr>
              <w:t>千元以下的罚款</w:t>
            </w:r>
          </w:p>
        </w:tc>
        <w:tc>
          <w:tcPr>
            <w:tcW w:w="1285" w:type="dxa"/>
            <w:vMerge w:val="continue"/>
            <w:tcBorders>
              <w:left w:val="single" w:color="auto" w:sz="4" w:space="0"/>
              <w:right w:val="single" w:color="auto" w:sz="4" w:space="0"/>
            </w:tcBorders>
            <w:noWrap w:val="0"/>
            <w:tcMar>
              <w:top w:w="0" w:type="dxa"/>
              <w:left w:w="0" w:type="dxa"/>
              <w:bottom w:w="0" w:type="dxa"/>
              <w:right w:w="0" w:type="dxa"/>
            </w:tcMar>
            <w:vAlign w:val="center"/>
          </w:tcPr>
          <w:p w14:paraId="4ACA7053">
            <w:pPr>
              <w:spacing w:line="280" w:lineRule="exact"/>
              <w:jc w:val="center"/>
              <w:rPr>
                <w:rStyle w:val="21"/>
                <w:rFonts w:hint="eastAsia" w:ascii="宋体" w:hAnsi="宋体" w:eastAsia="宋体" w:cs="宋体"/>
                <w:sz w:val="18"/>
                <w:szCs w:val="18"/>
                <w:lang w:bidi="ar"/>
              </w:rPr>
            </w:pPr>
          </w:p>
        </w:tc>
      </w:tr>
      <w:tr w14:paraId="3D9C1D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0" w:hRule="atLeast"/>
          <w:jc w:val="center"/>
        </w:trPr>
        <w:tc>
          <w:tcPr>
            <w:tcW w:w="496" w:type="dxa"/>
            <w:vMerge w:val="continue"/>
            <w:tcBorders>
              <w:left w:val="single" w:color="auto" w:sz="4" w:space="0"/>
              <w:right w:val="single" w:color="auto" w:sz="4" w:space="0"/>
            </w:tcBorders>
            <w:noWrap w:val="0"/>
            <w:tcMar>
              <w:top w:w="0" w:type="dxa"/>
              <w:left w:w="0" w:type="dxa"/>
              <w:bottom w:w="0" w:type="dxa"/>
              <w:right w:w="0" w:type="dxa"/>
            </w:tcMar>
            <w:vAlign w:val="center"/>
          </w:tcPr>
          <w:p w14:paraId="2A3963FE">
            <w:pPr>
              <w:spacing w:line="280" w:lineRule="exact"/>
              <w:jc w:val="center"/>
              <w:rPr>
                <w:rFonts w:hint="eastAsia" w:ascii="宋体" w:hAnsi="宋体" w:eastAsia="宋体" w:cs="宋体"/>
                <w:sz w:val="18"/>
                <w:szCs w:val="18"/>
              </w:rPr>
            </w:pPr>
          </w:p>
        </w:tc>
        <w:tc>
          <w:tcPr>
            <w:tcW w:w="1257" w:type="dxa"/>
            <w:vMerge w:val="continue"/>
            <w:tcBorders>
              <w:left w:val="single" w:color="auto" w:sz="4" w:space="0"/>
              <w:right w:val="single" w:color="auto" w:sz="4" w:space="0"/>
            </w:tcBorders>
            <w:noWrap w:val="0"/>
            <w:tcMar>
              <w:top w:w="0" w:type="dxa"/>
              <w:left w:w="0" w:type="dxa"/>
              <w:bottom w:w="0" w:type="dxa"/>
              <w:right w:w="0" w:type="dxa"/>
            </w:tcMar>
            <w:vAlign w:val="center"/>
          </w:tcPr>
          <w:p w14:paraId="4567D6E2">
            <w:pPr>
              <w:widowControl/>
              <w:spacing w:line="280" w:lineRule="exact"/>
              <w:textAlignment w:val="center"/>
              <w:rPr>
                <w:rFonts w:hint="eastAsia" w:ascii="宋体" w:hAnsi="宋体" w:eastAsia="宋体" w:cs="宋体"/>
                <w:kern w:val="0"/>
                <w:sz w:val="18"/>
                <w:szCs w:val="18"/>
                <w:lang w:bidi="ar"/>
              </w:rPr>
            </w:pPr>
          </w:p>
        </w:tc>
        <w:tc>
          <w:tcPr>
            <w:tcW w:w="3805" w:type="dxa"/>
            <w:vMerge w:val="continue"/>
            <w:tcBorders>
              <w:left w:val="single" w:color="auto" w:sz="4" w:space="0"/>
              <w:right w:val="single" w:color="auto" w:sz="4" w:space="0"/>
            </w:tcBorders>
            <w:noWrap w:val="0"/>
            <w:tcMar>
              <w:top w:w="0" w:type="dxa"/>
              <w:left w:w="0" w:type="dxa"/>
              <w:bottom w:w="0" w:type="dxa"/>
              <w:right w:w="0" w:type="dxa"/>
            </w:tcMar>
            <w:vAlign w:val="center"/>
          </w:tcPr>
          <w:p w14:paraId="4251B989">
            <w:pPr>
              <w:widowControl/>
              <w:spacing w:line="280" w:lineRule="exact"/>
              <w:ind w:firstLine="360" w:firstLineChars="200"/>
              <w:textAlignment w:val="center"/>
              <w:rPr>
                <w:rFonts w:hint="eastAsia" w:ascii="宋体" w:hAnsi="宋体" w:eastAsia="宋体" w:cs="宋体"/>
                <w:kern w:val="0"/>
                <w:sz w:val="18"/>
                <w:szCs w:val="18"/>
                <w:lang w:bidi="ar"/>
              </w:rPr>
            </w:pPr>
          </w:p>
        </w:tc>
        <w:tc>
          <w:tcPr>
            <w:tcW w:w="1672" w:type="dxa"/>
            <w:vMerge w:val="continue"/>
            <w:tcBorders>
              <w:left w:val="single" w:color="auto" w:sz="4" w:space="0"/>
              <w:right w:val="single" w:color="auto" w:sz="4" w:space="0"/>
            </w:tcBorders>
            <w:noWrap w:val="0"/>
            <w:tcMar>
              <w:top w:w="0" w:type="dxa"/>
              <w:left w:w="0" w:type="dxa"/>
              <w:bottom w:w="0" w:type="dxa"/>
              <w:right w:w="0" w:type="dxa"/>
            </w:tcMar>
            <w:vAlign w:val="center"/>
          </w:tcPr>
          <w:p w14:paraId="3B7C465A">
            <w:pPr>
              <w:spacing w:line="280" w:lineRule="exact"/>
              <w:jc w:val="both"/>
              <w:rPr>
                <w:rFonts w:hint="eastAsia" w:ascii="宋体" w:hAnsi="宋体" w:eastAsia="宋体" w:cs="宋体"/>
                <w:sz w:val="18"/>
                <w:szCs w:val="18"/>
              </w:rPr>
            </w:pPr>
          </w:p>
        </w:tc>
        <w:tc>
          <w:tcPr>
            <w:tcW w:w="78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5C3D945">
            <w:pPr>
              <w:spacing w:line="280" w:lineRule="exact"/>
              <w:jc w:val="center"/>
              <w:rPr>
                <w:rFonts w:hint="eastAsia" w:ascii="宋体" w:hAnsi="宋体" w:eastAsia="宋体" w:cs="宋体"/>
                <w:sz w:val="18"/>
                <w:szCs w:val="18"/>
                <w:lang w:eastAsia="zh-CN"/>
              </w:rPr>
            </w:pPr>
            <w:r>
              <w:rPr>
                <w:rFonts w:hint="eastAsia" w:ascii="宋体" w:hAnsi="宋体" w:eastAsia="宋体" w:cs="宋体"/>
                <w:sz w:val="18"/>
                <w:szCs w:val="18"/>
                <w:lang w:eastAsia="zh-CN"/>
              </w:rPr>
              <w:t>较重</w:t>
            </w:r>
          </w:p>
        </w:tc>
        <w:tc>
          <w:tcPr>
            <w:tcW w:w="367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DE51863">
            <w:pPr>
              <w:spacing w:line="280" w:lineRule="exact"/>
              <w:rPr>
                <w:rFonts w:hint="eastAsia" w:ascii="宋体" w:hAnsi="宋体" w:eastAsia="宋体" w:cs="宋体"/>
                <w:color w:val="000000"/>
                <w:sz w:val="18"/>
                <w:szCs w:val="18"/>
                <w:lang w:bidi="ar"/>
              </w:rPr>
            </w:pPr>
            <w:r>
              <w:rPr>
                <w:rStyle w:val="21"/>
                <w:rFonts w:hint="eastAsia" w:ascii="宋体" w:hAnsi="宋体" w:eastAsia="宋体" w:cs="宋体"/>
                <w:sz w:val="18"/>
                <w:szCs w:val="18"/>
                <w:lang w:bidi="ar"/>
              </w:rPr>
              <w:t>直接影响水文监测，在限内停止违法行为，恢复原状或者采取补救措施的，或者虽不直接影响水文监测，在规定的期限内不停止违法行为、不恢复原状、未采取其他补救措施的</w:t>
            </w:r>
          </w:p>
        </w:tc>
        <w:tc>
          <w:tcPr>
            <w:tcW w:w="197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BCCB727">
            <w:pPr>
              <w:spacing w:line="280" w:lineRule="exact"/>
              <w:rPr>
                <w:rFonts w:hint="eastAsia" w:ascii="宋体" w:hAnsi="宋体" w:eastAsia="宋体" w:cs="宋体"/>
                <w:color w:val="000000"/>
                <w:sz w:val="18"/>
                <w:szCs w:val="18"/>
                <w:lang w:bidi="ar"/>
              </w:rPr>
            </w:pPr>
            <w:r>
              <w:rPr>
                <w:rStyle w:val="21"/>
                <w:rFonts w:hint="eastAsia" w:ascii="宋体" w:hAnsi="宋体" w:eastAsia="宋体" w:cs="宋体"/>
                <w:sz w:val="18"/>
                <w:szCs w:val="18"/>
                <w:lang w:bidi="ar"/>
              </w:rPr>
              <w:t>处</w:t>
            </w:r>
            <w:r>
              <w:rPr>
                <w:rStyle w:val="21"/>
                <w:rFonts w:hint="eastAsia" w:ascii="宋体" w:hAnsi="宋体" w:eastAsia="宋体" w:cs="宋体"/>
                <w:sz w:val="18"/>
                <w:szCs w:val="18"/>
                <w:lang w:val="en-US" w:eastAsia="zh-CN" w:bidi="ar"/>
              </w:rPr>
              <w:t>3</w:t>
            </w:r>
            <w:r>
              <w:rPr>
                <w:rStyle w:val="21"/>
                <w:rFonts w:hint="eastAsia" w:ascii="宋体" w:hAnsi="宋体" w:eastAsia="宋体" w:cs="宋体"/>
                <w:sz w:val="18"/>
                <w:szCs w:val="18"/>
                <w:lang w:bidi="ar"/>
              </w:rPr>
              <w:t>千元以上</w:t>
            </w:r>
            <w:r>
              <w:rPr>
                <w:rStyle w:val="21"/>
                <w:rFonts w:hint="eastAsia" w:ascii="宋体" w:hAnsi="宋体" w:eastAsia="宋体" w:cs="宋体"/>
                <w:sz w:val="18"/>
                <w:szCs w:val="18"/>
                <w:lang w:val="en-US" w:eastAsia="zh-CN" w:bidi="ar"/>
              </w:rPr>
              <w:t>7</w:t>
            </w:r>
            <w:r>
              <w:rPr>
                <w:rStyle w:val="21"/>
                <w:rFonts w:hint="eastAsia" w:ascii="宋体" w:hAnsi="宋体" w:eastAsia="宋体" w:cs="宋体"/>
                <w:sz w:val="18"/>
                <w:szCs w:val="18"/>
                <w:lang w:bidi="ar"/>
              </w:rPr>
              <w:t>千元以下的罚款</w:t>
            </w:r>
          </w:p>
        </w:tc>
        <w:tc>
          <w:tcPr>
            <w:tcW w:w="1285" w:type="dxa"/>
            <w:vMerge w:val="continue"/>
            <w:tcBorders>
              <w:left w:val="single" w:color="auto" w:sz="4" w:space="0"/>
              <w:right w:val="single" w:color="auto" w:sz="4" w:space="0"/>
            </w:tcBorders>
            <w:noWrap w:val="0"/>
            <w:tcMar>
              <w:top w:w="0" w:type="dxa"/>
              <w:left w:w="0" w:type="dxa"/>
              <w:bottom w:w="0" w:type="dxa"/>
              <w:right w:w="0" w:type="dxa"/>
            </w:tcMar>
            <w:vAlign w:val="center"/>
          </w:tcPr>
          <w:p w14:paraId="0E140D71">
            <w:pPr>
              <w:spacing w:line="280" w:lineRule="exact"/>
              <w:jc w:val="center"/>
              <w:rPr>
                <w:rStyle w:val="21"/>
                <w:rFonts w:hint="eastAsia" w:ascii="宋体" w:hAnsi="宋体" w:eastAsia="宋体" w:cs="宋体"/>
                <w:sz w:val="18"/>
                <w:szCs w:val="18"/>
                <w:lang w:bidi="ar"/>
              </w:rPr>
            </w:pPr>
          </w:p>
        </w:tc>
      </w:tr>
      <w:tr w14:paraId="6DC41A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6" w:hRule="atLeast"/>
          <w:jc w:val="center"/>
        </w:trPr>
        <w:tc>
          <w:tcPr>
            <w:tcW w:w="496" w:type="dxa"/>
            <w:vMerge w:val="continue"/>
            <w:tcBorders>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0F23FB2">
            <w:pPr>
              <w:spacing w:line="280" w:lineRule="exact"/>
              <w:jc w:val="center"/>
              <w:rPr>
                <w:rFonts w:hint="eastAsia" w:ascii="宋体" w:hAnsi="宋体" w:eastAsia="宋体" w:cs="宋体"/>
                <w:sz w:val="18"/>
                <w:szCs w:val="18"/>
              </w:rPr>
            </w:pPr>
          </w:p>
        </w:tc>
        <w:tc>
          <w:tcPr>
            <w:tcW w:w="1257" w:type="dxa"/>
            <w:vMerge w:val="continue"/>
            <w:tcBorders>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40CD80F">
            <w:pPr>
              <w:widowControl/>
              <w:spacing w:line="280" w:lineRule="exact"/>
              <w:textAlignment w:val="center"/>
              <w:rPr>
                <w:rFonts w:hint="eastAsia" w:ascii="宋体" w:hAnsi="宋体" w:eastAsia="宋体" w:cs="宋体"/>
                <w:kern w:val="0"/>
                <w:sz w:val="18"/>
                <w:szCs w:val="18"/>
                <w:lang w:bidi="ar"/>
              </w:rPr>
            </w:pPr>
          </w:p>
        </w:tc>
        <w:tc>
          <w:tcPr>
            <w:tcW w:w="3805" w:type="dxa"/>
            <w:vMerge w:val="continue"/>
            <w:tcBorders>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19286CD">
            <w:pPr>
              <w:widowControl/>
              <w:spacing w:line="280" w:lineRule="exact"/>
              <w:ind w:firstLine="360" w:firstLineChars="200"/>
              <w:textAlignment w:val="center"/>
              <w:rPr>
                <w:rFonts w:hint="eastAsia" w:ascii="宋体" w:hAnsi="宋体" w:eastAsia="宋体" w:cs="宋体"/>
                <w:kern w:val="0"/>
                <w:sz w:val="18"/>
                <w:szCs w:val="18"/>
                <w:lang w:bidi="ar"/>
              </w:rPr>
            </w:pPr>
          </w:p>
        </w:tc>
        <w:tc>
          <w:tcPr>
            <w:tcW w:w="1672" w:type="dxa"/>
            <w:vMerge w:val="continue"/>
            <w:tcBorders>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F5A9074">
            <w:pPr>
              <w:spacing w:line="280" w:lineRule="exact"/>
              <w:jc w:val="both"/>
              <w:rPr>
                <w:rFonts w:hint="eastAsia" w:ascii="宋体" w:hAnsi="宋体" w:eastAsia="宋体" w:cs="宋体"/>
                <w:sz w:val="18"/>
                <w:szCs w:val="18"/>
              </w:rPr>
            </w:pPr>
          </w:p>
        </w:tc>
        <w:tc>
          <w:tcPr>
            <w:tcW w:w="78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4C51E43">
            <w:pPr>
              <w:spacing w:line="280" w:lineRule="exact"/>
              <w:jc w:val="center"/>
              <w:rPr>
                <w:rFonts w:hint="eastAsia" w:ascii="宋体" w:hAnsi="宋体" w:eastAsia="宋体" w:cs="宋体"/>
                <w:sz w:val="18"/>
                <w:szCs w:val="18"/>
              </w:rPr>
            </w:pPr>
            <w:r>
              <w:rPr>
                <w:rFonts w:hint="eastAsia" w:ascii="宋体" w:hAnsi="宋体" w:eastAsia="宋体" w:cs="宋体"/>
                <w:sz w:val="18"/>
                <w:szCs w:val="18"/>
              </w:rPr>
              <w:t>严重</w:t>
            </w:r>
          </w:p>
        </w:tc>
        <w:tc>
          <w:tcPr>
            <w:tcW w:w="367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2F34164">
            <w:pPr>
              <w:spacing w:line="280" w:lineRule="exact"/>
              <w:rPr>
                <w:rFonts w:hint="eastAsia" w:ascii="宋体" w:hAnsi="宋体" w:eastAsia="宋体" w:cs="宋体"/>
                <w:color w:val="000000"/>
                <w:sz w:val="18"/>
                <w:szCs w:val="18"/>
                <w:lang w:bidi="ar"/>
              </w:rPr>
            </w:pPr>
            <w:r>
              <w:rPr>
                <w:rStyle w:val="21"/>
                <w:rFonts w:hint="eastAsia" w:ascii="宋体" w:hAnsi="宋体" w:eastAsia="宋体" w:cs="宋体"/>
                <w:sz w:val="18"/>
                <w:szCs w:val="18"/>
                <w:lang w:bidi="ar"/>
              </w:rPr>
              <w:t>直接影响水文监测的，在规定的期限内拒不停止违法行为，不恢复原状、不采取其他补救措施的</w:t>
            </w:r>
          </w:p>
        </w:tc>
        <w:tc>
          <w:tcPr>
            <w:tcW w:w="197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F3F4317">
            <w:pPr>
              <w:spacing w:line="280" w:lineRule="exact"/>
              <w:rPr>
                <w:rFonts w:hint="eastAsia" w:ascii="宋体" w:hAnsi="宋体" w:eastAsia="宋体" w:cs="宋体"/>
                <w:color w:val="000000"/>
                <w:sz w:val="18"/>
                <w:szCs w:val="18"/>
                <w:lang w:bidi="ar"/>
              </w:rPr>
            </w:pPr>
            <w:r>
              <w:rPr>
                <w:rStyle w:val="21"/>
                <w:rFonts w:hint="eastAsia" w:ascii="宋体" w:hAnsi="宋体" w:eastAsia="宋体" w:cs="宋体"/>
                <w:sz w:val="18"/>
                <w:szCs w:val="18"/>
                <w:lang w:bidi="ar"/>
              </w:rPr>
              <w:t>处</w:t>
            </w:r>
            <w:r>
              <w:rPr>
                <w:rStyle w:val="21"/>
                <w:rFonts w:hint="eastAsia" w:ascii="宋体" w:hAnsi="宋体" w:eastAsia="宋体" w:cs="宋体"/>
                <w:sz w:val="18"/>
                <w:szCs w:val="18"/>
                <w:lang w:val="en-US" w:eastAsia="zh-CN" w:bidi="ar"/>
              </w:rPr>
              <w:t>7</w:t>
            </w:r>
            <w:r>
              <w:rPr>
                <w:rStyle w:val="21"/>
                <w:rFonts w:hint="eastAsia" w:ascii="宋体" w:hAnsi="宋体" w:eastAsia="宋体" w:cs="宋体"/>
                <w:sz w:val="18"/>
                <w:szCs w:val="18"/>
                <w:lang w:bidi="ar"/>
              </w:rPr>
              <w:t>千元以上</w:t>
            </w:r>
            <w:r>
              <w:rPr>
                <w:rStyle w:val="21"/>
                <w:rFonts w:hint="eastAsia" w:ascii="宋体" w:hAnsi="宋体" w:eastAsia="宋体" w:cs="宋体"/>
                <w:sz w:val="18"/>
                <w:szCs w:val="18"/>
                <w:lang w:val="en-US" w:eastAsia="zh-CN" w:bidi="ar"/>
              </w:rPr>
              <w:t>1</w:t>
            </w:r>
            <w:r>
              <w:rPr>
                <w:rStyle w:val="21"/>
                <w:rFonts w:hint="eastAsia" w:ascii="宋体" w:hAnsi="宋体" w:eastAsia="宋体" w:cs="宋体"/>
                <w:sz w:val="18"/>
                <w:szCs w:val="18"/>
                <w:lang w:bidi="ar"/>
              </w:rPr>
              <w:t>万元以下的罚款</w:t>
            </w:r>
          </w:p>
        </w:tc>
        <w:tc>
          <w:tcPr>
            <w:tcW w:w="1285" w:type="dxa"/>
            <w:vMerge w:val="continue"/>
            <w:tcBorders>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84122D4">
            <w:pPr>
              <w:spacing w:line="280" w:lineRule="exact"/>
              <w:jc w:val="center"/>
              <w:rPr>
                <w:rStyle w:val="21"/>
                <w:rFonts w:hint="eastAsia" w:ascii="宋体" w:hAnsi="宋体" w:eastAsia="宋体" w:cs="宋体"/>
                <w:sz w:val="18"/>
                <w:szCs w:val="18"/>
                <w:lang w:bidi="ar"/>
              </w:rPr>
            </w:pPr>
          </w:p>
        </w:tc>
      </w:tr>
      <w:tr w14:paraId="1277C9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96" w:type="dxa"/>
            <w:vMerge w:val="restart"/>
            <w:tcBorders>
              <w:left w:val="single" w:color="auto" w:sz="4" w:space="0"/>
              <w:right w:val="single" w:color="auto" w:sz="4" w:space="0"/>
            </w:tcBorders>
            <w:noWrap w:val="0"/>
            <w:tcMar>
              <w:top w:w="0" w:type="dxa"/>
              <w:left w:w="0" w:type="dxa"/>
              <w:bottom w:w="0" w:type="dxa"/>
              <w:right w:w="0" w:type="dxa"/>
            </w:tcMar>
            <w:vAlign w:val="center"/>
          </w:tcPr>
          <w:p w14:paraId="03940761">
            <w:pPr>
              <w:widowControl/>
              <w:spacing w:line="280" w:lineRule="exact"/>
              <w:textAlignment w:val="center"/>
              <w:rPr>
                <w:rFonts w:hint="eastAsia" w:ascii="宋体" w:hAnsi="宋体" w:eastAsia="宋体" w:cs="宋体"/>
                <w:kern w:val="0"/>
                <w:sz w:val="18"/>
                <w:szCs w:val="18"/>
                <w:lang w:eastAsia="zh-CN" w:bidi="ar"/>
              </w:rPr>
            </w:pPr>
            <w:r>
              <w:rPr>
                <w:rFonts w:hint="eastAsia" w:ascii="宋体" w:hAnsi="宋体" w:eastAsia="宋体" w:cs="宋体"/>
                <w:kern w:val="0"/>
                <w:sz w:val="18"/>
                <w:szCs w:val="18"/>
                <w:lang w:bidi="ar"/>
              </w:rPr>
              <w:t>4</w:t>
            </w:r>
            <w:r>
              <w:rPr>
                <w:rFonts w:hint="eastAsia" w:ascii="宋体" w:hAnsi="宋体" w:eastAsia="宋体" w:cs="宋体"/>
                <w:kern w:val="0"/>
                <w:sz w:val="18"/>
                <w:szCs w:val="18"/>
                <w:lang w:val="en-US" w:eastAsia="zh-CN" w:bidi="ar"/>
              </w:rPr>
              <w:t>0</w:t>
            </w:r>
          </w:p>
        </w:tc>
        <w:tc>
          <w:tcPr>
            <w:tcW w:w="1257" w:type="dxa"/>
            <w:vMerge w:val="restart"/>
            <w:tcBorders>
              <w:left w:val="single" w:color="auto" w:sz="4" w:space="0"/>
              <w:right w:val="single" w:color="auto" w:sz="4" w:space="0"/>
            </w:tcBorders>
            <w:noWrap w:val="0"/>
            <w:tcMar>
              <w:top w:w="0" w:type="dxa"/>
              <w:left w:w="0" w:type="dxa"/>
              <w:bottom w:w="0" w:type="dxa"/>
              <w:right w:w="0" w:type="dxa"/>
            </w:tcMar>
            <w:vAlign w:val="center"/>
          </w:tcPr>
          <w:p w14:paraId="01D69E42">
            <w:pPr>
              <w:widowControl/>
              <w:spacing w:line="280" w:lineRule="exact"/>
              <w:textAlignment w:val="center"/>
              <w:rPr>
                <w:rFonts w:hint="eastAsia" w:ascii="宋体" w:hAnsi="宋体" w:eastAsia="宋体" w:cs="宋体"/>
                <w:kern w:val="0"/>
                <w:sz w:val="18"/>
                <w:szCs w:val="18"/>
                <w:lang w:bidi="ar"/>
              </w:rPr>
            </w:pPr>
            <w:r>
              <w:rPr>
                <w:rFonts w:hint="eastAsia" w:ascii="宋体" w:hAnsi="宋体" w:eastAsia="宋体" w:cs="宋体"/>
                <w:kern w:val="0"/>
                <w:sz w:val="18"/>
                <w:szCs w:val="18"/>
                <w:lang w:bidi="ar"/>
              </w:rPr>
              <w:t>将水文机构提供的水文资料擅自转让、转借、出版或者用于其他营利性活动和伪造水文资料的行政处罚</w:t>
            </w:r>
          </w:p>
        </w:tc>
        <w:tc>
          <w:tcPr>
            <w:tcW w:w="3805" w:type="dxa"/>
            <w:vMerge w:val="restart"/>
            <w:tcBorders>
              <w:top w:val="single" w:color="auto" w:sz="4" w:space="0"/>
              <w:left w:val="single" w:color="auto" w:sz="4" w:space="0"/>
              <w:right w:val="single" w:color="auto" w:sz="4" w:space="0"/>
            </w:tcBorders>
            <w:noWrap w:val="0"/>
            <w:tcMar>
              <w:top w:w="0" w:type="dxa"/>
              <w:left w:w="0" w:type="dxa"/>
              <w:bottom w:w="0" w:type="dxa"/>
              <w:right w:w="0" w:type="dxa"/>
            </w:tcMar>
            <w:vAlign w:val="center"/>
          </w:tcPr>
          <w:p w14:paraId="4A06E961">
            <w:pPr>
              <w:widowControl/>
              <w:spacing w:line="280" w:lineRule="exact"/>
              <w:textAlignment w:val="center"/>
              <w:rPr>
                <w:rFonts w:hint="eastAsia" w:ascii="宋体" w:hAnsi="宋体" w:eastAsia="宋体" w:cs="宋体"/>
                <w:kern w:val="0"/>
                <w:sz w:val="18"/>
                <w:szCs w:val="18"/>
                <w:lang w:bidi="ar"/>
              </w:rPr>
            </w:pPr>
            <w:r>
              <w:rPr>
                <w:rFonts w:hint="eastAsia" w:ascii="宋体" w:hAnsi="宋体" w:eastAsia="宋体" w:cs="宋体"/>
                <w:kern w:val="0"/>
                <w:sz w:val="18"/>
                <w:szCs w:val="18"/>
                <w:lang w:bidi="ar"/>
              </w:rPr>
              <w:t>《河北省水文管理条例》第三十一条　违反本条例第十五条第二款、第三款规定的，由省人民政府水行政主管部门或者经授权的水文机构责令改正，没收违法所得，并处以三千元以上一万元以下罚款；同时，视其情节轻重，由所在单位或者上级主管部门给予当事人或者有关负责人相应的行政处分；构成犯罪的，依法追究刑事责任。</w:t>
            </w:r>
          </w:p>
        </w:tc>
        <w:tc>
          <w:tcPr>
            <w:tcW w:w="1672" w:type="dxa"/>
            <w:vMerge w:val="restart"/>
            <w:tcBorders>
              <w:top w:val="single" w:color="auto" w:sz="4" w:space="0"/>
              <w:left w:val="single" w:color="auto" w:sz="4" w:space="0"/>
              <w:right w:val="single" w:color="auto" w:sz="4" w:space="0"/>
            </w:tcBorders>
            <w:noWrap w:val="0"/>
            <w:tcMar>
              <w:top w:w="0" w:type="dxa"/>
              <w:left w:w="0" w:type="dxa"/>
              <w:bottom w:w="0" w:type="dxa"/>
              <w:right w:w="0" w:type="dxa"/>
            </w:tcMar>
            <w:vAlign w:val="center"/>
          </w:tcPr>
          <w:p w14:paraId="6A94376F">
            <w:pPr>
              <w:widowControl/>
              <w:spacing w:line="280" w:lineRule="exact"/>
              <w:textAlignment w:val="center"/>
              <w:rPr>
                <w:rFonts w:hint="eastAsia" w:ascii="宋体" w:hAnsi="宋体" w:eastAsia="宋体" w:cs="宋体"/>
                <w:kern w:val="0"/>
                <w:sz w:val="18"/>
                <w:szCs w:val="18"/>
                <w:lang w:bidi="ar"/>
              </w:rPr>
            </w:pPr>
            <w:r>
              <w:rPr>
                <w:rFonts w:hint="eastAsia" w:ascii="宋体" w:hAnsi="宋体" w:eastAsia="宋体" w:cs="宋体"/>
                <w:kern w:val="0"/>
                <w:sz w:val="18"/>
                <w:szCs w:val="18"/>
                <w:lang w:bidi="ar"/>
              </w:rPr>
              <w:t>将水文机构提供的水文资料擅自转让、转借、出版或者用于其他营利性活动和伪造水文资料的</w:t>
            </w:r>
          </w:p>
        </w:tc>
        <w:tc>
          <w:tcPr>
            <w:tcW w:w="78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1BFF1BC">
            <w:pPr>
              <w:widowControl/>
              <w:spacing w:line="280" w:lineRule="exact"/>
              <w:jc w:val="center"/>
              <w:textAlignment w:val="center"/>
              <w:rPr>
                <w:rFonts w:hint="eastAsia" w:ascii="宋体" w:hAnsi="宋体" w:eastAsia="宋体" w:cs="宋体"/>
                <w:kern w:val="0"/>
                <w:sz w:val="18"/>
                <w:szCs w:val="18"/>
                <w:lang w:bidi="ar"/>
              </w:rPr>
            </w:pPr>
            <w:r>
              <w:rPr>
                <w:rFonts w:hint="eastAsia" w:ascii="宋体" w:hAnsi="宋体" w:eastAsia="宋体" w:cs="宋体"/>
                <w:kern w:val="0"/>
                <w:sz w:val="18"/>
                <w:szCs w:val="18"/>
                <w:lang w:bidi="ar"/>
              </w:rPr>
              <w:t>轻微</w:t>
            </w:r>
          </w:p>
        </w:tc>
        <w:tc>
          <w:tcPr>
            <w:tcW w:w="367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4D4E8D7D">
            <w:pPr>
              <w:widowControl/>
              <w:spacing w:line="280" w:lineRule="exact"/>
              <w:textAlignment w:val="center"/>
              <mc:AlternateContent>
                <mc:Choice Requires="wpsCustomData">
                  <wpsCustomData:diagonalParaType/>
                </mc:Choice>
              </mc:AlternateContent>
              <w:rPr>
                <w:rFonts w:hint="eastAsia" w:ascii="宋体" w:hAnsi="宋体" w:eastAsia="宋体" w:cs="宋体"/>
                <w:kern w:val="0"/>
                <w:sz w:val="18"/>
                <w:szCs w:val="18"/>
                <w:lang w:bidi="ar"/>
              </w:rPr>
            </w:pPr>
          </w:p>
          <w:p w14:paraId="4299C546">
            <w:pPr>
              <w:widowControl/>
              <w:spacing w:line="280" w:lineRule="exact"/>
              <w:textAlignment w:val="center"/>
              <w:rPr>
                <w:rFonts w:hint="eastAsia" w:ascii="宋体" w:hAnsi="宋体" w:eastAsia="宋体" w:cs="宋体"/>
                <w:kern w:val="0"/>
                <w:sz w:val="18"/>
                <w:szCs w:val="18"/>
                <w:lang w:bidi="ar"/>
              </w:rPr>
            </w:pPr>
          </w:p>
        </w:tc>
        <w:tc>
          <w:tcPr>
            <w:tcW w:w="197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357D7176">
            <w:pPr>
              <w:widowControl/>
              <w:spacing w:line="280" w:lineRule="exact"/>
              <w:textAlignment w:val="center"/>
              <mc:AlternateContent>
                <mc:Choice Requires="wpsCustomData">
                  <wpsCustomData:diagonalParaType/>
                </mc:Choice>
              </mc:AlternateContent>
              <w:rPr>
                <w:rFonts w:hint="eastAsia" w:ascii="宋体" w:hAnsi="宋体" w:eastAsia="宋体" w:cs="宋体"/>
                <w:kern w:val="0"/>
                <w:sz w:val="18"/>
                <w:szCs w:val="18"/>
                <w:lang w:bidi="ar"/>
              </w:rPr>
            </w:pPr>
          </w:p>
          <w:p w14:paraId="245B2CF8">
            <w:pPr>
              <w:widowControl/>
              <w:spacing w:line="280" w:lineRule="exact"/>
              <w:textAlignment w:val="center"/>
              <w:rPr>
                <w:rFonts w:hint="eastAsia" w:ascii="宋体" w:hAnsi="宋体" w:eastAsia="宋体" w:cs="宋体"/>
                <w:kern w:val="0"/>
                <w:sz w:val="18"/>
                <w:szCs w:val="18"/>
                <w:lang w:bidi="ar"/>
              </w:rPr>
            </w:pPr>
          </w:p>
        </w:tc>
        <w:tc>
          <w:tcPr>
            <w:tcW w:w="1285" w:type="dxa"/>
            <w:vMerge w:val="restart"/>
            <w:tcBorders>
              <w:top w:val="single" w:color="auto" w:sz="4" w:space="0"/>
              <w:left w:val="single" w:color="auto" w:sz="4" w:space="0"/>
              <w:right w:val="single" w:color="auto" w:sz="4" w:space="0"/>
            </w:tcBorders>
            <w:noWrap w:val="0"/>
            <w:tcMar>
              <w:top w:w="0" w:type="dxa"/>
              <w:left w:w="0" w:type="dxa"/>
              <w:bottom w:w="0" w:type="dxa"/>
              <w:right w:w="0" w:type="dxa"/>
            </w:tcMar>
            <w:vAlign w:val="center"/>
          </w:tcPr>
          <w:p w14:paraId="10CFABD9">
            <w:pPr>
              <w:spacing w:line="280" w:lineRule="exact"/>
              <w:jc w:val="center"/>
              <w:rPr>
                <w:rStyle w:val="21"/>
                <w:rFonts w:hint="eastAsia" w:ascii="宋体" w:hAnsi="宋体" w:eastAsia="宋体" w:cs="宋体"/>
                <w:color w:val="auto"/>
                <w:sz w:val="18"/>
                <w:szCs w:val="18"/>
                <w:lang w:bidi="ar"/>
              </w:rPr>
            </w:pPr>
          </w:p>
        </w:tc>
      </w:tr>
      <w:tr w14:paraId="2094E3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96" w:type="dxa"/>
            <w:vMerge w:val="continue"/>
            <w:tcBorders>
              <w:left w:val="single" w:color="auto" w:sz="4" w:space="0"/>
              <w:right w:val="single" w:color="auto" w:sz="4" w:space="0"/>
            </w:tcBorders>
            <w:noWrap w:val="0"/>
            <w:tcMar>
              <w:top w:w="0" w:type="dxa"/>
              <w:left w:w="0" w:type="dxa"/>
              <w:bottom w:w="0" w:type="dxa"/>
              <w:right w:w="0" w:type="dxa"/>
            </w:tcMar>
            <w:vAlign w:val="center"/>
          </w:tcPr>
          <w:p w14:paraId="2C5CE47B">
            <w:pPr>
              <w:widowControl/>
              <w:spacing w:line="280" w:lineRule="exact"/>
              <w:textAlignment w:val="center"/>
              <w:rPr>
                <w:rFonts w:hint="eastAsia" w:ascii="宋体" w:hAnsi="宋体" w:eastAsia="宋体" w:cs="宋体"/>
                <w:kern w:val="0"/>
                <w:sz w:val="18"/>
                <w:szCs w:val="18"/>
                <w:lang w:bidi="ar"/>
              </w:rPr>
            </w:pPr>
          </w:p>
        </w:tc>
        <w:tc>
          <w:tcPr>
            <w:tcW w:w="1257" w:type="dxa"/>
            <w:vMerge w:val="continue"/>
            <w:tcBorders>
              <w:left w:val="single" w:color="auto" w:sz="4" w:space="0"/>
              <w:right w:val="single" w:color="auto" w:sz="4" w:space="0"/>
            </w:tcBorders>
            <w:noWrap w:val="0"/>
            <w:tcMar>
              <w:top w:w="0" w:type="dxa"/>
              <w:left w:w="0" w:type="dxa"/>
              <w:bottom w:w="0" w:type="dxa"/>
              <w:right w:w="0" w:type="dxa"/>
            </w:tcMar>
            <w:vAlign w:val="center"/>
          </w:tcPr>
          <w:p w14:paraId="31AC2F57">
            <w:pPr>
              <w:widowControl/>
              <w:spacing w:line="280" w:lineRule="exact"/>
              <w:textAlignment w:val="center"/>
              <w:rPr>
                <w:rFonts w:hint="eastAsia" w:ascii="宋体" w:hAnsi="宋体" w:eastAsia="宋体" w:cs="宋体"/>
                <w:kern w:val="0"/>
                <w:sz w:val="18"/>
                <w:szCs w:val="18"/>
                <w:lang w:bidi="ar"/>
              </w:rPr>
            </w:pPr>
          </w:p>
        </w:tc>
        <w:tc>
          <w:tcPr>
            <w:tcW w:w="3805" w:type="dxa"/>
            <w:vMerge w:val="continue"/>
            <w:tcBorders>
              <w:left w:val="single" w:color="auto" w:sz="4" w:space="0"/>
              <w:right w:val="single" w:color="auto" w:sz="4" w:space="0"/>
            </w:tcBorders>
            <w:noWrap w:val="0"/>
            <w:tcMar>
              <w:top w:w="0" w:type="dxa"/>
              <w:left w:w="0" w:type="dxa"/>
              <w:bottom w:w="0" w:type="dxa"/>
              <w:right w:w="0" w:type="dxa"/>
            </w:tcMar>
            <w:vAlign w:val="center"/>
          </w:tcPr>
          <w:p w14:paraId="5F1737D2">
            <w:pPr>
              <w:widowControl/>
              <w:spacing w:line="280" w:lineRule="exact"/>
              <w:textAlignment w:val="center"/>
              <w:rPr>
                <w:rFonts w:hint="eastAsia" w:ascii="宋体" w:hAnsi="宋体" w:eastAsia="宋体" w:cs="宋体"/>
                <w:kern w:val="0"/>
                <w:sz w:val="18"/>
                <w:szCs w:val="18"/>
                <w:lang w:bidi="ar"/>
              </w:rPr>
            </w:pPr>
          </w:p>
        </w:tc>
        <w:tc>
          <w:tcPr>
            <w:tcW w:w="1672" w:type="dxa"/>
            <w:vMerge w:val="continue"/>
            <w:tcBorders>
              <w:left w:val="single" w:color="auto" w:sz="4" w:space="0"/>
              <w:right w:val="single" w:color="auto" w:sz="4" w:space="0"/>
            </w:tcBorders>
            <w:noWrap w:val="0"/>
            <w:tcMar>
              <w:top w:w="0" w:type="dxa"/>
              <w:left w:w="0" w:type="dxa"/>
              <w:bottom w:w="0" w:type="dxa"/>
              <w:right w:w="0" w:type="dxa"/>
            </w:tcMar>
            <w:vAlign w:val="center"/>
          </w:tcPr>
          <w:p w14:paraId="1CDE0B7F">
            <w:pPr>
              <w:widowControl/>
              <w:spacing w:line="280" w:lineRule="exact"/>
              <w:textAlignment w:val="center"/>
              <w:rPr>
                <w:rFonts w:hint="eastAsia" w:ascii="宋体" w:hAnsi="宋体" w:eastAsia="宋体" w:cs="宋体"/>
                <w:kern w:val="0"/>
                <w:sz w:val="18"/>
                <w:szCs w:val="18"/>
                <w:lang w:bidi="ar"/>
              </w:rPr>
            </w:pPr>
          </w:p>
        </w:tc>
        <w:tc>
          <w:tcPr>
            <w:tcW w:w="78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4A4E0A6">
            <w:pPr>
              <w:widowControl/>
              <w:spacing w:line="280" w:lineRule="exact"/>
              <w:jc w:val="center"/>
              <w:textAlignment w:val="center"/>
              <w:rPr>
                <w:rFonts w:hint="eastAsia" w:ascii="宋体" w:hAnsi="宋体" w:eastAsia="宋体" w:cs="宋体"/>
                <w:kern w:val="0"/>
                <w:sz w:val="18"/>
                <w:szCs w:val="18"/>
                <w:lang w:bidi="ar"/>
              </w:rPr>
            </w:pPr>
            <w:r>
              <w:rPr>
                <w:rFonts w:hint="eastAsia" w:ascii="宋体" w:hAnsi="宋体" w:eastAsia="宋体" w:cs="宋体"/>
                <w:kern w:val="0"/>
                <w:sz w:val="18"/>
                <w:szCs w:val="18"/>
                <w:lang w:bidi="ar"/>
              </w:rPr>
              <w:t>较轻</w:t>
            </w:r>
          </w:p>
        </w:tc>
        <w:tc>
          <w:tcPr>
            <w:tcW w:w="367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480A1EA2">
            <w:pPr>
              <w:widowControl/>
              <w:spacing w:line="280" w:lineRule="exact"/>
              <w:textAlignment w:val="center"/>
              <mc:AlternateContent>
                <mc:Choice Requires="wpsCustomData">
                  <wpsCustomData:diagonalParaType/>
                </mc:Choice>
              </mc:AlternateContent>
              <w:rPr>
                <w:rFonts w:hint="eastAsia" w:ascii="宋体" w:hAnsi="宋体" w:eastAsia="宋体" w:cs="宋体"/>
                <w:kern w:val="0"/>
                <w:sz w:val="18"/>
                <w:szCs w:val="18"/>
                <w:lang w:bidi="ar"/>
              </w:rPr>
            </w:pPr>
          </w:p>
          <w:p w14:paraId="4CA13D0B">
            <w:pPr>
              <w:widowControl/>
              <w:spacing w:line="280" w:lineRule="exact"/>
              <w:textAlignment w:val="center"/>
              <w:rPr>
                <w:rFonts w:hint="eastAsia" w:ascii="宋体" w:hAnsi="宋体" w:eastAsia="宋体" w:cs="宋体"/>
                <w:kern w:val="0"/>
                <w:sz w:val="18"/>
                <w:szCs w:val="18"/>
                <w:lang w:bidi="ar"/>
              </w:rPr>
            </w:pPr>
          </w:p>
        </w:tc>
        <w:tc>
          <w:tcPr>
            <w:tcW w:w="197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41029E4F">
            <w:pPr>
              <w:widowControl/>
              <w:spacing w:line="280" w:lineRule="exact"/>
              <w:textAlignment w:val="center"/>
              <mc:AlternateContent>
                <mc:Choice Requires="wpsCustomData">
                  <wpsCustomData:diagonalParaType/>
                </mc:Choice>
              </mc:AlternateContent>
              <w:rPr>
                <w:rFonts w:hint="eastAsia" w:ascii="宋体" w:hAnsi="宋体" w:eastAsia="宋体" w:cs="宋体"/>
                <w:kern w:val="0"/>
                <w:sz w:val="18"/>
                <w:szCs w:val="18"/>
                <w:lang w:bidi="ar"/>
              </w:rPr>
            </w:pPr>
          </w:p>
          <w:p w14:paraId="1C87269A">
            <w:pPr>
              <w:widowControl/>
              <w:spacing w:line="280" w:lineRule="exact"/>
              <w:textAlignment w:val="center"/>
              <w:rPr>
                <w:rFonts w:hint="eastAsia" w:ascii="宋体" w:hAnsi="宋体" w:eastAsia="宋体" w:cs="宋体"/>
                <w:kern w:val="0"/>
                <w:sz w:val="18"/>
                <w:szCs w:val="18"/>
                <w:lang w:bidi="ar"/>
              </w:rPr>
            </w:pPr>
          </w:p>
        </w:tc>
        <w:tc>
          <w:tcPr>
            <w:tcW w:w="1285" w:type="dxa"/>
            <w:vMerge w:val="continue"/>
            <w:tcBorders>
              <w:left w:val="single" w:color="auto" w:sz="4" w:space="0"/>
              <w:right w:val="single" w:color="auto" w:sz="4" w:space="0"/>
            </w:tcBorders>
            <w:noWrap w:val="0"/>
            <w:tcMar>
              <w:top w:w="0" w:type="dxa"/>
              <w:left w:w="0" w:type="dxa"/>
              <w:bottom w:w="0" w:type="dxa"/>
              <w:right w:w="0" w:type="dxa"/>
            </w:tcMar>
            <w:vAlign w:val="center"/>
          </w:tcPr>
          <w:p w14:paraId="6A440CED">
            <w:pPr>
              <w:spacing w:line="280" w:lineRule="exact"/>
              <w:jc w:val="center"/>
              <w:rPr>
                <w:rFonts w:hint="eastAsia" w:ascii="宋体" w:hAnsi="宋体" w:eastAsia="宋体" w:cs="宋体"/>
                <w:color w:val="000000"/>
                <w:sz w:val="18"/>
                <w:szCs w:val="18"/>
                <w:lang w:bidi="ar"/>
              </w:rPr>
            </w:pPr>
          </w:p>
        </w:tc>
      </w:tr>
      <w:tr w14:paraId="08695A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96" w:type="dxa"/>
            <w:vMerge w:val="continue"/>
            <w:tcBorders>
              <w:left w:val="single" w:color="auto" w:sz="4" w:space="0"/>
              <w:right w:val="single" w:color="auto" w:sz="4" w:space="0"/>
            </w:tcBorders>
            <w:noWrap w:val="0"/>
            <w:tcMar>
              <w:top w:w="0" w:type="dxa"/>
              <w:left w:w="0" w:type="dxa"/>
              <w:bottom w:w="0" w:type="dxa"/>
              <w:right w:w="0" w:type="dxa"/>
            </w:tcMar>
            <w:vAlign w:val="center"/>
          </w:tcPr>
          <w:p w14:paraId="4403CB47">
            <w:pPr>
              <w:widowControl/>
              <w:spacing w:line="280" w:lineRule="exact"/>
              <w:textAlignment w:val="center"/>
              <w:rPr>
                <w:rFonts w:hint="eastAsia" w:ascii="宋体" w:hAnsi="宋体" w:eastAsia="宋体" w:cs="宋体"/>
                <w:kern w:val="0"/>
                <w:sz w:val="18"/>
                <w:szCs w:val="18"/>
                <w:lang w:bidi="ar"/>
              </w:rPr>
            </w:pPr>
          </w:p>
        </w:tc>
        <w:tc>
          <w:tcPr>
            <w:tcW w:w="1257" w:type="dxa"/>
            <w:vMerge w:val="continue"/>
            <w:tcBorders>
              <w:left w:val="single" w:color="auto" w:sz="4" w:space="0"/>
              <w:right w:val="single" w:color="auto" w:sz="4" w:space="0"/>
            </w:tcBorders>
            <w:noWrap w:val="0"/>
            <w:tcMar>
              <w:top w:w="0" w:type="dxa"/>
              <w:left w:w="0" w:type="dxa"/>
              <w:bottom w:w="0" w:type="dxa"/>
              <w:right w:w="0" w:type="dxa"/>
            </w:tcMar>
            <w:vAlign w:val="center"/>
          </w:tcPr>
          <w:p w14:paraId="31544DC6">
            <w:pPr>
              <w:widowControl/>
              <w:spacing w:line="280" w:lineRule="exact"/>
              <w:textAlignment w:val="center"/>
              <w:rPr>
                <w:rFonts w:hint="eastAsia" w:ascii="宋体" w:hAnsi="宋体" w:eastAsia="宋体" w:cs="宋体"/>
                <w:kern w:val="0"/>
                <w:sz w:val="18"/>
                <w:szCs w:val="18"/>
                <w:lang w:bidi="ar"/>
              </w:rPr>
            </w:pPr>
          </w:p>
        </w:tc>
        <w:tc>
          <w:tcPr>
            <w:tcW w:w="3805" w:type="dxa"/>
            <w:vMerge w:val="continue"/>
            <w:tcBorders>
              <w:left w:val="single" w:color="auto" w:sz="4" w:space="0"/>
              <w:right w:val="single" w:color="auto" w:sz="4" w:space="0"/>
            </w:tcBorders>
            <w:noWrap w:val="0"/>
            <w:tcMar>
              <w:top w:w="0" w:type="dxa"/>
              <w:left w:w="0" w:type="dxa"/>
              <w:bottom w:w="0" w:type="dxa"/>
              <w:right w:w="0" w:type="dxa"/>
            </w:tcMar>
            <w:vAlign w:val="center"/>
          </w:tcPr>
          <w:p w14:paraId="30CA73D1">
            <w:pPr>
              <w:widowControl/>
              <w:spacing w:line="280" w:lineRule="exact"/>
              <w:textAlignment w:val="center"/>
              <w:rPr>
                <w:rFonts w:hint="eastAsia" w:ascii="宋体" w:hAnsi="宋体" w:eastAsia="宋体" w:cs="宋体"/>
                <w:kern w:val="0"/>
                <w:sz w:val="18"/>
                <w:szCs w:val="18"/>
                <w:lang w:bidi="ar"/>
              </w:rPr>
            </w:pPr>
          </w:p>
        </w:tc>
        <w:tc>
          <w:tcPr>
            <w:tcW w:w="1672" w:type="dxa"/>
            <w:vMerge w:val="continue"/>
            <w:tcBorders>
              <w:left w:val="single" w:color="auto" w:sz="4" w:space="0"/>
              <w:right w:val="single" w:color="auto" w:sz="4" w:space="0"/>
            </w:tcBorders>
            <w:noWrap w:val="0"/>
            <w:tcMar>
              <w:top w:w="0" w:type="dxa"/>
              <w:left w:w="0" w:type="dxa"/>
              <w:bottom w:w="0" w:type="dxa"/>
              <w:right w:w="0" w:type="dxa"/>
            </w:tcMar>
            <w:vAlign w:val="center"/>
          </w:tcPr>
          <w:p w14:paraId="17B03A24">
            <w:pPr>
              <w:widowControl/>
              <w:spacing w:line="280" w:lineRule="exact"/>
              <w:textAlignment w:val="center"/>
              <w:rPr>
                <w:rFonts w:hint="eastAsia" w:ascii="宋体" w:hAnsi="宋体" w:eastAsia="宋体" w:cs="宋体"/>
                <w:kern w:val="0"/>
                <w:sz w:val="18"/>
                <w:szCs w:val="18"/>
                <w:lang w:bidi="ar"/>
              </w:rPr>
            </w:pPr>
          </w:p>
        </w:tc>
        <w:tc>
          <w:tcPr>
            <w:tcW w:w="78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510B680">
            <w:pPr>
              <w:widowControl/>
              <w:spacing w:line="280" w:lineRule="exact"/>
              <w:jc w:val="center"/>
              <w:textAlignment w:val="center"/>
              <w:rPr>
                <w:rFonts w:hint="eastAsia" w:ascii="宋体" w:hAnsi="宋体" w:eastAsia="宋体" w:cs="宋体"/>
                <w:kern w:val="0"/>
                <w:sz w:val="18"/>
                <w:szCs w:val="18"/>
                <w:lang w:bidi="ar"/>
              </w:rPr>
            </w:pPr>
            <w:r>
              <w:rPr>
                <w:rFonts w:hint="eastAsia" w:ascii="宋体" w:hAnsi="宋体" w:eastAsia="宋体" w:cs="宋体"/>
                <w:kern w:val="0"/>
                <w:sz w:val="18"/>
                <w:szCs w:val="18"/>
                <w:lang w:bidi="ar"/>
              </w:rPr>
              <w:t>一般</w:t>
            </w:r>
          </w:p>
        </w:tc>
        <w:tc>
          <w:tcPr>
            <w:tcW w:w="367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EA48638">
            <w:pPr>
              <w:widowControl/>
              <w:spacing w:line="280" w:lineRule="exact"/>
              <w:textAlignment w:val="center"/>
              <w:rPr>
                <w:rFonts w:hint="eastAsia" w:ascii="宋体" w:hAnsi="宋体" w:eastAsia="宋体" w:cs="宋体"/>
                <w:kern w:val="0"/>
                <w:sz w:val="18"/>
                <w:szCs w:val="18"/>
                <w:lang w:bidi="ar"/>
              </w:rPr>
            </w:pPr>
            <w:r>
              <w:rPr>
                <w:rFonts w:hint="eastAsia" w:ascii="宋体" w:hAnsi="宋体" w:eastAsia="宋体" w:cs="宋体"/>
                <w:kern w:val="0"/>
                <w:sz w:val="18"/>
                <w:szCs w:val="18"/>
                <w:lang w:bidi="ar"/>
              </w:rPr>
              <w:t>在限期内改正的</w:t>
            </w:r>
          </w:p>
        </w:tc>
        <w:tc>
          <w:tcPr>
            <w:tcW w:w="197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F5DA6E6">
            <w:pPr>
              <w:widowControl/>
              <w:spacing w:line="280" w:lineRule="exact"/>
              <w:textAlignment w:val="center"/>
              <w:rPr>
                <w:rFonts w:hint="eastAsia" w:ascii="宋体" w:hAnsi="宋体" w:eastAsia="宋体" w:cs="宋体"/>
                <w:kern w:val="0"/>
                <w:sz w:val="18"/>
                <w:szCs w:val="18"/>
                <w:lang w:bidi="ar"/>
              </w:rPr>
            </w:pPr>
            <w:r>
              <w:rPr>
                <w:rFonts w:hint="eastAsia" w:ascii="宋体" w:hAnsi="宋体" w:eastAsia="宋体" w:cs="宋体"/>
                <w:kern w:val="0"/>
                <w:sz w:val="18"/>
                <w:szCs w:val="18"/>
                <w:lang w:bidi="ar"/>
              </w:rPr>
              <w:t>处</w:t>
            </w:r>
            <w:r>
              <w:rPr>
                <w:rFonts w:hint="eastAsia" w:ascii="宋体" w:hAnsi="宋体" w:eastAsia="宋体" w:cs="宋体"/>
                <w:kern w:val="0"/>
                <w:sz w:val="18"/>
                <w:szCs w:val="18"/>
                <w:lang w:val="en-US" w:eastAsia="zh-CN" w:bidi="ar"/>
              </w:rPr>
              <w:t>3</w:t>
            </w:r>
            <w:r>
              <w:rPr>
                <w:rFonts w:hint="eastAsia" w:ascii="宋体" w:hAnsi="宋体" w:eastAsia="宋体" w:cs="宋体"/>
                <w:kern w:val="0"/>
                <w:sz w:val="18"/>
                <w:szCs w:val="18"/>
                <w:lang w:bidi="ar"/>
              </w:rPr>
              <w:t>千元以上</w:t>
            </w:r>
            <w:r>
              <w:rPr>
                <w:rFonts w:hint="eastAsia" w:ascii="宋体" w:hAnsi="宋体" w:eastAsia="宋体" w:cs="宋体"/>
                <w:kern w:val="0"/>
                <w:sz w:val="18"/>
                <w:szCs w:val="18"/>
                <w:lang w:val="en-US" w:eastAsia="zh-CN" w:bidi="ar"/>
              </w:rPr>
              <w:t>5</w:t>
            </w:r>
            <w:r>
              <w:rPr>
                <w:rFonts w:hint="eastAsia" w:ascii="宋体" w:hAnsi="宋体" w:eastAsia="宋体" w:cs="宋体"/>
                <w:kern w:val="0"/>
                <w:sz w:val="18"/>
                <w:szCs w:val="18"/>
                <w:lang w:bidi="ar"/>
              </w:rPr>
              <w:t>千元以下的罚款</w:t>
            </w:r>
          </w:p>
        </w:tc>
        <w:tc>
          <w:tcPr>
            <w:tcW w:w="1285" w:type="dxa"/>
            <w:vMerge w:val="continue"/>
            <w:tcBorders>
              <w:left w:val="single" w:color="auto" w:sz="4" w:space="0"/>
              <w:right w:val="single" w:color="auto" w:sz="4" w:space="0"/>
            </w:tcBorders>
            <w:noWrap w:val="0"/>
            <w:tcMar>
              <w:top w:w="0" w:type="dxa"/>
              <w:left w:w="0" w:type="dxa"/>
              <w:bottom w:w="0" w:type="dxa"/>
              <w:right w:w="0" w:type="dxa"/>
            </w:tcMar>
            <w:vAlign w:val="center"/>
          </w:tcPr>
          <w:p w14:paraId="31A895B2">
            <w:pPr>
              <w:spacing w:line="280" w:lineRule="exact"/>
              <w:jc w:val="center"/>
              <w:rPr>
                <w:rStyle w:val="21"/>
                <w:rFonts w:hint="eastAsia" w:ascii="宋体" w:hAnsi="宋体" w:eastAsia="宋体" w:cs="宋体"/>
                <w:sz w:val="18"/>
                <w:szCs w:val="18"/>
                <w:lang w:bidi="ar"/>
              </w:rPr>
            </w:pPr>
          </w:p>
        </w:tc>
      </w:tr>
      <w:tr w14:paraId="7996D7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96" w:type="dxa"/>
            <w:vMerge w:val="continue"/>
            <w:tcBorders>
              <w:left w:val="single" w:color="auto" w:sz="4" w:space="0"/>
              <w:right w:val="single" w:color="auto" w:sz="4" w:space="0"/>
            </w:tcBorders>
            <w:noWrap w:val="0"/>
            <w:tcMar>
              <w:top w:w="0" w:type="dxa"/>
              <w:left w:w="0" w:type="dxa"/>
              <w:bottom w:w="0" w:type="dxa"/>
              <w:right w:w="0" w:type="dxa"/>
            </w:tcMar>
            <w:vAlign w:val="center"/>
          </w:tcPr>
          <w:p w14:paraId="359553E3">
            <w:pPr>
              <w:widowControl/>
              <w:spacing w:line="280" w:lineRule="exact"/>
              <w:textAlignment w:val="center"/>
              <w:rPr>
                <w:rFonts w:hint="eastAsia" w:ascii="宋体" w:hAnsi="宋体" w:eastAsia="宋体" w:cs="宋体"/>
                <w:kern w:val="0"/>
                <w:sz w:val="18"/>
                <w:szCs w:val="18"/>
                <w:lang w:bidi="ar"/>
              </w:rPr>
            </w:pPr>
          </w:p>
        </w:tc>
        <w:tc>
          <w:tcPr>
            <w:tcW w:w="1257" w:type="dxa"/>
            <w:vMerge w:val="continue"/>
            <w:tcBorders>
              <w:left w:val="single" w:color="auto" w:sz="4" w:space="0"/>
              <w:right w:val="single" w:color="auto" w:sz="4" w:space="0"/>
            </w:tcBorders>
            <w:noWrap w:val="0"/>
            <w:tcMar>
              <w:top w:w="0" w:type="dxa"/>
              <w:left w:w="0" w:type="dxa"/>
              <w:bottom w:w="0" w:type="dxa"/>
              <w:right w:w="0" w:type="dxa"/>
            </w:tcMar>
            <w:vAlign w:val="center"/>
          </w:tcPr>
          <w:p w14:paraId="1D5DD617">
            <w:pPr>
              <w:widowControl/>
              <w:spacing w:line="280" w:lineRule="exact"/>
              <w:textAlignment w:val="center"/>
              <w:rPr>
                <w:rFonts w:hint="eastAsia" w:ascii="宋体" w:hAnsi="宋体" w:eastAsia="宋体" w:cs="宋体"/>
                <w:kern w:val="0"/>
                <w:sz w:val="18"/>
                <w:szCs w:val="18"/>
                <w:lang w:bidi="ar"/>
              </w:rPr>
            </w:pPr>
          </w:p>
        </w:tc>
        <w:tc>
          <w:tcPr>
            <w:tcW w:w="3805" w:type="dxa"/>
            <w:vMerge w:val="continue"/>
            <w:tcBorders>
              <w:left w:val="single" w:color="auto" w:sz="4" w:space="0"/>
              <w:right w:val="single" w:color="auto" w:sz="4" w:space="0"/>
            </w:tcBorders>
            <w:noWrap w:val="0"/>
            <w:tcMar>
              <w:top w:w="0" w:type="dxa"/>
              <w:left w:w="0" w:type="dxa"/>
              <w:bottom w:w="0" w:type="dxa"/>
              <w:right w:w="0" w:type="dxa"/>
            </w:tcMar>
            <w:vAlign w:val="center"/>
          </w:tcPr>
          <w:p w14:paraId="38BCC260">
            <w:pPr>
              <w:widowControl/>
              <w:spacing w:line="280" w:lineRule="exact"/>
              <w:textAlignment w:val="center"/>
              <w:rPr>
                <w:rFonts w:hint="eastAsia" w:ascii="宋体" w:hAnsi="宋体" w:eastAsia="宋体" w:cs="宋体"/>
                <w:kern w:val="0"/>
                <w:sz w:val="18"/>
                <w:szCs w:val="18"/>
                <w:lang w:bidi="ar"/>
              </w:rPr>
            </w:pPr>
          </w:p>
        </w:tc>
        <w:tc>
          <w:tcPr>
            <w:tcW w:w="1672" w:type="dxa"/>
            <w:vMerge w:val="continue"/>
            <w:tcBorders>
              <w:left w:val="single" w:color="auto" w:sz="4" w:space="0"/>
              <w:right w:val="single" w:color="auto" w:sz="4" w:space="0"/>
            </w:tcBorders>
            <w:noWrap w:val="0"/>
            <w:tcMar>
              <w:top w:w="0" w:type="dxa"/>
              <w:left w:w="0" w:type="dxa"/>
              <w:bottom w:w="0" w:type="dxa"/>
              <w:right w:w="0" w:type="dxa"/>
            </w:tcMar>
            <w:vAlign w:val="center"/>
          </w:tcPr>
          <w:p w14:paraId="00006C6E">
            <w:pPr>
              <w:widowControl/>
              <w:spacing w:line="280" w:lineRule="exact"/>
              <w:textAlignment w:val="center"/>
              <w:rPr>
                <w:rFonts w:hint="eastAsia" w:ascii="宋体" w:hAnsi="宋体" w:eastAsia="宋体" w:cs="宋体"/>
                <w:kern w:val="0"/>
                <w:sz w:val="18"/>
                <w:szCs w:val="18"/>
                <w:lang w:bidi="ar"/>
              </w:rPr>
            </w:pPr>
          </w:p>
        </w:tc>
        <w:tc>
          <w:tcPr>
            <w:tcW w:w="78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78BB854">
            <w:pPr>
              <w:widowControl/>
              <w:spacing w:line="280" w:lineRule="exact"/>
              <w:jc w:val="center"/>
              <w:textAlignment w:val="center"/>
              <w:rPr>
                <w:rFonts w:hint="eastAsia" w:ascii="宋体" w:hAnsi="宋体" w:eastAsia="宋体" w:cs="宋体"/>
                <w:kern w:val="0"/>
                <w:sz w:val="18"/>
                <w:szCs w:val="18"/>
                <w:lang w:eastAsia="zh-CN" w:bidi="ar"/>
              </w:rPr>
            </w:pPr>
            <w:r>
              <w:rPr>
                <w:rFonts w:hint="eastAsia" w:ascii="宋体" w:hAnsi="宋体" w:eastAsia="宋体" w:cs="宋体"/>
                <w:kern w:val="0"/>
                <w:sz w:val="18"/>
                <w:szCs w:val="18"/>
                <w:lang w:eastAsia="zh-CN" w:bidi="ar"/>
              </w:rPr>
              <w:t>较重</w:t>
            </w:r>
          </w:p>
        </w:tc>
        <w:tc>
          <w:tcPr>
            <w:tcW w:w="367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DA523F2">
            <w:pPr>
              <w:widowControl/>
              <w:spacing w:line="280" w:lineRule="exact"/>
              <w:textAlignment w:val="center"/>
              <w:rPr>
                <w:rFonts w:hint="eastAsia" w:ascii="宋体" w:hAnsi="宋体" w:eastAsia="宋体" w:cs="宋体"/>
                <w:kern w:val="0"/>
                <w:sz w:val="18"/>
                <w:szCs w:val="18"/>
                <w:lang w:bidi="ar"/>
              </w:rPr>
            </w:pPr>
            <w:r>
              <w:rPr>
                <w:rFonts w:hint="eastAsia" w:ascii="宋体" w:hAnsi="宋体" w:eastAsia="宋体" w:cs="宋体"/>
                <w:kern w:val="0"/>
                <w:sz w:val="18"/>
                <w:szCs w:val="18"/>
                <w:lang w:bidi="ar"/>
              </w:rPr>
              <w:t>未在限期内改正的</w:t>
            </w:r>
          </w:p>
        </w:tc>
        <w:tc>
          <w:tcPr>
            <w:tcW w:w="197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3C8F96B">
            <w:pPr>
              <w:widowControl/>
              <w:spacing w:line="280" w:lineRule="exact"/>
              <w:textAlignment w:val="center"/>
              <w:rPr>
                <w:rFonts w:hint="eastAsia" w:ascii="宋体" w:hAnsi="宋体" w:eastAsia="宋体" w:cs="宋体"/>
                <w:kern w:val="0"/>
                <w:sz w:val="18"/>
                <w:szCs w:val="18"/>
                <w:lang w:bidi="ar"/>
              </w:rPr>
            </w:pPr>
            <w:r>
              <w:rPr>
                <w:rFonts w:hint="eastAsia" w:ascii="宋体" w:hAnsi="宋体" w:eastAsia="宋体" w:cs="宋体"/>
                <w:kern w:val="0"/>
                <w:sz w:val="18"/>
                <w:szCs w:val="18"/>
                <w:lang w:bidi="ar"/>
              </w:rPr>
              <w:t>处</w:t>
            </w:r>
            <w:r>
              <w:rPr>
                <w:rFonts w:hint="eastAsia" w:ascii="宋体" w:hAnsi="宋体" w:eastAsia="宋体" w:cs="宋体"/>
                <w:kern w:val="0"/>
                <w:sz w:val="18"/>
                <w:szCs w:val="18"/>
                <w:lang w:val="en-US" w:eastAsia="zh-CN" w:bidi="ar"/>
              </w:rPr>
              <w:t>5</w:t>
            </w:r>
            <w:r>
              <w:rPr>
                <w:rFonts w:hint="eastAsia" w:ascii="宋体" w:hAnsi="宋体" w:eastAsia="宋体" w:cs="宋体"/>
                <w:kern w:val="0"/>
                <w:sz w:val="18"/>
                <w:szCs w:val="18"/>
                <w:lang w:bidi="ar"/>
              </w:rPr>
              <w:t>千元以上</w:t>
            </w:r>
            <w:r>
              <w:rPr>
                <w:rFonts w:hint="eastAsia" w:ascii="宋体" w:hAnsi="宋体" w:eastAsia="宋体" w:cs="宋体"/>
                <w:kern w:val="0"/>
                <w:sz w:val="18"/>
                <w:szCs w:val="18"/>
                <w:lang w:val="en-US" w:eastAsia="zh-CN" w:bidi="ar"/>
              </w:rPr>
              <w:t>7</w:t>
            </w:r>
            <w:r>
              <w:rPr>
                <w:rFonts w:hint="eastAsia" w:ascii="宋体" w:hAnsi="宋体" w:eastAsia="宋体" w:cs="宋体"/>
                <w:kern w:val="0"/>
                <w:sz w:val="18"/>
                <w:szCs w:val="18"/>
                <w:lang w:bidi="ar"/>
              </w:rPr>
              <w:t>千元以下的罚款</w:t>
            </w:r>
          </w:p>
        </w:tc>
        <w:tc>
          <w:tcPr>
            <w:tcW w:w="1285" w:type="dxa"/>
            <w:vMerge w:val="continue"/>
            <w:tcBorders>
              <w:left w:val="single" w:color="auto" w:sz="4" w:space="0"/>
              <w:right w:val="single" w:color="auto" w:sz="4" w:space="0"/>
            </w:tcBorders>
            <w:noWrap w:val="0"/>
            <w:tcMar>
              <w:top w:w="0" w:type="dxa"/>
              <w:left w:w="0" w:type="dxa"/>
              <w:bottom w:w="0" w:type="dxa"/>
              <w:right w:w="0" w:type="dxa"/>
            </w:tcMar>
            <w:vAlign w:val="center"/>
          </w:tcPr>
          <w:p w14:paraId="6510A13A">
            <w:pPr>
              <w:spacing w:line="280" w:lineRule="exact"/>
              <w:jc w:val="center"/>
              <w:rPr>
                <w:rStyle w:val="21"/>
                <w:rFonts w:hint="eastAsia" w:ascii="宋体" w:hAnsi="宋体" w:eastAsia="宋体" w:cs="宋体"/>
                <w:sz w:val="18"/>
                <w:szCs w:val="18"/>
                <w:lang w:bidi="ar"/>
              </w:rPr>
            </w:pPr>
          </w:p>
        </w:tc>
      </w:tr>
      <w:tr w14:paraId="37A5B7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96" w:type="dxa"/>
            <w:vMerge w:val="continue"/>
            <w:tcBorders>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F4C7C2D">
            <w:pPr>
              <w:widowControl/>
              <w:spacing w:line="280" w:lineRule="exact"/>
              <w:textAlignment w:val="center"/>
              <w:rPr>
                <w:rFonts w:hint="eastAsia" w:ascii="宋体" w:hAnsi="宋体" w:eastAsia="宋体" w:cs="宋体"/>
                <w:kern w:val="0"/>
                <w:sz w:val="18"/>
                <w:szCs w:val="18"/>
                <w:lang w:bidi="ar"/>
              </w:rPr>
            </w:pPr>
          </w:p>
        </w:tc>
        <w:tc>
          <w:tcPr>
            <w:tcW w:w="1257" w:type="dxa"/>
            <w:vMerge w:val="continue"/>
            <w:tcBorders>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C58208A">
            <w:pPr>
              <w:widowControl/>
              <w:spacing w:line="280" w:lineRule="exact"/>
              <w:textAlignment w:val="center"/>
              <w:rPr>
                <w:rFonts w:hint="eastAsia" w:ascii="宋体" w:hAnsi="宋体" w:eastAsia="宋体" w:cs="宋体"/>
                <w:kern w:val="0"/>
                <w:sz w:val="18"/>
                <w:szCs w:val="18"/>
                <w:lang w:bidi="ar"/>
              </w:rPr>
            </w:pPr>
          </w:p>
        </w:tc>
        <w:tc>
          <w:tcPr>
            <w:tcW w:w="3805" w:type="dxa"/>
            <w:vMerge w:val="continue"/>
            <w:tcBorders>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2DAAD18">
            <w:pPr>
              <w:widowControl/>
              <w:spacing w:line="280" w:lineRule="exact"/>
              <w:textAlignment w:val="center"/>
              <w:rPr>
                <w:rFonts w:hint="eastAsia" w:ascii="宋体" w:hAnsi="宋体" w:eastAsia="宋体" w:cs="宋体"/>
                <w:kern w:val="0"/>
                <w:sz w:val="18"/>
                <w:szCs w:val="18"/>
                <w:lang w:bidi="ar"/>
              </w:rPr>
            </w:pPr>
          </w:p>
        </w:tc>
        <w:tc>
          <w:tcPr>
            <w:tcW w:w="1672" w:type="dxa"/>
            <w:vMerge w:val="continue"/>
            <w:tcBorders>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129C7F7">
            <w:pPr>
              <w:widowControl/>
              <w:spacing w:line="280" w:lineRule="exact"/>
              <w:textAlignment w:val="center"/>
              <w:rPr>
                <w:rFonts w:hint="eastAsia" w:ascii="宋体" w:hAnsi="宋体" w:eastAsia="宋体" w:cs="宋体"/>
                <w:kern w:val="0"/>
                <w:sz w:val="18"/>
                <w:szCs w:val="18"/>
                <w:lang w:bidi="ar"/>
              </w:rPr>
            </w:pPr>
          </w:p>
        </w:tc>
        <w:tc>
          <w:tcPr>
            <w:tcW w:w="78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41D6042">
            <w:pPr>
              <w:widowControl/>
              <w:spacing w:line="280" w:lineRule="exact"/>
              <w:jc w:val="center"/>
              <w:textAlignment w:val="center"/>
              <w:rPr>
                <w:rFonts w:hint="eastAsia" w:ascii="宋体" w:hAnsi="宋体" w:eastAsia="宋体" w:cs="宋体"/>
                <w:kern w:val="0"/>
                <w:sz w:val="18"/>
                <w:szCs w:val="18"/>
                <w:lang w:bidi="ar"/>
              </w:rPr>
            </w:pPr>
            <w:r>
              <w:rPr>
                <w:rFonts w:hint="eastAsia" w:ascii="宋体" w:hAnsi="宋体" w:eastAsia="宋体" w:cs="宋体"/>
                <w:kern w:val="0"/>
                <w:sz w:val="18"/>
                <w:szCs w:val="18"/>
                <w:lang w:bidi="ar"/>
              </w:rPr>
              <w:t>严重</w:t>
            </w:r>
          </w:p>
        </w:tc>
        <w:tc>
          <w:tcPr>
            <w:tcW w:w="367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8ABBB94">
            <w:pPr>
              <w:widowControl/>
              <w:spacing w:line="280" w:lineRule="exact"/>
              <w:textAlignment w:val="center"/>
              <w:rPr>
                <w:rFonts w:hint="eastAsia" w:ascii="宋体" w:hAnsi="宋体" w:eastAsia="宋体" w:cs="宋体"/>
                <w:kern w:val="0"/>
                <w:sz w:val="18"/>
                <w:szCs w:val="18"/>
                <w:lang w:bidi="ar"/>
              </w:rPr>
            </w:pPr>
            <w:r>
              <w:rPr>
                <w:rFonts w:hint="eastAsia" w:ascii="宋体" w:hAnsi="宋体" w:eastAsia="宋体" w:cs="宋体"/>
                <w:kern w:val="0"/>
                <w:sz w:val="18"/>
                <w:szCs w:val="18"/>
                <w:lang w:bidi="ar"/>
              </w:rPr>
              <w:t>拒不改正的</w:t>
            </w:r>
          </w:p>
        </w:tc>
        <w:tc>
          <w:tcPr>
            <w:tcW w:w="197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79B8AEA">
            <w:pPr>
              <w:widowControl/>
              <w:spacing w:line="280" w:lineRule="exact"/>
              <w:textAlignment w:val="center"/>
              <w:rPr>
                <w:rFonts w:hint="eastAsia" w:ascii="宋体" w:hAnsi="宋体" w:eastAsia="宋体" w:cs="宋体"/>
                <w:kern w:val="0"/>
                <w:sz w:val="18"/>
                <w:szCs w:val="18"/>
                <w:lang w:bidi="ar"/>
              </w:rPr>
            </w:pPr>
            <w:r>
              <w:rPr>
                <w:rFonts w:hint="eastAsia" w:ascii="宋体" w:hAnsi="宋体" w:eastAsia="宋体" w:cs="宋体"/>
                <w:kern w:val="0"/>
                <w:sz w:val="18"/>
                <w:szCs w:val="18"/>
                <w:lang w:bidi="ar"/>
              </w:rPr>
              <w:t>处</w:t>
            </w:r>
            <w:r>
              <w:rPr>
                <w:rFonts w:hint="eastAsia" w:ascii="宋体" w:hAnsi="宋体" w:eastAsia="宋体" w:cs="宋体"/>
                <w:kern w:val="0"/>
                <w:sz w:val="18"/>
                <w:szCs w:val="18"/>
                <w:lang w:val="en-US" w:eastAsia="zh-CN" w:bidi="ar"/>
              </w:rPr>
              <w:t>7</w:t>
            </w:r>
            <w:r>
              <w:rPr>
                <w:rFonts w:hint="eastAsia" w:ascii="宋体" w:hAnsi="宋体" w:eastAsia="宋体" w:cs="宋体"/>
                <w:kern w:val="0"/>
                <w:sz w:val="18"/>
                <w:szCs w:val="18"/>
                <w:lang w:bidi="ar"/>
              </w:rPr>
              <w:t>千元以上</w:t>
            </w:r>
            <w:r>
              <w:rPr>
                <w:rFonts w:hint="eastAsia" w:ascii="宋体" w:hAnsi="宋体" w:eastAsia="宋体" w:cs="宋体"/>
                <w:kern w:val="0"/>
                <w:sz w:val="18"/>
                <w:szCs w:val="18"/>
                <w:lang w:val="en-US" w:eastAsia="zh-CN" w:bidi="ar"/>
              </w:rPr>
              <w:t>1</w:t>
            </w:r>
            <w:r>
              <w:rPr>
                <w:rFonts w:hint="eastAsia" w:ascii="宋体" w:hAnsi="宋体" w:eastAsia="宋体" w:cs="宋体"/>
                <w:kern w:val="0"/>
                <w:sz w:val="18"/>
                <w:szCs w:val="18"/>
                <w:lang w:bidi="ar"/>
              </w:rPr>
              <w:t>万元以下的罚款</w:t>
            </w:r>
          </w:p>
        </w:tc>
        <w:tc>
          <w:tcPr>
            <w:tcW w:w="1285" w:type="dxa"/>
            <w:vMerge w:val="continue"/>
            <w:tcBorders>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E0E14A9">
            <w:pPr>
              <w:spacing w:line="280" w:lineRule="exact"/>
              <w:jc w:val="center"/>
              <w:rPr>
                <w:rStyle w:val="21"/>
                <w:rFonts w:hint="eastAsia" w:ascii="宋体" w:hAnsi="宋体" w:eastAsia="宋体" w:cs="宋体"/>
                <w:sz w:val="18"/>
                <w:szCs w:val="18"/>
                <w:lang w:bidi="ar"/>
              </w:rPr>
            </w:pPr>
          </w:p>
        </w:tc>
      </w:tr>
    </w:tbl>
    <w:p w14:paraId="0B678A45">
      <w:pPr>
        <w:pStyle w:val="2"/>
        <w:spacing w:line="600" w:lineRule="exact"/>
        <w:rPr>
          <w:rFonts w:ascii="仿宋_GB2312" w:hAnsi="仿宋_GB2312" w:eastAsia="仿宋_GB2312" w:cs="仿宋_GB2312"/>
        </w:rPr>
        <w:sectPr>
          <w:footerReference r:id="rId9" w:type="default"/>
          <w:footerReference r:id="rId10" w:type="even"/>
          <w:pgSz w:w="16838" w:h="11906" w:orient="landscape"/>
          <w:pgMar w:top="1134" w:right="1134" w:bottom="1134" w:left="1134" w:header="851" w:footer="964" w:gutter="0"/>
          <w:pgNumType w:fmt="decimal"/>
          <w:cols w:space="0" w:num="1"/>
          <w:rtlGutter w:val="0"/>
          <w:docGrid w:type="lines" w:linePitch="312" w:charSpace="0"/>
        </w:sectPr>
      </w:pPr>
    </w:p>
    <w:p w14:paraId="550DCD5E">
      <w:pPr>
        <w:spacing w:line="600" w:lineRule="exact"/>
        <w:jc w:val="center"/>
        <w:rPr>
          <w:rFonts w:hint="eastAsia" w:eastAsia="黑体"/>
        </w:rPr>
      </w:pPr>
      <w:r>
        <w:rPr>
          <w:rFonts w:hint="eastAsia" w:ascii="黑体" w:hAnsi="黑体" w:eastAsia="黑体" w:cs="黑体"/>
          <w:sz w:val="32"/>
          <w:szCs w:val="32"/>
        </w:rPr>
        <w:t>第</w:t>
      </w:r>
      <w:r>
        <w:rPr>
          <w:rFonts w:hint="eastAsia" w:ascii="黑体" w:hAnsi="黑体" w:eastAsia="黑体" w:cs="黑体"/>
          <w:sz w:val="32"/>
          <w:szCs w:val="32"/>
          <w:lang w:val="en-US" w:eastAsia="zh-CN"/>
        </w:rPr>
        <w:t>四</w:t>
      </w:r>
      <w:r>
        <w:rPr>
          <w:rFonts w:hint="eastAsia" w:ascii="黑体" w:hAnsi="黑体" w:eastAsia="黑体" w:cs="黑体"/>
          <w:sz w:val="32"/>
          <w:szCs w:val="32"/>
        </w:rPr>
        <w:t xml:space="preserve">部分  </w:t>
      </w:r>
      <w:r>
        <w:rPr>
          <w:rFonts w:hint="eastAsia" w:ascii="黑体" w:hAnsi="黑体" w:eastAsia="黑体" w:cs="黑体"/>
          <w:color w:val="000000"/>
          <w:sz w:val="32"/>
          <w:szCs w:val="32"/>
        </w:rPr>
        <w:t>抗旱管理类</w:t>
      </w:r>
    </w:p>
    <w:tbl>
      <w:tblPr>
        <w:tblStyle w:val="13"/>
        <w:tblW w:w="149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07"/>
        <w:gridCol w:w="1280"/>
        <w:gridCol w:w="6855"/>
        <w:gridCol w:w="1469"/>
        <w:gridCol w:w="734"/>
        <w:gridCol w:w="1734"/>
        <w:gridCol w:w="1594"/>
        <w:gridCol w:w="810"/>
      </w:tblGrid>
      <w:tr w14:paraId="6BECFA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jc w:val="center"/>
        </w:trPr>
        <w:tc>
          <w:tcPr>
            <w:tcW w:w="50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876B8F9">
            <w:pPr>
              <w:spacing w:line="260" w:lineRule="exact"/>
              <w:jc w:val="center"/>
              <w:rPr>
                <w:rFonts w:hint="eastAsia" w:ascii="黑体" w:hAnsi="黑体" w:eastAsia="黑体" w:cs="黑体"/>
                <w:sz w:val="18"/>
                <w:szCs w:val="18"/>
              </w:rPr>
            </w:pPr>
            <w:r>
              <w:rPr>
                <w:rFonts w:hint="eastAsia" w:ascii="黑体" w:hAnsi="黑体" w:eastAsia="黑体" w:cs="黑体"/>
                <w:sz w:val="18"/>
                <w:szCs w:val="18"/>
              </w:rPr>
              <w:t>序号</w:t>
            </w:r>
          </w:p>
        </w:tc>
        <w:tc>
          <w:tcPr>
            <w:tcW w:w="128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1B7E13E">
            <w:pPr>
              <w:spacing w:line="260" w:lineRule="exact"/>
              <w:jc w:val="center"/>
              <w:rPr>
                <w:rFonts w:hint="eastAsia" w:ascii="黑体" w:hAnsi="黑体" w:eastAsia="黑体" w:cs="黑体"/>
                <w:sz w:val="18"/>
                <w:szCs w:val="18"/>
              </w:rPr>
            </w:pPr>
            <w:r>
              <w:rPr>
                <w:rFonts w:hint="eastAsia" w:ascii="黑体" w:hAnsi="黑体" w:eastAsia="黑体" w:cs="黑体"/>
                <w:sz w:val="18"/>
                <w:szCs w:val="18"/>
              </w:rPr>
              <w:t>违法行为</w:t>
            </w:r>
          </w:p>
        </w:tc>
        <w:tc>
          <w:tcPr>
            <w:tcW w:w="685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790CFAD">
            <w:pPr>
              <w:spacing w:line="260" w:lineRule="exact"/>
              <w:jc w:val="center"/>
              <w:rPr>
                <w:rFonts w:hint="eastAsia" w:ascii="黑体" w:hAnsi="黑体" w:eastAsia="黑体" w:cs="黑体"/>
                <w:sz w:val="18"/>
                <w:szCs w:val="18"/>
              </w:rPr>
            </w:pPr>
            <w:r>
              <w:rPr>
                <w:rFonts w:hint="eastAsia" w:ascii="黑体" w:hAnsi="黑体" w:eastAsia="黑体" w:cs="黑体"/>
                <w:sz w:val="18"/>
                <w:szCs w:val="18"/>
              </w:rPr>
              <w:t>法定依据</w:t>
            </w:r>
          </w:p>
        </w:tc>
        <w:tc>
          <w:tcPr>
            <w:tcW w:w="1469"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ED216A0">
            <w:pPr>
              <w:spacing w:line="260" w:lineRule="exact"/>
              <w:jc w:val="center"/>
              <w:rPr>
                <w:rFonts w:hint="eastAsia" w:ascii="黑体" w:hAnsi="黑体" w:eastAsia="黑体" w:cs="黑体"/>
                <w:sz w:val="18"/>
                <w:szCs w:val="18"/>
              </w:rPr>
            </w:pPr>
            <w:r>
              <w:rPr>
                <w:rFonts w:hint="eastAsia" w:ascii="黑体" w:hAnsi="黑体" w:eastAsia="黑体" w:cs="黑体"/>
                <w:sz w:val="18"/>
                <w:szCs w:val="18"/>
              </w:rPr>
              <w:t>违法情形</w:t>
            </w:r>
          </w:p>
        </w:tc>
        <w:tc>
          <w:tcPr>
            <w:tcW w:w="73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809C212">
            <w:pPr>
              <w:spacing w:line="260" w:lineRule="exact"/>
              <w:jc w:val="center"/>
              <w:rPr>
                <w:rFonts w:hint="eastAsia" w:ascii="黑体" w:hAnsi="黑体" w:eastAsia="黑体" w:cs="黑体"/>
                <w:sz w:val="18"/>
                <w:szCs w:val="18"/>
              </w:rPr>
            </w:pPr>
            <w:r>
              <w:rPr>
                <w:rFonts w:hint="eastAsia" w:ascii="黑体" w:hAnsi="黑体" w:eastAsia="黑体" w:cs="黑体"/>
                <w:sz w:val="18"/>
                <w:szCs w:val="18"/>
              </w:rPr>
              <w:t>裁量幅度</w:t>
            </w:r>
          </w:p>
        </w:tc>
        <w:tc>
          <w:tcPr>
            <w:tcW w:w="173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E0FD18B">
            <w:pPr>
              <w:spacing w:line="260" w:lineRule="exact"/>
              <w:jc w:val="center"/>
              <w:rPr>
                <w:rFonts w:hint="eastAsia" w:ascii="黑体" w:hAnsi="黑体" w:eastAsia="黑体" w:cs="黑体"/>
                <w:sz w:val="18"/>
                <w:szCs w:val="18"/>
              </w:rPr>
            </w:pPr>
            <w:r>
              <w:rPr>
                <w:rFonts w:hint="eastAsia" w:ascii="黑体" w:hAnsi="黑体" w:eastAsia="黑体" w:cs="黑体"/>
                <w:sz w:val="18"/>
                <w:szCs w:val="18"/>
              </w:rPr>
              <w:t>适用条件</w:t>
            </w:r>
          </w:p>
        </w:tc>
        <w:tc>
          <w:tcPr>
            <w:tcW w:w="159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6399197">
            <w:pPr>
              <w:spacing w:line="260" w:lineRule="exact"/>
              <w:jc w:val="center"/>
              <w:rPr>
                <w:rFonts w:hint="eastAsia" w:ascii="黑体" w:hAnsi="黑体" w:eastAsia="黑体" w:cs="黑体"/>
                <w:sz w:val="18"/>
                <w:szCs w:val="18"/>
              </w:rPr>
            </w:pPr>
            <w:r>
              <w:rPr>
                <w:rFonts w:hint="eastAsia" w:ascii="黑体" w:hAnsi="黑体" w:eastAsia="黑体" w:cs="黑体"/>
                <w:sz w:val="18"/>
                <w:szCs w:val="18"/>
              </w:rPr>
              <w:t>裁量基准</w:t>
            </w:r>
          </w:p>
        </w:tc>
        <w:tc>
          <w:tcPr>
            <w:tcW w:w="81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20178A2">
            <w:pPr>
              <w:spacing w:line="260" w:lineRule="exact"/>
              <w:jc w:val="center"/>
              <w:rPr>
                <w:rFonts w:hint="eastAsia" w:ascii="黑体" w:hAnsi="黑体" w:eastAsia="黑体" w:cs="黑体"/>
                <w:sz w:val="18"/>
                <w:szCs w:val="18"/>
                <w:lang w:val="en-US" w:eastAsia="zh-CN"/>
              </w:rPr>
            </w:pPr>
            <w:r>
              <w:rPr>
                <w:rFonts w:hint="eastAsia" w:ascii="黑体" w:hAnsi="黑体" w:eastAsia="黑体" w:cs="黑体"/>
                <w:sz w:val="18"/>
                <w:szCs w:val="18"/>
                <w:lang w:val="en-US" w:eastAsia="zh-CN"/>
              </w:rPr>
              <w:t>备注</w:t>
            </w:r>
          </w:p>
        </w:tc>
      </w:tr>
      <w:tr w14:paraId="578D2E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07" w:type="dxa"/>
            <w:vMerge w:val="restart"/>
            <w:tcBorders>
              <w:left w:val="single" w:color="auto" w:sz="4" w:space="0"/>
              <w:right w:val="single" w:color="auto" w:sz="4" w:space="0"/>
            </w:tcBorders>
            <w:noWrap w:val="0"/>
            <w:tcMar>
              <w:top w:w="0" w:type="dxa"/>
              <w:left w:w="0" w:type="dxa"/>
              <w:bottom w:w="0" w:type="dxa"/>
              <w:right w:w="0" w:type="dxa"/>
            </w:tcMar>
            <w:vAlign w:val="center"/>
          </w:tcPr>
          <w:p w14:paraId="75A9A2BC">
            <w:pPr>
              <w:widowControl/>
              <w:spacing w:line="260" w:lineRule="exact"/>
              <w:jc w:val="center"/>
              <w:textAlignment w:val="center"/>
              <w:rPr>
                <w:rFonts w:hint="eastAsia" w:ascii="宋体" w:hAnsi="宋体" w:eastAsia="宋体" w:cs="宋体"/>
                <w:sz w:val="18"/>
                <w:szCs w:val="18"/>
                <w:lang w:eastAsia="zh-CN"/>
              </w:rPr>
            </w:pPr>
            <w:r>
              <w:rPr>
                <w:rFonts w:hint="eastAsia" w:ascii="宋体" w:hAnsi="宋体" w:eastAsia="宋体" w:cs="宋体"/>
                <w:kern w:val="0"/>
                <w:sz w:val="18"/>
                <w:szCs w:val="18"/>
                <w:lang w:bidi="ar"/>
              </w:rPr>
              <w:t>4</w:t>
            </w:r>
            <w:r>
              <w:rPr>
                <w:rFonts w:hint="eastAsia" w:ascii="宋体" w:hAnsi="宋体" w:eastAsia="宋体" w:cs="宋体"/>
                <w:kern w:val="0"/>
                <w:sz w:val="18"/>
                <w:szCs w:val="18"/>
                <w:lang w:val="en-US" w:eastAsia="zh-CN" w:bidi="ar"/>
              </w:rPr>
              <w:t>1</w:t>
            </w:r>
          </w:p>
        </w:tc>
        <w:tc>
          <w:tcPr>
            <w:tcW w:w="1280" w:type="dxa"/>
            <w:vMerge w:val="restart"/>
            <w:tcBorders>
              <w:left w:val="single" w:color="auto" w:sz="4" w:space="0"/>
              <w:right w:val="single" w:color="auto" w:sz="4" w:space="0"/>
            </w:tcBorders>
            <w:noWrap w:val="0"/>
            <w:tcMar>
              <w:top w:w="0" w:type="dxa"/>
              <w:left w:w="0" w:type="dxa"/>
              <w:bottom w:w="0" w:type="dxa"/>
              <w:right w:w="0" w:type="dxa"/>
            </w:tcMar>
            <w:vAlign w:val="center"/>
          </w:tcPr>
          <w:p w14:paraId="6D8A41D1">
            <w:pPr>
              <w:widowControl/>
              <w:spacing w:line="260" w:lineRule="exact"/>
              <w:jc w:val="both"/>
              <w:textAlignment w:val="center"/>
              <w:rPr>
                <w:rFonts w:hint="eastAsia" w:ascii="宋体" w:hAnsi="宋体" w:eastAsia="宋体" w:cs="宋体"/>
                <w:kern w:val="0"/>
                <w:sz w:val="18"/>
                <w:szCs w:val="18"/>
                <w:lang w:bidi="ar"/>
              </w:rPr>
            </w:pPr>
            <w:r>
              <w:rPr>
                <w:rFonts w:hint="eastAsia" w:ascii="宋体" w:hAnsi="宋体" w:eastAsia="宋体" w:cs="宋体"/>
                <w:kern w:val="0"/>
                <w:sz w:val="18"/>
                <w:szCs w:val="18"/>
                <w:lang w:bidi="ar"/>
              </w:rPr>
              <w:t>对水库、水电站、拦河闸坝等工程的管理单位以及其他经营工程设施的经营者拒不服从统一调度和指挥行为的行政处罚</w:t>
            </w:r>
          </w:p>
        </w:tc>
        <w:tc>
          <w:tcPr>
            <w:tcW w:w="6855" w:type="dxa"/>
            <w:vMerge w:val="restart"/>
            <w:tcBorders>
              <w:top w:val="single" w:color="auto" w:sz="4" w:space="0"/>
              <w:left w:val="single" w:color="auto" w:sz="4" w:space="0"/>
              <w:right w:val="single" w:color="auto" w:sz="4" w:space="0"/>
            </w:tcBorders>
            <w:noWrap w:val="0"/>
            <w:tcMar>
              <w:top w:w="0" w:type="dxa"/>
              <w:left w:w="0" w:type="dxa"/>
              <w:bottom w:w="0" w:type="dxa"/>
              <w:right w:w="0" w:type="dxa"/>
            </w:tcMar>
            <w:vAlign w:val="center"/>
          </w:tcPr>
          <w:p w14:paraId="44CDA886">
            <w:pPr>
              <w:widowControl/>
              <w:spacing w:line="260" w:lineRule="exact"/>
              <w:textAlignment w:val="center"/>
              <w:rPr>
                <w:rFonts w:hint="eastAsia" w:ascii="宋体" w:hAnsi="宋体" w:eastAsia="宋体" w:cs="宋体"/>
                <w:kern w:val="0"/>
                <w:sz w:val="18"/>
                <w:szCs w:val="18"/>
                <w:lang w:bidi="ar"/>
              </w:rPr>
            </w:pPr>
            <w:r>
              <w:rPr>
                <w:rFonts w:hint="eastAsia" w:ascii="宋体" w:hAnsi="宋体" w:eastAsia="宋体" w:cs="宋体"/>
                <w:kern w:val="0"/>
                <w:sz w:val="18"/>
                <w:szCs w:val="18"/>
                <w:lang w:bidi="ar"/>
              </w:rPr>
              <w:t>《中华人民共和国抗旱条例》第六十条 违反本条例规定，水库、水电站、拦河闸坝等工程的管理单位以及其他经营工程设施的经营者拒不服从统一调度和指挥的，由县级以上人民政府水行政主管部门或者流域管理机构责令改正，给予警告；拒不改正的，强制执行，处1万元以上5万元以下的罚款。</w:t>
            </w:r>
          </w:p>
          <w:p w14:paraId="39A5BE81">
            <w:pPr>
              <w:widowControl/>
              <w:spacing w:line="260" w:lineRule="exact"/>
              <w:textAlignment w:val="center"/>
              <w:rPr>
                <w:rFonts w:hint="eastAsia" w:ascii="宋体" w:hAnsi="宋体" w:eastAsia="宋体" w:cs="宋体"/>
                <w:kern w:val="0"/>
                <w:sz w:val="18"/>
                <w:szCs w:val="18"/>
                <w:lang w:bidi="ar"/>
              </w:rPr>
            </w:pPr>
            <w:r>
              <w:rPr>
                <w:rFonts w:hint="eastAsia" w:ascii="宋体" w:hAnsi="宋体" w:eastAsia="宋体" w:cs="宋体"/>
                <w:kern w:val="0"/>
                <w:sz w:val="18"/>
                <w:szCs w:val="18"/>
                <w:lang w:bidi="ar"/>
              </w:rPr>
              <w:t>《河北省抗旱规定》第十九条 （第二款）抗旱应急水量调度指令发布后，水库、水电站、湖泊等的管理单位和建有自备水源的企业、集体、个人，必须服从统一调度，严格执行调度指令。</w:t>
            </w:r>
          </w:p>
          <w:p w14:paraId="501F1169">
            <w:pPr>
              <w:widowControl/>
              <w:spacing w:line="260" w:lineRule="exact"/>
              <w:textAlignment w:val="center"/>
              <w:rPr>
                <w:rFonts w:hint="eastAsia" w:ascii="宋体" w:hAnsi="宋体" w:eastAsia="宋体" w:cs="宋体"/>
                <w:kern w:val="0"/>
                <w:sz w:val="18"/>
                <w:szCs w:val="18"/>
                <w:lang w:bidi="ar"/>
              </w:rPr>
            </w:pPr>
            <w:r>
              <w:rPr>
                <w:rFonts w:hint="eastAsia" w:ascii="宋体" w:hAnsi="宋体" w:eastAsia="宋体" w:cs="宋体"/>
                <w:kern w:val="0"/>
                <w:sz w:val="18"/>
                <w:szCs w:val="18"/>
                <w:lang w:bidi="ar"/>
              </w:rPr>
              <w:t>第四十条　违反本规定第十九条第二款规定的，由县级以上人民政府水行政主管部门责令改正，给予警告；拒不改正的，强制执行，处一万元以上三万元以下罚款；情节严重的，处三万元以上五万元以下罚款。</w:t>
            </w:r>
          </w:p>
        </w:tc>
        <w:tc>
          <w:tcPr>
            <w:tcW w:w="1469" w:type="dxa"/>
            <w:vMerge w:val="restart"/>
            <w:tcBorders>
              <w:top w:val="single" w:color="auto" w:sz="4" w:space="0"/>
              <w:left w:val="single" w:color="auto" w:sz="4" w:space="0"/>
              <w:right w:val="single" w:color="auto" w:sz="4" w:space="0"/>
            </w:tcBorders>
            <w:noWrap w:val="0"/>
            <w:tcMar>
              <w:top w:w="0" w:type="dxa"/>
              <w:left w:w="0" w:type="dxa"/>
              <w:bottom w:w="0" w:type="dxa"/>
              <w:right w:w="0" w:type="dxa"/>
            </w:tcMar>
            <w:vAlign w:val="center"/>
          </w:tcPr>
          <w:p w14:paraId="7745A60B">
            <w:pPr>
              <w:spacing w:line="260" w:lineRule="exact"/>
              <w:jc w:val="left"/>
              <w:rPr>
                <w:rFonts w:hint="eastAsia" w:ascii="宋体" w:hAnsi="宋体" w:eastAsia="宋体" w:cs="宋体"/>
                <w:sz w:val="18"/>
                <w:szCs w:val="18"/>
              </w:rPr>
            </w:pPr>
            <w:r>
              <w:rPr>
                <w:rFonts w:hint="eastAsia" w:ascii="宋体" w:hAnsi="宋体" w:eastAsia="宋体" w:cs="宋体"/>
                <w:kern w:val="0"/>
                <w:sz w:val="18"/>
                <w:szCs w:val="18"/>
                <w:lang w:bidi="ar"/>
              </w:rPr>
              <w:t>水库、水电站、拦河闸坝等工程的管理单位以及其他经营工程设施的经营者拒不服从统一调度和指挥行为的</w:t>
            </w:r>
          </w:p>
        </w:tc>
        <w:tc>
          <w:tcPr>
            <w:tcW w:w="73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7F54888">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轻微</w:t>
            </w:r>
          </w:p>
        </w:tc>
        <w:tc>
          <w:tcPr>
            <w:tcW w:w="173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547ADE67">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6B5F77A2">
            <w:pPr>
              <w:spacing w:line="260" w:lineRule="exact"/>
              <w:rPr>
                <w:rStyle w:val="21"/>
                <w:rFonts w:hint="eastAsia" w:ascii="宋体" w:hAnsi="宋体" w:eastAsia="宋体" w:cs="宋体"/>
                <w:color w:val="auto"/>
                <w:sz w:val="18"/>
                <w:szCs w:val="18"/>
                <w:lang w:bidi="ar"/>
              </w:rPr>
            </w:pPr>
          </w:p>
        </w:tc>
        <w:tc>
          <w:tcPr>
            <w:tcW w:w="159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0E961BED">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735729F9">
            <w:pPr>
              <w:spacing w:line="260" w:lineRule="exact"/>
              <w:rPr>
                <w:rStyle w:val="21"/>
                <w:rFonts w:hint="eastAsia" w:ascii="宋体" w:hAnsi="宋体" w:eastAsia="宋体" w:cs="宋体"/>
                <w:color w:val="auto"/>
                <w:sz w:val="18"/>
                <w:szCs w:val="18"/>
                <w:lang w:bidi="ar"/>
              </w:rPr>
            </w:pPr>
          </w:p>
        </w:tc>
        <w:tc>
          <w:tcPr>
            <w:tcW w:w="810" w:type="dxa"/>
            <w:vMerge w:val="restart"/>
            <w:tcBorders>
              <w:top w:val="single" w:color="auto" w:sz="4" w:space="0"/>
              <w:left w:val="single" w:color="auto" w:sz="4" w:space="0"/>
              <w:right w:val="single" w:color="auto" w:sz="4" w:space="0"/>
            </w:tcBorders>
            <w:noWrap w:val="0"/>
            <w:tcMar>
              <w:top w:w="0" w:type="dxa"/>
              <w:left w:w="0" w:type="dxa"/>
              <w:bottom w:w="0" w:type="dxa"/>
              <w:right w:w="0" w:type="dxa"/>
            </w:tcMar>
            <w:vAlign w:val="center"/>
          </w:tcPr>
          <w:p w14:paraId="429D8DF3">
            <w:pPr>
              <w:spacing w:line="260" w:lineRule="exact"/>
              <w:jc w:val="center"/>
              <w:rPr>
                <w:rStyle w:val="21"/>
                <w:rFonts w:hint="eastAsia" w:ascii="宋体" w:hAnsi="宋体" w:eastAsia="宋体" w:cs="宋体"/>
                <w:color w:val="auto"/>
                <w:sz w:val="18"/>
                <w:szCs w:val="18"/>
                <w:lang w:bidi="ar"/>
              </w:rPr>
            </w:pPr>
          </w:p>
        </w:tc>
      </w:tr>
      <w:tr w14:paraId="75E472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07" w:type="dxa"/>
            <w:vMerge w:val="continue"/>
            <w:tcBorders>
              <w:left w:val="single" w:color="auto" w:sz="4" w:space="0"/>
              <w:right w:val="single" w:color="auto" w:sz="4" w:space="0"/>
            </w:tcBorders>
            <w:noWrap w:val="0"/>
            <w:tcMar>
              <w:top w:w="0" w:type="dxa"/>
              <w:left w:w="0" w:type="dxa"/>
              <w:bottom w:w="0" w:type="dxa"/>
              <w:right w:w="0" w:type="dxa"/>
            </w:tcMar>
            <w:vAlign w:val="center"/>
          </w:tcPr>
          <w:p w14:paraId="5E7A743E">
            <w:pPr>
              <w:spacing w:line="260" w:lineRule="exact"/>
              <w:jc w:val="center"/>
              <w:rPr>
                <w:rFonts w:hint="eastAsia" w:ascii="宋体" w:hAnsi="宋体" w:eastAsia="宋体" w:cs="宋体"/>
                <w:sz w:val="18"/>
                <w:szCs w:val="18"/>
              </w:rPr>
            </w:pPr>
          </w:p>
        </w:tc>
        <w:tc>
          <w:tcPr>
            <w:tcW w:w="1280" w:type="dxa"/>
            <w:vMerge w:val="continue"/>
            <w:tcBorders>
              <w:left w:val="single" w:color="auto" w:sz="4" w:space="0"/>
              <w:right w:val="single" w:color="auto" w:sz="4" w:space="0"/>
            </w:tcBorders>
            <w:noWrap w:val="0"/>
            <w:tcMar>
              <w:top w:w="0" w:type="dxa"/>
              <w:left w:w="0" w:type="dxa"/>
              <w:bottom w:w="0" w:type="dxa"/>
              <w:right w:w="0" w:type="dxa"/>
            </w:tcMar>
            <w:vAlign w:val="center"/>
          </w:tcPr>
          <w:p w14:paraId="4F5AAE30">
            <w:pPr>
              <w:widowControl/>
              <w:spacing w:line="260" w:lineRule="exact"/>
              <w:textAlignment w:val="center"/>
              <w:rPr>
                <w:rFonts w:hint="eastAsia" w:ascii="宋体" w:hAnsi="宋体" w:eastAsia="宋体" w:cs="宋体"/>
                <w:kern w:val="0"/>
                <w:sz w:val="18"/>
                <w:szCs w:val="18"/>
                <w:lang w:bidi="ar"/>
              </w:rPr>
            </w:pPr>
          </w:p>
        </w:tc>
        <w:tc>
          <w:tcPr>
            <w:tcW w:w="6855" w:type="dxa"/>
            <w:vMerge w:val="continue"/>
            <w:tcBorders>
              <w:left w:val="single" w:color="auto" w:sz="4" w:space="0"/>
              <w:right w:val="single" w:color="auto" w:sz="4" w:space="0"/>
            </w:tcBorders>
            <w:noWrap w:val="0"/>
            <w:tcMar>
              <w:top w:w="0" w:type="dxa"/>
              <w:left w:w="0" w:type="dxa"/>
              <w:bottom w:w="0" w:type="dxa"/>
              <w:right w:w="0" w:type="dxa"/>
            </w:tcMar>
            <w:vAlign w:val="center"/>
          </w:tcPr>
          <w:p w14:paraId="082E0FF2">
            <w:pPr>
              <w:widowControl/>
              <w:spacing w:line="260" w:lineRule="exact"/>
              <w:ind w:firstLine="360" w:firstLineChars="200"/>
              <w:textAlignment w:val="center"/>
              <w:rPr>
                <w:rFonts w:hint="eastAsia" w:ascii="宋体" w:hAnsi="宋体" w:eastAsia="宋体" w:cs="宋体"/>
                <w:kern w:val="0"/>
                <w:sz w:val="18"/>
                <w:szCs w:val="18"/>
                <w:lang w:bidi="ar"/>
              </w:rPr>
            </w:pPr>
          </w:p>
        </w:tc>
        <w:tc>
          <w:tcPr>
            <w:tcW w:w="1469" w:type="dxa"/>
            <w:vMerge w:val="continue"/>
            <w:tcBorders>
              <w:left w:val="single" w:color="auto" w:sz="4" w:space="0"/>
              <w:right w:val="single" w:color="auto" w:sz="4" w:space="0"/>
            </w:tcBorders>
            <w:noWrap w:val="0"/>
            <w:tcMar>
              <w:top w:w="0" w:type="dxa"/>
              <w:left w:w="0" w:type="dxa"/>
              <w:bottom w:w="0" w:type="dxa"/>
              <w:right w:w="0" w:type="dxa"/>
            </w:tcMar>
            <w:vAlign w:val="center"/>
          </w:tcPr>
          <w:p w14:paraId="232F132C">
            <w:pPr>
              <w:spacing w:line="260" w:lineRule="exact"/>
              <w:jc w:val="center"/>
              <w:rPr>
                <w:rFonts w:hint="eastAsia" w:ascii="宋体" w:hAnsi="宋体" w:eastAsia="宋体" w:cs="宋体"/>
                <w:sz w:val="18"/>
                <w:szCs w:val="18"/>
              </w:rPr>
            </w:pPr>
          </w:p>
        </w:tc>
        <w:tc>
          <w:tcPr>
            <w:tcW w:w="73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A68268D">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较轻</w:t>
            </w:r>
          </w:p>
        </w:tc>
        <w:tc>
          <w:tcPr>
            <w:tcW w:w="173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55057D75">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3F173E24">
            <w:pPr>
              <w:spacing w:line="260" w:lineRule="exact"/>
              <w:rPr>
                <w:rStyle w:val="21"/>
                <w:rFonts w:hint="eastAsia" w:ascii="宋体" w:hAnsi="宋体" w:eastAsia="宋体" w:cs="宋体"/>
                <w:color w:val="auto"/>
                <w:sz w:val="18"/>
                <w:szCs w:val="18"/>
                <w:lang w:bidi="ar"/>
              </w:rPr>
            </w:pPr>
          </w:p>
        </w:tc>
        <w:tc>
          <w:tcPr>
            <w:tcW w:w="159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42BFBC04">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27B173EA">
            <w:pPr>
              <w:spacing w:line="260" w:lineRule="exact"/>
              <w:rPr>
                <w:rStyle w:val="21"/>
                <w:rFonts w:hint="eastAsia" w:ascii="宋体" w:hAnsi="宋体" w:eastAsia="宋体" w:cs="宋体"/>
                <w:color w:val="auto"/>
                <w:sz w:val="18"/>
                <w:szCs w:val="18"/>
                <w:lang w:bidi="ar"/>
              </w:rPr>
            </w:pPr>
          </w:p>
        </w:tc>
        <w:tc>
          <w:tcPr>
            <w:tcW w:w="810" w:type="dxa"/>
            <w:vMerge w:val="continue"/>
            <w:tcBorders>
              <w:left w:val="single" w:color="auto" w:sz="4" w:space="0"/>
              <w:right w:val="single" w:color="auto" w:sz="4" w:space="0"/>
            </w:tcBorders>
            <w:noWrap w:val="0"/>
            <w:tcMar>
              <w:top w:w="0" w:type="dxa"/>
              <w:left w:w="0" w:type="dxa"/>
              <w:bottom w:w="0" w:type="dxa"/>
              <w:right w:w="0" w:type="dxa"/>
            </w:tcMar>
            <w:vAlign w:val="center"/>
          </w:tcPr>
          <w:p w14:paraId="56D88FC1">
            <w:pPr>
              <w:spacing w:line="260" w:lineRule="exact"/>
              <w:jc w:val="center"/>
              <w:rPr>
                <w:rStyle w:val="21"/>
                <w:rFonts w:hint="eastAsia" w:ascii="宋体" w:hAnsi="宋体" w:eastAsia="宋体" w:cs="宋体"/>
                <w:color w:val="auto"/>
                <w:sz w:val="18"/>
                <w:szCs w:val="18"/>
                <w:lang w:bidi="ar"/>
              </w:rPr>
            </w:pPr>
          </w:p>
        </w:tc>
      </w:tr>
      <w:tr w14:paraId="3EA072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07" w:type="dxa"/>
            <w:vMerge w:val="continue"/>
            <w:tcBorders>
              <w:left w:val="single" w:color="auto" w:sz="4" w:space="0"/>
              <w:right w:val="single" w:color="auto" w:sz="4" w:space="0"/>
            </w:tcBorders>
            <w:noWrap w:val="0"/>
            <w:tcMar>
              <w:top w:w="0" w:type="dxa"/>
              <w:left w:w="0" w:type="dxa"/>
              <w:bottom w:w="0" w:type="dxa"/>
              <w:right w:w="0" w:type="dxa"/>
            </w:tcMar>
            <w:vAlign w:val="center"/>
          </w:tcPr>
          <w:p w14:paraId="20DBBAB5">
            <w:pPr>
              <w:spacing w:line="260" w:lineRule="exact"/>
              <w:jc w:val="center"/>
              <w:rPr>
                <w:rFonts w:hint="eastAsia" w:ascii="宋体" w:hAnsi="宋体" w:eastAsia="宋体" w:cs="宋体"/>
                <w:sz w:val="18"/>
                <w:szCs w:val="18"/>
              </w:rPr>
            </w:pPr>
          </w:p>
        </w:tc>
        <w:tc>
          <w:tcPr>
            <w:tcW w:w="1280" w:type="dxa"/>
            <w:vMerge w:val="continue"/>
            <w:tcBorders>
              <w:left w:val="single" w:color="auto" w:sz="4" w:space="0"/>
              <w:right w:val="single" w:color="auto" w:sz="4" w:space="0"/>
            </w:tcBorders>
            <w:noWrap w:val="0"/>
            <w:tcMar>
              <w:top w:w="0" w:type="dxa"/>
              <w:left w:w="0" w:type="dxa"/>
              <w:bottom w:w="0" w:type="dxa"/>
              <w:right w:w="0" w:type="dxa"/>
            </w:tcMar>
            <w:vAlign w:val="center"/>
          </w:tcPr>
          <w:p w14:paraId="2D291C07">
            <w:pPr>
              <w:widowControl/>
              <w:spacing w:line="260" w:lineRule="exact"/>
              <w:textAlignment w:val="center"/>
              <w:rPr>
                <w:rFonts w:hint="eastAsia" w:ascii="宋体" w:hAnsi="宋体" w:eastAsia="宋体" w:cs="宋体"/>
                <w:kern w:val="0"/>
                <w:sz w:val="18"/>
                <w:szCs w:val="18"/>
                <w:lang w:bidi="ar"/>
              </w:rPr>
            </w:pPr>
          </w:p>
        </w:tc>
        <w:tc>
          <w:tcPr>
            <w:tcW w:w="6855" w:type="dxa"/>
            <w:vMerge w:val="continue"/>
            <w:tcBorders>
              <w:left w:val="single" w:color="auto" w:sz="4" w:space="0"/>
              <w:right w:val="single" w:color="auto" w:sz="4" w:space="0"/>
            </w:tcBorders>
            <w:noWrap w:val="0"/>
            <w:tcMar>
              <w:top w:w="0" w:type="dxa"/>
              <w:left w:w="0" w:type="dxa"/>
              <w:bottom w:w="0" w:type="dxa"/>
              <w:right w:w="0" w:type="dxa"/>
            </w:tcMar>
            <w:vAlign w:val="center"/>
          </w:tcPr>
          <w:p w14:paraId="39E7F0A5">
            <w:pPr>
              <w:widowControl/>
              <w:spacing w:line="260" w:lineRule="exact"/>
              <w:ind w:firstLine="360" w:firstLineChars="200"/>
              <w:textAlignment w:val="center"/>
              <w:rPr>
                <w:rFonts w:hint="eastAsia" w:ascii="宋体" w:hAnsi="宋体" w:eastAsia="宋体" w:cs="宋体"/>
                <w:kern w:val="0"/>
                <w:sz w:val="18"/>
                <w:szCs w:val="18"/>
                <w:lang w:bidi="ar"/>
              </w:rPr>
            </w:pPr>
          </w:p>
        </w:tc>
        <w:tc>
          <w:tcPr>
            <w:tcW w:w="1469" w:type="dxa"/>
            <w:vMerge w:val="continue"/>
            <w:tcBorders>
              <w:left w:val="single" w:color="auto" w:sz="4" w:space="0"/>
              <w:right w:val="single" w:color="auto" w:sz="4" w:space="0"/>
            </w:tcBorders>
            <w:noWrap w:val="0"/>
            <w:tcMar>
              <w:top w:w="0" w:type="dxa"/>
              <w:left w:w="0" w:type="dxa"/>
              <w:bottom w:w="0" w:type="dxa"/>
              <w:right w:w="0" w:type="dxa"/>
            </w:tcMar>
            <w:vAlign w:val="center"/>
          </w:tcPr>
          <w:p w14:paraId="4B523B0F">
            <w:pPr>
              <w:spacing w:line="260" w:lineRule="exact"/>
              <w:jc w:val="center"/>
              <w:rPr>
                <w:rFonts w:hint="eastAsia" w:ascii="宋体" w:hAnsi="宋体" w:eastAsia="宋体" w:cs="宋体"/>
                <w:sz w:val="18"/>
                <w:szCs w:val="18"/>
              </w:rPr>
            </w:pPr>
          </w:p>
        </w:tc>
        <w:tc>
          <w:tcPr>
            <w:tcW w:w="73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4781A8C">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一般</w:t>
            </w:r>
          </w:p>
        </w:tc>
        <w:tc>
          <w:tcPr>
            <w:tcW w:w="173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17CFC96">
            <w:pPr>
              <w:spacing w:line="260" w:lineRule="exact"/>
              <w:rPr>
                <w:rFonts w:hint="eastAsia" w:ascii="宋体" w:hAnsi="宋体" w:eastAsia="宋体" w:cs="宋体"/>
                <w:sz w:val="18"/>
                <w:szCs w:val="18"/>
                <w:lang w:bidi="ar"/>
              </w:rPr>
            </w:pPr>
            <w:r>
              <w:rPr>
                <w:rStyle w:val="21"/>
                <w:rFonts w:hint="eastAsia" w:ascii="宋体" w:hAnsi="宋体" w:eastAsia="宋体" w:cs="宋体"/>
                <w:color w:val="auto"/>
                <w:sz w:val="18"/>
                <w:szCs w:val="18"/>
                <w:lang w:bidi="ar"/>
              </w:rPr>
              <w:t>立即改正的</w:t>
            </w:r>
          </w:p>
        </w:tc>
        <w:tc>
          <w:tcPr>
            <w:tcW w:w="159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0769F8D">
            <w:pPr>
              <w:spacing w:line="260" w:lineRule="exact"/>
              <w:rPr>
                <w:rFonts w:hint="eastAsia" w:ascii="宋体" w:hAnsi="宋体" w:eastAsia="宋体" w:cs="宋体"/>
                <w:sz w:val="18"/>
                <w:szCs w:val="18"/>
                <w:lang w:bidi="ar"/>
              </w:rPr>
            </w:pPr>
            <w:r>
              <w:rPr>
                <w:rStyle w:val="21"/>
                <w:rFonts w:hint="eastAsia" w:ascii="宋体" w:hAnsi="宋体" w:eastAsia="宋体" w:cs="宋体"/>
                <w:color w:val="auto"/>
                <w:sz w:val="18"/>
                <w:szCs w:val="18"/>
                <w:lang w:bidi="ar"/>
              </w:rPr>
              <w:t>警告</w:t>
            </w:r>
          </w:p>
        </w:tc>
        <w:tc>
          <w:tcPr>
            <w:tcW w:w="810" w:type="dxa"/>
            <w:vMerge w:val="continue"/>
            <w:tcBorders>
              <w:left w:val="single" w:color="auto" w:sz="4" w:space="0"/>
              <w:right w:val="single" w:color="auto" w:sz="4" w:space="0"/>
            </w:tcBorders>
            <w:noWrap w:val="0"/>
            <w:tcMar>
              <w:top w:w="0" w:type="dxa"/>
              <w:left w:w="0" w:type="dxa"/>
              <w:bottom w:w="0" w:type="dxa"/>
              <w:right w:w="0" w:type="dxa"/>
            </w:tcMar>
            <w:vAlign w:val="center"/>
          </w:tcPr>
          <w:p w14:paraId="2A0EB2C0">
            <w:pPr>
              <w:spacing w:line="260" w:lineRule="exact"/>
              <w:jc w:val="center"/>
              <w:rPr>
                <w:rStyle w:val="21"/>
                <w:rFonts w:hint="eastAsia" w:ascii="宋体" w:hAnsi="宋体" w:eastAsia="宋体" w:cs="宋体"/>
                <w:color w:val="auto"/>
                <w:sz w:val="18"/>
                <w:szCs w:val="18"/>
                <w:lang w:bidi="ar"/>
              </w:rPr>
            </w:pPr>
          </w:p>
        </w:tc>
      </w:tr>
      <w:tr w14:paraId="0B24D1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8" w:hRule="atLeast"/>
          <w:jc w:val="center"/>
        </w:trPr>
        <w:tc>
          <w:tcPr>
            <w:tcW w:w="507" w:type="dxa"/>
            <w:vMerge w:val="continue"/>
            <w:tcBorders>
              <w:left w:val="single" w:color="auto" w:sz="4" w:space="0"/>
              <w:right w:val="single" w:color="auto" w:sz="4" w:space="0"/>
            </w:tcBorders>
            <w:noWrap w:val="0"/>
            <w:tcMar>
              <w:top w:w="0" w:type="dxa"/>
              <w:left w:w="0" w:type="dxa"/>
              <w:bottom w:w="0" w:type="dxa"/>
              <w:right w:w="0" w:type="dxa"/>
            </w:tcMar>
            <w:vAlign w:val="center"/>
          </w:tcPr>
          <w:p w14:paraId="19A613EE">
            <w:pPr>
              <w:spacing w:line="260" w:lineRule="exact"/>
              <w:jc w:val="center"/>
              <w:rPr>
                <w:rFonts w:hint="eastAsia" w:ascii="宋体" w:hAnsi="宋体" w:eastAsia="宋体" w:cs="宋体"/>
                <w:sz w:val="18"/>
                <w:szCs w:val="18"/>
              </w:rPr>
            </w:pPr>
          </w:p>
        </w:tc>
        <w:tc>
          <w:tcPr>
            <w:tcW w:w="1280" w:type="dxa"/>
            <w:vMerge w:val="continue"/>
            <w:tcBorders>
              <w:left w:val="single" w:color="auto" w:sz="4" w:space="0"/>
              <w:right w:val="single" w:color="auto" w:sz="4" w:space="0"/>
            </w:tcBorders>
            <w:noWrap w:val="0"/>
            <w:tcMar>
              <w:top w:w="0" w:type="dxa"/>
              <w:left w:w="0" w:type="dxa"/>
              <w:bottom w:w="0" w:type="dxa"/>
              <w:right w:w="0" w:type="dxa"/>
            </w:tcMar>
            <w:vAlign w:val="center"/>
          </w:tcPr>
          <w:p w14:paraId="2CA32173">
            <w:pPr>
              <w:widowControl/>
              <w:spacing w:line="260" w:lineRule="exact"/>
              <w:textAlignment w:val="center"/>
              <w:rPr>
                <w:rFonts w:hint="eastAsia" w:ascii="宋体" w:hAnsi="宋体" w:eastAsia="宋体" w:cs="宋体"/>
                <w:kern w:val="0"/>
                <w:sz w:val="18"/>
                <w:szCs w:val="18"/>
                <w:lang w:bidi="ar"/>
              </w:rPr>
            </w:pPr>
          </w:p>
        </w:tc>
        <w:tc>
          <w:tcPr>
            <w:tcW w:w="6855" w:type="dxa"/>
            <w:vMerge w:val="continue"/>
            <w:tcBorders>
              <w:left w:val="single" w:color="auto" w:sz="4" w:space="0"/>
              <w:right w:val="single" w:color="auto" w:sz="4" w:space="0"/>
            </w:tcBorders>
            <w:noWrap w:val="0"/>
            <w:tcMar>
              <w:top w:w="0" w:type="dxa"/>
              <w:left w:w="0" w:type="dxa"/>
              <w:bottom w:w="0" w:type="dxa"/>
              <w:right w:w="0" w:type="dxa"/>
            </w:tcMar>
            <w:vAlign w:val="center"/>
          </w:tcPr>
          <w:p w14:paraId="0305D592">
            <w:pPr>
              <w:widowControl/>
              <w:spacing w:line="260" w:lineRule="exact"/>
              <w:ind w:firstLine="360" w:firstLineChars="200"/>
              <w:textAlignment w:val="center"/>
              <w:rPr>
                <w:rFonts w:hint="eastAsia" w:ascii="宋体" w:hAnsi="宋体" w:eastAsia="宋体" w:cs="宋体"/>
                <w:kern w:val="0"/>
                <w:sz w:val="18"/>
                <w:szCs w:val="18"/>
                <w:lang w:bidi="ar"/>
              </w:rPr>
            </w:pPr>
          </w:p>
        </w:tc>
        <w:tc>
          <w:tcPr>
            <w:tcW w:w="1469" w:type="dxa"/>
            <w:vMerge w:val="continue"/>
            <w:tcBorders>
              <w:left w:val="single" w:color="auto" w:sz="4" w:space="0"/>
              <w:right w:val="single" w:color="auto" w:sz="4" w:space="0"/>
            </w:tcBorders>
            <w:noWrap w:val="0"/>
            <w:tcMar>
              <w:top w:w="0" w:type="dxa"/>
              <w:left w:w="0" w:type="dxa"/>
              <w:bottom w:w="0" w:type="dxa"/>
              <w:right w:w="0" w:type="dxa"/>
            </w:tcMar>
            <w:vAlign w:val="center"/>
          </w:tcPr>
          <w:p w14:paraId="3BE00ECD">
            <w:pPr>
              <w:spacing w:line="260" w:lineRule="exact"/>
              <w:jc w:val="center"/>
              <w:rPr>
                <w:rFonts w:hint="eastAsia" w:ascii="宋体" w:hAnsi="宋体" w:eastAsia="宋体" w:cs="宋体"/>
                <w:sz w:val="18"/>
                <w:szCs w:val="18"/>
              </w:rPr>
            </w:pPr>
          </w:p>
        </w:tc>
        <w:tc>
          <w:tcPr>
            <w:tcW w:w="73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AF046EF">
            <w:pPr>
              <w:spacing w:line="260" w:lineRule="exact"/>
              <w:jc w:val="center"/>
              <w:rPr>
                <w:rFonts w:hint="eastAsia" w:ascii="宋体" w:hAnsi="宋体" w:eastAsia="宋体" w:cs="宋体"/>
                <w:sz w:val="18"/>
                <w:szCs w:val="18"/>
                <w:lang w:eastAsia="zh-CN"/>
              </w:rPr>
            </w:pPr>
            <w:r>
              <w:rPr>
                <w:rFonts w:hint="eastAsia" w:ascii="宋体" w:hAnsi="宋体" w:eastAsia="宋体" w:cs="宋体"/>
                <w:sz w:val="18"/>
                <w:szCs w:val="18"/>
                <w:lang w:eastAsia="zh-CN"/>
              </w:rPr>
              <w:t>较重</w:t>
            </w:r>
          </w:p>
        </w:tc>
        <w:tc>
          <w:tcPr>
            <w:tcW w:w="173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E8A882C">
            <w:pPr>
              <w:spacing w:line="260" w:lineRule="exact"/>
              <w:rPr>
                <w:rFonts w:hint="eastAsia" w:ascii="宋体" w:hAnsi="宋体" w:eastAsia="宋体" w:cs="宋体"/>
                <w:sz w:val="18"/>
                <w:szCs w:val="18"/>
                <w:lang w:bidi="ar"/>
              </w:rPr>
            </w:pPr>
            <w:r>
              <w:rPr>
                <w:rStyle w:val="21"/>
                <w:rFonts w:hint="eastAsia" w:ascii="宋体" w:hAnsi="宋体" w:eastAsia="宋体" w:cs="宋体"/>
                <w:color w:val="auto"/>
                <w:sz w:val="18"/>
                <w:szCs w:val="18"/>
                <w:lang w:bidi="ar"/>
              </w:rPr>
              <w:t>拒不改正的</w:t>
            </w:r>
          </w:p>
        </w:tc>
        <w:tc>
          <w:tcPr>
            <w:tcW w:w="159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A164047">
            <w:pPr>
              <w:spacing w:line="260" w:lineRule="exact"/>
              <w:rPr>
                <w:rFonts w:hint="eastAsia" w:ascii="宋体" w:hAnsi="宋体" w:eastAsia="宋体" w:cs="宋体"/>
                <w:sz w:val="18"/>
                <w:szCs w:val="18"/>
                <w:lang w:bidi="ar"/>
              </w:rPr>
            </w:pPr>
            <w:r>
              <w:rPr>
                <w:rStyle w:val="21"/>
                <w:rFonts w:hint="eastAsia" w:ascii="宋体" w:hAnsi="宋体" w:eastAsia="宋体" w:cs="宋体"/>
                <w:color w:val="auto"/>
                <w:sz w:val="18"/>
                <w:szCs w:val="18"/>
                <w:lang w:bidi="ar"/>
              </w:rPr>
              <w:t>强制执行，处</w:t>
            </w:r>
            <w:r>
              <w:rPr>
                <w:rStyle w:val="21"/>
                <w:rFonts w:hint="eastAsia" w:ascii="宋体" w:hAnsi="宋体" w:eastAsia="宋体" w:cs="宋体"/>
                <w:color w:val="auto"/>
                <w:sz w:val="18"/>
                <w:szCs w:val="18"/>
                <w:lang w:val="en-US" w:eastAsia="zh-CN" w:bidi="ar"/>
              </w:rPr>
              <w:t>1</w:t>
            </w:r>
            <w:r>
              <w:rPr>
                <w:rStyle w:val="21"/>
                <w:rFonts w:hint="eastAsia" w:ascii="宋体" w:hAnsi="宋体" w:eastAsia="宋体" w:cs="宋体"/>
                <w:color w:val="auto"/>
                <w:sz w:val="18"/>
                <w:szCs w:val="18"/>
                <w:lang w:bidi="ar"/>
              </w:rPr>
              <w:t>万元以上</w:t>
            </w:r>
            <w:r>
              <w:rPr>
                <w:rStyle w:val="21"/>
                <w:rFonts w:hint="eastAsia" w:ascii="宋体" w:hAnsi="宋体" w:eastAsia="宋体" w:cs="宋体"/>
                <w:color w:val="auto"/>
                <w:sz w:val="18"/>
                <w:szCs w:val="18"/>
                <w:lang w:val="en-US" w:eastAsia="zh-CN" w:bidi="ar"/>
              </w:rPr>
              <w:t>3</w:t>
            </w:r>
            <w:r>
              <w:rPr>
                <w:rStyle w:val="21"/>
                <w:rFonts w:hint="eastAsia" w:ascii="宋体" w:hAnsi="宋体" w:eastAsia="宋体" w:cs="宋体"/>
                <w:color w:val="auto"/>
                <w:sz w:val="18"/>
                <w:szCs w:val="18"/>
                <w:lang w:bidi="ar"/>
              </w:rPr>
              <w:t>万元以下的罚款</w:t>
            </w:r>
          </w:p>
        </w:tc>
        <w:tc>
          <w:tcPr>
            <w:tcW w:w="810" w:type="dxa"/>
            <w:vMerge w:val="continue"/>
            <w:tcBorders>
              <w:left w:val="single" w:color="auto" w:sz="4" w:space="0"/>
              <w:right w:val="single" w:color="auto" w:sz="4" w:space="0"/>
            </w:tcBorders>
            <w:noWrap w:val="0"/>
            <w:tcMar>
              <w:top w:w="0" w:type="dxa"/>
              <w:left w:w="0" w:type="dxa"/>
              <w:bottom w:w="0" w:type="dxa"/>
              <w:right w:w="0" w:type="dxa"/>
            </w:tcMar>
            <w:vAlign w:val="center"/>
          </w:tcPr>
          <w:p w14:paraId="0FE7BA48">
            <w:pPr>
              <w:spacing w:line="260" w:lineRule="exact"/>
              <w:jc w:val="center"/>
              <w:rPr>
                <w:rStyle w:val="21"/>
                <w:rFonts w:hint="eastAsia" w:ascii="宋体" w:hAnsi="宋体" w:eastAsia="宋体" w:cs="宋体"/>
                <w:color w:val="auto"/>
                <w:sz w:val="18"/>
                <w:szCs w:val="18"/>
                <w:lang w:bidi="ar"/>
              </w:rPr>
            </w:pPr>
          </w:p>
        </w:tc>
      </w:tr>
      <w:tr w14:paraId="2381F5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7" w:hRule="atLeast"/>
          <w:jc w:val="center"/>
        </w:trPr>
        <w:tc>
          <w:tcPr>
            <w:tcW w:w="507" w:type="dxa"/>
            <w:vMerge w:val="continue"/>
            <w:tcBorders>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38BB78D">
            <w:pPr>
              <w:spacing w:line="260" w:lineRule="exact"/>
              <w:jc w:val="center"/>
              <w:rPr>
                <w:rFonts w:hint="eastAsia" w:ascii="宋体" w:hAnsi="宋体" w:eastAsia="宋体" w:cs="宋体"/>
                <w:sz w:val="18"/>
                <w:szCs w:val="18"/>
              </w:rPr>
            </w:pPr>
          </w:p>
        </w:tc>
        <w:tc>
          <w:tcPr>
            <w:tcW w:w="1280" w:type="dxa"/>
            <w:vMerge w:val="continue"/>
            <w:tcBorders>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54B8CAF">
            <w:pPr>
              <w:widowControl/>
              <w:spacing w:line="260" w:lineRule="exact"/>
              <w:textAlignment w:val="center"/>
              <w:rPr>
                <w:rFonts w:hint="eastAsia" w:ascii="宋体" w:hAnsi="宋体" w:eastAsia="宋体" w:cs="宋体"/>
                <w:kern w:val="0"/>
                <w:sz w:val="18"/>
                <w:szCs w:val="18"/>
                <w:lang w:bidi="ar"/>
              </w:rPr>
            </w:pPr>
          </w:p>
        </w:tc>
        <w:tc>
          <w:tcPr>
            <w:tcW w:w="6855" w:type="dxa"/>
            <w:vMerge w:val="continue"/>
            <w:tcBorders>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252DD5F">
            <w:pPr>
              <w:widowControl/>
              <w:spacing w:line="260" w:lineRule="exact"/>
              <w:ind w:firstLine="360" w:firstLineChars="200"/>
              <w:textAlignment w:val="center"/>
              <w:rPr>
                <w:rFonts w:hint="eastAsia" w:ascii="宋体" w:hAnsi="宋体" w:eastAsia="宋体" w:cs="宋体"/>
                <w:kern w:val="0"/>
                <w:sz w:val="18"/>
                <w:szCs w:val="18"/>
                <w:lang w:bidi="ar"/>
              </w:rPr>
            </w:pPr>
          </w:p>
        </w:tc>
        <w:tc>
          <w:tcPr>
            <w:tcW w:w="1469" w:type="dxa"/>
            <w:vMerge w:val="continue"/>
            <w:tcBorders>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8D5E141">
            <w:pPr>
              <w:spacing w:line="260" w:lineRule="exact"/>
              <w:jc w:val="center"/>
              <w:rPr>
                <w:rFonts w:hint="eastAsia" w:ascii="宋体" w:hAnsi="宋体" w:eastAsia="宋体" w:cs="宋体"/>
                <w:sz w:val="18"/>
                <w:szCs w:val="18"/>
              </w:rPr>
            </w:pPr>
          </w:p>
        </w:tc>
        <w:tc>
          <w:tcPr>
            <w:tcW w:w="73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489A71B">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严重</w:t>
            </w:r>
          </w:p>
        </w:tc>
        <w:tc>
          <w:tcPr>
            <w:tcW w:w="173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EC50D79">
            <w:pPr>
              <w:spacing w:line="260" w:lineRule="exact"/>
              <w:rPr>
                <w:rFonts w:hint="eastAsia" w:ascii="宋体" w:hAnsi="宋体" w:eastAsia="宋体" w:cs="宋体"/>
                <w:sz w:val="18"/>
                <w:szCs w:val="18"/>
                <w:lang w:bidi="ar"/>
              </w:rPr>
            </w:pPr>
            <w:r>
              <w:rPr>
                <w:rStyle w:val="21"/>
                <w:rFonts w:hint="eastAsia" w:ascii="宋体" w:hAnsi="宋体" w:eastAsia="宋体" w:cs="宋体"/>
                <w:color w:val="auto"/>
                <w:sz w:val="18"/>
                <w:szCs w:val="18"/>
                <w:lang w:bidi="ar"/>
              </w:rPr>
              <w:t>在紧急抗旱期，拒不服从统一调度和指挥并拒不改正的</w:t>
            </w:r>
          </w:p>
        </w:tc>
        <w:tc>
          <w:tcPr>
            <w:tcW w:w="159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4545374">
            <w:pPr>
              <w:spacing w:line="260" w:lineRule="exact"/>
              <w:rPr>
                <w:rFonts w:hint="eastAsia" w:ascii="宋体" w:hAnsi="宋体" w:eastAsia="宋体" w:cs="宋体"/>
                <w:sz w:val="18"/>
                <w:szCs w:val="18"/>
                <w:lang w:bidi="ar"/>
              </w:rPr>
            </w:pPr>
            <w:r>
              <w:rPr>
                <w:rStyle w:val="21"/>
                <w:rFonts w:hint="eastAsia" w:ascii="宋体" w:hAnsi="宋体" w:eastAsia="宋体" w:cs="宋体"/>
                <w:color w:val="auto"/>
                <w:sz w:val="18"/>
                <w:szCs w:val="18"/>
                <w:lang w:bidi="ar"/>
              </w:rPr>
              <w:t>强制执行，处</w:t>
            </w:r>
            <w:r>
              <w:rPr>
                <w:rStyle w:val="21"/>
                <w:rFonts w:hint="eastAsia" w:ascii="宋体" w:hAnsi="宋体" w:eastAsia="宋体" w:cs="宋体"/>
                <w:color w:val="auto"/>
                <w:sz w:val="18"/>
                <w:szCs w:val="18"/>
                <w:lang w:val="en-US" w:eastAsia="zh-CN" w:bidi="ar"/>
              </w:rPr>
              <w:t>3</w:t>
            </w:r>
            <w:r>
              <w:rPr>
                <w:rStyle w:val="21"/>
                <w:rFonts w:hint="eastAsia" w:ascii="宋体" w:hAnsi="宋体" w:eastAsia="宋体" w:cs="宋体"/>
                <w:color w:val="auto"/>
                <w:sz w:val="18"/>
                <w:szCs w:val="18"/>
                <w:lang w:bidi="ar"/>
              </w:rPr>
              <w:t>万元以上</w:t>
            </w:r>
            <w:r>
              <w:rPr>
                <w:rStyle w:val="21"/>
                <w:rFonts w:hint="eastAsia" w:ascii="宋体" w:hAnsi="宋体" w:eastAsia="宋体" w:cs="宋体"/>
                <w:color w:val="auto"/>
                <w:sz w:val="18"/>
                <w:szCs w:val="18"/>
                <w:lang w:val="en-US" w:eastAsia="zh-CN" w:bidi="ar"/>
              </w:rPr>
              <w:t>5</w:t>
            </w:r>
            <w:r>
              <w:rPr>
                <w:rStyle w:val="21"/>
                <w:rFonts w:hint="eastAsia" w:ascii="宋体" w:hAnsi="宋体" w:eastAsia="宋体" w:cs="宋体"/>
                <w:color w:val="auto"/>
                <w:sz w:val="18"/>
                <w:szCs w:val="18"/>
                <w:lang w:bidi="ar"/>
              </w:rPr>
              <w:t>万元以下的罚款</w:t>
            </w:r>
          </w:p>
        </w:tc>
        <w:tc>
          <w:tcPr>
            <w:tcW w:w="810" w:type="dxa"/>
            <w:vMerge w:val="continue"/>
            <w:tcBorders>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E7508E2">
            <w:pPr>
              <w:spacing w:line="260" w:lineRule="exact"/>
              <w:jc w:val="center"/>
              <w:rPr>
                <w:rStyle w:val="21"/>
                <w:rFonts w:hint="eastAsia" w:ascii="宋体" w:hAnsi="宋体" w:eastAsia="宋体" w:cs="宋体"/>
                <w:color w:val="auto"/>
                <w:sz w:val="18"/>
                <w:szCs w:val="18"/>
                <w:lang w:bidi="ar"/>
              </w:rPr>
            </w:pPr>
          </w:p>
        </w:tc>
      </w:tr>
      <w:tr w14:paraId="62B6A5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07" w:type="dxa"/>
            <w:vMerge w:val="restart"/>
            <w:tcBorders>
              <w:left w:val="single" w:color="auto" w:sz="4" w:space="0"/>
              <w:right w:val="single" w:color="auto" w:sz="4" w:space="0"/>
            </w:tcBorders>
            <w:noWrap w:val="0"/>
            <w:tcMar>
              <w:top w:w="0" w:type="dxa"/>
              <w:left w:w="0" w:type="dxa"/>
              <w:bottom w:w="0" w:type="dxa"/>
              <w:right w:w="0" w:type="dxa"/>
            </w:tcMar>
            <w:vAlign w:val="center"/>
          </w:tcPr>
          <w:p w14:paraId="741489F3">
            <w:pPr>
              <w:widowControl/>
              <w:spacing w:line="260" w:lineRule="exact"/>
              <w:jc w:val="center"/>
              <w:textAlignment w:val="center"/>
              <w:rPr>
                <w:rFonts w:hint="eastAsia" w:ascii="宋体" w:hAnsi="宋体" w:eastAsia="宋体" w:cs="宋体"/>
                <w:sz w:val="18"/>
                <w:szCs w:val="18"/>
                <w:lang w:eastAsia="zh-CN"/>
              </w:rPr>
            </w:pPr>
            <w:r>
              <w:rPr>
                <w:rFonts w:hint="eastAsia" w:ascii="宋体" w:hAnsi="宋体" w:eastAsia="宋体" w:cs="宋体"/>
                <w:kern w:val="0"/>
                <w:sz w:val="18"/>
                <w:szCs w:val="18"/>
                <w:lang w:bidi="ar"/>
              </w:rPr>
              <w:t>4</w:t>
            </w:r>
            <w:r>
              <w:rPr>
                <w:rFonts w:hint="eastAsia" w:ascii="宋体" w:hAnsi="宋体" w:eastAsia="宋体" w:cs="宋体"/>
                <w:kern w:val="0"/>
                <w:sz w:val="18"/>
                <w:szCs w:val="18"/>
                <w:lang w:val="en-US" w:eastAsia="zh-CN" w:bidi="ar"/>
              </w:rPr>
              <w:t>2</w:t>
            </w:r>
          </w:p>
        </w:tc>
        <w:tc>
          <w:tcPr>
            <w:tcW w:w="1280" w:type="dxa"/>
            <w:vMerge w:val="restart"/>
            <w:tcBorders>
              <w:left w:val="single" w:color="auto" w:sz="4" w:space="0"/>
              <w:right w:val="single" w:color="auto" w:sz="4" w:space="0"/>
            </w:tcBorders>
            <w:noWrap w:val="0"/>
            <w:tcMar>
              <w:top w:w="0" w:type="dxa"/>
              <w:left w:w="0" w:type="dxa"/>
              <w:bottom w:w="0" w:type="dxa"/>
              <w:right w:w="0" w:type="dxa"/>
            </w:tcMar>
            <w:vAlign w:val="center"/>
          </w:tcPr>
          <w:p w14:paraId="507CAFCF">
            <w:pPr>
              <w:widowControl/>
              <w:spacing w:line="260" w:lineRule="exact"/>
              <w:jc w:val="both"/>
              <w:textAlignment w:val="center"/>
              <w:rPr>
                <w:rFonts w:hint="eastAsia" w:ascii="宋体" w:hAnsi="宋体" w:eastAsia="宋体" w:cs="宋体"/>
                <w:kern w:val="0"/>
                <w:sz w:val="18"/>
                <w:szCs w:val="18"/>
                <w:lang w:bidi="ar"/>
              </w:rPr>
            </w:pPr>
            <w:r>
              <w:rPr>
                <w:rFonts w:hint="eastAsia" w:ascii="宋体" w:hAnsi="宋体" w:eastAsia="宋体" w:cs="宋体"/>
                <w:kern w:val="0"/>
                <w:sz w:val="18"/>
                <w:szCs w:val="18"/>
                <w:lang w:bidi="ar"/>
              </w:rPr>
              <w:t>对侵占、破坏水源和抗旱设施行为的行政处罚</w:t>
            </w:r>
          </w:p>
        </w:tc>
        <w:tc>
          <w:tcPr>
            <w:tcW w:w="6855" w:type="dxa"/>
            <w:vMerge w:val="restart"/>
            <w:tcBorders>
              <w:top w:val="single" w:color="auto" w:sz="4" w:space="0"/>
              <w:left w:val="single" w:color="auto" w:sz="4" w:space="0"/>
              <w:right w:val="single" w:color="auto" w:sz="4" w:space="0"/>
            </w:tcBorders>
            <w:noWrap w:val="0"/>
            <w:tcMar>
              <w:top w:w="0" w:type="dxa"/>
              <w:left w:w="0" w:type="dxa"/>
              <w:bottom w:w="0" w:type="dxa"/>
              <w:right w:w="0" w:type="dxa"/>
            </w:tcMar>
            <w:vAlign w:val="center"/>
          </w:tcPr>
          <w:p w14:paraId="665AF328">
            <w:pPr>
              <w:widowControl/>
              <w:spacing w:line="260" w:lineRule="exact"/>
              <w:textAlignment w:val="center"/>
              <w:rPr>
                <w:rFonts w:hint="eastAsia" w:ascii="宋体" w:hAnsi="宋体" w:eastAsia="宋体" w:cs="宋体"/>
                <w:kern w:val="0"/>
                <w:sz w:val="18"/>
                <w:szCs w:val="18"/>
                <w:lang w:bidi="ar"/>
              </w:rPr>
            </w:pPr>
            <w:r>
              <w:rPr>
                <w:rFonts w:hint="eastAsia" w:ascii="宋体" w:hAnsi="宋体" w:eastAsia="宋体" w:cs="宋体"/>
                <w:kern w:val="0"/>
                <w:sz w:val="18"/>
                <w:szCs w:val="18"/>
                <w:lang w:bidi="ar"/>
              </w:rPr>
              <w:t>《中华人民共和国抗旱条例》第六十一条 违反本条例规定，侵占、破坏水源和抗旱设施的，由县级以上人民政府水行政主管部门或者流域管理机构责令停止违法行为，采取补救措施，处1万元以上5万元以下的罚款；造成损坏的，依法承担民事责任；构成违反治安管理行为的，依照《中华人民共和国治安管理处罚法》的规定处罚；构成犯罪的，依法追究刑事责任。</w:t>
            </w:r>
          </w:p>
          <w:p w14:paraId="6E8E1ECD">
            <w:pPr>
              <w:widowControl/>
              <w:spacing w:line="260" w:lineRule="exact"/>
              <w:textAlignment w:val="center"/>
              <w:rPr>
                <w:rFonts w:hint="eastAsia" w:ascii="宋体" w:hAnsi="宋体" w:eastAsia="宋体" w:cs="宋体"/>
                <w:kern w:val="0"/>
                <w:sz w:val="18"/>
                <w:szCs w:val="18"/>
                <w:lang w:bidi="ar"/>
              </w:rPr>
            </w:pPr>
            <w:r>
              <w:rPr>
                <w:rFonts w:hint="eastAsia" w:ascii="宋体" w:hAnsi="宋体" w:eastAsia="宋体" w:cs="宋体"/>
                <w:kern w:val="0"/>
                <w:sz w:val="18"/>
                <w:szCs w:val="18"/>
                <w:lang w:bidi="ar"/>
              </w:rPr>
              <w:t>《河北省抗旱规定》第三十九条　违反本规定第十七条规定，侵占、破坏水源和抗旱设施的，由县级以上人民政府水行政主管部门责令停止违法行为，采取补救措施，处一万元以上三万元以下罚款；情节严重的，处三万元以上五万元以下罚款；造成损坏的，依法承担民事责任；构成违反治安管理行为的，依照《中华人民共和国治安管理处罚法》的规定处罚；构成犯罪的，依法追究刑事责任。</w:t>
            </w:r>
          </w:p>
          <w:p w14:paraId="47CD684F">
            <w:pPr>
              <w:widowControl/>
              <w:spacing w:line="260" w:lineRule="exact"/>
              <w:textAlignment w:val="center"/>
              <w:rPr>
                <w:rFonts w:hint="eastAsia" w:ascii="宋体" w:hAnsi="宋体" w:eastAsia="宋体" w:cs="宋体"/>
                <w:kern w:val="0"/>
                <w:sz w:val="18"/>
                <w:szCs w:val="18"/>
                <w:lang w:bidi="ar"/>
              </w:rPr>
            </w:pPr>
            <w:r>
              <w:rPr>
                <w:rFonts w:hint="eastAsia" w:ascii="宋体" w:hAnsi="宋体" w:eastAsia="宋体" w:cs="宋体"/>
                <w:kern w:val="0"/>
                <w:sz w:val="18"/>
                <w:szCs w:val="18"/>
                <w:lang w:bidi="ar"/>
              </w:rPr>
              <w:t>《河北省水利工程管理条例》第十五条 为维护水利工程的管理秩序，禁止下列行为：</w:t>
            </w:r>
          </w:p>
          <w:p w14:paraId="24BE2852">
            <w:pPr>
              <w:widowControl/>
              <w:spacing w:line="260" w:lineRule="exact"/>
              <w:textAlignment w:val="center"/>
              <w:rPr>
                <w:rFonts w:hint="eastAsia" w:ascii="宋体" w:hAnsi="宋体" w:eastAsia="宋体" w:cs="宋体"/>
                <w:kern w:val="0"/>
                <w:sz w:val="18"/>
                <w:szCs w:val="18"/>
                <w:lang w:bidi="ar"/>
              </w:rPr>
            </w:pPr>
            <w:r>
              <w:rPr>
                <w:rFonts w:hint="eastAsia" w:ascii="宋体" w:hAnsi="宋体" w:eastAsia="宋体" w:cs="宋体"/>
                <w:kern w:val="0"/>
                <w:sz w:val="18"/>
                <w:szCs w:val="18"/>
                <w:lang w:bidi="ar"/>
              </w:rPr>
              <w:t>（二）拦截、抢占水源、破坏供水、用水、排水秩序；</w:t>
            </w:r>
          </w:p>
          <w:p w14:paraId="13BA9F48">
            <w:pPr>
              <w:widowControl/>
              <w:spacing w:line="260" w:lineRule="exact"/>
              <w:textAlignment w:val="center"/>
              <w:rPr>
                <w:rFonts w:hint="eastAsia" w:ascii="宋体" w:hAnsi="宋体" w:eastAsia="宋体" w:cs="宋体"/>
                <w:kern w:val="0"/>
                <w:sz w:val="18"/>
                <w:szCs w:val="18"/>
                <w:lang w:bidi="ar"/>
              </w:rPr>
            </w:pPr>
            <w:r>
              <w:rPr>
                <w:rFonts w:hint="eastAsia" w:ascii="宋体" w:hAnsi="宋体" w:eastAsia="宋体" w:cs="宋体"/>
                <w:kern w:val="0"/>
                <w:sz w:val="18"/>
                <w:szCs w:val="18"/>
                <w:lang w:bidi="ar"/>
              </w:rPr>
              <w:t>第四十一条 违反本条例第十五条、第二十七条规定的，责令其停止违法行为，可以并处五十元以上五百元以下的罚款；造成工程设施损害的，应当赔偿损失。</w:t>
            </w:r>
          </w:p>
        </w:tc>
        <w:tc>
          <w:tcPr>
            <w:tcW w:w="1469" w:type="dxa"/>
            <w:vMerge w:val="restart"/>
            <w:tcBorders>
              <w:top w:val="single" w:color="auto" w:sz="4" w:space="0"/>
              <w:left w:val="single" w:color="auto" w:sz="4" w:space="0"/>
              <w:right w:val="single" w:color="auto" w:sz="4" w:space="0"/>
            </w:tcBorders>
            <w:noWrap w:val="0"/>
            <w:tcMar>
              <w:top w:w="0" w:type="dxa"/>
              <w:left w:w="0" w:type="dxa"/>
              <w:bottom w:w="0" w:type="dxa"/>
              <w:right w:w="0" w:type="dxa"/>
            </w:tcMar>
            <w:vAlign w:val="center"/>
          </w:tcPr>
          <w:p w14:paraId="3FBFA88E">
            <w:pPr>
              <w:spacing w:line="260" w:lineRule="exact"/>
              <w:jc w:val="left"/>
              <w:rPr>
                <w:rFonts w:hint="eastAsia" w:ascii="宋体" w:hAnsi="宋体" w:eastAsia="宋体" w:cs="宋体"/>
                <w:sz w:val="18"/>
                <w:szCs w:val="18"/>
              </w:rPr>
            </w:pPr>
            <w:r>
              <w:rPr>
                <w:rFonts w:hint="eastAsia" w:ascii="宋体" w:hAnsi="宋体" w:eastAsia="宋体" w:cs="宋体"/>
                <w:kern w:val="0"/>
                <w:sz w:val="18"/>
                <w:szCs w:val="18"/>
                <w:lang w:bidi="ar"/>
              </w:rPr>
              <w:t>侵占、破坏水源和抗旱设施行为的</w:t>
            </w:r>
          </w:p>
        </w:tc>
        <w:tc>
          <w:tcPr>
            <w:tcW w:w="73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7C2256B">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轻微</w:t>
            </w:r>
          </w:p>
        </w:tc>
        <w:tc>
          <w:tcPr>
            <w:tcW w:w="173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16E514A8">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7C8C8352">
            <w:pPr>
              <w:spacing w:line="260" w:lineRule="exact"/>
              <w:rPr>
                <w:rStyle w:val="21"/>
                <w:rFonts w:hint="eastAsia" w:ascii="宋体" w:hAnsi="宋体" w:eastAsia="宋体" w:cs="宋体"/>
                <w:color w:val="auto"/>
                <w:sz w:val="18"/>
                <w:szCs w:val="18"/>
                <w:lang w:bidi="ar"/>
              </w:rPr>
            </w:pPr>
          </w:p>
        </w:tc>
        <w:tc>
          <w:tcPr>
            <w:tcW w:w="159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5D7A9CE3">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0374E48F">
            <w:pPr>
              <w:spacing w:line="260" w:lineRule="exact"/>
              <w:rPr>
                <w:rStyle w:val="21"/>
                <w:rFonts w:hint="eastAsia" w:ascii="宋体" w:hAnsi="宋体" w:eastAsia="宋体" w:cs="宋体"/>
                <w:color w:val="auto"/>
                <w:sz w:val="18"/>
                <w:szCs w:val="18"/>
                <w:lang w:bidi="ar"/>
              </w:rPr>
            </w:pPr>
          </w:p>
        </w:tc>
        <w:tc>
          <w:tcPr>
            <w:tcW w:w="810" w:type="dxa"/>
            <w:vMerge w:val="restart"/>
            <w:tcBorders>
              <w:top w:val="single" w:color="auto" w:sz="4" w:space="0"/>
              <w:left w:val="single" w:color="auto" w:sz="4" w:space="0"/>
              <w:right w:val="single" w:color="auto" w:sz="4" w:space="0"/>
            </w:tcBorders>
            <w:noWrap w:val="0"/>
            <w:tcMar>
              <w:top w:w="0" w:type="dxa"/>
              <w:left w:w="0" w:type="dxa"/>
              <w:bottom w:w="0" w:type="dxa"/>
              <w:right w:w="0" w:type="dxa"/>
            </w:tcMar>
            <w:vAlign w:val="center"/>
          </w:tcPr>
          <w:p w14:paraId="70F6C73A">
            <w:pPr>
              <w:spacing w:line="260" w:lineRule="exact"/>
              <w:jc w:val="center"/>
              <w:rPr>
                <w:rStyle w:val="21"/>
                <w:rFonts w:hint="eastAsia" w:ascii="宋体" w:hAnsi="宋体" w:eastAsia="宋体" w:cs="宋体"/>
                <w:color w:val="auto"/>
                <w:sz w:val="18"/>
                <w:szCs w:val="18"/>
                <w:lang w:bidi="ar"/>
              </w:rPr>
            </w:pPr>
          </w:p>
        </w:tc>
      </w:tr>
      <w:tr w14:paraId="5083C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507" w:type="dxa"/>
            <w:vMerge w:val="continue"/>
            <w:tcBorders>
              <w:left w:val="single" w:color="auto" w:sz="4" w:space="0"/>
              <w:right w:val="single" w:color="auto" w:sz="4" w:space="0"/>
            </w:tcBorders>
            <w:noWrap w:val="0"/>
            <w:tcMar>
              <w:top w:w="0" w:type="dxa"/>
              <w:left w:w="0" w:type="dxa"/>
              <w:bottom w:w="0" w:type="dxa"/>
              <w:right w:w="0" w:type="dxa"/>
            </w:tcMar>
            <w:vAlign w:val="center"/>
          </w:tcPr>
          <w:p w14:paraId="014881C4">
            <w:pPr>
              <w:spacing w:line="260" w:lineRule="exact"/>
              <w:jc w:val="center"/>
              <w:rPr>
                <w:rFonts w:hint="eastAsia" w:ascii="宋体" w:hAnsi="宋体" w:eastAsia="宋体" w:cs="宋体"/>
                <w:sz w:val="18"/>
                <w:szCs w:val="18"/>
              </w:rPr>
            </w:pPr>
          </w:p>
        </w:tc>
        <w:tc>
          <w:tcPr>
            <w:tcW w:w="1280" w:type="dxa"/>
            <w:vMerge w:val="continue"/>
            <w:tcBorders>
              <w:left w:val="single" w:color="auto" w:sz="4" w:space="0"/>
              <w:right w:val="single" w:color="auto" w:sz="4" w:space="0"/>
            </w:tcBorders>
            <w:noWrap w:val="0"/>
            <w:tcMar>
              <w:top w:w="0" w:type="dxa"/>
              <w:left w:w="0" w:type="dxa"/>
              <w:bottom w:w="0" w:type="dxa"/>
              <w:right w:w="0" w:type="dxa"/>
            </w:tcMar>
            <w:vAlign w:val="center"/>
          </w:tcPr>
          <w:p w14:paraId="1C111126">
            <w:pPr>
              <w:widowControl/>
              <w:spacing w:line="260" w:lineRule="exact"/>
              <w:textAlignment w:val="center"/>
              <w:rPr>
                <w:rFonts w:hint="eastAsia" w:ascii="宋体" w:hAnsi="宋体" w:eastAsia="宋体" w:cs="宋体"/>
                <w:kern w:val="0"/>
                <w:sz w:val="18"/>
                <w:szCs w:val="18"/>
                <w:lang w:bidi="ar"/>
              </w:rPr>
            </w:pPr>
          </w:p>
        </w:tc>
        <w:tc>
          <w:tcPr>
            <w:tcW w:w="6855" w:type="dxa"/>
            <w:vMerge w:val="continue"/>
            <w:tcBorders>
              <w:left w:val="single" w:color="auto" w:sz="4" w:space="0"/>
              <w:right w:val="single" w:color="auto" w:sz="4" w:space="0"/>
            </w:tcBorders>
            <w:noWrap w:val="0"/>
            <w:tcMar>
              <w:top w:w="0" w:type="dxa"/>
              <w:left w:w="0" w:type="dxa"/>
              <w:bottom w:w="0" w:type="dxa"/>
              <w:right w:w="0" w:type="dxa"/>
            </w:tcMar>
            <w:vAlign w:val="center"/>
          </w:tcPr>
          <w:p w14:paraId="2B025D65">
            <w:pPr>
              <w:widowControl/>
              <w:spacing w:line="260" w:lineRule="exact"/>
              <w:ind w:firstLine="360" w:firstLineChars="200"/>
              <w:textAlignment w:val="center"/>
              <w:rPr>
                <w:rFonts w:hint="eastAsia" w:ascii="宋体" w:hAnsi="宋体" w:eastAsia="宋体" w:cs="宋体"/>
                <w:kern w:val="0"/>
                <w:sz w:val="18"/>
                <w:szCs w:val="18"/>
                <w:lang w:bidi="ar"/>
              </w:rPr>
            </w:pPr>
          </w:p>
        </w:tc>
        <w:tc>
          <w:tcPr>
            <w:tcW w:w="1469" w:type="dxa"/>
            <w:vMerge w:val="continue"/>
            <w:tcBorders>
              <w:left w:val="single" w:color="auto" w:sz="4" w:space="0"/>
              <w:right w:val="single" w:color="auto" w:sz="4" w:space="0"/>
            </w:tcBorders>
            <w:noWrap w:val="0"/>
            <w:tcMar>
              <w:top w:w="0" w:type="dxa"/>
              <w:left w:w="0" w:type="dxa"/>
              <w:bottom w:w="0" w:type="dxa"/>
              <w:right w:w="0" w:type="dxa"/>
            </w:tcMar>
            <w:vAlign w:val="center"/>
          </w:tcPr>
          <w:p w14:paraId="10E77787">
            <w:pPr>
              <w:spacing w:line="260" w:lineRule="exact"/>
              <w:jc w:val="center"/>
              <w:rPr>
                <w:rFonts w:hint="eastAsia" w:ascii="宋体" w:hAnsi="宋体" w:eastAsia="宋体" w:cs="宋体"/>
                <w:sz w:val="18"/>
                <w:szCs w:val="18"/>
              </w:rPr>
            </w:pPr>
          </w:p>
        </w:tc>
        <w:tc>
          <w:tcPr>
            <w:tcW w:w="73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72F722C">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较轻</w:t>
            </w:r>
          </w:p>
        </w:tc>
        <w:tc>
          <w:tcPr>
            <w:tcW w:w="173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134FA11">
            <w:pPr>
              <w:spacing w:line="260" w:lineRule="exact"/>
              <w:rPr>
                <w:rFonts w:hint="eastAsia" w:ascii="宋体" w:hAnsi="宋体" w:eastAsia="宋体" w:cs="宋体"/>
                <w:sz w:val="18"/>
                <w:szCs w:val="18"/>
                <w:lang w:bidi="ar"/>
              </w:rPr>
            </w:pPr>
            <w:r>
              <w:rPr>
                <w:rStyle w:val="21"/>
                <w:rFonts w:hint="eastAsia" w:ascii="宋体" w:hAnsi="宋体" w:eastAsia="宋体" w:cs="宋体"/>
                <w:color w:val="auto"/>
                <w:sz w:val="18"/>
                <w:szCs w:val="18"/>
                <w:lang w:bidi="ar"/>
              </w:rPr>
              <w:t>立即停止违法行为，采取补救措施的</w:t>
            </w:r>
          </w:p>
        </w:tc>
        <w:tc>
          <w:tcPr>
            <w:tcW w:w="159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DA70EC4">
            <w:pPr>
              <w:spacing w:line="260" w:lineRule="exact"/>
              <w:rPr>
                <w:rFonts w:hint="eastAsia" w:ascii="宋体" w:hAnsi="宋体" w:eastAsia="宋体" w:cs="宋体"/>
                <w:sz w:val="18"/>
                <w:szCs w:val="18"/>
                <w:lang w:bidi="ar"/>
              </w:rPr>
            </w:pPr>
            <w:r>
              <w:rPr>
                <w:rStyle w:val="21"/>
                <w:rFonts w:hint="eastAsia" w:ascii="宋体" w:hAnsi="宋体" w:eastAsia="宋体" w:cs="宋体"/>
                <w:color w:val="auto"/>
                <w:sz w:val="18"/>
                <w:szCs w:val="18"/>
                <w:lang w:bidi="ar"/>
              </w:rPr>
              <w:t>处</w:t>
            </w:r>
            <w:r>
              <w:rPr>
                <w:rStyle w:val="21"/>
                <w:rFonts w:hint="eastAsia" w:ascii="宋体" w:hAnsi="宋体" w:eastAsia="宋体" w:cs="宋体"/>
                <w:color w:val="auto"/>
                <w:sz w:val="18"/>
                <w:szCs w:val="18"/>
                <w:lang w:val="en-US" w:eastAsia="zh-CN" w:bidi="ar"/>
              </w:rPr>
              <w:t>1</w:t>
            </w:r>
            <w:r>
              <w:rPr>
                <w:rStyle w:val="21"/>
                <w:rFonts w:hint="eastAsia" w:ascii="宋体" w:hAnsi="宋体" w:eastAsia="宋体" w:cs="宋体"/>
                <w:color w:val="auto"/>
                <w:sz w:val="18"/>
                <w:szCs w:val="18"/>
                <w:lang w:bidi="ar"/>
              </w:rPr>
              <w:t>万元以上</w:t>
            </w:r>
            <w:r>
              <w:rPr>
                <w:rStyle w:val="21"/>
                <w:rFonts w:hint="eastAsia" w:ascii="宋体" w:hAnsi="宋体" w:eastAsia="宋体" w:cs="宋体"/>
                <w:color w:val="auto"/>
                <w:sz w:val="18"/>
                <w:szCs w:val="18"/>
                <w:lang w:val="en-US" w:eastAsia="zh-CN" w:bidi="ar"/>
              </w:rPr>
              <w:t>2</w:t>
            </w:r>
            <w:r>
              <w:rPr>
                <w:rStyle w:val="21"/>
                <w:rFonts w:hint="eastAsia" w:ascii="宋体" w:hAnsi="宋体" w:eastAsia="宋体" w:cs="宋体"/>
                <w:color w:val="auto"/>
                <w:sz w:val="18"/>
                <w:szCs w:val="18"/>
                <w:lang w:bidi="ar"/>
              </w:rPr>
              <w:t>万元以下的罚款</w:t>
            </w:r>
          </w:p>
        </w:tc>
        <w:tc>
          <w:tcPr>
            <w:tcW w:w="810" w:type="dxa"/>
            <w:vMerge w:val="continue"/>
            <w:tcBorders>
              <w:left w:val="single" w:color="auto" w:sz="4" w:space="0"/>
              <w:right w:val="single" w:color="auto" w:sz="4" w:space="0"/>
            </w:tcBorders>
            <w:noWrap w:val="0"/>
            <w:tcMar>
              <w:top w:w="0" w:type="dxa"/>
              <w:left w:w="0" w:type="dxa"/>
              <w:bottom w:w="0" w:type="dxa"/>
              <w:right w:w="0" w:type="dxa"/>
            </w:tcMar>
            <w:vAlign w:val="center"/>
          </w:tcPr>
          <w:p w14:paraId="1F1DD623">
            <w:pPr>
              <w:spacing w:line="260" w:lineRule="exact"/>
              <w:jc w:val="center"/>
              <w:rPr>
                <w:rStyle w:val="21"/>
                <w:rFonts w:hint="eastAsia" w:ascii="宋体" w:hAnsi="宋体" w:eastAsia="宋体" w:cs="宋体"/>
                <w:color w:val="auto"/>
                <w:sz w:val="18"/>
                <w:szCs w:val="18"/>
                <w:lang w:bidi="ar"/>
              </w:rPr>
            </w:pPr>
          </w:p>
        </w:tc>
      </w:tr>
      <w:tr w14:paraId="500A50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4" w:hRule="atLeast"/>
          <w:jc w:val="center"/>
        </w:trPr>
        <w:tc>
          <w:tcPr>
            <w:tcW w:w="507" w:type="dxa"/>
            <w:vMerge w:val="continue"/>
            <w:tcBorders>
              <w:left w:val="single" w:color="auto" w:sz="4" w:space="0"/>
              <w:right w:val="single" w:color="auto" w:sz="4" w:space="0"/>
            </w:tcBorders>
            <w:noWrap w:val="0"/>
            <w:tcMar>
              <w:top w:w="0" w:type="dxa"/>
              <w:left w:w="0" w:type="dxa"/>
              <w:bottom w:w="0" w:type="dxa"/>
              <w:right w:w="0" w:type="dxa"/>
            </w:tcMar>
            <w:vAlign w:val="center"/>
          </w:tcPr>
          <w:p w14:paraId="10C6D256">
            <w:pPr>
              <w:spacing w:line="260" w:lineRule="exact"/>
              <w:jc w:val="center"/>
              <w:rPr>
                <w:rFonts w:hint="eastAsia" w:ascii="宋体" w:hAnsi="宋体" w:eastAsia="宋体" w:cs="宋体"/>
                <w:sz w:val="18"/>
                <w:szCs w:val="18"/>
              </w:rPr>
            </w:pPr>
          </w:p>
        </w:tc>
        <w:tc>
          <w:tcPr>
            <w:tcW w:w="1280" w:type="dxa"/>
            <w:vMerge w:val="continue"/>
            <w:tcBorders>
              <w:left w:val="single" w:color="auto" w:sz="4" w:space="0"/>
              <w:right w:val="single" w:color="auto" w:sz="4" w:space="0"/>
            </w:tcBorders>
            <w:noWrap w:val="0"/>
            <w:tcMar>
              <w:top w:w="0" w:type="dxa"/>
              <w:left w:w="0" w:type="dxa"/>
              <w:bottom w:w="0" w:type="dxa"/>
              <w:right w:w="0" w:type="dxa"/>
            </w:tcMar>
            <w:vAlign w:val="center"/>
          </w:tcPr>
          <w:p w14:paraId="7F97373C">
            <w:pPr>
              <w:widowControl/>
              <w:spacing w:line="260" w:lineRule="exact"/>
              <w:textAlignment w:val="center"/>
              <w:rPr>
                <w:rFonts w:hint="eastAsia" w:ascii="宋体" w:hAnsi="宋体" w:eastAsia="宋体" w:cs="宋体"/>
                <w:kern w:val="0"/>
                <w:sz w:val="18"/>
                <w:szCs w:val="18"/>
                <w:lang w:bidi="ar"/>
              </w:rPr>
            </w:pPr>
          </w:p>
        </w:tc>
        <w:tc>
          <w:tcPr>
            <w:tcW w:w="6855" w:type="dxa"/>
            <w:vMerge w:val="continue"/>
            <w:tcBorders>
              <w:left w:val="single" w:color="auto" w:sz="4" w:space="0"/>
              <w:right w:val="single" w:color="auto" w:sz="4" w:space="0"/>
            </w:tcBorders>
            <w:noWrap w:val="0"/>
            <w:tcMar>
              <w:top w:w="0" w:type="dxa"/>
              <w:left w:w="0" w:type="dxa"/>
              <w:bottom w:w="0" w:type="dxa"/>
              <w:right w:w="0" w:type="dxa"/>
            </w:tcMar>
            <w:vAlign w:val="center"/>
          </w:tcPr>
          <w:p w14:paraId="57BD0841">
            <w:pPr>
              <w:widowControl/>
              <w:spacing w:line="260" w:lineRule="exact"/>
              <w:ind w:firstLine="360" w:firstLineChars="200"/>
              <w:textAlignment w:val="center"/>
              <w:rPr>
                <w:rFonts w:hint="eastAsia" w:ascii="宋体" w:hAnsi="宋体" w:eastAsia="宋体" w:cs="宋体"/>
                <w:kern w:val="0"/>
                <w:sz w:val="18"/>
                <w:szCs w:val="18"/>
                <w:lang w:bidi="ar"/>
              </w:rPr>
            </w:pPr>
          </w:p>
        </w:tc>
        <w:tc>
          <w:tcPr>
            <w:tcW w:w="1469" w:type="dxa"/>
            <w:vMerge w:val="continue"/>
            <w:tcBorders>
              <w:left w:val="single" w:color="auto" w:sz="4" w:space="0"/>
              <w:right w:val="single" w:color="auto" w:sz="4" w:space="0"/>
            </w:tcBorders>
            <w:noWrap w:val="0"/>
            <w:tcMar>
              <w:top w:w="0" w:type="dxa"/>
              <w:left w:w="0" w:type="dxa"/>
              <w:bottom w:w="0" w:type="dxa"/>
              <w:right w:w="0" w:type="dxa"/>
            </w:tcMar>
            <w:vAlign w:val="center"/>
          </w:tcPr>
          <w:p w14:paraId="105120F8">
            <w:pPr>
              <w:spacing w:line="260" w:lineRule="exact"/>
              <w:jc w:val="center"/>
              <w:rPr>
                <w:rFonts w:hint="eastAsia" w:ascii="宋体" w:hAnsi="宋体" w:eastAsia="宋体" w:cs="宋体"/>
                <w:sz w:val="18"/>
                <w:szCs w:val="18"/>
              </w:rPr>
            </w:pPr>
          </w:p>
        </w:tc>
        <w:tc>
          <w:tcPr>
            <w:tcW w:w="73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EB6BD47">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一般</w:t>
            </w:r>
          </w:p>
        </w:tc>
        <w:tc>
          <w:tcPr>
            <w:tcW w:w="173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2D55919">
            <w:pPr>
              <w:spacing w:line="260" w:lineRule="exact"/>
              <w:rPr>
                <w:rFonts w:hint="eastAsia" w:ascii="宋体" w:hAnsi="宋体" w:eastAsia="宋体" w:cs="宋体"/>
                <w:sz w:val="18"/>
                <w:szCs w:val="18"/>
                <w:lang w:bidi="ar"/>
              </w:rPr>
            </w:pPr>
            <w:r>
              <w:rPr>
                <w:rStyle w:val="21"/>
                <w:rFonts w:hint="eastAsia" w:ascii="宋体" w:hAnsi="宋体" w:eastAsia="宋体" w:cs="宋体"/>
                <w:color w:val="auto"/>
                <w:sz w:val="18"/>
                <w:szCs w:val="18"/>
                <w:lang w:bidi="ar"/>
              </w:rPr>
              <w:t>立即停止违法行为，但未在限期内采取补救措施的</w:t>
            </w:r>
          </w:p>
        </w:tc>
        <w:tc>
          <w:tcPr>
            <w:tcW w:w="159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5DAF987">
            <w:pPr>
              <w:spacing w:line="260" w:lineRule="exact"/>
              <w:rPr>
                <w:rFonts w:hint="eastAsia" w:ascii="宋体" w:hAnsi="宋体" w:eastAsia="宋体" w:cs="宋体"/>
                <w:sz w:val="18"/>
                <w:szCs w:val="18"/>
                <w:lang w:bidi="ar"/>
              </w:rPr>
            </w:pPr>
            <w:r>
              <w:rPr>
                <w:rStyle w:val="21"/>
                <w:rFonts w:hint="eastAsia" w:ascii="宋体" w:hAnsi="宋体" w:eastAsia="宋体" w:cs="宋体"/>
                <w:color w:val="auto"/>
                <w:sz w:val="18"/>
                <w:szCs w:val="18"/>
                <w:lang w:bidi="ar"/>
              </w:rPr>
              <w:t>处</w:t>
            </w:r>
            <w:r>
              <w:rPr>
                <w:rStyle w:val="21"/>
                <w:rFonts w:hint="eastAsia" w:ascii="宋体" w:hAnsi="宋体" w:eastAsia="宋体" w:cs="宋体"/>
                <w:color w:val="auto"/>
                <w:sz w:val="18"/>
                <w:szCs w:val="18"/>
                <w:lang w:val="en-US" w:eastAsia="zh-CN" w:bidi="ar"/>
              </w:rPr>
              <w:t>2</w:t>
            </w:r>
            <w:r>
              <w:rPr>
                <w:rStyle w:val="21"/>
                <w:rFonts w:hint="eastAsia" w:ascii="宋体" w:hAnsi="宋体" w:eastAsia="宋体" w:cs="宋体"/>
                <w:color w:val="auto"/>
                <w:sz w:val="18"/>
                <w:szCs w:val="18"/>
                <w:lang w:bidi="ar"/>
              </w:rPr>
              <w:t>万元以上</w:t>
            </w:r>
            <w:r>
              <w:rPr>
                <w:rStyle w:val="21"/>
                <w:rFonts w:hint="eastAsia" w:ascii="宋体" w:hAnsi="宋体" w:eastAsia="宋体" w:cs="宋体"/>
                <w:color w:val="auto"/>
                <w:sz w:val="18"/>
                <w:szCs w:val="18"/>
                <w:lang w:val="en-US" w:eastAsia="zh-CN" w:bidi="ar"/>
              </w:rPr>
              <w:t>3</w:t>
            </w:r>
            <w:r>
              <w:rPr>
                <w:rStyle w:val="21"/>
                <w:rFonts w:hint="eastAsia" w:ascii="宋体" w:hAnsi="宋体" w:eastAsia="宋体" w:cs="宋体"/>
                <w:color w:val="auto"/>
                <w:sz w:val="18"/>
                <w:szCs w:val="18"/>
                <w:lang w:bidi="ar"/>
              </w:rPr>
              <w:t>万元以下的罚款</w:t>
            </w:r>
          </w:p>
        </w:tc>
        <w:tc>
          <w:tcPr>
            <w:tcW w:w="810" w:type="dxa"/>
            <w:vMerge w:val="continue"/>
            <w:tcBorders>
              <w:left w:val="single" w:color="auto" w:sz="4" w:space="0"/>
              <w:right w:val="single" w:color="auto" w:sz="4" w:space="0"/>
            </w:tcBorders>
            <w:noWrap w:val="0"/>
            <w:tcMar>
              <w:top w:w="0" w:type="dxa"/>
              <w:left w:w="0" w:type="dxa"/>
              <w:bottom w:w="0" w:type="dxa"/>
              <w:right w:w="0" w:type="dxa"/>
            </w:tcMar>
            <w:vAlign w:val="center"/>
          </w:tcPr>
          <w:p w14:paraId="1BC3DE60">
            <w:pPr>
              <w:spacing w:line="260" w:lineRule="exact"/>
              <w:jc w:val="center"/>
              <w:rPr>
                <w:rStyle w:val="21"/>
                <w:rFonts w:hint="eastAsia" w:ascii="宋体" w:hAnsi="宋体" w:eastAsia="宋体" w:cs="宋体"/>
                <w:color w:val="auto"/>
                <w:sz w:val="18"/>
                <w:szCs w:val="18"/>
                <w:lang w:bidi="ar"/>
              </w:rPr>
            </w:pPr>
          </w:p>
        </w:tc>
      </w:tr>
      <w:tr w14:paraId="589067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jc w:val="center"/>
        </w:trPr>
        <w:tc>
          <w:tcPr>
            <w:tcW w:w="507" w:type="dxa"/>
            <w:vMerge w:val="continue"/>
            <w:tcBorders>
              <w:left w:val="single" w:color="auto" w:sz="4" w:space="0"/>
              <w:right w:val="single" w:color="auto" w:sz="4" w:space="0"/>
            </w:tcBorders>
            <w:noWrap w:val="0"/>
            <w:tcMar>
              <w:top w:w="0" w:type="dxa"/>
              <w:left w:w="0" w:type="dxa"/>
              <w:bottom w:w="0" w:type="dxa"/>
              <w:right w:w="0" w:type="dxa"/>
            </w:tcMar>
            <w:vAlign w:val="center"/>
          </w:tcPr>
          <w:p w14:paraId="0FD87113">
            <w:pPr>
              <w:spacing w:line="260" w:lineRule="exact"/>
              <w:jc w:val="center"/>
              <w:rPr>
                <w:rFonts w:hint="eastAsia" w:ascii="宋体" w:hAnsi="宋体" w:eastAsia="宋体" w:cs="宋体"/>
                <w:sz w:val="18"/>
                <w:szCs w:val="18"/>
              </w:rPr>
            </w:pPr>
          </w:p>
        </w:tc>
        <w:tc>
          <w:tcPr>
            <w:tcW w:w="1280" w:type="dxa"/>
            <w:vMerge w:val="continue"/>
            <w:tcBorders>
              <w:left w:val="single" w:color="auto" w:sz="4" w:space="0"/>
              <w:right w:val="single" w:color="auto" w:sz="4" w:space="0"/>
            </w:tcBorders>
            <w:noWrap w:val="0"/>
            <w:tcMar>
              <w:top w:w="0" w:type="dxa"/>
              <w:left w:w="0" w:type="dxa"/>
              <w:bottom w:w="0" w:type="dxa"/>
              <w:right w:w="0" w:type="dxa"/>
            </w:tcMar>
            <w:vAlign w:val="center"/>
          </w:tcPr>
          <w:p w14:paraId="6A511E42">
            <w:pPr>
              <w:widowControl/>
              <w:spacing w:line="260" w:lineRule="exact"/>
              <w:textAlignment w:val="center"/>
              <w:rPr>
                <w:rFonts w:hint="eastAsia" w:ascii="宋体" w:hAnsi="宋体" w:eastAsia="宋体" w:cs="宋体"/>
                <w:kern w:val="0"/>
                <w:sz w:val="18"/>
                <w:szCs w:val="18"/>
                <w:lang w:bidi="ar"/>
              </w:rPr>
            </w:pPr>
          </w:p>
        </w:tc>
        <w:tc>
          <w:tcPr>
            <w:tcW w:w="6855" w:type="dxa"/>
            <w:vMerge w:val="continue"/>
            <w:tcBorders>
              <w:left w:val="single" w:color="auto" w:sz="4" w:space="0"/>
              <w:right w:val="single" w:color="auto" w:sz="4" w:space="0"/>
            </w:tcBorders>
            <w:noWrap w:val="0"/>
            <w:tcMar>
              <w:top w:w="0" w:type="dxa"/>
              <w:left w:w="0" w:type="dxa"/>
              <w:bottom w:w="0" w:type="dxa"/>
              <w:right w:w="0" w:type="dxa"/>
            </w:tcMar>
            <w:vAlign w:val="center"/>
          </w:tcPr>
          <w:p w14:paraId="26299666">
            <w:pPr>
              <w:widowControl/>
              <w:spacing w:line="260" w:lineRule="exact"/>
              <w:ind w:firstLine="360" w:firstLineChars="200"/>
              <w:textAlignment w:val="center"/>
              <w:rPr>
                <w:rFonts w:hint="eastAsia" w:ascii="宋体" w:hAnsi="宋体" w:eastAsia="宋体" w:cs="宋体"/>
                <w:kern w:val="0"/>
                <w:sz w:val="18"/>
                <w:szCs w:val="18"/>
                <w:lang w:bidi="ar"/>
              </w:rPr>
            </w:pPr>
          </w:p>
        </w:tc>
        <w:tc>
          <w:tcPr>
            <w:tcW w:w="1469" w:type="dxa"/>
            <w:vMerge w:val="continue"/>
            <w:tcBorders>
              <w:left w:val="single" w:color="auto" w:sz="4" w:space="0"/>
              <w:right w:val="single" w:color="auto" w:sz="4" w:space="0"/>
            </w:tcBorders>
            <w:noWrap w:val="0"/>
            <w:tcMar>
              <w:top w:w="0" w:type="dxa"/>
              <w:left w:w="0" w:type="dxa"/>
              <w:bottom w:w="0" w:type="dxa"/>
              <w:right w:w="0" w:type="dxa"/>
            </w:tcMar>
            <w:vAlign w:val="center"/>
          </w:tcPr>
          <w:p w14:paraId="413E3D73">
            <w:pPr>
              <w:spacing w:line="260" w:lineRule="exact"/>
              <w:jc w:val="center"/>
              <w:rPr>
                <w:rFonts w:hint="eastAsia" w:ascii="宋体" w:hAnsi="宋体" w:eastAsia="宋体" w:cs="宋体"/>
                <w:sz w:val="18"/>
                <w:szCs w:val="18"/>
              </w:rPr>
            </w:pPr>
          </w:p>
        </w:tc>
        <w:tc>
          <w:tcPr>
            <w:tcW w:w="73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5FEB16B">
            <w:pPr>
              <w:spacing w:line="260" w:lineRule="exact"/>
              <w:jc w:val="center"/>
              <w:rPr>
                <w:rFonts w:hint="eastAsia" w:ascii="宋体" w:hAnsi="宋体" w:eastAsia="宋体" w:cs="宋体"/>
                <w:sz w:val="18"/>
                <w:szCs w:val="18"/>
                <w:lang w:eastAsia="zh-CN"/>
              </w:rPr>
            </w:pPr>
            <w:r>
              <w:rPr>
                <w:rFonts w:hint="eastAsia" w:ascii="宋体" w:hAnsi="宋体" w:eastAsia="宋体" w:cs="宋体"/>
                <w:sz w:val="18"/>
                <w:szCs w:val="18"/>
                <w:lang w:eastAsia="zh-CN"/>
              </w:rPr>
              <w:t>较重</w:t>
            </w:r>
          </w:p>
        </w:tc>
        <w:tc>
          <w:tcPr>
            <w:tcW w:w="173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9BF9774">
            <w:pPr>
              <w:spacing w:line="260" w:lineRule="exact"/>
              <w:rPr>
                <w:rFonts w:hint="eastAsia" w:ascii="宋体" w:hAnsi="宋体" w:eastAsia="宋体" w:cs="宋体"/>
                <w:sz w:val="18"/>
                <w:szCs w:val="18"/>
                <w:lang w:bidi="ar"/>
              </w:rPr>
            </w:pPr>
            <w:r>
              <w:rPr>
                <w:rStyle w:val="21"/>
                <w:rFonts w:hint="eastAsia" w:ascii="宋体" w:hAnsi="宋体" w:eastAsia="宋体" w:cs="宋体"/>
                <w:color w:val="auto"/>
                <w:sz w:val="18"/>
                <w:szCs w:val="18"/>
                <w:lang w:bidi="ar"/>
              </w:rPr>
              <w:t>未在限期内停止违法行为、采取补救措施的</w:t>
            </w:r>
          </w:p>
        </w:tc>
        <w:tc>
          <w:tcPr>
            <w:tcW w:w="159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983AA9C">
            <w:pPr>
              <w:spacing w:line="260" w:lineRule="exact"/>
              <w:rPr>
                <w:rFonts w:hint="eastAsia" w:ascii="宋体" w:hAnsi="宋体" w:eastAsia="宋体" w:cs="宋体"/>
                <w:sz w:val="18"/>
                <w:szCs w:val="18"/>
                <w:lang w:bidi="ar"/>
              </w:rPr>
            </w:pPr>
            <w:r>
              <w:rPr>
                <w:rStyle w:val="21"/>
                <w:rFonts w:hint="eastAsia" w:ascii="宋体" w:hAnsi="宋体" w:eastAsia="宋体" w:cs="宋体"/>
                <w:color w:val="auto"/>
                <w:sz w:val="18"/>
                <w:szCs w:val="18"/>
                <w:lang w:bidi="ar"/>
              </w:rPr>
              <w:t>处</w:t>
            </w:r>
            <w:r>
              <w:rPr>
                <w:rStyle w:val="21"/>
                <w:rFonts w:hint="eastAsia" w:ascii="宋体" w:hAnsi="宋体" w:eastAsia="宋体" w:cs="宋体"/>
                <w:color w:val="auto"/>
                <w:sz w:val="18"/>
                <w:szCs w:val="18"/>
                <w:lang w:val="en-US" w:eastAsia="zh-CN" w:bidi="ar"/>
              </w:rPr>
              <w:t>3</w:t>
            </w:r>
            <w:r>
              <w:rPr>
                <w:rStyle w:val="21"/>
                <w:rFonts w:hint="eastAsia" w:ascii="宋体" w:hAnsi="宋体" w:eastAsia="宋体" w:cs="宋体"/>
                <w:color w:val="auto"/>
                <w:sz w:val="18"/>
                <w:szCs w:val="18"/>
                <w:lang w:bidi="ar"/>
              </w:rPr>
              <w:t>万元以上</w:t>
            </w:r>
            <w:r>
              <w:rPr>
                <w:rStyle w:val="21"/>
                <w:rFonts w:hint="eastAsia" w:ascii="宋体" w:hAnsi="宋体" w:eastAsia="宋体" w:cs="宋体"/>
                <w:color w:val="auto"/>
                <w:sz w:val="18"/>
                <w:szCs w:val="18"/>
                <w:lang w:val="en-US" w:eastAsia="zh-CN" w:bidi="ar"/>
              </w:rPr>
              <w:t>4</w:t>
            </w:r>
            <w:r>
              <w:rPr>
                <w:rStyle w:val="21"/>
                <w:rFonts w:hint="eastAsia" w:ascii="宋体" w:hAnsi="宋体" w:eastAsia="宋体" w:cs="宋体"/>
                <w:color w:val="auto"/>
                <w:sz w:val="18"/>
                <w:szCs w:val="18"/>
                <w:lang w:bidi="ar"/>
              </w:rPr>
              <w:t>万元以下罚款</w:t>
            </w:r>
          </w:p>
        </w:tc>
        <w:tc>
          <w:tcPr>
            <w:tcW w:w="810" w:type="dxa"/>
            <w:vMerge w:val="continue"/>
            <w:tcBorders>
              <w:left w:val="single" w:color="auto" w:sz="4" w:space="0"/>
              <w:right w:val="single" w:color="auto" w:sz="4" w:space="0"/>
            </w:tcBorders>
            <w:noWrap w:val="0"/>
            <w:tcMar>
              <w:top w:w="0" w:type="dxa"/>
              <w:left w:w="0" w:type="dxa"/>
              <w:bottom w:w="0" w:type="dxa"/>
              <w:right w:w="0" w:type="dxa"/>
            </w:tcMar>
            <w:vAlign w:val="center"/>
          </w:tcPr>
          <w:p w14:paraId="476155B3">
            <w:pPr>
              <w:spacing w:line="260" w:lineRule="exact"/>
              <w:jc w:val="center"/>
              <w:rPr>
                <w:rStyle w:val="21"/>
                <w:rFonts w:hint="eastAsia" w:ascii="宋体" w:hAnsi="宋体" w:eastAsia="宋体" w:cs="宋体"/>
                <w:color w:val="auto"/>
                <w:sz w:val="18"/>
                <w:szCs w:val="18"/>
                <w:lang w:bidi="ar"/>
              </w:rPr>
            </w:pPr>
          </w:p>
        </w:tc>
      </w:tr>
      <w:tr w14:paraId="058247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jc w:val="center"/>
        </w:trPr>
        <w:tc>
          <w:tcPr>
            <w:tcW w:w="507" w:type="dxa"/>
            <w:vMerge w:val="continue"/>
            <w:tcBorders>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0E8E9EB">
            <w:pPr>
              <w:spacing w:line="260" w:lineRule="exact"/>
              <w:jc w:val="center"/>
              <w:rPr>
                <w:rFonts w:hint="eastAsia" w:ascii="宋体" w:hAnsi="宋体" w:eastAsia="宋体" w:cs="宋体"/>
                <w:sz w:val="18"/>
                <w:szCs w:val="18"/>
              </w:rPr>
            </w:pPr>
          </w:p>
        </w:tc>
        <w:tc>
          <w:tcPr>
            <w:tcW w:w="1280" w:type="dxa"/>
            <w:vMerge w:val="continue"/>
            <w:tcBorders>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9A63CFB">
            <w:pPr>
              <w:widowControl/>
              <w:spacing w:line="260" w:lineRule="exact"/>
              <w:textAlignment w:val="center"/>
              <w:rPr>
                <w:rFonts w:hint="eastAsia" w:ascii="宋体" w:hAnsi="宋体" w:eastAsia="宋体" w:cs="宋体"/>
                <w:kern w:val="0"/>
                <w:sz w:val="18"/>
                <w:szCs w:val="18"/>
                <w:lang w:bidi="ar"/>
              </w:rPr>
            </w:pPr>
          </w:p>
        </w:tc>
        <w:tc>
          <w:tcPr>
            <w:tcW w:w="6855" w:type="dxa"/>
            <w:vMerge w:val="continue"/>
            <w:tcBorders>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C05CC34">
            <w:pPr>
              <w:widowControl/>
              <w:spacing w:line="260" w:lineRule="exact"/>
              <w:ind w:firstLine="360" w:firstLineChars="200"/>
              <w:textAlignment w:val="center"/>
              <w:rPr>
                <w:rFonts w:hint="eastAsia" w:ascii="宋体" w:hAnsi="宋体" w:eastAsia="宋体" w:cs="宋体"/>
                <w:kern w:val="0"/>
                <w:sz w:val="18"/>
                <w:szCs w:val="18"/>
                <w:lang w:bidi="ar"/>
              </w:rPr>
            </w:pPr>
          </w:p>
        </w:tc>
        <w:tc>
          <w:tcPr>
            <w:tcW w:w="1469" w:type="dxa"/>
            <w:vMerge w:val="continue"/>
            <w:tcBorders>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E8FB4BB">
            <w:pPr>
              <w:spacing w:line="260" w:lineRule="exact"/>
              <w:jc w:val="center"/>
              <w:rPr>
                <w:rFonts w:hint="eastAsia" w:ascii="宋体" w:hAnsi="宋体" w:eastAsia="宋体" w:cs="宋体"/>
                <w:sz w:val="18"/>
                <w:szCs w:val="18"/>
              </w:rPr>
            </w:pPr>
          </w:p>
        </w:tc>
        <w:tc>
          <w:tcPr>
            <w:tcW w:w="73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C5687A7">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严重</w:t>
            </w:r>
          </w:p>
        </w:tc>
        <w:tc>
          <w:tcPr>
            <w:tcW w:w="173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20221CD">
            <w:pPr>
              <w:spacing w:line="260" w:lineRule="exact"/>
              <w:rPr>
                <w:rFonts w:hint="eastAsia" w:ascii="宋体" w:hAnsi="宋体" w:eastAsia="宋体" w:cs="宋体"/>
                <w:sz w:val="18"/>
                <w:szCs w:val="18"/>
                <w:lang w:bidi="ar"/>
              </w:rPr>
            </w:pPr>
            <w:r>
              <w:rPr>
                <w:rStyle w:val="21"/>
                <w:rFonts w:hint="eastAsia" w:ascii="宋体" w:hAnsi="宋体" w:eastAsia="宋体" w:cs="宋体"/>
                <w:color w:val="auto"/>
                <w:sz w:val="18"/>
                <w:szCs w:val="18"/>
                <w:lang w:bidi="ar"/>
              </w:rPr>
              <w:t>拒不停止违法行为、未采取补救措施的</w:t>
            </w:r>
          </w:p>
        </w:tc>
        <w:tc>
          <w:tcPr>
            <w:tcW w:w="159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973B366">
            <w:pPr>
              <w:spacing w:line="260" w:lineRule="exact"/>
              <w:rPr>
                <w:rFonts w:hint="eastAsia" w:ascii="宋体" w:hAnsi="宋体" w:eastAsia="宋体" w:cs="宋体"/>
                <w:sz w:val="18"/>
                <w:szCs w:val="18"/>
                <w:lang w:bidi="ar"/>
              </w:rPr>
            </w:pPr>
            <w:r>
              <w:rPr>
                <w:rStyle w:val="21"/>
                <w:rFonts w:hint="eastAsia" w:ascii="宋体" w:hAnsi="宋体" w:eastAsia="宋体" w:cs="宋体"/>
                <w:color w:val="auto"/>
                <w:sz w:val="18"/>
                <w:szCs w:val="18"/>
                <w:lang w:bidi="ar"/>
              </w:rPr>
              <w:t>处</w:t>
            </w:r>
            <w:r>
              <w:rPr>
                <w:rStyle w:val="21"/>
                <w:rFonts w:hint="eastAsia" w:ascii="宋体" w:hAnsi="宋体" w:eastAsia="宋体" w:cs="宋体"/>
                <w:color w:val="auto"/>
                <w:sz w:val="18"/>
                <w:szCs w:val="18"/>
                <w:lang w:val="en-US" w:eastAsia="zh-CN" w:bidi="ar"/>
              </w:rPr>
              <w:t>4</w:t>
            </w:r>
            <w:r>
              <w:rPr>
                <w:rStyle w:val="21"/>
                <w:rFonts w:hint="eastAsia" w:ascii="宋体" w:hAnsi="宋体" w:eastAsia="宋体" w:cs="宋体"/>
                <w:color w:val="auto"/>
                <w:sz w:val="18"/>
                <w:szCs w:val="18"/>
                <w:lang w:bidi="ar"/>
              </w:rPr>
              <w:t>万元以上</w:t>
            </w:r>
            <w:r>
              <w:rPr>
                <w:rStyle w:val="21"/>
                <w:rFonts w:hint="eastAsia" w:ascii="宋体" w:hAnsi="宋体" w:eastAsia="宋体" w:cs="宋体"/>
                <w:color w:val="auto"/>
                <w:sz w:val="18"/>
                <w:szCs w:val="18"/>
                <w:lang w:val="en-US" w:eastAsia="zh-CN" w:bidi="ar"/>
              </w:rPr>
              <w:t>5</w:t>
            </w:r>
            <w:r>
              <w:rPr>
                <w:rStyle w:val="21"/>
                <w:rFonts w:hint="eastAsia" w:ascii="宋体" w:hAnsi="宋体" w:eastAsia="宋体" w:cs="宋体"/>
                <w:color w:val="auto"/>
                <w:sz w:val="18"/>
                <w:szCs w:val="18"/>
                <w:lang w:bidi="ar"/>
              </w:rPr>
              <w:t>万元以下的罚款</w:t>
            </w:r>
          </w:p>
        </w:tc>
        <w:tc>
          <w:tcPr>
            <w:tcW w:w="810" w:type="dxa"/>
            <w:vMerge w:val="continue"/>
            <w:tcBorders>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488A43A">
            <w:pPr>
              <w:spacing w:line="260" w:lineRule="exact"/>
              <w:jc w:val="center"/>
              <w:rPr>
                <w:rStyle w:val="21"/>
                <w:rFonts w:hint="eastAsia" w:ascii="宋体" w:hAnsi="宋体" w:eastAsia="宋体" w:cs="宋体"/>
                <w:color w:val="auto"/>
                <w:sz w:val="18"/>
                <w:szCs w:val="18"/>
                <w:lang w:bidi="ar"/>
              </w:rPr>
            </w:pPr>
          </w:p>
        </w:tc>
      </w:tr>
      <w:tr w14:paraId="565339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07" w:type="dxa"/>
            <w:vMerge w:val="restart"/>
            <w:tcBorders>
              <w:left w:val="single" w:color="auto" w:sz="4" w:space="0"/>
              <w:right w:val="single" w:color="auto" w:sz="4" w:space="0"/>
            </w:tcBorders>
            <w:noWrap w:val="0"/>
            <w:tcMar>
              <w:top w:w="0" w:type="dxa"/>
              <w:left w:w="0" w:type="dxa"/>
              <w:bottom w:w="0" w:type="dxa"/>
              <w:right w:w="0" w:type="dxa"/>
            </w:tcMar>
            <w:vAlign w:val="center"/>
          </w:tcPr>
          <w:p w14:paraId="0909F5A3">
            <w:pPr>
              <w:widowControl/>
              <w:spacing w:line="260" w:lineRule="exact"/>
              <w:jc w:val="center"/>
              <w:textAlignment w:val="center"/>
              <w:rPr>
                <w:rFonts w:hint="eastAsia" w:ascii="宋体" w:hAnsi="宋体" w:eastAsia="宋体" w:cs="宋体"/>
                <w:kern w:val="0"/>
                <w:sz w:val="18"/>
                <w:szCs w:val="18"/>
                <w:lang w:eastAsia="zh-CN" w:bidi="ar"/>
              </w:rPr>
            </w:pPr>
            <w:r>
              <w:rPr>
                <w:rFonts w:hint="eastAsia" w:ascii="宋体" w:hAnsi="宋体" w:eastAsia="宋体" w:cs="宋体"/>
                <w:kern w:val="0"/>
                <w:sz w:val="18"/>
                <w:szCs w:val="18"/>
                <w:lang w:bidi="ar"/>
              </w:rPr>
              <w:t>4</w:t>
            </w:r>
            <w:r>
              <w:rPr>
                <w:rFonts w:hint="eastAsia" w:ascii="宋体" w:hAnsi="宋体" w:eastAsia="宋体" w:cs="宋体"/>
                <w:kern w:val="0"/>
                <w:sz w:val="18"/>
                <w:szCs w:val="18"/>
                <w:lang w:val="en-US" w:eastAsia="zh-CN" w:bidi="ar"/>
              </w:rPr>
              <w:t>3</w:t>
            </w:r>
          </w:p>
        </w:tc>
        <w:tc>
          <w:tcPr>
            <w:tcW w:w="1280" w:type="dxa"/>
            <w:vMerge w:val="restart"/>
            <w:tcBorders>
              <w:left w:val="single" w:color="auto" w:sz="4" w:space="0"/>
              <w:right w:val="single" w:color="auto" w:sz="4" w:space="0"/>
            </w:tcBorders>
            <w:noWrap w:val="0"/>
            <w:tcMar>
              <w:top w:w="0" w:type="dxa"/>
              <w:left w:w="0" w:type="dxa"/>
              <w:bottom w:w="0" w:type="dxa"/>
              <w:right w:w="0" w:type="dxa"/>
            </w:tcMar>
            <w:vAlign w:val="center"/>
          </w:tcPr>
          <w:p w14:paraId="28786782">
            <w:pPr>
              <w:widowControl/>
              <w:spacing w:line="260" w:lineRule="exact"/>
              <w:textAlignment w:val="center"/>
              <w:rPr>
                <w:rFonts w:hint="eastAsia" w:ascii="宋体" w:hAnsi="宋体" w:eastAsia="宋体" w:cs="宋体"/>
                <w:kern w:val="0"/>
                <w:sz w:val="18"/>
                <w:szCs w:val="18"/>
                <w:lang w:bidi="ar"/>
              </w:rPr>
            </w:pPr>
            <w:r>
              <w:rPr>
                <w:rFonts w:hint="eastAsia" w:ascii="宋体" w:hAnsi="宋体" w:eastAsia="宋体" w:cs="宋体"/>
                <w:kern w:val="0"/>
                <w:sz w:val="18"/>
                <w:szCs w:val="18"/>
                <w:lang w:bidi="ar"/>
              </w:rPr>
              <w:t>对抢水、非法引水、截水或者哄抢抗旱物资行为的行政处罚</w:t>
            </w:r>
          </w:p>
        </w:tc>
        <w:tc>
          <w:tcPr>
            <w:tcW w:w="6855" w:type="dxa"/>
            <w:vMerge w:val="restart"/>
            <w:tcBorders>
              <w:top w:val="single" w:color="auto" w:sz="4" w:space="0"/>
              <w:left w:val="single" w:color="auto" w:sz="4" w:space="0"/>
              <w:right w:val="single" w:color="auto" w:sz="4" w:space="0"/>
            </w:tcBorders>
            <w:noWrap w:val="0"/>
            <w:tcMar>
              <w:top w:w="0" w:type="dxa"/>
              <w:left w:w="0" w:type="dxa"/>
              <w:bottom w:w="0" w:type="dxa"/>
              <w:right w:w="0" w:type="dxa"/>
            </w:tcMar>
            <w:vAlign w:val="center"/>
          </w:tcPr>
          <w:p w14:paraId="22F2AAE6">
            <w:pPr>
              <w:widowControl/>
              <w:spacing w:line="260" w:lineRule="exact"/>
              <w:textAlignment w:val="center"/>
              <w:rPr>
                <w:rFonts w:hint="eastAsia" w:ascii="宋体" w:hAnsi="宋体" w:eastAsia="宋体" w:cs="宋体"/>
                <w:kern w:val="0"/>
                <w:sz w:val="18"/>
                <w:szCs w:val="18"/>
                <w:lang w:bidi="ar"/>
              </w:rPr>
            </w:pPr>
            <w:r>
              <w:rPr>
                <w:rFonts w:hint="eastAsia" w:ascii="宋体" w:hAnsi="宋体" w:eastAsia="宋体" w:cs="宋体"/>
                <w:kern w:val="0"/>
                <w:sz w:val="18"/>
                <w:szCs w:val="18"/>
                <w:lang w:bidi="ar"/>
              </w:rPr>
              <w:t>《中华人民共和国抗旱条例》第六十二条 违反本条例规定，抢水、非法引水、截水或者哄抢抗旱物资的，由县级以上人民政府水行政主管部门或者流域管理机构责令停止违法行为，予以警告；构成违反治安管理行为的，依照《中华人民共和国治安管理处罚法》的规定处罚；构成犯罪的，依法追究刑事责任。</w:t>
            </w:r>
          </w:p>
        </w:tc>
        <w:tc>
          <w:tcPr>
            <w:tcW w:w="1469" w:type="dxa"/>
            <w:vMerge w:val="restart"/>
            <w:tcBorders>
              <w:top w:val="single" w:color="auto" w:sz="4" w:space="0"/>
              <w:left w:val="single" w:color="auto" w:sz="4" w:space="0"/>
              <w:right w:val="single" w:color="auto" w:sz="4" w:space="0"/>
            </w:tcBorders>
            <w:noWrap w:val="0"/>
            <w:tcMar>
              <w:top w:w="0" w:type="dxa"/>
              <w:left w:w="0" w:type="dxa"/>
              <w:bottom w:w="0" w:type="dxa"/>
              <w:right w:w="0" w:type="dxa"/>
            </w:tcMar>
            <w:vAlign w:val="center"/>
          </w:tcPr>
          <w:p w14:paraId="43ADB3EC">
            <w:pPr>
              <w:widowControl/>
              <w:spacing w:line="260" w:lineRule="exact"/>
              <w:textAlignment w:val="center"/>
              <w:rPr>
                <w:rFonts w:hint="eastAsia" w:ascii="宋体" w:hAnsi="宋体" w:eastAsia="宋体" w:cs="宋体"/>
                <w:kern w:val="0"/>
                <w:sz w:val="18"/>
                <w:szCs w:val="18"/>
                <w:lang w:bidi="ar"/>
              </w:rPr>
            </w:pPr>
            <w:r>
              <w:rPr>
                <w:rFonts w:hint="eastAsia" w:ascii="宋体" w:hAnsi="宋体" w:eastAsia="宋体" w:cs="宋体"/>
                <w:kern w:val="0"/>
                <w:sz w:val="18"/>
                <w:szCs w:val="18"/>
                <w:lang w:bidi="ar"/>
              </w:rPr>
              <w:t>抢水、非法引水、截水或者哄抢抗旱物资的</w:t>
            </w:r>
          </w:p>
        </w:tc>
        <w:tc>
          <w:tcPr>
            <w:tcW w:w="73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EB6985A">
            <w:pPr>
              <w:widowControl/>
              <w:spacing w:line="260" w:lineRule="exact"/>
              <w:jc w:val="center"/>
              <w:textAlignment w:val="center"/>
              <w:rPr>
                <w:rFonts w:hint="eastAsia" w:ascii="宋体" w:hAnsi="宋体" w:eastAsia="宋体" w:cs="宋体"/>
                <w:kern w:val="0"/>
                <w:sz w:val="18"/>
                <w:szCs w:val="18"/>
                <w:lang w:bidi="ar"/>
              </w:rPr>
            </w:pPr>
            <w:r>
              <w:rPr>
                <w:rFonts w:hint="eastAsia" w:ascii="宋体" w:hAnsi="宋体" w:eastAsia="宋体" w:cs="宋体"/>
                <w:kern w:val="0"/>
                <w:sz w:val="18"/>
                <w:szCs w:val="18"/>
                <w:lang w:bidi="ar"/>
              </w:rPr>
              <w:t>轻微</w:t>
            </w:r>
          </w:p>
        </w:tc>
        <w:tc>
          <w:tcPr>
            <w:tcW w:w="173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2D5D5980">
            <w:pPr>
              <w:widowControl/>
              <w:spacing w:line="260" w:lineRule="exact"/>
              <w:textAlignment w:val="center"/>
              <mc:AlternateContent>
                <mc:Choice Requires="wpsCustomData">
                  <wpsCustomData:diagonalParaType/>
                </mc:Choice>
              </mc:AlternateContent>
              <w:rPr>
                <w:rFonts w:hint="eastAsia" w:ascii="宋体" w:hAnsi="宋体" w:eastAsia="宋体" w:cs="宋体"/>
                <w:kern w:val="0"/>
                <w:sz w:val="18"/>
                <w:szCs w:val="18"/>
                <w:lang w:bidi="ar"/>
              </w:rPr>
            </w:pPr>
          </w:p>
          <w:p w14:paraId="3C246522">
            <w:pPr>
              <w:widowControl/>
              <w:spacing w:line="260" w:lineRule="exact"/>
              <w:textAlignment w:val="center"/>
              <w:rPr>
                <w:rFonts w:hint="eastAsia" w:ascii="宋体" w:hAnsi="宋体" w:eastAsia="宋体" w:cs="宋体"/>
                <w:kern w:val="0"/>
                <w:sz w:val="18"/>
                <w:szCs w:val="18"/>
                <w:lang w:bidi="ar"/>
              </w:rPr>
            </w:pPr>
          </w:p>
        </w:tc>
        <w:tc>
          <w:tcPr>
            <w:tcW w:w="159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78FD76FF">
            <w:pPr>
              <w:widowControl/>
              <w:spacing w:line="260" w:lineRule="exact"/>
              <w:textAlignment w:val="center"/>
              <mc:AlternateContent>
                <mc:Choice Requires="wpsCustomData">
                  <wpsCustomData:diagonalParaType/>
                </mc:Choice>
              </mc:AlternateContent>
              <w:rPr>
                <w:rFonts w:hint="eastAsia" w:ascii="宋体" w:hAnsi="宋体" w:eastAsia="宋体" w:cs="宋体"/>
                <w:kern w:val="0"/>
                <w:sz w:val="18"/>
                <w:szCs w:val="18"/>
                <w:lang w:bidi="ar"/>
              </w:rPr>
            </w:pPr>
          </w:p>
          <w:p w14:paraId="19570E9F">
            <w:pPr>
              <w:widowControl/>
              <w:spacing w:line="260" w:lineRule="exact"/>
              <w:textAlignment w:val="center"/>
              <w:rPr>
                <w:rFonts w:hint="eastAsia" w:ascii="宋体" w:hAnsi="宋体" w:eastAsia="宋体" w:cs="宋体"/>
                <w:kern w:val="0"/>
                <w:sz w:val="18"/>
                <w:szCs w:val="18"/>
                <w:lang w:bidi="ar"/>
              </w:rPr>
            </w:pPr>
          </w:p>
        </w:tc>
        <w:tc>
          <w:tcPr>
            <w:tcW w:w="810" w:type="dxa"/>
            <w:vMerge w:val="restart"/>
            <w:tcBorders>
              <w:top w:val="single" w:color="auto" w:sz="4" w:space="0"/>
              <w:left w:val="single" w:color="auto" w:sz="4" w:space="0"/>
              <w:right w:val="single" w:color="auto" w:sz="4" w:space="0"/>
            </w:tcBorders>
            <w:noWrap w:val="0"/>
            <w:tcMar>
              <w:top w:w="0" w:type="dxa"/>
              <w:left w:w="0" w:type="dxa"/>
              <w:bottom w:w="0" w:type="dxa"/>
              <w:right w:w="0" w:type="dxa"/>
            </w:tcMar>
            <w:vAlign w:val="center"/>
          </w:tcPr>
          <w:p w14:paraId="317A1010">
            <w:pPr>
              <w:spacing w:line="260" w:lineRule="exact"/>
              <w:jc w:val="center"/>
              <w:rPr>
                <w:rStyle w:val="21"/>
                <w:rFonts w:hint="eastAsia" w:ascii="宋体" w:hAnsi="宋体" w:eastAsia="宋体" w:cs="宋体"/>
                <w:color w:val="auto"/>
                <w:sz w:val="18"/>
                <w:szCs w:val="18"/>
                <w:lang w:bidi="ar"/>
              </w:rPr>
            </w:pPr>
          </w:p>
        </w:tc>
      </w:tr>
      <w:tr w14:paraId="487E00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507" w:type="dxa"/>
            <w:vMerge w:val="continue"/>
            <w:tcBorders>
              <w:left w:val="single" w:color="auto" w:sz="4" w:space="0"/>
              <w:right w:val="single" w:color="auto" w:sz="4" w:space="0"/>
            </w:tcBorders>
            <w:noWrap w:val="0"/>
            <w:tcMar>
              <w:top w:w="0" w:type="dxa"/>
              <w:left w:w="0" w:type="dxa"/>
              <w:bottom w:w="0" w:type="dxa"/>
              <w:right w:w="0" w:type="dxa"/>
            </w:tcMar>
            <w:vAlign w:val="center"/>
          </w:tcPr>
          <w:p w14:paraId="37E4B291">
            <w:pPr>
              <w:widowControl/>
              <w:spacing w:line="260" w:lineRule="exact"/>
              <w:jc w:val="center"/>
              <w:textAlignment w:val="center"/>
              <w:rPr>
                <w:rFonts w:hint="eastAsia" w:ascii="宋体" w:hAnsi="宋体" w:eastAsia="宋体" w:cs="宋体"/>
                <w:kern w:val="0"/>
                <w:sz w:val="18"/>
                <w:szCs w:val="18"/>
                <w:lang w:bidi="ar"/>
              </w:rPr>
            </w:pPr>
          </w:p>
        </w:tc>
        <w:tc>
          <w:tcPr>
            <w:tcW w:w="1280" w:type="dxa"/>
            <w:vMerge w:val="continue"/>
            <w:tcBorders>
              <w:left w:val="single" w:color="auto" w:sz="4" w:space="0"/>
              <w:right w:val="single" w:color="auto" w:sz="4" w:space="0"/>
            </w:tcBorders>
            <w:noWrap w:val="0"/>
            <w:tcMar>
              <w:top w:w="0" w:type="dxa"/>
              <w:left w:w="0" w:type="dxa"/>
              <w:bottom w:w="0" w:type="dxa"/>
              <w:right w:w="0" w:type="dxa"/>
            </w:tcMar>
            <w:vAlign w:val="center"/>
          </w:tcPr>
          <w:p w14:paraId="7D81C1B0">
            <w:pPr>
              <w:widowControl/>
              <w:spacing w:line="260" w:lineRule="exact"/>
              <w:textAlignment w:val="center"/>
              <w:rPr>
                <w:rFonts w:hint="eastAsia" w:ascii="宋体" w:hAnsi="宋体" w:eastAsia="宋体" w:cs="宋体"/>
                <w:kern w:val="0"/>
                <w:sz w:val="18"/>
                <w:szCs w:val="18"/>
                <w:lang w:bidi="ar"/>
              </w:rPr>
            </w:pPr>
          </w:p>
        </w:tc>
        <w:tc>
          <w:tcPr>
            <w:tcW w:w="6855" w:type="dxa"/>
            <w:vMerge w:val="continue"/>
            <w:tcBorders>
              <w:left w:val="single" w:color="auto" w:sz="4" w:space="0"/>
              <w:right w:val="single" w:color="auto" w:sz="4" w:space="0"/>
            </w:tcBorders>
            <w:noWrap w:val="0"/>
            <w:tcMar>
              <w:top w:w="0" w:type="dxa"/>
              <w:left w:w="0" w:type="dxa"/>
              <w:bottom w:w="0" w:type="dxa"/>
              <w:right w:w="0" w:type="dxa"/>
            </w:tcMar>
            <w:vAlign w:val="center"/>
          </w:tcPr>
          <w:p w14:paraId="6CDD0FA2">
            <w:pPr>
              <w:widowControl/>
              <w:spacing w:line="260" w:lineRule="exact"/>
              <w:textAlignment w:val="center"/>
              <w:rPr>
                <w:rFonts w:hint="eastAsia" w:ascii="宋体" w:hAnsi="宋体" w:eastAsia="宋体" w:cs="宋体"/>
                <w:kern w:val="0"/>
                <w:sz w:val="18"/>
                <w:szCs w:val="18"/>
                <w:lang w:bidi="ar"/>
              </w:rPr>
            </w:pPr>
          </w:p>
        </w:tc>
        <w:tc>
          <w:tcPr>
            <w:tcW w:w="1469" w:type="dxa"/>
            <w:vMerge w:val="continue"/>
            <w:tcBorders>
              <w:left w:val="single" w:color="auto" w:sz="4" w:space="0"/>
              <w:right w:val="single" w:color="auto" w:sz="4" w:space="0"/>
            </w:tcBorders>
            <w:noWrap w:val="0"/>
            <w:tcMar>
              <w:top w:w="0" w:type="dxa"/>
              <w:left w:w="0" w:type="dxa"/>
              <w:bottom w:w="0" w:type="dxa"/>
              <w:right w:w="0" w:type="dxa"/>
            </w:tcMar>
            <w:vAlign w:val="center"/>
          </w:tcPr>
          <w:p w14:paraId="11ED858A">
            <w:pPr>
              <w:widowControl/>
              <w:spacing w:line="260" w:lineRule="exact"/>
              <w:textAlignment w:val="center"/>
              <w:rPr>
                <w:rFonts w:hint="eastAsia" w:ascii="宋体" w:hAnsi="宋体" w:eastAsia="宋体" w:cs="宋体"/>
                <w:kern w:val="0"/>
                <w:sz w:val="18"/>
                <w:szCs w:val="18"/>
                <w:lang w:bidi="ar"/>
              </w:rPr>
            </w:pPr>
          </w:p>
        </w:tc>
        <w:tc>
          <w:tcPr>
            <w:tcW w:w="73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07756C9">
            <w:pPr>
              <w:widowControl/>
              <w:spacing w:line="260" w:lineRule="exact"/>
              <w:jc w:val="center"/>
              <w:textAlignment w:val="center"/>
              <w:rPr>
                <w:rFonts w:hint="eastAsia" w:ascii="宋体" w:hAnsi="宋体" w:eastAsia="宋体" w:cs="宋体"/>
                <w:kern w:val="0"/>
                <w:sz w:val="18"/>
                <w:szCs w:val="18"/>
                <w:lang w:bidi="ar"/>
              </w:rPr>
            </w:pPr>
            <w:r>
              <w:rPr>
                <w:rFonts w:hint="eastAsia" w:ascii="宋体" w:hAnsi="宋体" w:eastAsia="宋体" w:cs="宋体"/>
                <w:kern w:val="0"/>
                <w:sz w:val="18"/>
                <w:szCs w:val="18"/>
                <w:lang w:bidi="ar"/>
              </w:rPr>
              <w:t>较轻</w:t>
            </w:r>
          </w:p>
        </w:tc>
        <w:tc>
          <w:tcPr>
            <w:tcW w:w="173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F147EBE">
            <w:pPr>
              <w:widowControl/>
              <w:spacing w:line="260" w:lineRule="exact"/>
              <w:textAlignment w:val="center"/>
              <w:rPr>
                <w:rFonts w:hint="eastAsia" w:ascii="宋体" w:hAnsi="宋体" w:eastAsia="宋体" w:cs="宋体"/>
                <w:kern w:val="0"/>
                <w:sz w:val="18"/>
                <w:szCs w:val="18"/>
                <w:lang w:bidi="ar"/>
              </w:rPr>
            </w:pPr>
            <w:r>
              <w:rPr>
                <w:rFonts w:hint="eastAsia" w:ascii="宋体" w:hAnsi="宋体" w:eastAsia="宋体" w:cs="宋体"/>
                <w:kern w:val="0"/>
                <w:sz w:val="18"/>
                <w:szCs w:val="18"/>
                <w:lang w:bidi="ar"/>
              </w:rPr>
              <w:t>抢水、非法引水、截水或者哄抢抗旱物资的</w:t>
            </w:r>
          </w:p>
        </w:tc>
        <w:tc>
          <w:tcPr>
            <w:tcW w:w="159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5FA172C">
            <w:pPr>
              <w:widowControl/>
              <w:spacing w:line="260" w:lineRule="exact"/>
              <w:textAlignment w:val="center"/>
              <w:rPr>
                <w:rFonts w:hint="eastAsia" w:ascii="宋体" w:hAnsi="宋体" w:eastAsia="宋体" w:cs="宋体"/>
                <w:kern w:val="0"/>
                <w:sz w:val="18"/>
                <w:szCs w:val="18"/>
                <w:lang w:bidi="ar"/>
              </w:rPr>
            </w:pPr>
            <w:r>
              <w:rPr>
                <w:rFonts w:hint="eastAsia" w:ascii="宋体" w:hAnsi="宋体" w:eastAsia="宋体" w:cs="宋体"/>
                <w:kern w:val="0"/>
                <w:sz w:val="18"/>
                <w:szCs w:val="18"/>
                <w:lang w:bidi="ar"/>
              </w:rPr>
              <w:t>警告</w:t>
            </w:r>
          </w:p>
        </w:tc>
        <w:tc>
          <w:tcPr>
            <w:tcW w:w="810" w:type="dxa"/>
            <w:vMerge w:val="continue"/>
            <w:tcBorders>
              <w:left w:val="single" w:color="auto" w:sz="4" w:space="0"/>
              <w:right w:val="single" w:color="auto" w:sz="4" w:space="0"/>
            </w:tcBorders>
            <w:noWrap w:val="0"/>
            <w:tcMar>
              <w:top w:w="0" w:type="dxa"/>
              <w:left w:w="0" w:type="dxa"/>
              <w:bottom w:w="0" w:type="dxa"/>
              <w:right w:w="0" w:type="dxa"/>
            </w:tcMar>
            <w:vAlign w:val="center"/>
          </w:tcPr>
          <w:p w14:paraId="16942297">
            <w:pPr>
              <w:spacing w:line="260" w:lineRule="exact"/>
              <w:jc w:val="center"/>
              <w:rPr>
                <w:rStyle w:val="21"/>
                <w:rFonts w:hint="eastAsia" w:ascii="宋体" w:hAnsi="宋体" w:eastAsia="宋体" w:cs="宋体"/>
                <w:color w:val="auto"/>
                <w:sz w:val="18"/>
                <w:szCs w:val="18"/>
                <w:lang w:bidi="ar"/>
              </w:rPr>
            </w:pPr>
          </w:p>
        </w:tc>
      </w:tr>
      <w:tr w14:paraId="4C2407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07" w:type="dxa"/>
            <w:vMerge w:val="continue"/>
            <w:tcBorders>
              <w:left w:val="single" w:color="auto" w:sz="4" w:space="0"/>
              <w:right w:val="single" w:color="auto" w:sz="4" w:space="0"/>
            </w:tcBorders>
            <w:noWrap w:val="0"/>
            <w:tcMar>
              <w:top w:w="0" w:type="dxa"/>
              <w:left w:w="0" w:type="dxa"/>
              <w:bottom w:w="0" w:type="dxa"/>
              <w:right w:w="0" w:type="dxa"/>
            </w:tcMar>
            <w:vAlign w:val="center"/>
          </w:tcPr>
          <w:p w14:paraId="4E7F0373">
            <w:pPr>
              <w:widowControl/>
              <w:spacing w:line="260" w:lineRule="exact"/>
              <w:jc w:val="center"/>
              <w:textAlignment w:val="center"/>
              <w:rPr>
                <w:rFonts w:hint="eastAsia" w:ascii="宋体" w:hAnsi="宋体" w:eastAsia="宋体" w:cs="宋体"/>
                <w:kern w:val="0"/>
                <w:sz w:val="18"/>
                <w:szCs w:val="18"/>
                <w:lang w:bidi="ar"/>
              </w:rPr>
            </w:pPr>
          </w:p>
        </w:tc>
        <w:tc>
          <w:tcPr>
            <w:tcW w:w="1280" w:type="dxa"/>
            <w:vMerge w:val="continue"/>
            <w:tcBorders>
              <w:left w:val="single" w:color="auto" w:sz="4" w:space="0"/>
              <w:right w:val="single" w:color="auto" w:sz="4" w:space="0"/>
            </w:tcBorders>
            <w:noWrap w:val="0"/>
            <w:tcMar>
              <w:top w:w="0" w:type="dxa"/>
              <w:left w:w="0" w:type="dxa"/>
              <w:bottom w:w="0" w:type="dxa"/>
              <w:right w:w="0" w:type="dxa"/>
            </w:tcMar>
            <w:vAlign w:val="center"/>
          </w:tcPr>
          <w:p w14:paraId="257A1658">
            <w:pPr>
              <w:widowControl/>
              <w:spacing w:line="260" w:lineRule="exact"/>
              <w:textAlignment w:val="center"/>
              <w:rPr>
                <w:rFonts w:hint="eastAsia" w:ascii="宋体" w:hAnsi="宋体" w:eastAsia="宋体" w:cs="宋体"/>
                <w:kern w:val="0"/>
                <w:sz w:val="18"/>
                <w:szCs w:val="18"/>
                <w:lang w:bidi="ar"/>
              </w:rPr>
            </w:pPr>
          </w:p>
        </w:tc>
        <w:tc>
          <w:tcPr>
            <w:tcW w:w="6855" w:type="dxa"/>
            <w:vMerge w:val="continue"/>
            <w:tcBorders>
              <w:left w:val="single" w:color="auto" w:sz="4" w:space="0"/>
              <w:right w:val="single" w:color="auto" w:sz="4" w:space="0"/>
            </w:tcBorders>
            <w:noWrap w:val="0"/>
            <w:tcMar>
              <w:top w:w="0" w:type="dxa"/>
              <w:left w:w="0" w:type="dxa"/>
              <w:bottom w:w="0" w:type="dxa"/>
              <w:right w:w="0" w:type="dxa"/>
            </w:tcMar>
            <w:vAlign w:val="center"/>
          </w:tcPr>
          <w:p w14:paraId="17F8A1C2">
            <w:pPr>
              <w:widowControl/>
              <w:spacing w:line="260" w:lineRule="exact"/>
              <w:textAlignment w:val="center"/>
              <w:rPr>
                <w:rFonts w:hint="eastAsia" w:ascii="宋体" w:hAnsi="宋体" w:eastAsia="宋体" w:cs="宋体"/>
                <w:kern w:val="0"/>
                <w:sz w:val="18"/>
                <w:szCs w:val="18"/>
                <w:lang w:bidi="ar"/>
              </w:rPr>
            </w:pPr>
          </w:p>
        </w:tc>
        <w:tc>
          <w:tcPr>
            <w:tcW w:w="1469" w:type="dxa"/>
            <w:vMerge w:val="continue"/>
            <w:tcBorders>
              <w:left w:val="single" w:color="auto" w:sz="4" w:space="0"/>
              <w:right w:val="single" w:color="auto" w:sz="4" w:space="0"/>
            </w:tcBorders>
            <w:noWrap w:val="0"/>
            <w:tcMar>
              <w:top w:w="0" w:type="dxa"/>
              <w:left w:w="0" w:type="dxa"/>
              <w:bottom w:w="0" w:type="dxa"/>
              <w:right w:w="0" w:type="dxa"/>
            </w:tcMar>
            <w:vAlign w:val="center"/>
          </w:tcPr>
          <w:p w14:paraId="62428AC5">
            <w:pPr>
              <w:widowControl/>
              <w:spacing w:line="260" w:lineRule="exact"/>
              <w:textAlignment w:val="center"/>
              <w:rPr>
                <w:rFonts w:hint="eastAsia" w:ascii="宋体" w:hAnsi="宋体" w:eastAsia="宋体" w:cs="宋体"/>
                <w:kern w:val="0"/>
                <w:sz w:val="18"/>
                <w:szCs w:val="18"/>
                <w:lang w:bidi="ar"/>
              </w:rPr>
            </w:pPr>
          </w:p>
        </w:tc>
        <w:tc>
          <w:tcPr>
            <w:tcW w:w="73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E97A852">
            <w:pPr>
              <w:widowControl/>
              <w:spacing w:line="260" w:lineRule="exact"/>
              <w:jc w:val="center"/>
              <w:textAlignment w:val="center"/>
              <w:rPr>
                <w:rFonts w:hint="eastAsia" w:ascii="宋体" w:hAnsi="宋体" w:eastAsia="宋体" w:cs="宋体"/>
                <w:kern w:val="0"/>
                <w:sz w:val="18"/>
                <w:szCs w:val="18"/>
                <w:lang w:bidi="ar"/>
              </w:rPr>
            </w:pPr>
            <w:r>
              <w:rPr>
                <w:rFonts w:hint="eastAsia" w:ascii="宋体" w:hAnsi="宋体" w:eastAsia="宋体" w:cs="宋体"/>
                <w:kern w:val="0"/>
                <w:sz w:val="18"/>
                <w:szCs w:val="18"/>
                <w:lang w:bidi="ar"/>
              </w:rPr>
              <w:t>一般</w:t>
            </w:r>
          </w:p>
        </w:tc>
        <w:tc>
          <w:tcPr>
            <w:tcW w:w="173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38A0110A">
            <w:pPr>
              <w:widowControl/>
              <w:spacing w:line="260" w:lineRule="exact"/>
              <w:textAlignment w:val="center"/>
              <mc:AlternateContent>
                <mc:Choice Requires="wpsCustomData">
                  <wpsCustomData:diagonalParaType/>
                </mc:Choice>
              </mc:AlternateContent>
              <w:rPr>
                <w:rFonts w:hint="eastAsia" w:ascii="宋体" w:hAnsi="宋体" w:eastAsia="宋体" w:cs="宋体"/>
                <w:kern w:val="0"/>
                <w:sz w:val="18"/>
                <w:szCs w:val="18"/>
                <w:lang w:bidi="ar"/>
              </w:rPr>
            </w:pPr>
          </w:p>
          <w:p w14:paraId="61F3474A">
            <w:pPr>
              <w:widowControl/>
              <w:spacing w:line="260" w:lineRule="exact"/>
              <w:textAlignment w:val="center"/>
              <w:rPr>
                <w:rFonts w:hint="eastAsia" w:ascii="宋体" w:hAnsi="宋体" w:eastAsia="宋体" w:cs="宋体"/>
                <w:kern w:val="0"/>
                <w:sz w:val="18"/>
                <w:szCs w:val="18"/>
                <w:lang w:bidi="ar"/>
              </w:rPr>
            </w:pPr>
          </w:p>
        </w:tc>
        <w:tc>
          <w:tcPr>
            <w:tcW w:w="159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70B06D84">
            <w:pPr>
              <w:widowControl/>
              <w:spacing w:line="260" w:lineRule="exact"/>
              <w:textAlignment w:val="center"/>
              <mc:AlternateContent>
                <mc:Choice Requires="wpsCustomData">
                  <wpsCustomData:diagonalParaType/>
                </mc:Choice>
              </mc:AlternateContent>
              <w:rPr>
                <w:rFonts w:hint="eastAsia" w:ascii="宋体" w:hAnsi="宋体" w:eastAsia="宋体" w:cs="宋体"/>
                <w:kern w:val="0"/>
                <w:sz w:val="18"/>
                <w:szCs w:val="18"/>
                <w:lang w:bidi="ar"/>
              </w:rPr>
            </w:pPr>
          </w:p>
          <w:p w14:paraId="7A3E718C">
            <w:pPr>
              <w:widowControl/>
              <w:spacing w:line="260" w:lineRule="exact"/>
              <w:textAlignment w:val="center"/>
              <w:rPr>
                <w:rFonts w:hint="eastAsia" w:ascii="宋体" w:hAnsi="宋体" w:eastAsia="宋体" w:cs="宋体"/>
                <w:kern w:val="0"/>
                <w:sz w:val="18"/>
                <w:szCs w:val="18"/>
                <w:lang w:bidi="ar"/>
              </w:rPr>
            </w:pPr>
          </w:p>
        </w:tc>
        <w:tc>
          <w:tcPr>
            <w:tcW w:w="810" w:type="dxa"/>
            <w:vMerge w:val="continue"/>
            <w:tcBorders>
              <w:left w:val="single" w:color="auto" w:sz="4" w:space="0"/>
              <w:right w:val="single" w:color="auto" w:sz="4" w:space="0"/>
            </w:tcBorders>
            <w:noWrap w:val="0"/>
            <w:tcMar>
              <w:top w:w="0" w:type="dxa"/>
              <w:left w:w="0" w:type="dxa"/>
              <w:bottom w:w="0" w:type="dxa"/>
              <w:right w:w="0" w:type="dxa"/>
            </w:tcMar>
            <w:vAlign w:val="center"/>
          </w:tcPr>
          <w:p w14:paraId="52F9876D">
            <w:pPr>
              <w:spacing w:line="260" w:lineRule="exact"/>
              <w:jc w:val="center"/>
              <w:rPr>
                <w:rStyle w:val="21"/>
                <w:rFonts w:hint="eastAsia" w:ascii="宋体" w:hAnsi="宋体" w:eastAsia="宋体" w:cs="宋体"/>
                <w:color w:val="auto"/>
                <w:sz w:val="18"/>
                <w:szCs w:val="18"/>
                <w:lang w:bidi="ar"/>
              </w:rPr>
            </w:pPr>
          </w:p>
        </w:tc>
      </w:tr>
      <w:tr w14:paraId="726391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07" w:type="dxa"/>
            <w:vMerge w:val="continue"/>
            <w:tcBorders>
              <w:left w:val="single" w:color="auto" w:sz="4" w:space="0"/>
              <w:right w:val="single" w:color="auto" w:sz="4" w:space="0"/>
            </w:tcBorders>
            <w:noWrap w:val="0"/>
            <w:tcMar>
              <w:top w:w="0" w:type="dxa"/>
              <w:left w:w="0" w:type="dxa"/>
              <w:bottom w:w="0" w:type="dxa"/>
              <w:right w:w="0" w:type="dxa"/>
            </w:tcMar>
            <w:vAlign w:val="center"/>
          </w:tcPr>
          <w:p w14:paraId="7631E7E1">
            <w:pPr>
              <w:widowControl/>
              <w:spacing w:line="260" w:lineRule="exact"/>
              <w:jc w:val="center"/>
              <w:textAlignment w:val="center"/>
              <w:rPr>
                <w:rFonts w:hint="eastAsia" w:ascii="宋体" w:hAnsi="宋体" w:eastAsia="宋体" w:cs="宋体"/>
                <w:kern w:val="0"/>
                <w:sz w:val="18"/>
                <w:szCs w:val="18"/>
                <w:lang w:bidi="ar"/>
              </w:rPr>
            </w:pPr>
          </w:p>
        </w:tc>
        <w:tc>
          <w:tcPr>
            <w:tcW w:w="1280" w:type="dxa"/>
            <w:vMerge w:val="continue"/>
            <w:tcBorders>
              <w:left w:val="single" w:color="auto" w:sz="4" w:space="0"/>
              <w:right w:val="single" w:color="auto" w:sz="4" w:space="0"/>
            </w:tcBorders>
            <w:noWrap w:val="0"/>
            <w:tcMar>
              <w:top w:w="0" w:type="dxa"/>
              <w:left w:w="0" w:type="dxa"/>
              <w:bottom w:w="0" w:type="dxa"/>
              <w:right w:w="0" w:type="dxa"/>
            </w:tcMar>
            <w:vAlign w:val="center"/>
          </w:tcPr>
          <w:p w14:paraId="2AB68C97">
            <w:pPr>
              <w:widowControl/>
              <w:spacing w:line="260" w:lineRule="exact"/>
              <w:textAlignment w:val="center"/>
              <w:rPr>
                <w:rFonts w:hint="eastAsia" w:ascii="宋体" w:hAnsi="宋体" w:eastAsia="宋体" w:cs="宋体"/>
                <w:kern w:val="0"/>
                <w:sz w:val="18"/>
                <w:szCs w:val="18"/>
                <w:lang w:bidi="ar"/>
              </w:rPr>
            </w:pPr>
          </w:p>
        </w:tc>
        <w:tc>
          <w:tcPr>
            <w:tcW w:w="6855" w:type="dxa"/>
            <w:vMerge w:val="continue"/>
            <w:tcBorders>
              <w:left w:val="single" w:color="auto" w:sz="4" w:space="0"/>
              <w:right w:val="single" w:color="auto" w:sz="4" w:space="0"/>
            </w:tcBorders>
            <w:noWrap w:val="0"/>
            <w:tcMar>
              <w:top w:w="0" w:type="dxa"/>
              <w:left w:w="0" w:type="dxa"/>
              <w:bottom w:w="0" w:type="dxa"/>
              <w:right w:w="0" w:type="dxa"/>
            </w:tcMar>
            <w:vAlign w:val="center"/>
          </w:tcPr>
          <w:p w14:paraId="54ED3911">
            <w:pPr>
              <w:widowControl/>
              <w:spacing w:line="260" w:lineRule="exact"/>
              <w:textAlignment w:val="center"/>
              <w:rPr>
                <w:rFonts w:hint="eastAsia" w:ascii="宋体" w:hAnsi="宋体" w:eastAsia="宋体" w:cs="宋体"/>
                <w:kern w:val="0"/>
                <w:sz w:val="18"/>
                <w:szCs w:val="18"/>
                <w:lang w:bidi="ar"/>
              </w:rPr>
            </w:pPr>
          </w:p>
        </w:tc>
        <w:tc>
          <w:tcPr>
            <w:tcW w:w="1469" w:type="dxa"/>
            <w:vMerge w:val="continue"/>
            <w:tcBorders>
              <w:left w:val="single" w:color="auto" w:sz="4" w:space="0"/>
              <w:right w:val="single" w:color="auto" w:sz="4" w:space="0"/>
            </w:tcBorders>
            <w:noWrap w:val="0"/>
            <w:tcMar>
              <w:top w:w="0" w:type="dxa"/>
              <w:left w:w="0" w:type="dxa"/>
              <w:bottom w:w="0" w:type="dxa"/>
              <w:right w:w="0" w:type="dxa"/>
            </w:tcMar>
            <w:vAlign w:val="center"/>
          </w:tcPr>
          <w:p w14:paraId="2423D42F">
            <w:pPr>
              <w:widowControl/>
              <w:spacing w:line="260" w:lineRule="exact"/>
              <w:textAlignment w:val="center"/>
              <w:rPr>
                <w:rFonts w:hint="eastAsia" w:ascii="宋体" w:hAnsi="宋体" w:eastAsia="宋体" w:cs="宋体"/>
                <w:kern w:val="0"/>
                <w:sz w:val="18"/>
                <w:szCs w:val="18"/>
                <w:lang w:bidi="ar"/>
              </w:rPr>
            </w:pPr>
          </w:p>
        </w:tc>
        <w:tc>
          <w:tcPr>
            <w:tcW w:w="73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BC16B9E">
            <w:pPr>
              <w:widowControl/>
              <w:spacing w:line="260" w:lineRule="exact"/>
              <w:jc w:val="center"/>
              <w:textAlignment w:val="center"/>
              <w:rPr>
                <w:rFonts w:hint="eastAsia" w:ascii="宋体" w:hAnsi="宋体" w:eastAsia="宋体" w:cs="宋体"/>
                <w:kern w:val="0"/>
                <w:sz w:val="18"/>
                <w:szCs w:val="18"/>
                <w:lang w:eastAsia="zh-CN" w:bidi="ar"/>
              </w:rPr>
            </w:pPr>
            <w:r>
              <w:rPr>
                <w:rFonts w:hint="eastAsia" w:ascii="宋体" w:hAnsi="宋体" w:eastAsia="宋体" w:cs="宋体"/>
                <w:kern w:val="0"/>
                <w:sz w:val="18"/>
                <w:szCs w:val="18"/>
                <w:lang w:eastAsia="zh-CN" w:bidi="ar"/>
              </w:rPr>
              <w:t>较重</w:t>
            </w:r>
          </w:p>
        </w:tc>
        <w:tc>
          <w:tcPr>
            <w:tcW w:w="173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5973D719">
            <w:pPr>
              <w:widowControl/>
              <w:spacing w:line="260" w:lineRule="exact"/>
              <w:textAlignment w:val="center"/>
              <mc:AlternateContent>
                <mc:Choice Requires="wpsCustomData">
                  <wpsCustomData:diagonalParaType/>
                </mc:Choice>
              </mc:AlternateContent>
              <w:rPr>
                <w:rFonts w:hint="eastAsia" w:ascii="宋体" w:hAnsi="宋体" w:eastAsia="宋体" w:cs="宋体"/>
                <w:kern w:val="0"/>
                <w:sz w:val="18"/>
                <w:szCs w:val="18"/>
                <w:lang w:bidi="ar"/>
              </w:rPr>
            </w:pPr>
          </w:p>
          <w:p w14:paraId="7C7B7D46">
            <w:pPr>
              <w:widowControl/>
              <w:spacing w:line="260" w:lineRule="exact"/>
              <w:textAlignment w:val="center"/>
              <w:rPr>
                <w:rFonts w:hint="eastAsia" w:ascii="宋体" w:hAnsi="宋体" w:eastAsia="宋体" w:cs="宋体"/>
                <w:kern w:val="0"/>
                <w:sz w:val="18"/>
                <w:szCs w:val="18"/>
                <w:lang w:bidi="ar"/>
              </w:rPr>
            </w:pPr>
          </w:p>
        </w:tc>
        <w:tc>
          <w:tcPr>
            <w:tcW w:w="159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1FEF34AE">
            <w:pPr>
              <w:widowControl/>
              <w:spacing w:line="260" w:lineRule="exact"/>
              <w:textAlignment w:val="center"/>
              <mc:AlternateContent>
                <mc:Choice Requires="wpsCustomData">
                  <wpsCustomData:diagonalParaType/>
                </mc:Choice>
              </mc:AlternateContent>
              <w:rPr>
                <w:rFonts w:hint="eastAsia" w:ascii="宋体" w:hAnsi="宋体" w:eastAsia="宋体" w:cs="宋体"/>
                <w:kern w:val="0"/>
                <w:sz w:val="18"/>
                <w:szCs w:val="18"/>
                <w:lang w:bidi="ar"/>
              </w:rPr>
            </w:pPr>
          </w:p>
          <w:p w14:paraId="26BC2289">
            <w:pPr>
              <w:widowControl/>
              <w:spacing w:line="260" w:lineRule="exact"/>
              <w:textAlignment w:val="center"/>
              <w:rPr>
                <w:rFonts w:hint="eastAsia" w:ascii="宋体" w:hAnsi="宋体" w:eastAsia="宋体" w:cs="宋体"/>
                <w:kern w:val="0"/>
                <w:sz w:val="18"/>
                <w:szCs w:val="18"/>
                <w:lang w:bidi="ar"/>
              </w:rPr>
            </w:pPr>
          </w:p>
        </w:tc>
        <w:tc>
          <w:tcPr>
            <w:tcW w:w="810" w:type="dxa"/>
            <w:vMerge w:val="continue"/>
            <w:tcBorders>
              <w:left w:val="single" w:color="auto" w:sz="4" w:space="0"/>
              <w:right w:val="single" w:color="auto" w:sz="4" w:space="0"/>
            </w:tcBorders>
            <w:noWrap w:val="0"/>
            <w:tcMar>
              <w:top w:w="0" w:type="dxa"/>
              <w:left w:w="0" w:type="dxa"/>
              <w:bottom w:w="0" w:type="dxa"/>
              <w:right w:w="0" w:type="dxa"/>
            </w:tcMar>
            <w:vAlign w:val="center"/>
          </w:tcPr>
          <w:p w14:paraId="6C2C2613">
            <w:pPr>
              <w:spacing w:line="260" w:lineRule="exact"/>
              <w:jc w:val="center"/>
              <w:rPr>
                <w:rStyle w:val="21"/>
                <w:rFonts w:hint="eastAsia" w:ascii="宋体" w:hAnsi="宋体" w:eastAsia="宋体" w:cs="宋体"/>
                <w:color w:val="auto"/>
                <w:sz w:val="18"/>
                <w:szCs w:val="18"/>
                <w:lang w:bidi="ar"/>
              </w:rPr>
            </w:pPr>
          </w:p>
        </w:tc>
      </w:tr>
      <w:tr w14:paraId="6B0D0A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07" w:type="dxa"/>
            <w:vMerge w:val="continue"/>
            <w:tcBorders>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28A7DFE">
            <w:pPr>
              <w:widowControl/>
              <w:spacing w:line="260" w:lineRule="exact"/>
              <w:jc w:val="center"/>
              <w:textAlignment w:val="center"/>
              <w:rPr>
                <w:rFonts w:hint="eastAsia" w:ascii="宋体" w:hAnsi="宋体" w:eastAsia="宋体" w:cs="宋体"/>
                <w:kern w:val="0"/>
                <w:sz w:val="18"/>
                <w:szCs w:val="18"/>
                <w:lang w:bidi="ar"/>
              </w:rPr>
            </w:pPr>
          </w:p>
        </w:tc>
        <w:tc>
          <w:tcPr>
            <w:tcW w:w="1280" w:type="dxa"/>
            <w:vMerge w:val="continue"/>
            <w:tcBorders>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E13D023">
            <w:pPr>
              <w:widowControl/>
              <w:spacing w:line="260" w:lineRule="exact"/>
              <w:textAlignment w:val="center"/>
              <w:rPr>
                <w:rFonts w:hint="eastAsia" w:ascii="宋体" w:hAnsi="宋体" w:eastAsia="宋体" w:cs="宋体"/>
                <w:kern w:val="0"/>
                <w:sz w:val="18"/>
                <w:szCs w:val="18"/>
                <w:lang w:bidi="ar"/>
              </w:rPr>
            </w:pPr>
          </w:p>
        </w:tc>
        <w:tc>
          <w:tcPr>
            <w:tcW w:w="6855" w:type="dxa"/>
            <w:vMerge w:val="continue"/>
            <w:tcBorders>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B1CB99E">
            <w:pPr>
              <w:widowControl/>
              <w:spacing w:line="260" w:lineRule="exact"/>
              <w:textAlignment w:val="center"/>
              <w:rPr>
                <w:rFonts w:hint="eastAsia" w:ascii="宋体" w:hAnsi="宋体" w:eastAsia="宋体" w:cs="宋体"/>
                <w:kern w:val="0"/>
                <w:sz w:val="18"/>
                <w:szCs w:val="18"/>
                <w:lang w:bidi="ar"/>
              </w:rPr>
            </w:pPr>
          </w:p>
        </w:tc>
        <w:tc>
          <w:tcPr>
            <w:tcW w:w="1469" w:type="dxa"/>
            <w:vMerge w:val="continue"/>
            <w:tcBorders>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FA87234">
            <w:pPr>
              <w:widowControl/>
              <w:spacing w:line="260" w:lineRule="exact"/>
              <w:textAlignment w:val="center"/>
              <w:rPr>
                <w:rFonts w:hint="eastAsia" w:ascii="宋体" w:hAnsi="宋体" w:eastAsia="宋体" w:cs="宋体"/>
                <w:kern w:val="0"/>
                <w:sz w:val="18"/>
                <w:szCs w:val="18"/>
                <w:lang w:bidi="ar"/>
              </w:rPr>
            </w:pPr>
          </w:p>
        </w:tc>
        <w:tc>
          <w:tcPr>
            <w:tcW w:w="73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E574333">
            <w:pPr>
              <w:widowControl/>
              <w:spacing w:line="260" w:lineRule="exact"/>
              <w:jc w:val="center"/>
              <w:textAlignment w:val="center"/>
              <w:rPr>
                <w:rFonts w:hint="eastAsia" w:ascii="宋体" w:hAnsi="宋体" w:eastAsia="宋体" w:cs="宋体"/>
                <w:kern w:val="0"/>
                <w:sz w:val="18"/>
                <w:szCs w:val="18"/>
                <w:lang w:bidi="ar"/>
              </w:rPr>
            </w:pPr>
            <w:r>
              <w:rPr>
                <w:rFonts w:hint="eastAsia" w:ascii="宋体" w:hAnsi="宋体" w:eastAsia="宋体" w:cs="宋体"/>
                <w:kern w:val="0"/>
                <w:sz w:val="18"/>
                <w:szCs w:val="18"/>
                <w:lang w:bidi="ar"/>
              </w:rPr>
              <w:t>严重</w:t>
            </w:r>
          </w:p>
        </w:tc>
        <w:tc>
          <w:tcPr>
            <w:tcW w:w="173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525E117B">
            <w:pPr>
              <w:widowControl/>
              <w:spacing w:line="260" w:lineRule="exact"/>
              <w:textAlignment w:val="center"/>
              <mc:AlternateContent>
                <mc:Choice Requires="wpsCustomData">
                  <wpsCustomData:diagonalParaType/>
                </mc:Choice>
              </mc:AlternateContent>
              <w:rPr>
                <w:rFonts w:hint="eastAsia" w:ascii="宋体" w:hAnsi="宋体" w:eastAsia="宋体" w:cs="宋体"/>
                <w:kern w:val="0"/>
                <w:sz w:val="18"/>
                <w:szCs w:val="18"/>
                <w:lang w:bidi="ar"/>
              </w:rPr>
            </w:pPr>
          </w:p>
          <w:p w14:paraId="256F9F2E">
            <w:pPr>
              <w:widowControl/>
              <w:spacing w:line="260" w:lineRule="exact"/>
              <w:textAlignment w:val="center"/>
              <w:rPr>
                <w:rFonts w:hint="eastAsia" w:ascii="宋体" w:hAnsi="宋体" w:eastAsia="宋体" w:cs="宋体"/>
                <w:kern w:val="0"/>
                <w:sz w:val="18"/>
                <w:szCs w:val="18"/>
                <w:lang w:bidi="ar"/>
              </w:rPr>
            </w:pPr>
          </w:p>
        </w:tc>
        <w:tc>
          <w:tcPr>
            <w:tcW w:w="159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4E3DD3A2">
            <w:pPr>
              <w:widowControl/>
              <w:spacing w:line="260" w:lineRule="exact"/>
              <w:textAlignment w:val="center"/>
              <mc:AlternateContent>
                <mc:Choice Requires="wpsCustomData">
                  <wpsCustomData:diagonalParaType/>
                </mc:Choice>
              </mc:AlternateContent>
              <w:rPr>
                <w:rFonts w:hint="eastAsia" w:ascii="宋体" w:hAnsi="宋体" w:eastAsia="宋体" w:cs="宋体"/>
                <w:kern w:val="0"/>
                <w:sz w:val="18"/>
                <w:szCs w:val="18"/>
                <w:lang w:bidi="ar"/>
              </w:rPr>
            </w:pPr>
          </w:p>
          <w:p w14:paraId="4506323D">
            <w:pPr>
              <w:widowControl/>
              <w:spacing w:line="260" w:lineRule="exact"/>
              <w:textAlignment w:val="center"/>
              <w:rPr>
                <w:rFonts w:hint="eastAsia" w:ascii="宋体" w:hAnsi="宋体" w:eastAsia="宋体" w:cs="宋体"/>
                <w:kern w:val="0"/>
                <w:sz w:val="18"/>
                <w:szCs w:val="18"/>
                <w:lang w:bidi="ar"/>
              </w:rPr>
            </w:pPr>
          </w:p>
        </w:tc>
        <w:tc>
          <w:tcPr>
            <w:tcW w:w="810" w:type="dxa"/>
            <w:vMerge w:val="continue"/>
            <w:tcBorders>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5DB7BD0">
            <w:pPr>
              <w:spacing w:line="260" w:lineRule="exact"/>
              <w:jc w:val="center"/>
              <w:rPr>
                <w:rStyle w:val="21"/>
                <w:rFonts w:hint="eastAsia" w:ascii="宋体" w:hAnsi="宋体" w:eastAsia="宋体" w:cs="宋体"/>
                <w:color w:val="auto"/>
                <w:sz w:val="18"/>
                <w:szCs w:val="18"/>
                <w:lang w:bidi="ar"/>
              </w:rPr>
            </w:pPr>
          </w:p>
        </w:tc>
      </w:tr>
      <w:tr w14:paraId="3073BD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07" w:type="dxa"/>
            <w:vMerge w:val="restart"/>
            <w:tcBorders>
              <w:left w:val="single" w:color="auto" w:sz="4" w:space="0"/>
              <w:right w:val="single" w:color="auto" w:sz="4" w:space="0"/>
            </w:tcBorders>
            <w:noWrap w:val="0"/>
            <w:tcMar>
              <w:top w:w="0" w:type="dxa"/>
              <w:left w:w="0" w:type="dxa"/>
              <w:bottom w:w="0" w:type="dxa"/>
              <w:right w:w="0" w:type="dxa"/>
            </w:tcMar>
            <w:vAlign w:val="center"/>
          </w:tcPr>
          <w:p w14:paraId="7EA678E7">
            <w:pPr>
              <w:widowControl/>
              <w:spacing w:line="260" w:lineRule="exact"/>
              <w:jc w:val="center"/>
              <w:textAlignment w:val="center"/>
              <w:rPr>
                <w:rFonts w:hint="eastAsia" w:ascii="宋体" w:hAnsi="宋体" w:eastAsia="宋体" w:cs="宋体"/>
                <w:kern w:val="0"/>
                <w:sz w:val="18"/>
                <w:szCs w:val="18"/>
                <w:lang w:eastAsia="zh-CN" w:bidi="ar"/>
              </w:rPr>
            </w:pPr>
            <w:r>
              <w:rPr>
                <w:rFonts w:hint="eastAsia" w:ascii="宋体" w:hAnsi="宋体" w:eastAsia="宋体" w:cs="宋体"/>
                <w:kern w:val="0"/>
                <w:sz w:val="18"/>
                <w:szCs w:val="18"/>
                <w:lang w:bidi="ar"/>
              </w:rPr>
              <w:t>4</w:t>
            </w:r>
            <w:r>
              <w:rPr>
                <w:rFonts w:hint="eastAsia" w:ascii="宋体" w:hAnsi="宋体" w:eastAsia="宋体" w:cs="宋体"/>
                <w:kern w:val="0"/>
                <w:sz w:val="18"/>
                <w:szCs w:val="18"/>
                <w:lang w:val="en-US" w:eastAsia="zh-CN" w:bidi="ar"/>
              </w:rPr>
              <w:t>4</w:t>
            </w:r>
          </w:p>
        </w:tc>
        <w:tc>
          <w:tcPr>
            <w:tcW w:w="1280" w:type="dxa"/>
            <w:vMerge w:val="restart"/>
            <w:tcBorders>
              <w:left w:val="single" w:color="auto" w:sz="4" w:space="0"/>
              <w:right w:val="single" w:color="auto" w:sz="4" w:space="0"/>
            </w:tcBorders>
            <w:noWrap w:val="0"/>
            <w:tcMar>
              <w:top w:w="0" w:type="dxa"/>
              <w:left w:w="0" w:type="dxa"/>
              <w:bottom w:w="0" w:type="dxa"/>
              <w:right w:w="0" w:type="dxa"/>
            </w:tcMar>
            <w:vAlign w:val="center"/>
          </w:tcPr>
          <w:p w14:paraId="201F2152">
            <w:pPr>
              <w:widowControl/>
              <w:spacing w:line="260" w:lineRule="exact"/>
              <w:textAlignment w:val="center"/>
              <w:rPr>
                <w:rFonts w:hint="eastAsia" w:ascii="宋体" w:hAnsi="宋体" w:eastAsia="宋体" w:cs="宋体"/>
                <w:kern w:val="0"/>
                <w:sz w:val="18"/>
                <w:szCs w:val="18"/>
                <w:lang w:bidi="ar"/>
              </w:rPr>
            </w:pPr>
            <w:r>
              <w:rPr>
                <w:rFonts w:hint="eastAsia" w:ascii="宋体" w:hAnsi="宋体" w:eastAsia="宋体" w:cs="宋体"/>
                <w:kern w:val="0"/>
                <w:sz w:val="18"/>
                <w:szCs w:val="18"/>
                <w:lang w:bidi="ar"/>
              </w:rPr>
              <w:t>对阻碍、威胁防汛抗旱指挥机构、水行政主管部门或者流域管理机构的工作人员依法执行职务行为的行政处罚</w:t>
            </w:r>
          </w:p>
        </w:tc>
        <w:tc>
          <w:tcPr>
            <w:tcW w:w="6855" w:type="dxa"/>
            <w:vMerge w:val="restart"/>
            <w:tcBorders>
              <w:top w:val="single" w:color="auto" w:sz="4" w:space="0"/>
              <w:left w:val="single" w:color="auto" w:sz="4" w:space="0"/>
              <w:right w:val="single" w:color="auto" w:sz="4" w:space="0"/>
            </w:tcBorders>
            <w:noWrap w:val="0"/>
            <w:tcMar>
              <w:top w:w="0" w:type="dxa"/>
              <w:left w:w="0" w:type="dxa"/>
              <w:bottom w:w="0" w:type="dxa"/>
              <w:right w:w="0" w:type="dxa"/>
            </w:tcMar>
            <w:vAlign w:val="center"/>
          </w:tcPr>
          <w:p w14:paraId="65F39522">
            <w:pPr>
              <w:widowControl/>
              <w:spacing w:line="260" w:lineRule="exact"/>
              <w:textAlignment w:val="center"/>
              <w:rPr>
                <w:rFonts w:hint="eastAsia" w:ascii="宋体" w:hAnsi="宋体" w:eastAsia="宋体" w:cs="宋体"/>
                <w:kern w:val="0"/>
                <w:sz w:val="18"/>
                <w:szCs w:val="18"/>
                <w:lang w:bidi="ar"/>
              </w:rPr>
            </w:pPr>
            <w:r>
              <w:rPr>
                <w:rFonts w:hint="eastAsia" w:ascii="宋体" w:hAnsi="宋体" w:eastAsia="宋体" w:cs="宋体"/>
                <w:kern w:val="0"/>
                <w:sz w:val="18"/>
                <w:szCs w:val="18"/>
                <w:lang w:bidi="ar"/>
              </w:rPr>
              <w:t>《中华人民共和国抗旱条例》第六十三条 违反本条例规定，阻碍、威胁防汛抗旱指挥机构、水行政主管部门或者流域管理机构的工作人员依法执行职务的，由县级以上人民政府水行政主管部门或者流域管理机构责令改正，予以警告；构成违反治安管理行为的，依照《中华人民共和国治安管理处罚法》的规定处罚；构成犯罪的，依法追究刑事责任。</w:t>
            </w:r>
          </w:p>
        </w:tc>
        <w:tc>
          <w:tcPr>
            <w:tcW w:w="1469" w:type="dxa"/>
            <w:vMerge w:val="restart"/>
            <w:tcBorders>
              <w:top w:val="single" w:color="auto" w:sz="4" w:space="0"/>
              <w:left w:val="single" w:color="auto" w:sz="4" w:space="0"/>
              <w:right w:val="single" w:color="auto" w:sz="4" w:space="0"/>
            </w:tcBorders>
            <w:noWrap w:val="0"/>
            <w:tcMar>
              <w:top w:w="0" w:type="dxa"/>
              <w:left w:w="0" w:type="dxa"/>
              <w:bottom w:w="0" w:type="dxa"/>
              <w:right w:w="0" w:type="dxa"/>
            </w:tcMar>
            <w:vAlign w:val="center"/>
          </w:tcPr>
          <w:p w14:paraId="19089CF7">
            <w:pPr>
              <w:widowControl/>
              <w:spacing w:line="260" w:lineRule="exact"/>
              <w:textAlignment w:val="center"/>
              <w:rPr>
                <w:rFonts w:hint="eastAsia" w:ascii="宋体" w:hAnsi="宋体" w:eastAsia="宋体" w:cs="宋体"/>
                <w:kern w:val="0"/>
                <w:sz w:val="18"/>
                <w:szCs w:val="18"/>
                <w:lang w:bidi="ar"/>
              </w:rPr>
            </w:pPr>
            <w:r>
              <w:rPr>
                <w:rFonts w:hint="eastAsia" w:ascii="宋体" w:hAnsi="宋体" w:eastAsia="宋体" w:cs="宋体"/>
                <w:kern w:val="0"/>
                <w:sz w:val="18"/>
                <w:szCs w:val="18"/>
                <w:lang w:bidi="ar"/>
              </w:rPr>
              <w:t>阻碍、威胁防汛抗旱指挥机构、水行政主管部门或者流域管理机构的工作人员依法执行职务的</w:t>
            </w:r>
          </w:p>
        </w:tc>
        <w:tc>
          <w:tcPr>
            <w:tcW w:w="73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58E454F">
            <w:pPr>
              <w:widowControl/>
              <w:spacing w:line="260" w:lineRule="exact"/>
              <w:jc w:val="center"/>
              <w:textAlignment w:val="center"/>
              <w:rPr>
                <w:rFonts w:hint="eastAsia" w:ascii="宋体" w:hAnsi="宋体" w:eastAsia="宋体" w:cs="宋体"/>
                <w:kern w:val="0"/>
                <w:sz w:val="18"/>
                <w:szCs w:val="18"/>
                <w:lang w:bidi="ar"/>
              </w:rPr>
            </w:pPr>
            <w:r>
              <w:rPr>
                <w:rFonts w:hint="eastAsia" w:ascii="宋体" w:hAnsi="宋体" w:eastAsia="宋体" w:cs="宋体"/>
                <w:kern w:val="0"/>
                <w:sz w:val="18"/>
                <w:szCs w:val="18"/>
                <w:lang w:bidi="ar"/>
              </w:rPr>
              <w:t>轻微</w:t>
            </w:r>
          </w:p>
        </w:tc>
        <w:tc>
          <w:tcPr>
            <w:tcW w:w="173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0E6311F5">
            <w:pPr>
              <w:widowControl/>
              <w:spacing w:line="260" w:lineRule="exact"/>
              <w:textAlignment w:val="center"/>
              <mc:AlternateContent>
                <mc:Choice Requires="wpsCustomData">
                  <wpsCustomData:diagonalParaType/>
                </mc:Choice>
              </mc:AlternateContent>
              <w:rPr>
                <w:rFonts w:hint="eastAsia" w:ascii="宋体" w:hAnsi="宋体" w:eastAsia="宋体" w:cs="宋体"/>
                <w:kern w:val="0"/>
                <w:sz w:val="18"/>
                <w:szCs w:val="18"/>
                <w:lang w:bidi="ar"/>
              </w:rPr>
            </w:pPr>
          </w:p>
          <w:p w14:paraId="28A5D2BC">
            <w:pPr>
              <w:widowControl/>
              <w:spacing w:line="260" w:lineRule="exact"/>
              <w:textAlignment w:val="center"/>
              <w:rPr>
                <w:rFonts w:hint="eastAsia" w:ascii="宋体" w:hAnsi="宋体" w:eastAsia="宋体" w:cs="宋体"/>
                <w:kern w:val="0"/>
                <w:sz w:val="18"/>
                <w:szCs w:val="18"/>
                <w:lang w:bidi="ar"/>
              </w:rPr>
            </w:pPr>
          </w:p>
        </w:tc>
        <w:tc>
          <w:tcPr>
            <w:tcW w:w="159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2C656C87">
            <w:pPr>
              <w:widowControl/>
              <w:spacing w:line="260" w:lineRule="exact"/>
              <w:textAlignment w:val="center"/>
              <mc:AlternateContent>
                <mc:Choice Requires="wpsCustomData">
                  <wpsCustomData:diagonalParaType/>
                </mc:Choice>
              </mc:AlternateContent>
              <w:rPr>
                <w:rFonts w:hint="eastAsia" w:ascii="宋体" w:hAnsi="宋体" w:eastAsia="宋体" w:cs="宋体"/>
                <w:kern w:val="0"/>
                <w:sz w:val="18"/>
                <w:szCs w:val="18"/>
                <w:lang w:bidi="ar"/>
              </w:rPr>
            </w:pPr>
          </w:p>
          <w:p w14:paraId="1FC3D3A7">
            <w:pPr>
              <w:widowControl/>
              <w:spacing w:line="260" w:lineRule="exact"/>
              <w:textAlignment w:val="center"/>
              <w:rPr>
                <w:rFonts w:hint="eastAsia" w:ascii="宋体" w:hAnsi="宋体" w:eastAsia="宋体" w:cs="宋体"/>
                <w:kern w:val="0"/>
                <w:sz w:val="18"/>
                <w:szCs w:val="18"/>
                <w:lang w:bidi="ar"/>
              </w:rPr>
            </w:pPr>
          </w:p>
        </w:tc>
        <w:tc>
          <w:tcPr>
            <w:tcW w:w="810" w:type="dxa"/>
            <w:vMerge w:val="restart"/>
            <w:tcBorders>
              <w:top w:val="single" w:color="auto" w:sz="4" w:space="0"/>
              <w:left w:val="single" w:color="auto" w:sz="4" w:space="0"/>
              <w:right w:val="single" w:color="auto" w:sz="4" w:space="0"/>
            </w:tcBorders>
            <w:noWrap w:val="0"/>
            <w:tcMar>
              <w:top w:w="0" w:type="dxa"/>
              <w:left w:w="0" w:type="dxa"/>
              <w:bottom w:w="0" w:type="dxa"/>
              <w:right w:w="0" w:type="dxa"/>
            </w:tcMar>
            <w:vAlign w:val="center"/>
          </w:tcPr>
          <w:p w14:paraId="5BA9DACB">
            <w:pPr>
              <w:spacing w:line="260" w:lineRule="exact"/>
              <w:jc w:val="center"/>
              <w:rPr>
                <w:rStyle w:val="21"/>
                <w:rFonts w:hint="eastAsia" w:ascii="宋体" w:hAnsi="宋体" w:eastAsia="宋体" w:cs="宋体"/>
                <w:color w:val="auto"/>
                <w:sz w:val="18"/>
                <w:szCs w:val="18"/>
                <w:lang w:bidi="ar"/>
              </w:rPr>
            </w:pPr>
          </w:p>
        </w:tc>
      </w:tr>
      <w:tr w14:paraId="54518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7" w:hRule="atLeast"/>
          <w:jc w:val="center"/>
        </w:trPr>
        <w:tc>
          <w:tcPr>
            <w:tcW w:w="507" w:type="dxa"/>
            <w:vMerge w:val="continue"/>
            <w:tcBorders>
              <w:left w:val="single" w:color="auto" w:sz="4" w:space="0"/>
              <w:right w:val="single" w:color="auto" w:sz="4" w:space="0"/>
            </w:tcBorders>
            <w:noWrap w:val="0"/>
            <w:tcMar>
              <w:top w:w="0" w:type="dxa"/>
              <w:left w:w="0" w:type="dxa"/>
              <w:bottom w:w="0" w:type="dxa"/>
              <w:right w:w="0" w:type="dxa"/>
            </w:tcMar>
            <w:vAlign w:val="center"/>
          </w:tcPr>
          <w:p w14:paraId="317F336D">
            <w:pPr>
              <w:widowControl/>
              <w:spacing w:line="260" w:lineRule="exact"/>
              <w:textAlignment w:val="center"/>
              <w:rPr>
                <w:rFonts w:hint="eastAsia" w:ascii="宋体" w:hAnsi="宋体" w:eastAsia="宋体" w:cs="宋体"/>
                <w:kern w:val="0"/>
                <w:sz w:val="18"/>
                <w:szCs w:val="18"/>
                <w:lang w:bidi="ar"/>
              </w:rPr>
            </w:pPr>
          </w:p>
        </w:tc>
        <w:tc>
          <w:tcPr>
            <w:tcW w:w="1280" w:type="dxa"/>
            <w:vMerge w:val="continue"/>
            <w:tcBorders>
              <w:left w:val="single" w:color="auto" w:sz="4" w:space="0"/>
              <w:right w:val="single" w:color="auto" w:sz="4" w:space="0"/>
            </w:tcBorders>
            <w:noWrap w:val="0"/>
            <w:tcMar>
              <w:top w:w="0" w:type="dxa"/>
              <w:left w:w="0" w:type="dxa"/>
              <w:bottom w:w="0" w:type="dxa"/>
              <w:right w:w="0" w:type="dxa"/>
            </w:tcMar>
            <w:vAlign w:val="center"/>
          </w:tcPr>
          <w:p w14:paraId="6EC7CDC9">
            <w:pPr>
              <w:widowControl/>
              <w:spacing w:line="260" w:lineRule="exact"/>
              <w:textAlignment w:val="center"/>
              <w:rPr>
                <w:rFonts w:hint="eastAsia" w:ascii="宋体" w:hAnsi="宋体" w:eastAsia="宋体" w:cs="宋体"/>
                <w:kern w:val="0"/>
                <w:sz w:val="18"/>
                <w:szCs w:val="18"/>
                <w:lang w:bidi="ar"/>
              </w:rPr>
            </w:pPr>
          </w:p>
        </w:tc>
        <w:tc>
          <w:tcPr>
            <w:tcW w:w="6855" w:type="dxa"/>
            <w:vMerge w:val="continue"/>
            <w:tcBorders>
              <w:left w:val="single" w:color="auto" w:sz="4" w:space="0"/>
              <w:right w:val="single" w:color="auto" w:sz="4" w:space="0"/>
            </w:tcBorders>
            <w:noWrap w:val="0"/>
            <w:tcMar>
              <w:top w:w="0" w:type="dxa"/>
              <w:left w:w="0" w:type="dxa"/>
              <w:bottom w:w="0" w:type="dxa"/>
              <w:right w:w="0" w:type="dxa"/>
            </w:tcMar>
            <w:vAlign w:val="center"/>
          </w:tcPr>
          <w:p w14:paraId="5A526B5A">
            <w:pPr>
              <w:widowControl/>
              <w:spacing w:line="260" w:lineRule="exact"/>
              <w:textAlignment w:val="center"/>
              <w:rPr>
                <w:rFonts w:hint="eastAsia" w:ascii="宋体" w:hAnsi="宋体" w:eastAsia="宋体" w:cs="宋体"/>
                <w:kern w:val="0"/>
                <w:sz w:val="18"/>
                <w:szCs w:val="18"/>
                <w:lang w:bidi="ar"/>
              </w:rPr>
            </w:pPr>
          </w:p>
        </w:tc>
        <w:tc>
          <w:tcPr>
            <w:tcW w:w="1469" w:type="dxa"/>
            <w:vMerge w:val="continue"/>
            <w:tcBorders>
              <w:left w:val="single" w:color="auto" w:sz="4" w:space="0"/>
              <w:right w:val="single" w:color="auto" w:sz="4" w:space="0"/>
            </w:tcBorders>
            <w:noWrap w:val="0"/>
            <w:tcMar>
              <w:top w:w="0" w:type="dxa"/>
              <w:left w:w="0" w:type="dxa"/>
              <w:bottom w:w="0" w:type="dxa"/>
              <w:right w:w="0" w:type="dxa"/>
            </w:tcMar>
            <w:vAlign w:val="center"/>
          </w:tcPr>
          <w:p w14:paraId="52CDA06D">
            <w:pPr>
              <w:widowControl/>
              <w:spacing w:line="260" w:lineRule="exact"/>
              <w:textAlignment w:val="center"/>
              <w:rPr>
                <w:rFonts w:hint="eastAsia" w:ascii="宋体" w:hAnsi="宋体" w:eastAsia="宋体" w:cs="宋体"/>
                <w:kern w:val="0"/>
                <w:sz w:val="18"/>
                <w:szCs w:val="18"/>
                <w:lang w:bidi="ar"/>
              </w:rPr>
            </w:pPr>
          </w:p>
        </w:tc>
        <w:tc>
          <w:tcPr>
            <w:tcW w:w="73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E4AC495">
            <w:pPr>
              <w:widowControl/>
              <w:spacing w:line="260" w:lineRule="exact"/>
              <w:jc w:val="center"/>
              <w:textAlignment w:val="center"/>
              <w:rPr>
                <w:rFonts w:hint="eastAsia" w:ascii="宋体" w:hAnsi="宋体" w:eastAsia="宋体" w:cs="宋体"/>
                <w:kern w:val="0"/>
                <w:sz w:val="18"/>
                <w:szCs w:val="18"/>
                <w:lang w:bidi="ar"/>
              </w:rPr>
            </w:pPr>
            <w:r>
              <w:rPr>
                <w:rFonts w:hint="eastAsia" w:ascii="宋体" w:hAnsi="宋体" w:eastAsia="宋体" w:cs="宋体"/>
                <w:kern w:val="0"/>
                <w:sz w:val="18"/>
                <w:szCs w:val="18"/>
                <w:lang w:bidi="ar"/>
              </w:rPr>
              <w:t>较轻</w:t>
            </w:r>
          </w:p>
        </w:tc>
        <w:tc>
          <w:tcPr>
            <w:tcW w:w="173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1C2468A">
            <w:pPr>
              <w:widowControl/>
              <w:spacing w:line="260" w:lineRule="exact"/>
              <w:textAlignment w:val="center"/>
              <w:rPr>
                <w:rFonts w:hint="eastAsia" w:ascii="宋体" w:hAnsi="宋体" w:eastAsia="宋体" w:cs="宋体"/>
                <w:kern w:val="0"/>
                <w:sz w:val="18"/>
                <w:szCs w:val="18"/>
                <w:lang w:bidi="ar"/>
              </w:rPr>
            </w:pPr>
            <w:r>
              <w:rPr>
                <w:rFonts w:hint="eastAsia" w:ascii="宋体" w:hAnsi="宋体" w:eastAsia="宋体" w:cs="宋体"/>
                <w:kern w:val="0"/>
                <w:sz w:val="18"/>
                <w:szCs w:val="18"/>
                <w:lang w:bidi="ar"/>
              </w:rPr>
              <w:t>阻碍、威胁防汛抗旱指挥机构、水行政主管部门或者流域管理机构的工作人员依法执行职务的</w:t>
            </w:r>
          </w:p>
        </w:tc>
        <w:tc>
          <w:tcPr>
            <w:tcW w:w="159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32347A9">
            <w:pPr>
              <w:widowControl/>
              <w:spacing w:line="260" w:lineRule="exact"/>
              <w:textAlignment w:val="center"/>
              <w:rPr>
                <w:rFonts w:hint="eastAsia" w:ascii="宋体" w:hAnsi="宋体" w:eastAsia="宋体" w:cs="宋体"/>
                <w:kern w:val="0"/>
                <w:sz w:val="18"/>
                <w:szCs w:val="18"/>
                <w:lang w:bidi="ar"/>
              </w:rPr>
            </w:pPr>
            <w:r>
              <w:rPr>
                <w:rFonts w:hint="eastAsia" w:ascii="宋体" w:hAnsi="宋体" w:eastAsia="宋体" w:cs="宋体"/>
                <w:kern w:val="0"/>
                <w:sz w:val="18"/>
                <w:szCs w:val="18"/>
                <w:lang w:bidi="ar"/>
              </w:rPr>
              <w:t>警告</w:t>
            </w:r>
          </w:p>
        </w:tc>
        <w:tc>
          <w:tcPr>
            <w:tcW w:w="810" w:type="dxa"/>
            <w:vMerge w:val="continue"/>
            <w:tcBorders>
              <w:left w:val="single" w:color="auto" w:sz="4" w:space="0"/>
              <w:right w:val="single" w:color="auto" w:sz="4" w:space="0"/>
            </w:tcBorders>
            <w:noWrap w:val="0"/>
            <w:tcMar>
              <w:top w:w="0" w:type="dxa"/>
              <w:left w:w="0" w:type="dxa"/>
              <w:bottom w:w="0" w:type="dxa"/>
              <w:right w:w="0" w:type="dxa"/>
            </w:tcMar>
            <w:vAlign w:val="center"/>
          </w:tcPr>
          <w:p w14:paraId="2708D3B5">
            <w:pPr>
              <w:spacing w:line="260" w:lineRule="exact"/>
              <w:jc w:val="center"/>
              <w:rPr>
                <w:rStyle w:val="21"/>
                <w:rFonts w:hint="eastAsia" w:ascii="宋体" w:hAnsi="宋体" w:eastAsia="宋体" w:cs="宋体"/>
                <w:color w:val="auto"/>
                <w:sz w:val="18"/>
                <w:szCs w:val="18"/>
                <w:lang w:bidi="ar"/>
              </w:rPr>
            </w:pPr>
          </w:p>
        </w:tc>
      </w:tr>
      <w:tr w14:paraId="2E6C79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07" w:type="dxa"/>
            <w:vMerge w:val="continue"/>
            <w:tcBorders>
              <w:left w:val="single" w:color="auto" w:sz="4" w:space="0"/>
              <w:right w:val="single" w:color="auto" w:sz="4" w:space="0"/>
            </w:tcBorders>
            <w:noWrap w:val="0"/>
            <w:tcMar>
              <w:top w:w="0" w:type="dxa"/>
              <w:left w:w="0" w:type="dxa"/>
              <w:bottom w:w="0" w:type="dxa"/>
              <w:right w:w="0" w:type="dxa"/>
            </w:tcMar>
            <w:vAlign w:val="center"/>
          </w:tcPr>
          <w:p w14:paraId="02D95487">
            <w:pPr>
              <w:widowControl/>
              <w:spacing w:line="260" w:lineRule="exact"/>
              <w:textAlignment w:val="center"/>
              <w:rPr>
                <w:rFonts w:hint="eastAsia" w:ascii="宋体" w:hAnsi="宋体" w:eastAsia="宋体" w:cs="宋体"/>
                <w:kern w:val="0"/>
                <w:sz w:val="18"/>
                <w:szCs w:val="18"/>
                <w:lang w:bidi="ar"/>
              </w:rPr>
            </w:pPr>
          </w:p>
        </w:tc>
        <w:tc>
          <w:tcPr>
            <w:tcW w:w="1280" w:type="dxa"/>
            <w:vMerge w:val="continue"/>
            <w:tcBorders>
              <w:left w:val="single" w:color="auto" w:sz="4" w:space="0"/>
              <w:right w:val="single" w:color="auto" w:sz="4" w:space="0"/>
            </w:tcBorders>
            <w:noWrap w:val="0"/>
            <w:tcMar>
              <w:top w:w="0" w:type="dxa"/>
              <w:left w:w="0" w:type="dxa"/>
              <w:bottom w:w="0" w:type="dxa"/>
              <w:right w:w="0" w:type="dxa"/>
            </w:tcMar>
            <w:vAlign w:val="center"/>
          </w:tcPr>
          <w:p w14:paraId="749C1916">
            <w:pPr>
              <w:widowControl/>
              <w:spacing w:line="260" w:lineRule="exact"/>
              <w:textAlignment w:val="center"/>
              <w:rPr>
                <w:rFonts w:hint="eastAsia" w:ascii="宋体" w:hAnsi="宋体" w:eastAsia="宋体" w:cs="宋体"/>
                <w:kern w:val="0"/>
                <w:sz w:val="18"/>
                <w:szCs w:val="18"/>
                <w:lang w:bidi="ar"/>
              </w:rPr>
            </w:pPr>
          </w:p>
        </w:tc>
        <w:tc>
          <w:tcPr>
            <w:tcW w:w="6855" w:type="dxa"/>
            <w:vMerge w:val="continue"/>
            <w:tcBorders>
              <w:left w:val="single" w:color="auto" w:sz="4" w:space="0"/>
              <w:right w:val="single" w:color="auto" w:sz="4" w:space="0"/>
            </w:tcBorders>
            <w:noWrap w:val="0"/>
            <w:tcMar>
              <w:top w:w="0" w:type="dxa"/>
              <w:left w:w="0" w:type="dxa"/>
              <w:bottom w:w="0" w:type="dxa"/>
              <w:right w:w="0" w:type="dxa"/>
            </w:tcMar>
            <w:vAlign w:val="center"/>
          </w:tcPr>
          <w:p w14:paraId="6ED1AAA5">
            <w:pPr>
              <w:widowControl/>
              <w:spacing w:line="260" w:lineRule="exact"/>
              <w:textAlignment w:val="center"/>
              <w:rPr>
                <w:rFonts w:hint="eastAsia" w:ascii="宋体" w:hAnsi="宋体" w:eastAsia="宋体" w:cs="宋体"/>
                <w:kern w:val="0"/>
                <w:sz w:val="18"/>
                <w:szCs w:val="18"/>
                <w:lang w:bidi="ar"/>
              </w:rPr>
            </w:pPr>
          </w:p>
        </w:tc>
        <w:tc>
          <w:tcPr>
            <w:tcW w:w="1469" w:type="dxa"/>
            <w:vMerge w:val="continue"/>
            <w:tcBorders>
              <w:left w:val="single" w:color="auto" w:sz="4" w:space="0"/>
              <w:right w:val="single" w:color="auto" w:sz="4" w:space="0"/>
            </w:tcBorders>
            <w:noWrap w:val="0"/>
            <w:tcMar>
              <w:top w:w="0" w:type="dxa"/>
              <w:left w:w="0" w:type="dxa"/>
              <w:bottom w:w="0" w:type="dxa"/>
              <w:right w:w="0" w:type="dxa"/>
            </w:tcMar>
            <w:vAlign w:val="center"/>
          </w:tcPr>
          <w:p w14:paraId="1E41344F">
            <w:pPr>
              <w:widowControl/>
              <w:spacing w:line="260" w:lineRule="exact"/>
              <w:textAlignment w:val="center"/>
              <w:rPr>
                <w:rFonts w:hint="eastAsia" w:ascii="宋体" w:hAnsi="宋体" w:eastAsia="宋体" w:cs="宋体"/>
                <w:kern w:val="0"/>
                <w:sz w:val="18"/>
                <w:szCs w:val="18"/>
                <w:lang w:bidi="ar"/>
              </w:rPr>
            </w:pPr>
          </w:p>
        </w:tc>
        <w:tc>
          <w:tcPr>
            <w:tcW w:w="73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302CA22">
            <w:pPr>
              <w:widowControl/>
              <w:spacing w:line="260" w:lineRule="exact"/>
              <w:jc w:val="center"/>
              <w:textAlignment w:val="center"/>
              <w:rPr>
                <w:rFonts w:hint="eastAsia" w:ascii="宋体" w:hAnsi="宋体" w:eastAsia="宋体" w:cs="宋体"/>
                <w:kern w:val="0"/>
                <w:sz w:val="18"/>
                <w:szCs w:val="18"/>
                <w:lang w:bidi="ar"/>
              </w:rPr>
            </w:pPr>
            <w:r>
              <w:rPr>
                <w:rFonts w:hint="eastAsia" w:ascii="宋体" w:hAnsi="宋体" w:eastAsia="宋体" w:cs="宋体"/>
                <w:kern w:val="0"/>
                <w:sz w:val="18"/>
                <w:szCs w:val="18"/>
                <w:lang w:bidi="ar"/>
              </w:rPr>
              <w:t>一般</w:t>
            </w:r>
          </w:p>
        </w:tc>
        <w:tc>
          <w:tcPr>
            <w:tcW w:w="173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3A077255">
            <w:pPr>
              <w:widowControl/>
              <w:spacing w:line="260" w:lineRule="exact"/>
              <w:textAlignment w:val="center"/>
              <mc:AlternateContent>
                <mc:Choice Requires="wpsCustomData">
                  <wpsCustomData:diagonalParaType/>
                </mc:Choice>
              </mc:AlternateContent>
              <w:rPr>
                <w:rFonts w:hint="eastAsia" w:ascii="宋体" w:hAnsi="宋体" w:eastAsia="宋体" w:cs="宋体"/>
                <w:kern w:val="0"/>
                <w:sz w:val="18"/>
                <w:szCs w:val="18"/>
                <w:lang w:bidi="ar"/>
              </w:rPr>
            </w:pPr>
          </w:p>
          <w:p w14:paraId="2C83E29D">
            <w:pPr>
              <w:widowControl/>
              <w:spacing w:line="260" w:lineRule="exact"/>
              <w:textAlignment w:val="center"/>
              <w:rPr>
                <w:rFonts w:hint="eastAsia" w:ascii="宋体" w:hAnsi="宋体" w:eastAsia="宋体" w:cs="宋体"/>
                <w:kern w:val="0"/>
                <w:sz w:val="18"/>
                <w:szCs w:val="18"/>
                <w:lang w:bidi="ar"/>
              </w:rPr>
            </w:pPr>
          </w:p>
        </w:tc>
        <w:tc>
          <w:tcPr>
            <w:tcW w:w="159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7DE4A656">
            <w:pPr>
              <w:widowControl/>
              <w:spacing w:line="260" w:lineRule="exact"/>
              <w:textAlignment w:val="center"/>
              <mc:AlternateContent>
                <mc:Choice Requires="wpsCustomData">
                  <wpsCustomData:diagonalParaType/>
                </mc:Choice>
              </mc:AlternateContent>
              <w:rPr>
                <w:rFonts w:hint="eastAsia" w:ascii="宋体" w:hAnsi="宋体" w:eastAsia="宋体" w:cs="宋体"/>
                <w:kern w:val="0"/>
                <w:sz w:val="18"/>
                <w:szCs w:val="18"/>
                <w:lang w:bidi="ar"/>
              </w:rPr>
            </w:pPr>
          </w:p>
          <w:p w14:paraId="3C4B62B6">
            <w:pPr>
              <w:widowControl/>
              <w:spacing w:line="260" w:lineRule="exact"/>
              <w:textAlignment w:val="center"/>
              <w:rPr>
                <w:rFonts w:hint="eastAsia" w:ascii="宋体" w:hAnsi="宋体" w:eastAsia="宋体" w:cs="宋体"/>
                <w:kern w:val="0"/>
                <w:sz w:val="18"/>
                <w:szCs w:val="18"/>
                <w:lang w:bidi="ar"/>
              </w:rPr>
            </w:pPr>
          </w:p>
        </w:tc>
        <w:tc>
          <w:tcPr>
            <w:tcW w:w="810" w:type="dxa"/>
            <w:vMerge w:val="continue"/>
            <w:tcBorders>
              <w:left w:val="single" w:color="auto" w:sz="4" w:space="0"/>
              <w:right w:val="single" w:color="auto" w:sz="4" w:space="0"/>
            </w:tcBorders>
            <w:noWrap w:val="0"/>
            <w:tcMar>
              <w:top w:w="0" w:type="dxa"/>
              <w:left w:w="0" w:type="dxa"/>
              <w:bottom w:w="0" w:type="dxa"/>
              <w:right w:w="0" w:type="dxa"/>
            </w:tcMar>
            <w:vAlign w:val="center"/>
          </w:tcPr>
          <w:p w14:paraId="01236AA3">
            <w:pPr>
              <w:spacing w:line="260" w:lineRule="exact"/>
              <w:jc w:val="center"/>
              <w:rPr>
                <w:rStyle w:val="21"/>
                <w:rFonts w:hint="eastAsia" w:ascii="宋体" w:hAnsi="宋体" w:eastAsia="宋体" w:cs="宋体"/>
                <w:color w:val="auto"/>
                <w:sz w:val="18"/>
                <w:szCs w:val="18"/>
                <w:lang w:bidi="ar"/>
              </w:rPr>
            </w:pPr>
          </w:p>
        </w:tc>
      </w:tr>
      <w:tr w14:paraId="7CDF3E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07" w:type="dxa"/>
            <w:vMerge w:val="continue"/>
            <w:tcBorders>
              <w:left w:val="single" w:color="auto" w:sz="4" w:space="0"/>
              <w:right w:val="single" w:color="auto" w:sz="4" w:space="0"/>
            </w:tcBorders>
            <w:noWrap w:val="0"/>
            <w:tcMar>
              <w:top w:w="0" w:type="dxa"/>
              <w:left w:w="0" w:type="dxa"/>
              <w:bottom w:w="0" w:type="dxa"/>
              <w:right w:w="0" w:type="dxa"/>
            </w:tcMar>
            <w:vAlign w:val="center"/>
          </w:tcPr>
          <w:p w14:paraId="21F310DB">
            <w:pPr>
              <w:widowControl/>
              <w:spacing w:line="260" w:lineRule="exact"/>
              <w:textAlignment w:val="center"/>
              <w:rPr>
                <w:rFonts w:hint="eastAsia" w:ascii="宋体" w:hAnsi="宋体" w:eastAsia="宋体" w:cs="宋体"/>
                <w:kern w:val="0"/>
                <w:sz w:val="18"/>
                <w:szCs w:val="18"/>
                <w:lang w:bidi="ar"/>
              </w:rPr>
            </w:pPr>
          </w:p>
        </w:tc>
        <w:tc>
          <w:tcPr>
            <w:tcW w:w="1280" w:type="dxa"/>
            <w:vMerge w:val="continue"/>
            <w:tcBorders>
              <w:left w:val="single" w:color="auto" w:sz="4" w:space="0"/>
              <w:right w:val="single" w:color="auto" w:sz="4" w:space="0"/>
            </w:tcBorders>
            <w:noWrap w:val="0"/>
            <w:tcMar>
              <w:top w:w="0" w:type="dxa"/>
              <w:left w:w="0" w:type="dxa"/>
              <w:bottom w:w="0" w:type="dxa"/>
              <w:right w:w="0" w:type="dxa"/>
            </w:tcMar>
            <w:vAlign w:val="center"/>
          </w:tcPr>
          <w:p w14:paraId="73B4555D">
            <w:pPr>
              <w:widowControl/>
              <w:spacing w:line="260" w:lineRule="exact"/>
              <w:textAlignment w:val="center"/>
              <w:rPr>
                <w:rFonts w:hint="eastAsia" w:ascii="宋体" w:hAnsi="宋体" w:eastAsia="宋体" w:cs="宋体"/>
                <w:kern w:val="0"/>
                <w:sz w:val="18"/>
                <w:szCs w:val="18"/>
                <w:lang w:bidi="ar"/>
              </w:rPr>
            </w:pPr>
          </w:p>
        </w:tc>
        <w:tc>
          <w:tcPr>
            <w:tcW w:w="6855" w:type="dxa"/>
            <w:vMerge w:val="continue"/>
            <w:tcBorders>
              <w:left w:val="single" w:color="auto" w:sz="4" w:space="0"/>
              <w:right w:val="single" w:color="auto" w:sz="4" w:space="0"/>
            </w:tcBorders>
            <w:noWrap w:val="0"/>
            <w:tcMar>
              <w:top w:w="0" w:type="dxa"/>
              <w:left w:w="0" w:type="dxa"/>
              <w:bottom w:w="0" w:type="dxa"/>
              <w:right w:w="0" w:type="dxa"/>
            </w:tcMar>
            <w:vAlign w:val="center"/>
          </w:tcPr>
          <w:p w14:paraId="605DA051">
            <w:pPr>
              <w:widowControl/>
              <w:spacing w:line="260" w:lineRule="exact"/>
              <w:textAlignment w:val="center"/>
              <w:rPr>
                <w:rFonts w:hint="eastAsia" w:ascii="宋体" w:hAnsi="宋体" w:eastAsia="宋体" w:cs="宋体"/>
                <w:kern w:val="0"/>
                <w:sz w:val="18"/>
                <w:szCs w:val="18"/>
                <w:lang w:bidi="ar"/>
              </w:rPr>
            </w:pPr>
          </w:p>
        </w:tc>
        <w:tc>
          <w:tcPr>
            <w:tcW w:w="1469" w:type="dxa"/>
            <w:vMerge w:val="continue"/>
            <w:tcBorders>
              <w:left w:val="single" w:color="auto" w:sz="4" w:space="0"/>
              <w:right w:val="single" w:color="auto" w:sz="4" w:space="0"/>
            </w:tcBorders>
            <w:noWrap w:val="0"/>
            <w:tcMar>
              <w:top w:w="0" w:type="dxa"/>
              <w:left w:w="0" w:type="dxa"/>
              <w:bottom w:w="0" w:type="dxa"/>
              <w:right w:w="0" w:type="dxa"/>
            </w:tcMar>
            <w:vAlign w:val="center"/>
          </w:tcPr>
          <w:p w14:paraId="5E3B82C3">
            <w:pPr>
              <w:widowControl/>
              <w:spacing w:line="260" w:lineRule="exact"/>
              <w:textAlignment w:val="center"/>
              <w:rPr>
                <w:rFonts w:hint="eastAsia" w:ascii="宋体" w:hAnsi="宋体" w:eastAsia="宋体" w:cs="宋体"/>
                <w:kern w:val="0"/>
                <w:sz w:val="18"/>
                <w:szCs w:val="18"/>
                <w:lang w:bidi="ar"/>
              </w:rPr>
            </w:pPr>
          </w:p>
        </w:tc>
        <w:tc>
          <w:tcPr>
            <w:tcW w:w="73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69848D8">
            <w:pPr>
              <w:widowControl/>
              <w:spacing w:line="260" w:lineRule="exact"/>
              <w:jc w:val="center"/>
              <w:textAlignment w:val="center"/>
              <w:rPr>
                <w:rFonts w:hint="eastAsia" w:ascii="宋体" w:hAnsi="宋体" w:eastAsia="宋体" w:cs="宋体"/>
                <w:kern w:val="0"/>
                <w:sz w:val="18"/>
                <w:szCs w:val="18"/>
                <w:lang w:eastAsia="zh-CN" w:bidi="ar"/>
              </w:rPr>
            </w:pPr>
            <w:r>
              <w:rPr>
                <w:rFonts w:hint="eastAsia" w:ascii="宋体" w:hAnsi="宋体" w:eastAsia="宋体" w:cs="宋体"/>
                <w:kern w:val="0"/>
                <w:sz w:val="18"/>
                <w:szCs w:val="18"/>
                <w:lang w:eastAsia="zh-CN" w:bidi="ar"/>
              </w:rPr>
              <w:t>较重</w:t>
            </w:r>
          </w:p>
        </w:tc>
        <w:tc>
          <w:tcPr>
            <w:tcW w:w="173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252E5215">
            <w:pPr>
              <w:widowControl/>
              <w:spacing w:line="260" w:lineRule="exact"/>
              <w:textAlignment w:val="center"/>
              <mc:AlternateContent>
                <mc:Choice Requires="wpsCustomData">
                  <wpsCustomData:diagonalParaType/>
                </mc:Choice>
              </mc:AlternateContent>
              <w:rPr>
                <w:rFonts w:hint="eastAsia" w:ascii="宋体" w:hAnsi="宋体" w:eastAsia="宋体" w:cs="宋体"/>
                <w:kern w:val="0"/>
                <w:sz w:val="18"/>
                <w:szCs w:val="18"/>
                <w:lang w:bidi="ar"/>
              </w:rPr>
            </w:pPr>
          </w:p>
          <w:p w14:paraId="6BCFD3EB">
            <w:pPr>
              <w:widowControl/>
              <w:spacing w:line="260" w:lineRule="exact"/>
              <w:textAlignment w:val="center"/>
              <w:rPr>
                <w:rFonts w:hint="eastAsia" w:ascii="宋体" w:hAnsi="宋体" w:eastAsia="宋体" w:cs="宋体"/>
                <w:kern w:val="0"/>
                <w:sz w:val="18"/>
                <w:szCs w:val="18"/>
                <w:lang w:bidi="ar"/>
              </w:rPr>
            </w:pPr>
          </w:p>
        </w:tc>
        <w:tc>
          <w:tcPr>
            <w:tcW w:w="159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789194E6">
            <w:pPr>
              <w:widowControl/>
              <w:spacing w:line="260" w:lineRule="exact"/>
              <w:textAlignment w:val="center"/>
              <mc:AlternateContent>
                <mc:Choice Requires="wpsCustomData">
                  <wpsCustomData:diagonalParaType/>
                </mc:Choice>
              </mc:AlternateContent>
              <w:rPr>
                <w:rFonts w:hint="eastAsia" w:ascii="宋体" w:hAnsi="宋体" w:eastAsia="宋体" w:cs="宋体"/>
                <w:kern w:val="0"/>
                <w:sz w:val="18"/>
                <w:szCs w:val="18"/>
                <w:lang w:bidi="ar"/>
              </w:rPr>
            </w:pPr>
          </w:p>
          <w:p w14:paraId="47B2288D">
            <w:pPr>
              <w:widowControl/>
              <w:spacing w:line="260" w:lineRule="exact"/>
              <w:textAlignment w:val="center"/>
              <w:rPr>
                <w:rFonts w:hint="eastAsia" w:ascii="宋体" w:hAnsi="宋体" w:eastAsia="宋体" w:cs="宋体"/>
                <w:kern w:val="0"/>
                <w:sz w:val="18"/>
                <w:szCs w:val="18"/>
                <w:lang w:bidi="ar"/>
              </w:rPr>
            </w:pPr>
          </w:p>
        </w:tc>
        <w:tc>
          <w:tcPr>
            <w:tcW w:w="810" w:type="dxa"/>
            <w:vMerge w:val="continue"/>
            <w:tcBorders>
              <w:left w:val="single" w:color="auto" w:sz="4" w:space="0"/>
              <w:right w:val="single" w:color="auto" w:sz="4" w:space="0"/>
            </w:tcBorders>
            <w:noWrap w:val="0"/>
            <w:tcMar>
              <w:top w:w="0" w:type="dxa"/>
              <w:left w:w="0" w:type="dxa"/>
              <w:bottom w:w="0" w:type="dxa"/>
              <w:right w:w="0" w:type="dxa"/>
            </w:tcMar>
            <w:vAlign w:val="center"/>
          </w:tcPr>
          <w:p w14:paraId="3E94564D">
            <w:pPr>
              <w:spacing w:line="260" w:lineRule="exact"/>
              <w:jc w:val="center"/>
              <w:rPr>
                <w:rStyle w:val="21"/>
                <w:rFonts w:hint="eastAsia" w:ascii="宋体" w:hAnsi="宋体" w:eastAsia="宋体" w:cs="宋体"/>
                <w:color w:val="auto"/>
                <w:sz w:val="18"/>
                <w:szCs w:val="18"/>
                <w:lang w:bidi="ar"/>
              </w:rPr>
            </w:pPr>
          </w:p>
        </w:tc>
      </w:tr>
      <w:tr w14:paraId="5B0FDB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07" w:type="dxa"/>
            <w:vMerge w:val="continue"/>
            <w:tcBorders>
              <w:left w:val="single" w:color="auto" w:sz="4" w:space="0"/>
              <w:right w:val="single" w:color="auto" w:sz="4" w:space="0"/>
            </w:tcBorders>
            <w:noWrap w:val="0"/>
            <w:tcMar>
              <w:top w:w="0" w:type="dxa"/>
              <w:left w:w="0" w:type="dxa"/>
              <w:bottom w:w="0" w:type="dxa"/>
              <w:right w:w="0" w:type="dxa"/>
            </w:tcMar>
            <w:vAlign w:val="center"/>
          </w:tcPr>
          <w:p w14:paraId="41366197">
            <w:pPr>
              <w:widowControl/>
              <w:spacing w:line="260" w:lineRule="exact"/>
              <w:textAlignment w:val="center"/>
              <w:rPr>
                <w:rFonts w:hint="eastAsia" w:ascii="宋体" w:hAnsi="宋体" w:eastAsia="宋体" w:cs="宋体"/>
                <w:kern w:val="0"/>
                <w:sz w:val="18"/>
                <w:szCs w:val="18"/>
                <w:lang w:bidi="ar"/>
              </w:rPr>
            </w:pPr>
          </w:p>
        </w:tc>
        <w:tc>
          <w:tcPr>
            <w:tcW w:w="1280" w:type="dxa"/>
            <w:vMerge w:val="continue"/>
            <w:tcBorders>
              <w:left w:val="single" w:color="auto" w:sz="4" w:space="0"/>
              <w:right w:val="single" w:color="auto" w:sz="4" w:space="0"/>
            </w:tcBorders>
            <w:noWrap w:val="0"/>
            <w:tcMar>
              <w:top w:w="0" w:type="dxa"/>
              <w:left w:w="0" w:type="dxa"/>
              <w:bottom w:w="0" w:type="dxa"/>
              <w:right w:w="0" w:type="dxa"/>
            </w:tcMar>
            <w:vAlign w:val="center"/>
          </w:tcPr>
          <w:p w14:paraId="3E632B03">
            <w:pPr>
              <w:widowControl/>
              <w:spacing w:line="260" w:lineRule="exact"/>
              <w:textAlignment w:val="center"/>
              <w:rPr>
                <w:rFonts w:hint="eastAsia" w:ascii="宋体" w:hAnsi="宋体" w:eastAsia="宋体" w:cs="宋体"/>
                <w:kern w:val="0"/>
                <w:sz w:val="18"/>
                <w:szCs w:val="18"/>
                <w:lang w:bidi="ar"/>
              </w:rPr>
            </w:pPr>
          </w:p>
        </w:tc>
        <w:tc>
          <w:tcPr>
            <w:tcW w:w="6855" w:type="dxa"/>
            <w:vMerge w:val="continue"/>
            <w:tcBorders>
              <w:left w:val="single" w:color="auto" w:sz="4" w:space="0"/>
              <w:right w:val="single" w:color="auto" w:sz="4" w:space="0"/>
            </w:tcBorders>
            <w:noWrap w:val="0"/>
            <w:tcMar>
              <w:top w:w="0" w:type="dxa"/>
              <w:left w:w="0" w:type="dxa"/>
              <w:bottom w:w="0" w:type="dxa"/>
              <w:right w:w="0" w:type="dxa"/>
            </w:tcMar>
            <w:vAlign w:val="center"/>
          </w:tcPr>
          <w:p w14:paraId="47E557A2">
            <w:pPr>
              <w:widowControl/>
              <w:spacing w:line="260" w:lineRule="exact"/>
              <w:textAlignment w:val="center"/>
              <w:rPr>
                <w:rFonts w:hint="eastAsia" w:ascii="宋体" w:hAnsi="宋体" w:eastAsia="宋体" w:cs="宋体"/>
                <w:kern w:val="0"/>
                <w:sz w:val="18"/>
                <w:szCs w:val="18"/>
                <w:lang w:bidi="ar"/>
              </w:rPr>
            </w:pPr>
          </w:p>
        </w:tc>
        <w:tc>
          <w:tcPr>
            <w:tcW w:w="1469" w:type="dxa"/>
            <w:vMerge w:val="continue"/>
            <w:tcBorders>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D247206">
            <w:pPr>
              <w:widowControl/>
              <w:spacing w:line="260" w:lineRule="exact"/>
              <w:textAlignment w:val="center"/>
              <w:rPr>
                <w:rFonts w:hint="eastAsia" w:ascii="宋体" w:hAnsi="宋体" w:eastAsia="宋体" w:cs="宋体"/>
                <w:kern w:val="0"/>
                <w:sz w:val="18"/>
                <w:szCs w:val="18"/>
                <w:lang w:bidi="ar"/>
              </w:rPr>
            </w:pPr>
          </w:p>
        </w:tc>
        <w:tc>
          <w:tcPr>
            <w:tcW w:w="73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E6881A8">
            <w:pPr>
              <w:widowControl/>
              <w:spacing w:line="260" w:lineRule="exact"/>
              <w:jc w:val="center"/>
              <w:textAlignment w:val="center"/>
              <w:rPr>
                <w:rFonts w:hint="eastAsia" w:ascii="宋体" w:hAnsi="宋体" w:eastAsia="宋体" w:cs="宋体"/>
                <w:kern w:val="0"/>
                <w:sz w:val="18"/>
                <w:szCs w:val="18"/>
                <w:lang w:bidi="ar"/>
              </w:rPr>
            </w:pPr>
            <w:r>
              <w:rPr>
                <w:rFonts w:hint="eastAsia" w:ascii="宋体" w:hAnsi="宋体" w:eastAsia="宋体" w:cs="宋体"/>
                <w:kern w:val="0"/>
                <w:sz w:val="18"/>
                <w:szCs w:val="18"/>
                <w:lang w:bidi="ar"/>
              </w:rPr>
              <w:t>严重</w:t>
            </w:r>
          </w:p>
        </w:tc>
        <w:tc>
          <w:tcPr>
            <w:tcW w:w="173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370DDF92">
            <w:pPr>
              <w:widowControl/>
              <w:spacing w:line="260" w:lineRule="exact"/>
              <w:textAlignment w:val="center"/>
              <mc:AlternateContent>
                <mc:Choice Requires="wpsCustomData">
                  <wpsCustomData:diagonalParaType/>
                </mc:Choice>
              </mc:AlternateContent>
              <w:rPr>
                <w:rFonts w:hint="eastAsia" w:ascii="宋体" w:hAnsi="宋体" w:eastAsia="宋体" w:cs="宋体"/>
                <w:kern w:val="0"/>
                <w:sz w:val="18"/>
                <w:szCs w:val="18"/>
                <w:lang w:bidi="ar"/>
              </w:rPr>
            </w:pPr>
          </w:p>
          <w:p w14:paraId="09A1D23A">
            <w:pPr>
              <w:widowControl/>
              <w:spacing w:line="260" w:lineRule="exact"/>
              <w:textAlignment w:val="center"/>
              <w:rPr>
                <w:rFonts w:hint="eastAsia" w:ascii="宋体" w:hAnsi="宋体" w:eastAsia="宋体" w:cs="宋体"/>
                <w:kern w:val="0"/>
                <w:sz w:val="18"/>
                <w:szCs w:val="18"/>
                <w:lang w:bidi="ar"/>
              </w:rPr>
            </w:pPr>
          </w:p>
        </w:tc>
        <w:tc>
          <w:tcPr>
            <w:tcW w:w="159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46EB7EF6">
            <w:pPr>
              <w:widowControl/>
              <w:spacing w:line="260" w:lineRule="exact"/>
              <w:textAlignment w:val="center"/>
              <mc:AlternateContent>
                <mc:Choice Requires="wpsCustomData">
                  <wpsCustomData:diagonalParaType/>
                </mc:Choice>
              </mc:AlternateContent>
              <w:rPr>
                <w:rFonts w:hint="eastAsia" w:ascii="宋体" w:hAnsi="宋体" w:eastAsia="宋体" w:cs="宋体"/>
                <w:kern w:val="0"/>
                <w:sz w:val="18"/>
                <w:szCs w:val="18"/>
                <w:lang w:bidi="ar"/>
              </w:rPr>
            </w:pPr>
          </w:p>
          <w:p w14:paraId="504AE529">
            <w:pPr>
              <w:widowControl/>
              <w:spacing w:line="260" w:lineRule="exact"/>
              <w:textAlignment w:val="center"/>
              <w:rPr>
                <w:rFonts w:hint="eastAsia" w:ascii="宋体" w:hAnsi="宋体" w:eastAsia="宋体" w:cs="宋体"/>
                <w:kern w:val="0"/>
                <w:sz w:val="18"/>
                <w:szCs w:val="18"/>
                <w:lang w:bidi="ar"/>
              </w:rPr>
            </w:pPr>
          </w:p>
        </w:tc>
        <w:tc>
          <w:tcPr>
            <w:tcW w:w="810" w:type="dxa"/>
            <w:vMerge w:val="continue"/>
            <w:tcBorders>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90DB88B">
            <w:pPr>
              <w:spacing w:line="260" w:lineRule="exact"/>
              <w:jc w:val="center"/>
              <w:rPr>
                <w:rStyle w:val="21"/>
                <w:rFonts w:hint="eastAsia" w:ascii="宋体" w:hAnsi="宋体" w:eastAsia="宋体" w:cs="宋体"/>
                <w:color w:val="auto"/>
                <w:sz w:val="18"/>
                <w:szCs w:val="18"/>
                <w:lang w:bidi="ar"/>
              </w:rPr>
            </w:pPr>
          </w:p>
        </w:tc>
      </w:tr>
    </w:tbl>
    <w:p w14:paraId="028582F8">
      <w:pPr>
        <w:pStyle w:val="2"/>
        <w:spacing w:line="600" w:lineRule="exact"/>
        <w:rPr>
          <w:rFonts w:ascii="仿宋_GB2312" w:hAnsi="仿宋_GB2312" w:eastAsia="仿宋_GB2312" w:cs="仿宋_GB2312"/>
        </w:rPr>
        <w:sectPr>
          <w:footerReference r:id="rId11" w:type="default"/>
          <w:footerReference r:id="rId12" w:type="even"/>
          <w:pgSz w:w="16838" w:h="11906" w:orient="landscape"/>
          <w:pgMar w:top="1134" w:right="1134" w:bottom="1134" w:left="1134" w:header="851" w:footer="964" w:gutter="0"/>
          <w:pgNumType w:fmt="decimal"/>
          <w:cols w:space="0" w:num="1"/>
          <w:rtlGutter w:val="0"/>
          <w:docGrid w:type="lines" w:linePitch="312" w:charSpace="0"/>
        </w:sectPr>
      </w:pPr>
    </w:p>
    <w:p w14:paraId="3A53236B">
      <w:pPr>
        <w:spacing w:line="600" w:lineRule="exact"/>
        <w:jc w:val="center"/>
        <w:rPr>
          <w:rFonts w:hint="eastAsia" w:eastAsia="黑体"/>
        </w:rPr>
      </w:pPr>
      <w:r>
        <w:rPr>
          <w:rFonts w:hint="eastAsia" w:ascii="黑体" w:hAnsi="黑体" w:eastAsia="黑体" w:cs="黑体"/>
          <w:sz w:val="32"/>
          <w:szCs w:val="32"/>
        </w:rPr>
        <w:t>第</w:t>
      </w:r>
      <w:r>
        <w:rPr>
          <w:rFonts w:hint="eastAsia" w:ascii="黑体" w:hAnsi="黑体" w:eastAsia="黑体" w:cs="黑体"/>
          <w:sz w:val="32"/>
          <w:szCs w:val="32"/>
          <w:lang w:eastAsia="zh-CN"/>
        </w:rPr>
        <w:t>五</w:t>
      </w:r>
      <w:r>
        <w:rPr>
          <w:rFonts w:hint="eastAsia" w:ascii="黑体" w:hAnsi="黑体" w:eastAsia="黑体" w:cs="黑体"/>
          <w:sz w:val="32"/>
          <w:szCs w:val="32"/>
        </w:rPr>
        <w:t xml:space="preserve">部分 </w:t>
      </w:r>
      <w:r>
        <w:rPr>
          <w:rFonts w:hint="eastAsia" w:ascii="黑体" w:hAnsi="黑体" w:eastAsia="黑体" w:cs="黑体"/>
          <w:sz w:val="32"/>
          <w:szCs w:val="32"/>
          <w:lang w:val="en-US" w:eastAsia="zh-CN"/>
        </w:rPr>
        <w:t xml:space="preserve"> </w:t>
      </w:r>
      <w:r>
        <w:rPr>
          <w:rFonts w:hint="eastAsia" w:ascii="黑体" w:hAnsi="黑体" w:eastAsia="黑体" w:cs="黑体"/>
          <w:color w:val="000000"/>
          <w:sz w:val="32"/>
          <w:szCs w:val="32"/>
        </w:rPr>
        <w:t>水土保持管理类</w:t>
      </w:r>
    </w:p>
    <w:tbl>
      <w:tblPr>
        <w:tblStyle w:val="13"/>
        <w:tblW w:w="150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10"/>
        <w:gridCol w:w="1260"/>
        <w:gridCol w:w="3895"/>
        <w:gridCol w:w="2342"/>
        <w:gridCol w:w="623"/>
        <w:gridCol w:w="3060"/>
        <w:gridCol w:w="2360"/>
        <w:gridCol w:w="958"/>
      </w:tblGrid>
      <w:tr w14:paraId="7DE860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jc w:val="center"/>
        </w:trPr>
        <w:tc>
          <w:tcPr>
            <w:tcW w:w="51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E0D9A37">
            <w:pPr>
              <w:spacing w:line="260" w:lineRule="exact"/>
              <w:jc w:val="center"/>
              <w:rPr>
                <w:rFonts w:hint="eastAsia" w:ascii="黑体" w:hAnsi="黑体" w:eastAsia="黑体" w:cs="黑体"/>
                <w:sz w:val="18"/>
                <w:szCs w:val="18"/>
              </w:rPr>
            </w:pPr>
            <w:r>
              <w:rPr>
                <w:rFonts w:hint="eastAsia" w:ascii="黑体" w:hAnsi="黑体" w:eastAsia="黑体" w:cs="黑体"/>
                <w:sz w:val="18"/>
                <w:szCs w:val="18"/>
              </w:rPr>
              <w:t>序号</w:t>
            </w:r>
          </w:p>
        </w:tc>
        <w:tc>
          <w:tcPr>
            <w:tcW w:w="126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07AF458">
            <w:pPr>
              <w:spacing w:line="260" w:lineRule="exact"/>
              <w:jc w:val="center"/>
              <w:rPr>
                <w:rFonts w:hint="eastAsia" w:ascii="黑体" w:hAnsi="黑体" w:eastAsia="黑体" w:cs="黑体"/>
                <w:sz w:val="18"/>
                <w:szCs w:val="18"/>
              </w:rPr>
            </w:pPr>
            <w:r>
              <w:rPr>
                <w:rFonts w:hint="eastAsia" w:ascii="黑体" w:hAnsi="黑体" w:eastAsia="黑体" w:cs="黑体"/>
                <w:sz w:val="18"/>
                <w:szCs w:val="18"/>
              </w:rPr>
              <w:t>违法行为</w:t>
            </w:r>
          </w:p>
        </w:tc>
        <w:tc>
          <w:tcPr>
            <w:tcW w:w="389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B2109AB">
            <w:pPr>
              <w:spacing w:line="260" w:lineRule="exact"/>
              <w:jc w:val="center"/>
              <w:rPr>
                <w:rFonts w:hint="eastAsia" w:ascii="黑体" w:hAnsi="黑体" w:eastAsia="黑体" w:cs="黑体"/>
                <w:sz w:val="18"/>
                <w:szCs w:val="18"/>
              </w:rPr>
            </w:pPr>
            <w:r>
              <w:rPr>
                <w:rFonts w:hint="eastAsia" w:ascii="黑体" w:hAnsi="黑体" w:eastAsia="黑体" w:cs="黑体"/>
                <w:sz w:val="18"/>
                <w:szCs w:val="18"/>
              </w:rPr>
              <w:t>法定依据</w:t>
            </w:r>
          </w:p>
        </w:tc>
        <w:tc>
          <w:tcPr>
            <w:tcW w:w="2342"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0130C99">
            <w:pPr>
              <w:spacing w:line="260" w:lineRule="exact"/>
              <w:jc w:val="center"/>
              <w:rPr>
                <w:rFonts w:hint="eastAsia" w:ascii="黑体" w:hAnsi="黑体" w:eastAsia="黑体" w:cs="黑体"/>
                <w:sz w:val="18"/>
                <w:szCs w:val="18"/>
              </w:rPr>
            </w:pPr>
            <w:r>
              <w:rPr>
                <w:rFonts w:hint="eastAsia" w:ascii="黑体" w:hAnsi="黑体" w:eastAsia="黑体" w:cs="黑体"/>
                <w:sz w:val="18"/>
                <w:szCs w:val="18"/>
              </w:rPr>
              <w:t>违法情形</w:t>
            </w:r>
          </w:p>
        </w:tc>
        <w:tc>
          <w:tcPr>
            <w:tcW w:w="6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06492B6">
            <w:pPr>
              <w:spacing w:line="260" w:lineRule="exact"/>
              <w:jc w:val="center"/>
              <w:rPr>
                <w:rFonts w:hint="eastAsia" w:ascii="黑体" w:hAnsi="黑体" w:eastAsia="黑体" w:cs="黑体"/>
                <w:sz w:val="18"/>
                <w:szCs w:val="18"/>
              </w:rPr>
            </w:pPr>
            <w:r>
              <w:rPr>
                <w:rFonts w:hint="eastAsia" w:ascii="黑体" w:hAnsi="黑体" w:eastAsia="黑体" w:cs="黑体"/>
                <w:sz w:val="18"/>
                <w:szCs w:val="18"/>
              </w:rPr>
              <w:t>裁量</w:t>
            </w:r>
          </w:p>
          <w:p w14:paraId="2C5DE6BA">
            <w:pPr>
              <w:spacing w:line="260" w:lineRule="exact"/>
              <w:jc w:val="center"/>
              <w:rPr>
                <w:rFonts w:hint="eastAsia" w:ascii="黑体" w:hAnsi="黑体" w:eastAsia="黑体" w:cs="黑体"/>
                <w:sz w:val="18"/>
                <w:szCs w:val="18"/>
              </w:rPr>
            </w:pPr>
            <w:r>
              <w:rPr>
                <w:rFonts w:hint="eastAsia" w:ascii="黑体" w:hAnsi="黑体" w:eastAsia="黑体" w:cs="黑体"/>
                <w:sz w:val="18"/>
                <w:szCs w:val="18"/>
              </w:rPr>
              <w:t>幅度</w:t>
            </w:r>
          </w:p>
        </w:tc>
        <w:tc>
          <w:tcPr>
            <w:tcW w:w="306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9817E96">
            <w:pPr>
              <w:spacing w:line="260" w:lineRule="exact"/>
              <w:jc w:val="center"/>
              <w:rPr>
                <w:rFonts w:hint="eastAsia" w:ascii="黑体" w:hAnsi="黑体" w:eastAsia="黑体" w:cs="黑体"/>
                <w:sz w:val="18"/>
                <w:szCs w:val="18"/>
              </w:rPr>
            </w:pPr>
            <w:r>
              <w:rPr>
                <w:rFonts w:hint="eastAsia" w:ascii="黑体" w:hAnsi="黑体" w:eastAsia="黑体" w:cs="黑体"/>
                <w:sz w:val="18"/>
                <w:szCs w:val="18"/>
              </w:rPr>
              <w:t>适用条件</w:t>
            </w:r>
          </w:p>
        </w:tc>
        <w:tc>
          <w:tcPr>
            <w:tcW w:w="236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FD8F90B">
            <w:pPr>
              <w:spacing w:line="260" w:lineRule="exact"/>
              <w:jc w:val="center"/>
              <w:rPr>
                <w:rFonts w:hint="eastAsia" w:ascii="黑体" w:hAnsi="黑体" w:eastAsia="黑体" w:cs="黑体"/>
                <w:sz w:val="18"/>
                <w:szCs w:val="18"/>
              </w:rPr>
            </w:pPr>
            <w:r>
              <w:rPr>
                <w:rFonts w:hint="eastAsia" w:ascii="黑体" w:hAnsi="黑体" w:eastAsia="黑体" w:cs="黑体"/>
                <w:sz w:val="18"/>
                <w:szCs w:val="18"/>
              </w:rPr>
              <w:t>裁量基准</w:t>
            </w:r>
          </w:p>
        </w:tc>
        <w:tc>
          <w:tcPr>
            <w:tcW w:w="958"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E435815">
            <w:pPr>
              <w:spacing w:line="260" w:lineRule="exact"/>
              <w:jc w:val="center"/>
              <w:rPr>
                <w:rFonts w:hint="eastAsia" w:ascii="黑体" w:hAnsi="黑体" w:eastAsia="黑体" w:cs="黑体"/>
                <w:sz w:val="18"/>
                <w:szCs w:val="18"/>
                <w:lang w:val="en-US" w:eastAsia="zh-CN"/>
              </w:rPr>
            </w:pPr>
            <w:r>
              <w:rPr>
                <w:rFonts w:hint="eastAsia" w:ascii="黑体" w:hAnsi="黑体" w:eastAsia="黑体" w:cs="黑体"/>
                <w:sz w:val="18"/>
                <w:szCs w:val="18"/>
                <w:lang w:val="en-US" w:eastAsia="zh-CN"/>
              </w:rPr>
              <w:t>备注</w:t>
            </w:r>
          </w:p>
        </w:tc>
      </w:tr>
      <w:tr w14:paraId="36AE6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10" w:type="dxa"/>
            <w:vMerge w:val="restart"/>
            <w:tcBorders>
              <w:left w:val="single" w:color="auto" w:sz="4" w:space="0"/>
              <w:right w:val="single" w:color="auto" w:sz="4" w:space="0"/>
            </w:tcBorders>
            <w:noWrap w:val="0"/>
            <w:tcMar>
              <w:top w:w="0" w:type="dxa"/>
              <w:left w:w="0" w:type="dxa"/>
              <w:bottom w:w="0" w:type="dxa"/>
              <w:right w:w="0" w:type="dxa"/>
            </w:tcMar>
            <w:vAlign w:val="center"/>
          </w:tcPr>
          <w:p w14:paraId="33BD3919">
            <w:pPr>
              <w:widowControl/>
              <w:spacing w:line="260" w:lineRule="exact"/>
              <w:jc w:val="center"/>
              <w:textAlignment w:val="center"/>
              <w:rPr>
                <w:rFonts w:hint="eastAsia" w:ascii="宋体" w:hAnsi="宋体" w:eastAsia="宋体" w:cs="宋体"/>
                <w:sz w:val="18"/>
                <w:szCs w:val="18"/>
              </w:rPr>
            </w:pPr>
            <w:r>
              <w:rPr>
                <w:rFonts w:hint="eastAsia" w:ascii="宋体" w:hAnsi="宋体" w:eastAsia="宋体" w:cs="宋体"/>
                <w:color w:val="000000"/>
                <w:kern w:val="0"/>
                <w:sz w:val="18"/>
                <w:szCs w:val="18"/>
                <w:lang w:bidi="ar"/>
              </w:rPr>
              <w:t>45</w:t>
            </w:r>
          </w:p>
        </w:tc>
        <w:tc>
          <w:tcPr>
            <w:tcW w:w="1260" w:type="dxa"/>
            <w:vMerge w:val="restart"/>
            <w:tcBorders>
              <w:left w:val="single" w:color="auto" w:sz="4" w:space="0"/>
              <w:right w:val="single" w:color="auto" w:sz="4" w:space="0"/>
            </w:tcBorders>
            <w:noWrap w:val="0"/>
            <w:tcMar>
              <w:top w:w="0" w:type="dxa"/>
              <w:left w:w="0" w:type="dxa"/>
              <w:bottom w:w="0" w:type="dxa"/>
              <w:right w:w="0" w:type="dxa"/>
            </w:tcMar>
            <w:vAlign w:val="center"/>
          </w:tcPr>
          <w:p w14:paraId="6A033FE6">
            <w:pPr>
              <w:widowControl/>
              <w:spacing w:line="260" w:lineRule="exact"/>
              <w:jc w:val="both"/>
              <w:textAlignment w:val="center"/>
              <w:rPr>
                <w:rFonts w:hint="eastAsia" w:ascii="宋体" w:hAnsi="宋体" w:eastAsia="宋体" w:cs="宋体"/>
                <w:kern w:val="0"/>
                <w:sz w:val="18"/>
                <w:szCs w:val="18"/>
                <w:lang w:bidi="ar"/>
              </w:rPr>
            </w:pPr>
            <w:r>
              <w:rPr>
                <w:rFonts w:hint="eastAsia" w:ascii="宋体" w:hAnsi="宋体" w:eastAsia="宋体" w:cs="宋体"/>
                <w:color w:val="000000"/>
                <w:kern w:val="0"/>
                <w:sz w:val="18"/>
                <w:szCs w:val="18"/>
                <w:lang w:bidi="ar"/>
              </w:rPr>
              <w:t>对在崩塌、滑坡危险区或者泥石流易发区从事取土、挖砂、采石等可能造成水土流失活动行为的行政处罚</w:t>
            </w:r>
          </w:p>
        </w:tc>
        <w:tc>
          <w:tcPr>
            <w:tcW w:w="3895" w:type="dxa"/>
            <w:vMerge w:val="restart"/>
            <w:tcBorders>
              <w:top w:val="single" w:color="auto" w:sz="4" w:space="0"/>
              <w:left w:val="single" w:color="auto" w:sz="4" w:space="0"/>
              <w:right w:val="single" w:color="auto" w:sz="4" w:space="0"/>
            </w:tcBorders>
            <w:noWrap w:val="0"/>
            <w:tcMar>
              <w:top w:w="0" w:type="dxa"/>
              <w:left w:w="0" w:type="dxa"/>
              <w:bottom w:w="0" w:type="dxa"/>
              <w:right w:w="0" w:type="dxa"/>
            </w:tcMar>
            <w:vAlign w:val="center"/>
          </w:tcPr>
          <w:p w14:paraId="4A789982">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《中华人民共和国水土保持法》第四十八条 违反本法规定，在崩塌、滑坡危险区或者泥石流易发区从事取土、挖砂、采石等可能造成水土流失的活动的，由县级以上地方人民政府水行政主管部门责令停止违法行为，没收违法所得，对个人处一千元以上一万元以下的罚款，对单位处二万元以上二十万元以下的罚款。</w:t>
            </w:r>
          </w:p>
          <w:p w14:paraId="05FEBD7B">
            <w:pPr>
              <w:widowControl/>
              <w:spacing w:line="260" w:lineRule="exact"/>
              <w:jc w:val="both"/>
              <w:textAlignment w:val="center"/>
              <w:rPr>
                <w:rFonts w:hint="eastAsia" w:ascii="宋体" w:hAnsi="宋体" w:eastAsia="宋体" w:cs="宋体"/>
                <w:kern w:val="0"/>
                <w:sz w:val="18"/>
                <w:szCs w:val="18"/>
                <w:lang w:bidi="ar"/>
              </w:rPr>
            </w:pPr>
            <w:r>
              <w:rPr>
                <w:rFonts w:hint="eastAsia" w:ascii="宋体" w:hAnsi="宋体" w:eastAsia="宋体" w:cs="宋体"/>
                <w:color w:val="000000"/>
                <w:kern w:val="0"/>
                <w:sz w:val="18"/>
                <w:szCs w:val="18"/>
                <w:lang w:bidi="ar"/>
              </w:rPr>
              <w:t>《河北省实施中华人民共和国水土保持法办法》第四十条　违反本办法规定，在崩塌、滑坡危险区或者泥石流易发区从事取土、挖砂、采石等可能造成水土流失的活动的，由县级以上人民政府水行政主管部门责令停止违法行为，没收违法所得，对个人处一千元以上三千元以下的罚款，对单位处五万元以上十万元以下的罚款；造成严重后果的，对个人处三千元以上一万元以下的罚款，对单位处十万元以上二十万元以下的罚款。</w:t>
            </w:r>
          </w:p>
        </w:tc>
        <w:tc>
          <w:tcPr>
            <w:tcW w:w="2342" w:type="dxa"/>
            <w:vMerge w:val="restart"/>
            <w:tcBorders>
              <w:top w:val="single" w:color="auto" w:sz="4" w:space="0"/>
              <w:left w:val="single" w:color="auto" w:sz="4" w:space="0"/>
              <w:right w:val="single" w:color="auto" w:sz="4" w:space="0"/>
            </w:tcBorders>
            <w:noWrap w:val="0"/>
            <w:tcMar>
              <w:top w:w="0" w:type="dxa"/>
              <w:left w:w="0" w:type="dxa"/>
              <w:bottom w:w="0" w:type="dxa"/>
              <w:right w:w="0" w:type="dxa"/>
            </w:tcMar>
            <w:vAlign w:val="center"/>
          </w:tcPr>
          <w:p w14:paraId="110D558E">
            <w:pPr>
              <w:spacing w:line="260" w:lineRule="exact"/>
              <w:jc w:val="both"/>
              <w:rPr>
                <w:rFonts w:hint="eastAsia" w:ascii="宋体" w:hAnsi="宋体" w:eastAsia="宋体" w:cs="宋体"/>
                <w:sz w:val="18"/>
                <w:szCs w:val="18"/>
              </w:rPr>
            </w:pPr>
            <w:r>
              <w:rPr>
                <w:rFonts w:hint="eastAsia" w:ascii="宋体" w:hAnsi="宋体" w:eastAsia="宋体" w:cs="宋体"/>
                <w:color w:val="000000"/>
                <w:kern w:val="0"/>
                <w:sz w:val="18"/>
                <w:szCs w:val="18"/>
                <w:lang w:bidi="ar"/>
              </w:rPr>
              <w:t>在崩塌、滑坡危险区或者泥石流易发区从事取土、挖砂、采石等可能造成水土流失活动行为的</w:t>
            </w:r>
          </w:p>
        </w:tc>
        <w:tc>
          <w:tcPr>
            <w:tcW w:w="6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85D5E90">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轻微</w:t>
            </w:r>
          </w:p>
        </w:tc>
        <w:tc>
          <w:tcPr>
            <w:tcW w:w="306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226A45BF">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4154FEEE">
            <w:pPr>
              <w:spacing w:line="260" w:lineRule="exact"/>
              <w:rPr>
                <w:rFonts w:hint="eastAsia" w:ascii="宋体" w:hAnsi="宋体" w:eastAsia="宋体" w:cs="宋体"/>
                <w:color w:val="000000"/>
                <w:kern w:val="0"/>
                <w:sz w:val="18"/>
                <w:szCs w:val="18"/>
                <w:lang w:bidi="ar"/>
              </w:rPr>
            </w:pPr>
          </w:p>
        </w:tc>
        <w:tc>
          <w:tcPr>
            <w:tcW w:w="236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077385AB">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602046A0">
            <w:pPr>
              <w:spacing w:line="260" w:lineRule="exact"/>
              <w:rPr>
                <w:rFonts w:hint="eastAsia" w:ascii="宋体" w:hAnsi="宋体" w:eastAsia="宋体" w:cs="宋体"/>
                <w:color w:val="000000"/>
                <w:kern w:val="0"/>
                <w:sz w:val="18"/>
                <w:szCs w:val="18"/>
                <w:lang w:bidi="ar"/>
              </w:rPr>
            </w:pPr>
          </w:p>
        </w:tc>
        <w:tc>
          <w:tcPr>
            <w:tcW w:w="958" w:type="dxa"/>
            <w:vMerge w:val="restart"/>
            <w:tcBorders>
              <w:top w:val="single" w:color="auto" w:sz="4" w:space="0"/>
              <w:left w:val="single" w:color="auto" w:sz="4" w:space="0"/>
              <w:right w:val="single" w:color="auto" w:sz="4" w:space="0"/>
            </w:tcBorders>
            <w:noWrap w:val="0"/>
            <w:tcMar>
              <w:top w:w="0" w:type="dxa"/>
              <w:left w:w="0" w:type="dxa"/>
              <w:bottom w:w="0" w:type="dxa"/>
              <w:right w:w="0" w:type="dxa"/>
            </w:tcMar>
            <w:vAlign w:val="center"/>
          </w:tcPr>
          <w:p w14:paraId="36D7E24F">
            <w:pPr>
              <w:widowControl/>
              <w:spacing w:line="260" w:lineRule="exact"/>
              <w:jc w:val="center"/>
              <w:textAlignment w:val="center"/>
              <w:rPr>
                <w:rFonts w:hint="eastAsia" w:ascii="宋体" w:hAnsi="宋体" w:eastAsia="宋体" w:cs="宋体"/>
                <w:color w:val="000000"/>
                <w:kern w:val="0"/>
                <w:sz w:val="18"/>
                <w:szCs w:val="18"/>
                <w:lang w:bidi="ar"/>
              </w:rPr>
            </w:pPr>
          </w:p>
        </w:tc>
      </w:tr>
      <w:tr w14:paraId="2CCA83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10" w:type="dxa"/>
            <w:vMerge w:val="continue"/>
            <w:tcBorders>
              <w:left w:val="single" w:color="auto" w:sz="4" w:space="0"/>
              <w:right w:val="single" w:color="auto" w:sz="4" w:space="0"/>
            </w:tcBorders>
            <w:noWrap w:val="0"/>
            <w:tcMar>
              <w:top w:w="0" w:type="dxa"/>
              <w:left w:w="0" w:type="dxa"/>
              <w:bottom w:w="0" w:type="dxa"/>
              <w:right w:w="0" w:type="dxa"/>
            </w:tcMar>
            <w:vAlign w:val="center"/>
          </w:tcPr>
          <w:p w14:paraId="3EAEB397">
            <w:pPr>
              <w:spacing w:line="260" w:lineRule="exact"/>
              <w:jc w:val="center"/>
              <w:rPr>
                <w:rFonts w:hint="eastAsia" w:ascii="宋体" w:hAnsi="宋体" w:eastAsia="宋体" w:cs="宋体"/>
                <w:sz w:val="18"/>
                <w:szCs w:val="18"/>
              </w:rPr>
            </w:pPr>
          </w:p>
        </w:tc>
        <w:tc>
          <w:tcPr>
            <w:tcW w:w="1260" w:type="dxa"/>
            <w:vMerge w:val="continue"/>
            <w:tcBorders>
              <w:left w:val="single" w:color="auto" w:sz="4" w:space="0"/>
              <w:right w:val="single" w:color="auto" w:sz="4" w:space="0"/>
            </w:tcBorders>
            <w:noWrap w:val="0"/>
            <w:tcMar>
              <w:top w:w="0" w:type="dxa"/>
              <w:left w:w="0" w:type="dxa"/>
              <w:bottom w:w="0" w:type="dxa"/>
              <w:right w:w="0" w:type="dxa"/>
            </w:tcMar>
            <w:vAlign w:val="center"/>
          </w:tcPr>
          <w:p w14:paraId="0D386AE0">
            <w:pPr>
              <w:widowControl/>
              <w:spacing w:line="260" w:lineRule="exact"/>
              <w:textAlignment w:val="center"/>
              <w:rPr>
                <w:rFonts w:hint="eastAsia" w:ascii="宋体" w:hAnsi="宋体" w:eastAsia="宋体" w:cs="宋体"/>
                <w:kern w:val="0"/>
                <w:sz w:val="18"/>
                <w:szCs w:val="18"/>
                <w:lang w:bidi="ar"/>
              </w:rPr>
            </w:pPr>
          </w:p>
        </w:tc>
        <w:tc>
          <w:tcPr>
            <w:tcW w:w="3895" w:type="dxa"/>
            <w:vMerge w:val="continue"/>
            <w:tcBorders>
              <w:left w:val="single" w:color="auto" w:sz="4" w:space="0"/>
              <w:right w:val="single" w:color="auto" w:sz="4" w:space="0"/>
            </w:tcBorders>
            <w:noWrap w:val="0"/>
            <w:tcMar>
              <w:top w:w="0" w:type="dxa"/>
              <w:left w:w="0" w:type="dxa"/>
              <w:bottom w:w="0" w:type="dxa"/>
              <w:right w:w="0" w:type="dxa"/>
            </w:tcMar>
            <w:vAlign w:val="center"/>
          </w:tcPr>
          <w:p w14:paraId="6C003E52">
            <w:pPr>
              <w:widowControl/>
              <w:spacing w:line="260" w:lineRule="exact"/>
              <w:ind w:firstLine="360" w:firstLineChars="200"/>
              <w:textAlignment w:val="center"/>
              <w:rPr>
                <w:rFonts w:hint="eastAsia" w:ascii="宋体" w:hAnsi="宋体" w:eastAsia="宋体" w:cs="宋体"/>
                <w:kern w:val="0"/>
                <w:sz w:val="18"/>
                <w:szCs w:val="18"/>
                <w:lang w:bidi="ar"/>
              </w:rPr>
            </w:pPr>
          </w:p>
        </w:tc>
        <w:tc>
          <w:tcPr>
            <w:tcW w:w="2342" w:type="dxa"/>
            <w:vMerge w:val="continue"/>
            <w:tcBorders>
              <w:left w:val="single" w:color="auto" w:sz="4" w:space="0"/>
              <w:right w:val="single" w:color="auto" w:sz="4" w:space="0"/>
            </w:tcBorders>
            <w:noWrap w:val="0"/>
            <w:tcMar>
              <w:top w:w="0" w:type="dxa"/>
              <w:left w:w="0" w:type="dxa"/>
              <w:bottom w:w="0" w:type="dxa"/>
              <w:right w:w="0" w:type="dxa"/>
            </w:tcMar>
            <w:vAlign w:val="center"/>
          </w:tcPr>
          <w:p w14:paraId="741B0D6C">
            <w:pPr>
              <w:spacing w:line="260" w:lineRule="exact"/>
              <w:jc w:val="both"/>
              <w:rPr>
                <w:rFonts w:hint="eastAsia" w:ascii="宋体" w:hAnsi="宋体" w:eastAsia="宋体" w:cs="宋体"/>
                <w:sz w:val="18"/>
                <w:szCs w:val="18"/>
              </w:rPr>
            </w:pPr>
          </w:p>
        </w:tc>
        <w:tc>
          <w:tcPr>
            <w:tcW w:w="6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1A65B99">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较轻</w:t>
            </w:r>
          </w:p>
        </w:tc>
        <w:tc>
          <w:tcPr>
            <w:tcW w:w="306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FFE0F30">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取土、挖砂、采石200立方米以下</w:t>
            </w:r>
          </w:p>
        </w:tc>
        <w:tc>
          <w:tcPr>
            <w:tcW w:w="236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9400B81">
            <w:pPr>
              <w:widowControl/>
              <w:spacing w:line="24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没收违法所得，对个人处</w:t>
            </w:r>
            <w:r>
              <w:rPr>
                <w:rFonts w:hint="eastAsia" w:ascii="宋体" w:hAnsi="宋体" w:eastAsia="宋体" w:cs="宋体"/>
                <w:color w:val="000000"/>
                <w:kern w:val="0"/>
                <w:sz w:val="18"/>
                <w:szCs w:val="18"/>
                <w:lang w:val="en-US" w:eastAsia="zh-CN" w:bidi="ar"/>
              </w:rPr>
              <w:t>1</w:t>
            </w:r>
            <w:r>
              <w:rPr>
                <w:rFonts w:hint="eastAsia" w:ascii="宋体" w:hAnsi="宋体" w:eastAsia="宋体" w:cs="宋体"/>
                <w:color w:val="000000"/>
                <w:kern w:val="0"/>
                <w:sz w:val="18"/>
                <w:szCs w:val="18"/>
                <w:lang w:bidi="ar"/>
              </w:rPr>
              <w:t>千元以上</w:t>
            </w:r>
            <w:r>
              <w:rPr>
                <w:rFonts w:hint="eastAsia" w:ascii="宋体" w:hAnsi="宋体" w:eastAsia="宋体" w:cs="宋体"/>
                <w:color w:val="000000"/>
                <w:kern w:val="0"/>
                <w:sz w:val="18"/>
                <w:szCs w:val="18"/>
                <w:lang w:val="en-US" w:eastAsia="zh-CN" w:bidi="ar"/>
              </w:rPr>
              <w:t>3</w:t>
            </w:r>
            <w:r>
              <w:rPr>
                <w:rFonts w:hint="eastAsia" w:ascii="宋体" w:hAnsi="宋体" w:eastAsia="宋体" w:cs="宋体"/>
                <w:color w:val="000000"/>
                <w:kern w:val="0"/>
                <w:sz w:val="18"/>
                <w:szCs w:val="18"/>
                <w:lang w:bidi="ar"/>
              </w:rPr>
              <w:t>千元以下的罚款，对单位处</w:t>
            </w:r>
            <w:r>
              <w:rPr>
                <w:rFonts w:hint="eastAsia" w:ascii="宋体" w:hAnsi="宋体" w:eastAsia="宋体" w:cs="宋体"/>
                <w:color w:val="000000"/>
                <w:kern w:val="0"/>
                <w:sz w:val="18"/>
                <w:szCs w:val="18"/>
                <w:lang w:val="en-US" w:eastAsia="zh-CN" w:bidi="ar"/>
              </w:rPr>
              <w:t>2</w:t>
            </w:r>
            <w:r>
              <w:rPr>
                <w:rFonts w:hint="eastAsia" w:ascii="宋体" w:hAnsi="宋体" w:eastAsia="宋体" w:cs="宋体"/>
                <w:color w:val="000000"/>
                <w:kern w:val="0"/>
                <w:sz w:val="18"/>
                <w:szCs w:val="18"/>
                <w:lang w:bidi="ar"/>
              </w:rPr>
              <w:t>万元以上</w:t>
            </w:r>
            <w:r>
              <w:rPr>
                <w:rFonts w:hint="eastAsia" w:ascii="宋体" w:hAnsi="宋体" w:eastAsia="宋体" w:cs="宋体"/>
                <w:color w:val="000000"/>
                <w:kern w:val="0"/>
                <w:sz w:val="18"/>
                <w:szCs w:val="18"/>
                <w:lang w:val="en-US" w:eastAsia="zh-CN" w:bidi="ar"/>
              </w:rPr>
              <w:t>5</w:t>
            </w:r>
            <w:r>
              <w:rPr>
                <w:rFonts w:hint="eastAsia" w:ascii="宋体" w:hAnsi="宋体" w:eastAsia="宋体" w:cs="宋体"/>
                <w:color w:val="000000"/>
                <w:kern w:val="0"/>
                <w:sz w:val="18"/>
                <w:szCs w:val="18"/>
                <w:lang w:bidi="ar"/>
              </w:rPr>
              <w:t>万元以下的罚款</w:t>
            </w:r>
          </w:p>
        </w:tc>
        <w:tc>
          <w:tcPr>
            <w:tcW w:w="958" w:type="dxa"/>
            <w:vMerge w:val="continue"/>
            <w:tcBorders>
              <w:left w:val="single" w:color="auto" w:sz="4" w:space="0"/>
              <w:right w:val="single" w:color="auto" w:sz="4" w:space="0"/>
            </w:tcBorders>
            <w:noWrap w:val="0"/>
            <w:tcMar>
              <w:top w:w="0" w:type="dxa"/>
              <w:left w:w="0" w:type="dxa"/>
              <w:bottom w:w="0" w:type="dxa"/>
              <w:right w:w="0" w:type="dxa"/>
            </w:tcMar>
            <w:vAlign w:val="center"/>
          </w:tcPr>
          <w:p w14:paraId="3EAE4424">
            <w:pPr>
              <w:widowControl/>
              <w:spacing w:line="260" w:lineRule="exact"/>
              <w:jc w:val="center"/>
              <w:textAlignment w:val="center"/>
              <w:rPr>
                <w:rFonts w:hint="eastAsia" w:ascii="宋体" w:hAnsi="宋体" w:eastAsia="宋体" w:cs="宋体"/>
                <w:color w:val="000000"/>
                <w:kern w:val="0"/>
                <w:sz w:val="18"/>
                <w:szCs w:val="18"/>
                <w:lang w:bidi="ar"/>
              </w:rPr>
            </w:pPr>
          </w:p>
        </w:tc>
      </w:tr>
      <w:tr w14:paraId="410DE4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10" w:type="dxa"/>
            <w:vMerge w:val="continue"/>
            <w:tcBorders>
              <w:left w:val="single" w:color="auto" w:sz="4" w:space="0"/>
              <w:right w:val="single" w:color="auto" w:sz="4" w:space="0"/>
            </w:tcBorders>
            <w:noWrap w:val="0"/>
            <w:tcMar>
              <w:top w:w="0" w:type="dxa"/>
              <w:left w:w="0" w:type="dxa"/>
              <w:bottom w:w="0" w:type="dxa"/>
              <w:right w:w="0" w:type="dxa"/>
            </w:tcMar>
            <w:vAlign w:val="center"/>
          </w:tcPr>
          <w:p w14:paraId="5DC8C729">
            <w:pPr>
              <w:spacing w:line="260" w:lineRule="exact"/>
              <w:jc w:val="center"/>
              <w:rPr>
                <w:rFonts w:hint="eastAsia" w:ascii="宋体" w:hAnsi="宋体" w:eastAsia="宋体" w:cs="宋体"/>
                <w:sz w:val="18"/>
                <w:szCs w:val="18"/>
              </w:rPr>
            </w:pPr>
          </w:p>
        </w:tc>
        <w:tc>
          <w:tcPr>
            <w:tcW w:w="1260" w:type="dxa"/>
            <w:vMerge w:val="continue"/>
            <w:tcBorders>
              <w:left w:val="single" w:color="auto" w:sz="4" w:space="0"/>
              <w:right w:val="single" w:color="auto" w:sz="4" w:space="0"/>
            </w:tcBorders>
            <w:noWrap w:val="0"/>
            <w:tcMar>
              <w:top w:w="0" w:type="dxa"/>
              <w:left w:w="0" w:type="dxa"/>
              <w:bottom w:w="0" w:type="dxa"/>
              <w:right w:w="0" w:type="dxa"/>
            </w:tcMar>
            <w:vAlign w:val="center"/>
          </w:tcPr>
          <w:p w14:paraId="4F20A731">
            <w:pPr>
              <w:widowControl/>
              <w:spacing w:line="260" w:lineRule="exact"/>
              <w:textAlignment w:val="center"/>
              <w:rPr>
                <w:rFonts w:hint="eastAsia" w:ascii="宋体" w:hAnsi="宋体" w:eastAsia="宋体" w:cs="宋体"/>
                <w:kern w:val="0"/>
                <w:sz w:val="18"/>
                <w:szCs w:val="18"/>
                <w:lang w:bidi="ar"/>
              </w:rPr>
            </w:pPr>
          </w:p>
        </w:tc>
        <w:tc>
          <w:tcPr>
            <w:tcW w:w="3895" w:type="dxa"/>
            <w:vMerge w:val="continue"/>
            <w:tcBorders>
              <w:left w:val="single" w:color="auto" w:sz="4" w:space="0"/>
              <w:right w:val="single" w:color="auto" w:sz="4" w:space="0"/>
            </w:tcBorders>
            <w:noWrap w:val="0"/>
            <w:tcMar>
              <w:top w:w="0" w:type="dxa"/>
              <w:left w:w="0" w:type="dxa"/>
              <w:bottom w:w="0" w:type="dxa"/>
              <w:right w:w="0" w:type="dxa"/>
            </w:tcMar>
            <w:vAlign w:val="center"/>
          </w:tcPr>
          <w:p w14:paraId="17439B5E">
            <w:pPr>
              <w:widowControl/>
              <w:spacing w:line="260" w:lineRule="exact"/>
              <w:ind w:firstLine="360" w:firstLineChars="200"/>
              <w:textAlignment w:val="center"/>
              <w:rPr>
                <w:rFonts w:hint="eastAsia" w:ascii="宋体" w:hAnsi="宋体" w:eastAsia="宋体" w:cs="宋体"/>
                <w:kern w:val="0"/>
                <w:sz w:val="18"/>
                <w:szCs w:val="18"/>
                <w:lang w:bidi="ar"/>
              </w:rPr>
            </w:pPr>
          </w:p>
        </w:tc>
        <w:tc>
          <w:tcPr>
            <w:tcW w:w="2342" w:type="dxa"/>
            <w:vMerge w:val="continue"/>
            <w:tcBorders>
              <w:left w:val="single" w:color="auto" w:sz="4" w:space="0"/>
              <w:right w:val="single" w:color="auto" w:sz="4" w:space="0"/>
            </w:tcBorders>
            <w:noWrap w:val="0"/>
            <w:tcMar>
              <w:top w:w="0" w:type="dxa"/>
              <w:left w:w="0" w:type="dxa"/>
              <w:bottom w:w="0" w:type="dxa"/>
              <w:right w:w="0" w:type="dxa"/>
            </w:tcMar>
            <w:vAlign w:val="center"/>
          </w:tcPr>
          <w:p w14:paraId="60C316FE">
            <w:pPr>
              <w:spacing w:line="260" w:lineRule="exact"/>
              <w:jc w:val="both"/>
              <w:rPr>
                <w:rFonts w:hint="eastAsia" w:ascii="宋体" w:hAnsi="宋体" w:eastAsia="宋体" w:cs="宋体"/>
                <w:sz w:val="18"/>
                <w:szCs w:val="18"/>
              </w:rPr>
            </w:pPr>
          </w:p>
        </w:tc>
        <w:tc>
          <w:tcPr>
            <w:tcW w:w="6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D62D38D">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一般</w:t>
            </w:r>
          </w:p>
        </w:tc>
        <w:tc>
          <w:tcPr>
            <w:tcW w:w="306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DE1A86D">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取土、挖砂、采石200立方米以上、500立方米以下</w:t>
            </w:r>
          </w:p>
        </w:tc>
        <w:tc>
          <w:tcPr>
            <w:tcW w:w="236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9337194">
            <w:pPr>
              <w:widowControl/>
              <w:spacing w:line="24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没收违法所得，对个人处</w:t>
            </w:r>
            <w:r>
              <w:rPr>
                <w:rFonts w:hint="eastAsia" w:ascii="宋体" w:hAnsi="宋体" w:eastAsia="宋体" w:cs="宋体"/>
                <w:color w:val="000000"/>
                <w:kern w:val="0"/>
                <w:sz w:val="18"/>
                <w:szCs w:val="18"/>
                <w:lang w:val="en-US" w:eastAsia="zh-CN" w:bidi="ar"/>
              </w:rPr>
              <w:t>3</w:t>
            </w:r>
            <w:r>
              <w:rPr>
                <w:rFonts w:hint="eastAsia" w:ascii="宋体" w:hAnsi="宋体" w:eastAsia="宋体" w:cs="宋体"/>
                <w:color w:val="000000"/>
                <w:kern w:val="0"/>
                <w:sz w:val="18"/>
                <w:szCs w:val="18"/>
                <w:lang w:bidi="ar"/>
              </w:rPr>
              <w:t>千元以上</w:t>
            </w:r>
            <w:r>
              <w:rPr>
                <w:rFonts w:hint="eastAsia" w:ascii="宋体" w:hAnsi="宋体" w:eastAsia="宋体" w:cs="宋体"/>
                <w:color w:val="000000"/>
                <w:kern w:val="0"/>
                <w:sz w:val="18"/>
                <w:szCs w:val="18"/>
                <w:lang w:val="en-US" w:eastAsia="zh-CN" w:bidi="ar"/>
              </w:rPr>
              <w:t>5</w:t>
            </w:r>
            <w:r>
              <w:rPr>
                <w:rFonts w:hint="eastAsia" w:ascii="宋体" w:hAnsi="宋体" w:eastAsia="宋体" w:cs="宋体"/>
                <w:color w:val="000000"/>
                <w:kern w:val="0"/>
                <w:sz w:val="18"/>
                <w:szCs w:val="18"/>
                <w:lang w:bidi="ar"/>
              </w:rPr>
              <w:t>千元以下的罚款，对单位处</w:t>
            </w:r>
            <w:r>
              <w:rPr>
                <w:rFonts w:hint="eastAsia" w:ascii="宋体" w:hAnsi="宋体" w:eastAsia="宋体" w:cs="宋体"/>
                <w:color w:val="000000"/>
                <w:kern w:val="0"/>
                <w:sz w:val="18"/>
                <w:szCs w:val="18"/>
                <w:lang w:val="en-US" w:eastAsia="zh-CN" w:bidi="ar"/>
              </w:rPr>
              <w:t>5</w:t>
            </w:r>
            <w:r>
              <w:rPr>
                <w:rFonts w:hint="eastAsia" w:ascii="宋体" w:hAnsi="宋体" w:eastAsia="宋体" w:cs="宋体"/>
                <w:color w:val="000000"/>
                <w:kern w:val="0"/>
                <w:sz w:val="18"/>
                <w:szCs w:val="18"/>
                <w:lang w:bidi="ar"/>
              </w:rPr>
              <w:t>万元以上</w:t>
            </w:r>
            <w:r>
              <w:rPr>
                <w:rFonts w:hint="eastAsia" w:ascii="宋体" w:hAnsi="宋体" w:eastAsia="宋体" w:cs="宋体"/>
                <w:color w:val="000000"/>
                <w:kern w:val="0"/>
                <w:sz w:val="18"/>
                <w:szCs w:val="18"/>
                <w:lang w:val="en-US" w:eastAsia="zh-CN" w:bidi="ar"/>
              </w:rPr>
              <w:t>10</w:t>
            </w:r>
            <w:r>
              <w:rPr>
                <w:rFonts w:hint="eastAsia" w:ascii="宋体" w:hAnsi="宋体" w:eastAsia="宋体" w:cs="宋体"/>
                <w:color w:val="000000"/>
                <w:kern w:val="0"/>
                <w:sz w:val="18"/>
                <w:szCs w:val="18"/>
                <w:lang w:bidi="ar"/>
              </w:rPr>
              <w:t>万元以下的罚款</w:t>
            </w:r>
          </w:p>
        </w:tc>
        <w:tc>
          <w:tcPr>
            <w:tcW w:w="958" w:type="dxa"/>
            <w:vMerge w:val="continue"/>
            <w:tcBorders>
              <w:left w:val="single" w:color="auto" w:sz="4" w:space="0"/>
              <w:right w:val="single" w:color="auto" w:sz="4" w:space="0"/>
            </w:tcBorders>
            <w:noWrap w:val="0"/>
            <w:tcMar>
              <w:top w:w="0" w:type="dxa"/>
              <w:left w:w="0" w:type="dxa"/>
              <w:bottom w:w="0" w:type="dxa"/>
              <w:right w:w="0" w:type="dxa"/>
            </w:tcMar>
            <w:vAlign w:val="center"/>
          </w:tcPr>
          <w:p w14:paraId="1C3780C2">
            <w:pPr>
              <w:widowControl/>
              <w:spacing w:line="260" w:lineRule="exact"/>
              <w:jc w:val="center"/>
              <w:textAlignment w:val="center"/>
              <w:rPr>
                <w:rFonts w:hint="eastAsia" w:ascii="宋体" w:hAnsi="宋体" w:eastAsia="宋体" w:cs="宋体"/>
                <w:color w:val="000000"/>
                <w:kern w:val="0"/>
                <w:sz w:val="18"/>
                <w:szCs w:val="18"/>
                <w:lang w:bidi="ar"/>
              </w:rPr>
            </w:pPr>
          </w:p>
        </w:tc>
      </w:tr>
      <w:tr w14:paraId="54050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10" w:type="dxa"/>
            <w:vMerge w:val="continue"/>
            <w:tcBorders>
              <w:left w:val="single" w:color="auto" w:sz="4" w:space="0"/>
              <w:right w:val="single" w:color="auto" w:sz="4" w:space="0"/>
            </w:tcBorders>
            <w:noWrap w:val="0"/>
            <w:tcMar>
              <w:top w:w="0" w:type="dxa"/>
              <w:left w:w="0" w:type="dxa"/>
              <w:bottom w:w="0" w:type="dxa"/>
              <w:right w:w="0" w:type="dxa"/>
            </w:tcMar>
            <w:vAlign w:val="center"/>
          </w:tcPr>
          <w:p w14:paraId="7E7C92B6">
            <w:pPr>
              <w:spacing w:line="260" w:lineRule="exact"/>
              <w:jc w:val="center"/>
              <w:rPr>
                <w:rFonts w:hint="eastAsia" w:ascii="宋体" w:hAnsi="宋体" w:eastAsia="宋体" w:cs="宋体"/>
                <w:sz w:val="18"/>
                <w:szCs w:val="18"/>
              </w:rPr>
            </w:pPr>
          </w:p>
        </w:tc>
        <w:tc>
          <w:tcPr>
            <w:tcW w:w="1260" w:type="dxa"/>
            <w:vMerge w:val="continue"/>
            <w:tcBorders>
              <w:left w:val="single" w:color="auto" w:sz="4" w:space="0"/>
              <w:right w:val="single" w:color="auto" w:sz="4" w:space="0"/>
            </w:tcBorders>
            <w:noWrap w:val="0"/>
            <w:tcMar>
              <w:top w:w="0" w:type="dxa"/>
              <w:left w:w="0" w:type="dxa"/>
              <w:bottom w:w="0" w:type="dxa"/>
              <w:right w:w="0" w:type="dxa"/>
            </w:tcMar>
            <w:vAlign w:val="center"/>
          </w:tcPr>
          <w:p w14:paraId="388C80C7">
            <w:pPr>
              <w:widowControl/>
              <w:spacing w:line="260" w:lineRule="exact"/>
              <w:textAlignment w:val="center"/>
              <w:rPr>
                <w:rFonts w:hint="eastAsia" w:ascii="宋体" w:hAnsi="宋体" w:eastAsia="宋体" w:cs="宋体"/>
                <w:kern w:val="0"/>
                <w:sz w:val="18"/>
                <w:szCs w:val="18"/>
                <w:lang w:bidi="ar"/>
              </w:rPr>
            </w:pPr>
          </w:p>
        </w:tc>
        <w:tc>
          <w:tcPr>
            <w:tcW w:w="3895" w:type="dxa"/>
            <w:vMerge w:val="continue"/>
            <w:tcBorders>
              <w:left w:val="single" w:color="auto" w:sz="4" w:space="0"/>
              <w:right w:val="single" w:color="auto" w:sz="4" w:space="0"/>
            </w:tcBorders>
            <w:noWrap w:val="0"/>
            <w:tcMar>
              <w:top w:w="0" w:type="dxa"/>
              <w:left w:w="0" w:type="dxa"/>
              <w:bottom w:w="0" w:type="dxa"/>
              <w:right w:w="0" w:type="dxa"/>
            </w:tcMar>
            <w:vAlign w:val="center"/>
          </w:tcPr>
          <w:p w14:paraId="5EA265D4">
            <w:pPr>
              <w:widowControl/>
              <w:spacing w:line="260" w:lineRule="exact"/>
              <w:ind w:firstLine="360" w:firstLineChars="200"/>
              <w:textAlignment w:val="center"/>
              <w:rPr>
                <w:rFonts w:hint="eastAsia" w:ascii="宋体" w:hAnsi="宋体" w:eastAsia="宋体" w:cs="宋体"/>
                <w:kern w:val="0"/>
                <w:sz w:val="18"/>
                <w:szCs w:val="18"/>
                <w:lang w:bidi="ar"/>
              </w:rPr>
            </w:pPr>
          </w:p>
        </w:tc>
        <w:tc>
          <w:tcPr>
            <w:tcW w:w="2342" w:type="dxa"/>
            <w:vMerge w:val="continue"/>
            <w:tcBorders>
              <w:left w:val="single" w:color="auto" w:sz="4" w:space="0"/>
              <w:right w:val="single" w:color="auto" w:sz="4" w:space="0"/>
            </w:tcBorders>
            <w:noWrap w:val="0"/>
            <w:tcMar>
              <w:top w:w="0" w:type="dxa"/>
              <w:left w:w="0" w:type="dxa"/>
              <w:bottom w:w="0" w:type="dxa"/>
              <w:right w:w="0" w:type="dxa"/>
            </w:tcMar>
            <w:vAlign w:val="center"/>
          </w:tcPr>
          <w:p w14:paraId="66ECE544">
            <w:pPr>
              <w:spacing w:line="260" w:lineRule="exact"/>
              <w:jc w:val="both"/>
              <w:rPr>
                <w:rFonts w:hint="eastAsia" w:ascii="宋体" w:hAnsi="宋体" w:eastAsia="宋体" w:cs="宋体"/>
                <w:sz w:val="18"/>
                <w:szCs w:val="18"/>
              </w:rPr>
            </w:pPr>
          </w:p>
        </w:tc>
        <w:tc>
          <w:tcPr>
            <w:tcW w:w="6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5D0E65C">
            <w:pPr>
              <w:spacing w:line="260" w:lineRule="exact"/>
              <w:jc w:val="center"/>
              <w:rPr>
                <w:rFonts w:hint="eastAsia" w:ascii="宋体" w:hAnsi="宋体" w:eastAsia="宋体" w:cs="宋体"/>
                <w:sz w:val="18"/>
                <w:szCs w:val="18"/>
                <w:lang w:eastAsia="zh-CN"/>
              </w:rPr>
            </w:pPr>
            <w:r>
              <w:rPr>
                <w:rFonts w:hint="eastAsia" w:ascii="宋体" w:hAnsi="宋体" w:eastAsia="宋体" w:cs="宋体"/>
                <w:sz w:val="18"/>
                <w:szCs w:val="18"/>
                <w:lang w:eastAsia="zh-CN"/>
              </w:rPr>
              <w:t>较重</w:t>
            </w:r>
          </w:p>
        </w:tc>
        <w:tc>
          <w:tcPr>
            <w:tcW w:w="306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7EF3BE7">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取土、挖砂、采石500立方米以上、2000立方米以下</w:t>
            </w:r>
          </w:p>
        </w:tc>
        <w:tc>
          <w:tcPr>
            <w:tcW w:w="236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D393A0E">
            <w:pPr>
              <w:widowControl/>
              <w:spacing w:line="24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没收违法所得，对个人处</w:t>
            </w:r>
            <w:r>
              <w:rPr>
                <w:rFonts w:hint="eastAsia" w:ascii="宋体" w:hAnsi="宋体" w:eastAsia="宋体" w:cs="宋体"/>
                <w:color w:val="000000"/>
                <w:kern w:val="0"/>
                <w:sz w:val="18"/>
                <w:szCs w:val="18"/>
                <w:lang w:val="en-US" w:eastAsia="zh-CN" w:bidi="ar"/>
              </w:rPr>
              <w:t>5</w:t>
            </w:r>
            <w:r>
              <w:rPr>
                <w:rFonts w:hint="eastAsia" w:ascii="宋体" w:hAnsi="宋体" w:eastAsia="宋体" w:cs="宋体"/>
                <w:color w:val="000000"/>
                <w:kern w:val="0"/>
                <w:sz w:val="18"/>
                <w:szCs w:val="18"/>
                <w:lang w:bidi="ar"/>
              </w:rPr>
              <w:t>千元以上</w:t>
            </w:r>
            <w:r>
              <w:rPr>
                <w:rFonts w:hint="eastAsia" w:ascii="宋体" w:hAnsi="宋体" w:eastAsia="宋体" w:cs="宋体"/>
                <w:color w:val="000000"/>
                <w:kern w:val="0"/>
                <w:sz w:val="18"/>
                <w:szCs w:val="18"/>
                <w:lang w:val="en-US" w:eastAsia="zh-CN" w:bidi="ar"/>
              </w:rPr>
              <w:t>8</w:t>
            </w:r>
            <w:r>
              <w:rPr>
                <w:rFonts w:hint="eastAsia" w:ascii="宋体" w:hAnsi="宋体" w:eastAsia="宋体" w:cs="宋体"/>
                <w:color w:val="000000"/>
                <w:kern w:val="0"/>
                <w:sz w:val="18"/>
                <w:szCs w:val="18"/>
                <w:lang w:bidi="ar"/>
              </w:rPr>
              <w:t>千元以下的罚款，对单位处</w:t>
            </w:r>
            <w:r>
              <w:rPr>
                <w:rFonts w:hint="eastAsia" w:ascii="宋体" w:hAnsi="宋体" w:eastAsia="宋体" w:cs="宋体"/>
                <w:color w:val="000000"/>
                <w:kern w:val="0"/>
                <w:sz w:val="18"/>
                <w:szCs w:val="18"/>
                <w:lang w:val="en-US" w:eastAsia="zh-CN" w:bidi="ar"/>
              </w:rPr>
              <w:t>10</w:t>
            </w:r>
            <w:r>
              <w:rPr>
                <w:rFonts w:hint="eastAsia" w:ascii="宋体" w:hAnsi="宋体" w:eastAsia="宋体" w:cs="宋体"/>
                <w:color w:val="000000"/>
                <w:kern w:val="0"/>
                <w:sz w:val="18"/>
                <w:szCs w:val="18"/>
                <w:lang w:bidi="ar"/>
              </w:rPr>
              <w:t>万元以上</w:t>
            </w:r>
            <w:r>
              <w:rPr>
                <w:rFonts w:hint="eastAsia" w:ascii="宋体" w:hAnsi="宋体" w:eastAsia="宋体" w:cs="宋体"/>
                <w:color w:val="000000"/>
                <w:kern w:val="0"/>
                <w:sz w:val="18"/>
                <w:szCs w:val="18"/>
                <w:lang w:val="en-US" w:eastAsia="zh-CN" w:bidi="ar"/>
              </w:rPr>
              <w:t>15</w:t>
            </w:r>
            <w:r>
              <w:rPr>
                <w:rFonts w:hint="eastAsia" w:ascii="宋体" w:hAnsi="宋体" w:eastAsia="宋体" w:cs="宋体"/>
                <w:color w:val="000000"/>
                <w:kern w:val="0"/>
                <w:sz w:val="18"/>
                <w:szCs w:val="18"/>
                <w:lang w:bidi="ar"/>
              </w:rPr>
              <w:t>万元以下的罚款</w:t>
            </w:r>
          </w:p>
        </w:tc>
        <w:tc>
          <w:tcPr>
            <w:tcW w:w="958" w:type="dxa"/>
            <w:vMerge w:val="continue"/>
            <w:tcBorders>
              <w:left w:val="single" w:color="auto" w:sz="4" w:space="0"/>
              <w:right w:val="single" w:color="auto" w:sz="4" w:space="0"/>
            </w:tcBorders>
            <w:noWrap w:val="0"/>
            <w:tcMar>
              <w:top w:w="0" w:type="dxa"/>
              <w:left w:w="0" w:type="dxa"/>
              <w:bottom w:w="0" w:type="dxa"/>
              <w:right w:w="0" w:type="dxa"/>
            </w:tcMar>
            <w:vAlign w:val="center"/>
          </w:tcPr>
          <w:p w14:paraId="356768E3">
            <w:pPr>
              <w:widowControl/>
              <w:spacing w:line="260" w:lineRule="exact"/>
              <w:jc w:val="center"/>
              <w:textAlignment w:val="center"/>
              <w:rPr>
                <w:rFonts w:hint="eastAsia" w:ascii="宋体" w:hAnsi="宋体" w:eastAsia="宋体" w:cs="宋体"/>
                <w:color w:val="000000"/>
                <w:kern w:val="0"/>
                <w:sz w:val="18"/>
                <w:szCs w:val="18"/>
                <w:lang w:bidi="ar"/>
              </w:rPr>
            </w:pPr>
          </w:p>
        </w:tc>
      </w:tr>
      <w:tr w14:paraId="1AF3DD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10" w:type="dxa"/>
            <w:vMerge w:val="continue"/>
            <w:tcBorders>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0E318D4">
            <w:pPr>
              <w:spacing w:line="260" w:lineRule="exact"/>
              <w:jc w:val="center"/>
              <w:rPr>
                <w:rFonts w:hint="eastAsia" w:ascii="宋体" w:hAnsi="宋体" w:eastAsia="宋体" w:cs="宋体"/>
                <w:sz w:val="18"/>
                <w:szCs w:val="18"/>
              </w:rPr>
            </w:pPr>
          </w:p>
        </w:tc>
        <w:tc>
          <w:tcPr>
            <w:tcW w:w="1260" w:type="dxa"/>
            <w:vMerge w:val="continue"/>
            <w:tcBorders>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0D6355F">
            <w:pPr>
              <w:widowControl/>
              <w:spacing w:line="260" w:lineRule="exact"/>
              <w:textAlignment w:val="center"/>
              <w:rPr>
                <w:rFonts w:hint="eastAsia" w:ascii="宋体" w:hAnsi="宋体" w:eastAsia="宋体" w:cs="宋体"/>
                <w:kern w:val="0"/>
                <w:sz w:val="18"/>
                <w:szCs w:val="18"/>
                <w:lang w:bidi="ar"/>
              </w:rPr>
            </w:pPr>
          </w:p>
        </w:tc>
        <w:tc>
          <w:tcPr>
            <w:tcW w:w="3895" w:type="dxa"/>
            <w:vMerge w:val="continue"/>
            <w:tcBorders>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78A3EDA">
            <w:pPr>
              <w:widowControl/>
              <w:spacing w:line="260" w:lineRule="exact"/>
              <w:ind w:firstLine="360" w:firstLineChars="200"/>
              <w:textAlignment w:val="center"/>
              <w:rPr>
                <w:rFonts w:hint="eastAsia" w:ascii="宋体" w:hAnsi="宋体" w:eastAsia="宋体" w:cs="宋体"/>
                <w:kern w:val="0"/>
                <w:sz w:val="18"/>
                <w:szCs w:val="18"/>
                <w:lang w:bidi="ar"/>
              </w:rPr>
            </w:pPr>
          </w:p>
        </w:tc>
        <w:tc>
          <w:tcPr>
            <w:tcW w:w="2342" w:type="dxa"/>
            <w:vMerge w:val="continue"/>
            <w:tcBorders>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BEE4EA7">
            <w:pPr>
              <w:spacing w:line="260" w:lineRule="exact"/>
              <w:jc w:val="both"/>
              <w:rPr>
                <w:rFonts w:hint="eastAsia" w:ascii="宋体" w:hAnsi="宋体" w:eastAsia="宋体" w:cs="宋体"/>
                <w:sz w:val="18"/>
                <w:szCs w:val="18"/>
              </w:rPr>
            </w:pPr>
          </w:p>
        </w:tc>
        <w:tc>
          <w:tcPr>
            <w:tcW w:w="6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0A74602">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严重</w:t>
            </w:r>
          </w:p>
        </w:tc>
        <w:tc>
          <w:tcPr>
            <w:tcW w:w="306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CAD34EE">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取土、挖砂、采石2000立方米以上</w:t>
            </w:r>
          </w:p>
        </w:tc>
        <w:tc>
          <w:tcPr>
            <w:tcW w:w="236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1A3A6EA">
            <w:pPr>
              <w:widowControl/>
              <w:spacing w:line="24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没收违法所得，对个人处</w:t>
            </w:r>
            <w:r>
              <w:rPr>
                <w:rFonts w:hint="eastAsia" w:ascii="宋体" w:hAnsi="宋体" w:eastAsia="宋体" w:cs="宋体"/>
                <w:color w:val="000000"/>
                <w:kern w:val="0"/>
                <w:sz w:val="18"/>
                <w:szCs w:val="18"/>
                <w:lang w:val="en-US" w:eastAsia="zh-CN" w:bidi="ar"/>
              </w:rPr>
              <w:t>8</w:t>
            </w:r>
            <w:r>
              <w:rPr>
                <w:rFonts w:hint="eastAsia" w:ascii="宋体" w:hAnsi="宋体" w:eastAsia="宋体" w:cs="宋体"/>
                <w:color w:val="000000"/>
                <w:kern w:val="0"/>
                <w:sz w:val="18"/>
                <w:szCs w:val="18"/>
                <w:lang w:bidi="ar"/>
              </w:rPr>
              <w:t>千元以上</w:t>
            </w:r>
            <w:r>
              <w:rPr>
                <w:rFonts w:hint="eastAsia" w:ascii="宋体" w:hAnsi="宋体" w:eastAsia="宋体" w:cs="宋体"/>
                <w:color w:val="000000"/>
                <w:kern w:val="0"/>
                <w:sz w:val="18"/>
                <w:szCs w:val="18"/>
                <w:lang w:val="en-US" w:eastAsia="zh-CN" w:bidi="ar"/>
              </w:rPr>
              <w:t>1</w:t>
            </w:r>
            <w:r>
              <w:rPr>
                <w:rFonts w:hint="eastAsia" w:ascii="宋体" w:hAnsi="宋体" w:eastAsia="宋体" w:cs="宋体"/>
                <w:color w:val="000000"/>
                <w:kern w:val="0"/>
                <w:sz w:val="18"/>
                <w:szCs w:val="18"/>
                <w:lang w:bidi="ar"/>
              </w:rPr>
              <w:t>万元以下的罚款，对单位处</w:t>
            </w:r>
            <w:r>
              <w:rPr>
                <w:rFonts w:hint="eastAsia" w:ascii="宋体" w:hAnsi="宋体" w:eastAsia="宋体" w:cs="宋体"/>
                <w:color w:val="000000"/>
                <w:kern w:val="0"/>
                <w:sz w:val="18"/>
                <w:szCs w:val="18"/>
                <w:lang w:val="en-US" w:eastAsia="zh-CN" w:bidi="ar"/>
              </w:rPr>
              <w:t>15</w:t>
            </w:r>
            <w:r>
              <w:rPr>
                <w:rFonts w:hint="eastAsia" w:ascii="宋体" w:hAnsi="宋体" w:eastAsia="宋体" w:cs="宋体"/>
                <w:color w:val="000000"/>
                <w:kern w:val="0"/>
                <w:sz w:val="18"/>
                <w:szCs w:val="18"/>
                <w:lang w:bidi="ar"/>
              </w:rPr>
              <w:t>万元以上</w:t>
            </w:r>
            <w:r>
              <w:rPr>
                <w:rFonts w:hint="eastAsia" w:ascii="宋体" w:hAnsi="宋体" w:eastAsia="宋体" w:cs="宋体"/>
                <w:color w:val="000000"/>
                <w:kern w:val="0"/>
                <w:sz w:val="18"/>
                <w:szCs w:val="18"/>
                <w:lang w:val="en-US" w:eastAsia="zh-CN" w:bidi="ar"/>
              </w:rPr>
              <w:t>20</w:t>
            </w:r>
            <w:r>
              <w:rPr>
                <w:rFonts w:hint="eastAsia" w:ascii="宋体" w:hAnsi="宋体" w:eastAsia="宋体" w:cs="宋体"/>
                <w:color w:val="000000"/>
                <w:kern w:val="0"/>
                <w:sz w:val="18"/>
                <w:szCs w:val="18"/>
                <w:lang w:bidi="ar"/>
              </w:rPr>
              <w:t>万元以下的罚款</w:t>
            </w:r>
          </w:p>
        </w:tc>
        <w:tc>
          <w:tcPr>
            <w:tcW w:w="958" w:type="dxa"/>
            <w:vMerge w:val="continue"/>
            <w:tcBorders>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D241566">
            <w:pPr>
              <w:widowControl/>
              <w:spacing w:line="260" w:lineRule="exact"/>
              <w:jc w:val="center"/>
              <w:textAlignment w:val="center"/>
              <w:rPr>
                <w:rFonts w:hint="eastAsia" w:ascii="宋体" w:hAnsi="宋体" w:eastAsia="宋体" w:cs="宋体"/>
                <w:color w:val="000000"/>
                <w:kern w:val="0"/>
                <w:sz w:val="18"/>
                <w:szCs w:val="18"/>
                <w:lang w:bidi="ar"/>
              </w:rPr>
            </w:pPr>
          </w:p>
        </w:tc>
      </w:tr>
      <w:tr w14:paraId="178472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10" w:type="dxa"/>
            <w:vMerge w:val="restart"/>
            <w:tcBorders>
              <w:left w:val="single" w:color="auto" w:sz="4" w:space="0"/>
              <w:right w:val="single" w:color="auto" w:sz="4" w:space="0"/>
            </w:tcBorders>
            <w:noWrap w:val="0"/>
            <w:tcMar>
              <w:top w:w="0" w:type="dxa"/>
              <w:left w:w="0" w:type="dxa"/>
              <w:bottom w:w="0" w:type="dxa"/>
              <w:right w:w="0" w:type="dxa"/>
            </w:tcMar>
            <w:vAlign w:val="center"/>
          </w:tcPr>
          <w:p w14:paraId="20827D57">
            <w:pPr>
              <w:widowControl/>
              <w:spacing w:line="260" w:lineRule="exact"/>
              <w:jc w:val="center"/>
              <w:textAlignment w:val="center"/>
              <w:rPr>
                <w:rFonts w:hint="eastAsia" w:ascii="宋体" w:hAnsi="宋体" w:eastAsia="宋体" w:cs="宋体"/>
                <w:sz w:val="18"/>
                <w:szCs w:val="18"/>
              </w:rPr>
            </w:pPr>
            <w:r>
              <w:rPr>
                <w:rFonts w:hint="eastAsia" w:ascii="宋体" w:hAnsi="宋体" w:eastAsia="宋体" w:cs="宋体"/>
                <w:color w:val="000000"/>
                <w:kern w:val="0"/>
                <w:sz w:val="18"/>
                <w:szCs w:val="18"/>
                <w:lang w:bidi="ar"/>
              </w:rPr>
              <w:t>46</w:t>
            </w:r>
          </w:p>
        </w:tc>
        <w:tc>
          <w:tcPr>
            <w:tcW w:w="1260" w:type="dxa"/>
            <w:vMerge w:val="restart"/>
            <w:tcBorders>
              <w:left w:val="single" w:color="auto" w:sz="4" w:space="0"/>
              <w:right w:val="single" w:color="auto" w:sz="4" w:space="0"/>
            </w:tcBorders>
            <w:noWrap w:val="0"/>
            <w:tcMar>
              <w:top w:w="0" w:type="dxa"/>
              <w:left w:w="0" w:type="dxa"/>
              <w:bottom w:w="0" w:type="dxa"/>
              <w:right w:w="0" w:type="dxa"/>
            </w:tcMar>
            <w:vAlign w:val="center"/>
          </w:tcPr>
          <w:p w14:paraId="4F8F1407">
            <w:pPr>
              <w:widowControl/>
              <w:spacing w:line="260" w:lineRule="exact"/>
              <w:jc w:val="both"/>
              <w:textAlignment w:val="center"/>
              <w:rPr>
                <w:rFonts w:hint="eastAsia" w:ascii="宋体" w:hAnsi="宋体" w:eastAsia="宋体" w:cs="宋体"/>
                <w:kern w:val="0"/>
                <w:sz w:val="18"/>
                <w:szCs w:val="18"/>
                <w:lang w:bidi="ar"/>
              </w:rPr>
            </w:pPr>
            <w:r>
              <w:rPr>
                <w:rFonts w:hint="eastAsia" w:ascii="宋体" w:hAnsi="宋体" w:eastAsia="宋体" w:cs="宋体"/>
                <w:color w:val="000000"/>
                <w:kern w:val="0"/>
                <w:sz w:val="18"/>
                <w:szCs w:val="18"/>
                <w:lang w:bidi="ar"/>
              </w:rPr>
              <w:t>对在禁止开垦坡度以上陡坡地开垦种植农作物，或者在禁止开垦、开发的植物保护带内开垦、开发行为的行政处罚</w:t>
            </w:r>
          </w:p>
        </w:tc>
        <w:tc>
          <w:tcPr>
            <w:tcW w:w="3895" w:type="dxa"/>
            <w:vMerge w:val="restart"/>
            <w:tcBorders>
              <w:top w:val="single" w:color="auto" w:sz="4" w:space="0"/>
              <w:left w:val="single" w:color="auto" w:sz="4" w:space="0"/>
              <w:right w:val="single" w:color="auto" w:sz="4" w:space="0"/>
            </w:tcBorders>
            <w:noWrap w:val="0"/>
            <w:tcMar>
              <w:top w:w="0" w:type="dxa"/>
              <w:left w:w="0" w:type="dxa"/>
              <w:bottom w:w="0" w:type="dxa"/>
              <w:right w:w="0" w:type="dxa"/>
            </w:tcMar>
            <w:vAlign w:val="center"/>
          </w:tcPr>
          <w:p w14:paraId="778D908D">
            <w:pPr>
              <w:widowControl/>
              <w:spacing w:line="260" w:lineRule="exact"/>
              <w:jc w:val="both"/>
              <w:textAlignment w:val="center"/>
              <w:rPr>
                <w:rFonts w:hint="eastAsia" w:ascii="宋体" w:hAnsi="宋体" w:eastAsia="宋体" w:cs="宋体"/>
                <w:kern w:val="0"/>
                <w:sz w:val="18"/>
                <w:szCs w:val="18"/>
                <w:lang w:bidi="ar"/>
              </w:rPr>
            </w:pPr>
            <w:r>
              <w:rPr>
                <w:rFonts w:hint="eastAsia" w:ascii="宋体" w:hAnsi="宋体" w:eastAsia="宋体" w:cs="宋体"/>
                <w:color w:val="000000"/>
                <w:kern w:val="0"/>
                <w:sz w:val="18"/>
                <w:szCs w:val="18"/>
                <w:lang w:bidi="ar"/>
              </w:rPr>
              <w:t>《中华人民共和国水土保持法》第四十九条 违反本法规定，在禁止开垦坡度以上陡坡地开垦种植农作物，或者在禁止开垦、开发的植物保护带内开垦、开发的，由县级以上地方人民政府水行政主管部门责令停止违法行为，采取退耕、恢复植被等补救措施；按照开垦或者开发面积，可以对个人处每平方米二元以下的罚款、对单位处每平方米十元以下的罚款。</w:t>
            </w:r>
          </w:p>
        </w:tc>
        <w:tc>
          <w:tcPr>
            <w:tcW w:w="2342" w:type="dxa"/>
            <w:vMerge w:val="restart"/>
            <w:tcBorders>
              <w:top w:val="single" w:color="auto" w:sz="4" w:space="0"/>
              <w:left w:val="single" w:color="auto" w:sz="4" w:space="0"/>
              <w:right w:val="single" w:color="auto" w:sz="4" w:space="0"/>
            </w:tcBorders>
            <w:noWrap w:val="0"/>
            <w:tcMar>
              <w:top w:w="0" w:type="dxa"/>
              <w:left w:w="0" w:type="dxa"/>
              <w:bottom w:w="0" w:type="dxa"/>
              <w:right w:w="0" w:type="dxa"/>
            </w:tcMar>
            <w:vAlign w:val="center"/>
          </w:tcPr>
          <w:p w14:paraId="52DDD348">
            <w:pPr>
              <w:spacing w:line="260" w:lineRule="exact"/>
              <w:jc w:val="both"/>
              <w:rPr>
                <w:rFonts w:hint="eastAsia" w:ascii="宋体" w:hAnsi="宋体" w:eastAsia="宋体" w:cs="宋体"/>
                <w:sz w:val="18"/>
                <w:szCs w:val="18"/>
              </w:rPr>
            </w:pPr>
            <w:r>
              <w:rPr>
                <w:rFonts w:hint="eastAsia" w:ascii="宋体" w:hAnsi="宋体" w:eastAsia="宋体" w:cs="宋体"/>
                <w:color w:val="000000"/>
                <w:kern w:val="0"/>
                <w:sz w:val="18"/>
                <w:szCs w:val="18"/>
                <w:lang w:bidi="ar"/>
              </w:rPr>
              <w:t>在禁止开垦坡度以上陡坡地开垦种植农作物，或者在禁止开垦、开发的植物保护带内开垦、开发行为的</w:t>
            </w:r>
          </w:p>
        </w:tc>
        <w:tc>
          <w:tcPr>
            <w:tcW w:w="6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416FA4D">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轻微</w:t>
            </w:r>
          </w:p>
        </w:tc>
        <w:tc>
          <w:tcPr>
            <w:tcW w:w="306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B957F9D">
            <w:pPr>
              <w:widowControl/>
              <w:spacing w:line="24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1.初次违法；</w:t>
            </w:r>
          </w:p>
          <w:p w14:paraId="7F94F7D4">
            <w:pPr>
              <w:widowControl/>
              <w:spacing w:line="24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2.签署承诺书，开垦或者开发面积在500平方米以下的，及时采取退耕、恢复植被等补救措施，没有造成水土流失危害后果的；</w:t>
            </w:r>
          </w:p>
          <w:p w14:paraId="07403731">
            <w:pPr>
              <w:widowControl/>
              <w:spacing w:line="240" w:lineRule="exact"/>
              <w:jc w:val="both"/>
              <w:textAlignment w:val="center"/>
              <w:rPr>
                <w:rFonts w:hint="eastAsia" w:ascii="宋体" w:hAnsi="宋体" w:eastAsia="宋体" w:cs="宋体"/>
                <w:color w:val="000000"/>
                <w:kern w:val="0"/>
                <w:sz w:val="18"/>
                <w:szCs w:val="18"/>
                <w:lang w:bidi="ar"/>
              </w:rPr>
            </w:pPr>
            <w:r>
              <w:rPr>
                <w:rStyle w:val="21"/>
                <w:rFonts w:hint="eastAsia" w:ascii="宋体" w:hAnsi="宋体" w:eastAsia="宋体" w:cs="宋体"/>
                <w:sz w:val="18"/>
                <w:szCs w:val="18"/>
                <w:lang w:val="en-US" w:eastAsia="zh-CN" w:bidi="ar"/>
              </w:rPr>
              <w:t>（注：符合上述所有情形的，不予处罚，应将本次违法情况进行登记备案，以后再发生类似问题的将不再适用本条件）</w:t>
            </w:r>
          </w:p>
        </w:tc>
        <w:tc>
          <w:tcPr>
            <w:tcW w:w="236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954C9E1">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不予处罚</w:t>
            </w:r>
          </w:p>
        </w:tc>
        <w:tc>
          <w:tcPr>
            <w:tcW w:w="958" w:type="dxa"/>
            <w:vMerge w:val="restart"/>
            <w:tcBorders>
              <w:top w:val="single" w:color="auto" w:sz="4" w:space="0"/>
              <w:left w:val="single" w:color="auto" w:sz="4" w:space="0"/>
              <w:right w:val="single" w:color="auto" w:sz="4" w:space="0"/>
            </w:tcBorders>
            <w:noWrap w:val="0"/>
            <w:tcMar>
              <w:top w:w="0" w:type="dxa"/>
              <w:left w:w="0" w:type="dxa"/>
              <w:bottom w:w="0" w:type="dxa"/>
              <w:right w:w="0" w:type="dxa"/>
            </w:tcMar>
            <w:vAlign w:val="center"/>
          </w:tcPr>
          <w:p w14:paraId="2A89798F">
            <w:pPr>
              <w:widowControl/>
              <w:spacing w:line="260" w:lineRule="exact"/>
              <w:jc w:val="center"/>
              <w:textAlignment w:val="center"/>
              <w:rPr>
                <w:rFonts w:hint="eastAsia" w:ascii="宋体" w:hAnsi="宋体" w:eastAsia="宋体" w:cs="宋体"/>
                <w:color w:val="000000"/>
                <w:kern w:val="0"/>
                <w:sz w:val="18"/>
                <w:szCs w:val="18"/>
                <w:lang w:bidi="ar"/>
              </w:rPr>
            </w:pPr>
          </w:p>
        </w:tc>
      </w:tr>
      <w:tr w14:paraId="132A70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10" w:type="dxa"/>
            <w:vMerge w:val="continue"/>
            <w:tcBorders>
              <w:left w:val="single" w:color="auto" w:sz="4" w:space="0"/>
              <w:right w:val="single" w:color="auto" w:sz="4" w:space="0"/>
            </w:tcBorders>
            <w:noWrap w:val="0"/>
            <w:tcMar>
              <w:top w:w="0" w:type="dxa"/>
              <w:left w:w="0" w:type="dxa"/>
              <w:bottom w:w="0" w:type="dxa"/>
              <w:right w:w="0" w:type="dxa"/>
            </w:tcMar>
            <w:vAlign w:val="center"/>
          </w:tcPr>
          <w:p w14:paraId="19C9AD10">
            <w:pPr>
              <w:spacing w:line="260" w:lineRule="exact"/>
              <w:jc w:val="center"/>
              <w:rPr>
                <w:rFonts w:hint="eastAsia" w:ascii="宋体" w:hAnsi="宋体" w:eastAsia="宋体" w:cs="宋体"/>
                <w:sz w:val="18"/>
                <w:szCs w:val="18"/>
              </w:rPr>
            </w:pPr>
          </w:p>
        </w:tc>
        <w:tc>
          <w:tcPr>
            <w:tcW w:w="1260" w:type="dxa"/>
            <w:vMerge w:val="continue"/>
            <w:tcBorders>
              <w:left w:val="single" w:color="auto" w:sz="4" w:space="0"/>
              <w:right w:val="single" w:color="auto" w:sz="4" w:space="0"/>
            </w:tcBorders>
            <w:noWrap w:val="0"/>
            <w:tcMar>
              <w:top w:w="0" w:type="dxa"/>
              <w:left w:w="0" w:type="dxa"/>
              <w:bottom w:w="0" w:type="dxa"/>
              <w:right w:w="0" w:type="dxa"/>
            </w:tcMar>
            <w:vAlign w:val="center"/>
          </w:tcPr>
          <w:p w14:paraId="3EC98D54">
            <w:pPr>
              <w:widowControl/>
              <w:spacing w:line="260" w:lineRule="exact"/>
              <w:textAlignment w:val="center"/>
              <w:rPr>
                <w:rFonts w:hint="eastAsia" w:ascii="宋体" w:hAnsi="宋体" w:eastAsia="宋体" w:cs="宋体"/>
                <w:kern w:val="0"/>
                <w:sz w:val="18"/>
                <w:szCs w:val="18"/>
                <w:lang w:bidi="ar"/>
              </w:rPr>
            </w:pPr>
          </w:p>
        </w:tc>
        <w:tc>
          <w:tcPr>
            <w:tcW w:w="3895" w:type="dxa"/>
            <w:vMerge w:val="continue"/>
            <w:tcBorders>
              <w:left w:val="single" w:color="auto" w:sz="4" w:space="0"/>
              <w:right w:val="single" w:color="auto" w:sz="4" w:space="0"/>
            </w:tcBorders>
            <w:noWrap w:val="0"/>
            <w:tcMar>
              <w:top w:w="0" w:type="dxa"/>
              <w:left w:w="0" w:type="dxa"/>
              <w:bottom w:w="0" w:type="dxa"/>
              <w:right w:w="0" w:type="dxa"/>
            </w:tcMar>
            <w:vAlign w:val="center"/>
          </w:tcPr>
          <w:p w14:paraId="274FA386">
            <w:pPr>
              <w:widowControl/>
              <w:spacing w:line="260" w:lineRule="exact"/>
              <w:ind w:firstLine="360" w:firstLineChars="200"/>
              <w:textAlignment w:val="center"/>
              <w:rPr>
                <w:rFonts w:hint="eastAsia" w:ascii="宋体" w:hAnsi="宋体" w:eastAsia="宋体" w:cs="宋体"/>
                <w:kern w:val="0"/>
                <w:sz w:val="18"/>
                <w:szCs w:val="18"/>
                <w:lang w:bidi="ar"/>
              </w:rPr>
            </w:pPr>
          </w:p>
        </w:tc>
        <w:tc>
          <w:tcPr>
            <w:tcW w:w="2342" w:type="dxa"/>
            <w:vMerge w:val="continue"/>
            <w:tcBorders>
              <w:left w:val="single" w:color="auto" w:sz="4" w:space="0"/>
              <w:right w:val="single" w:color="auto" w:sz="4" w:space="0"/>
            </w:tcBorders>
            <w:noWrap w:val="0"/>
            <w:tcMar>
              <w:top w:w="0" w:type="dxa"/>
              <w:left w:w="0" w:type="dxa"/>
              <w:bottom w:w="0" w:type="dxa"/>
              <w:right w:w="0" w:type="dxa"/>
            </w:tcMar>
            <w:vAlign w:val="center"/>
          </w:tcPr>
          <w:p w14:paraId="74761343">
            <w:pPr>
              <w:spacing w:line="260" w:lineRule="exact"/>
              <w:jc w:val="both"/>
              <w:rPr>
                <w:rFonts w:hint="eastAsia" w:ascii="宋体" w:hAnsi="宋体" w:eastAsia="宋体" w:cs="宋体"/>
                <w:sz w:val="18"/>
                <w:szCs w:val="18"/>
              </w:rPr>
            </w:pPr>
          </w:p>
        </w:tc>
        <w:tc>
          <w:tcPr>
            <w:tcW w:w="6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C0FCAA4">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较轻</w:t>
            </w:r>
          </w:p>
        </w:tc>
        <w:tc>
          <w:tcPr>
            <w:tcW w:w="306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48738AB">
            <w:pPr>
              <w:widowControl/>
              <w:spacing w:line="24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开垦或开发面积在500平方米以上1000平方米以下</w:t>
            </w:r>
          </w:p>
        </w:tc>
        <w:tc>
          <w:tcPr>
            <w:tcW w:w="236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E48BDFD">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对个人处每平方米</w:t>
            </w:r>
            <w:r>
              <w:rPr>
                <w:rFonts w:hint="eastAsia" w:ascii="宋体" w:hAnsi="宋体" w:eastAsia="宋体" w:cs="宋体"/>
                <w:color w:val="000000"/>
                <w:kern w:val="0"/>
                <w:sz w:val="18"/>
                <w:szCs w:val="18"/>
                <w:lang w:val="en-US" w:eastAsia="zh-CN" w:bidi="ar"/>
              </w:rPr>
              <w:t>5</w:t>
            </w:r>
            <w:r>
              <w:rPr>
                <w:rFonts w:hint="eastAsia" w:ascii="宋体" w:hAnsi="宋体" w:eastAsia="宋体" w:cs="宋体"/>
                <w:color w:val="000000"/>
                <w:kern w:val="0"/>
                <w:sz w:val="18"/>
                <w:szCs w:val="18"/>
                <w:lang w:bidi="ar"/>
              </w:rPr>
              <w:t>角以下的罚款，对单位处每平方米</w:t>
            </w:r>
            <w:r>
              <w:rPr>
                <w:rFonts w:hint="eastAsia" w:ascii="宋体" w:hAnsi="宋体" w:eastAsia="宋体" w:cs="宋体"/>
                <w:color w:val="000000"/>
                <w:kern w:val="0"/>
                <w:sz w:val="18"/>
                <w:szCs w:val="18"/>
                <w:lang w:val="en-US" w:eastAsia="zh-CN" w:bidi="ar"/>
              </w:rPr>
              <w:t>3</w:t>
            </w:r>
            <w:r>
              <w:rPr>
                <w:rFonts w:hint="eastAsia" w:ascii="宋体" w:hAnsi="宋体" w:eastAsia="宋体" w:cs="宋体"/>
                <w:color w:val="000000"/>
                <w:kern w:val="0"/>
                <w:sz w:val="18"/>
                <w:szCs w:val="18"/>
                <w:lang w:bidi="ar"/>
              </w:rPr>
              <w:t>元以下的罚款</w:t>
            </w:r>
          </w:p>
        </w:tc>
        <w:tc>
          <w:tcPr>
            <w:tcW w:w="958" w:type="dxa"/>
            <w:vMerge w:val="continue"/>
            <w:tcBorders>
              <w:left w:val="single" w:color="auto" w:sz="4" w:space="0"/>
              <w:right w:val="single" w:color="auto" w:sz="4" w:space="0"/>
            </w:tcBorders>
            <w:noWrap w:val="0"/>
            <w:tcMar>
              <w:top w:w="0" w:type="dxa"/>
              <w:left w:w="0" w:type="dxa"/>
              <w:bottom w:w="0" w:type="dxa"/>
              <w:right w:w="0" w:type="dxa"/>
            </w:tcMar>
            <w:vAlign w:val="center"/>
          </w:tcPr>
          <w:p w14:paraId="4AA1E500">
            <w:pPr>
              <w:widowControl/>
              <w:spacing w:line="260" w:lineRule="exact"/>
              <w:jc w:val="center"/>
              <w:textAlignment w:val="center"/>
              <w:rPr>
                <w:rFonts w:hint="eastAsia" w:ascii="宋体" w:hAnsi="宋体" w:eastAsia="宋体" w:cs="宋体"/>
                <w:color w:val="000000"/>
                <w:kern w:val="0"/>
                <w:sz w:val="18"/>
                <w:szCs w:val="18"/>
                <w:lang w:bidi="ar"/>
              </w:rPr>
            </w:pPr>
          </w:p>
        </w:tc>
      </w:tr>
      <w:tr w14:paraId="219E2A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10" w:type="dxa"/>
            <w:vMerge w:val="continue"/>
            <w:tcBorders>
              <w:left w:val="single" w:color="auto" w:sz="4" w:space="0"/>
              <w:right w:val="single" w:color="auto" w:sz="4" w:space="0"/>
            </w:tcBorders>
            <w:noWrap w:val="0"/>
            <w:tcMar>
              <w:top w:w="0" w:type="dxa"/>
              <w:left w:w="0" w:type="dxa"/>
              <w:bottom w:w="0" w:type="dxa"/>
              <w:right w:w="0" w:type="dxa"/>
            </w:tcMar>
            <w:vAlign w:val="center"/>
          </w:tcPr>
          <w:p w14:paraId="264E3AE4">
            <w:pPr>
              <w:spacing w:line="260" w:lineRule="exact"/>
              <w:jc w:val="center"/>
              <w:rPr>
                <w:rFonts w:hint="eastAsia" w:ascii="宋体" w:hAnsi="宋体" w:eastAsia="宋体" w:cs="宋体"/>
                <w:sz w:val="18"/>
                <w:szCs w:val="18"/>
              </w:rPr>
            </w:pPr>
          </w:p>
        </w:tc>
        <w:tc>
          <w:tcPr>
            <w:tcW w:w="1260" w:type="dxa"/>
            <w:vMerge w:val="continue"/>
            <w:tcBorders>
              <w:left w:val="single" w:color="auto" w:sz="4" w:space="0"/>
              <w:right w:val="single" w:color="auto" w:sz="4" w:space="0"/>
            </w:tcBorders>
            <w:noWrap w:val="0"/>
            <w:tcMar>
              <w:top w:w="0" w:type="dxa"/>
              <w:left w:w="0" w:type="dxa"/>
              <w:bottom w:w="0" w:type="dxa"/>
              <w:right w:w="0" w:type="dxa"/>
            </w:tcMar>
            <w:vAlign w:val="center"/>
          </w:tcPr>
          <w:p w14:paraId="30DF99F7">
            <w:pPr>
              <w:widowControl/>
              <w:spacing w:line="260" w:lineRule="exact"/>
              <w:textAlignment w:val="center"/>
              <w:rPr>
                <w:rFonts w:hint="eastAsia" w:ascii="宋体" w:hAnsi="宋体" w:eastAsia="宋体" w:cs="宋体"/>
                <w:kern w:val="0"/>
                <w:sz w:val="18"/>
                <w:szCs w:val="18"/>
                <w:lang w:bidi="ar"/>
              </w:rPr>
            </w:pPr>
          </w:p>
        </w:tc>
        <w:tc>
          <w:tcPr>
            <w:tcW w:w="3895" w:type="dxa"/>
            <w:vMerge w:val="continue"/>
            <w:tcBorders>
              <w:left w:val="single" w:color="auto" w:sz="4" w:space="0"/>
              <w:right w:val="single" w:color="auto" w:sz="4" w:space="0"/>
            </w:tcBorders>
            <w:noWrap w:val="0"/>
            <w:tcMar>
              <w:top w:w="0" w:type="dxa"/>
              <w:left w:w="0" w:type="dxa"/>
              <w:bottom w:w="0" w:type="dxa"/>
              <w:right w:w="0" w:type="dxa"/>
            </w:tcMar>
            <w:vAlign w:val="center"/>
          </w:tcPr>
          <w:p w14:paraId="0558D0C0">
            <w:pPr>
              <w:widowControl/>
              <w:spacing w:line="260" w:lineRule="exact"/>
              <w:ind w:firstLine="360" w:firstLineChars="200"/>
              <w:textAlignment w:val="center"/>
              <w:rPr>
                <w:rFonts w:hint="eastAsia" w:ascii="宋体" w:hAnsi="宋体" w:eastAsia="宋体" w:cs="宋体"/>
                <w:kern w:val="0"/>
                <w:sz w:val="18"/>
                <w:szCs w:val="18"/>
                <w:lang w:bidi="ar"/>
              </w:rPr>
            </w:pPr>
          </w:p>
        </w:tc>
        <w:tc>
          <w:tcPr>
            <w:tcW w:w="2342" w:type="dxa"/>
            <w:vMerge w:val="continue"/>
            <w:tcBorders>
              <w:left w:val="single" w:color="auto" w:sz="4" w:space="0"/>
              <w:right w:val="single" w:color="auto" w:sz="4" w:space="0"/>
            </w:tcBorders>
            <w:noWrap w:val="0"/>
            <w:tcMar>
              <w:top w:w="0" w:type="dxa"/>
              <w:left w:w="0" w:type="dxa"/>
              <w:bottom w:w="0" w:type="dxa"/>
              <w:right w:w="0" w:type="dxa"/>
            </w:tcMar>
            <w:vAlign w:val="center"/>
          </w:tcPr>
          <w:p w14:paraId="491BBA96">
            <w:pPr>
              <w:spacing w:line="260" w:lineRule="exact"/>
              <w:jc w:val="both"/>
              <w:rPr>
                <w:rFonts w:hint="eastAsia" w:ascii="宋体" w:hAnsi="宋体" w:eastAsia="宋体" w:cs="宋体"/>
                <w:sz w:val="18"/>
                <w:szCs w:val="18"/>
              </w:rPr>
            </w:pPr>
          </w:p>
        </w:tc>
        <w:tc>
          <w:tcPr>
            <w:tcW w:w="6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7FB57CB">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一般</w:t>
            </w:r>
          </w:p>
        </w:tc>
        <w:tc>
          <w:tcPr>
            <w:tcW w:w="306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50629BD">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开垦或开发面积在1000平方米以上2000平方米以下的</w:t>
            </w:r>
          </w:p>
        </w:tc>
        <w:tc>
          <w:tcPr>
            <w:tcW w:w="236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4D23DFE">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可以对个人处每平方米</w:t>
            </w:r>
            <w:r>
              <w:rPr>
                <w:rFonts w:hint="eastAsia" w:ascii="宋体" w:hAnsi="宋体" w:eastAsia="宋体" w:cs="宋体"/>
                <w:color w:val="000000"/>
                <w:kern w:val="0"/>
                <w:sz w:val="18"/>
                <w:szCs w:val="18"/>
                <w:lang w:val="en-US" w:eastAsia="zh-CN" w:bidi="ar"/>
              </w:rPr>
              <w:t>5</w:t>
            </w:r>
            <w:r>
              <w:rPr>
                <w:rFonts w:hint="eastAsia" w:ascii="宋体" w:hAnsi="宋体" w:eastAsia="宋体" w:cs="宋体"/>
                <w:color w:val="000000"/>
                <w:kern w:val="0"/>
                <w:sz w:val="18"/>
                <w:szCs w:val="18"/>
                <w:lang w:bidi="ar"/>
              </w:rPr>
              <w:t>角以上</w:t>
            </w:r>
            <w:r>
              <w:rPr>
                <w:rFonts w:hint="eastAsia" w:ascii="宋体" w:hAnsi="宋体" w:eastAsia="宋体" w:cs="宋体"/>
                <w:color w:val="000000"/>
                <w:kern w:val="0"/>
                <w:sz w:val="18"/>
                <w:szCs w:val="18"/>
                <w:lang w:val="en-US" w:eastAsia="zh-CN" w:bidi="ar"/>
              </w:rPr>
              <w:t>1</w:t>
            </w:r>
            <w:r>
              <w:rPr>
                <w:rFonts w:hint="eastAsia" w:ascii="宋体" w:hAnsi="宋体" w:eastAsia="宋体" w:cs="宋体"/>
                <w:color w:val="000000"/>
                <w:kern w:val="0"/>
                <w:sz w:val="18"/>
                <w:szCs w:val="18"/>
                <w:lang w:bidi="ar"/>
              </w:rPr>
              <w:t>元以下的罚款，对单位处每平方米</w:t>
            </w:r>
            <w:r>
              <w:rPr>
                <w:rFonts w:hint="eastAsia" w:ascii="宋体" w:hAnsi="宋体" w:eastAsia="宋体" w:cs="宋体"/>
                <w:color w:val="000000"/>
                <w:kern w:val="0"/>
                <w:sz w:val="18"/>
                <w:szCs w:val="18"/>
                <w:lang w:val="en-US" w:eastAsia="zh-CN" w:bidi="ar"/>
              </w:rPr>
              <w:t>3</w:t>
            </w:r>
            <w:r>
              <w:rPr>
                <w:rFonts w:hint="eastAsia" w:ascii="宋体" w:hAnsi="宋体" w:eastAsia="宋体" w:cs="宋体"/>
                <w:color w:val="000000"/>
                <w:kern w:val="0"/>
                <w:sz w:val="18"/>
                <w:szCs w:val="18"/>
                <w:lang w:bidi="ar"/>
              </w:rPr>
              <w:t>元以上</w:t>
            </w:r>
            <w:r>
              <w:rPr>
                <w:rFonts w:hint="eastAsia" w:ascii="宋体" w:hAnsi="宋体" w:eastAsia="宋体" w:cs="宋体"/>
                <w:color w:val="000000"/>
                <w:kern w:val="0"/>
                <w:sz w:val="18"/>
                <w:szCs w:val="18"/>
                <w:lang w:val="en-US" w:eastAsia="zh-CN" w:bidi="ar"/>
              </w:rPr>
              <w:t>5</w:t>
            </w:r>
            <w:r>
              <w:rPr>
                <w:rFonts w:hint="eastAsia" w:ascii="宋体" w:hAnsi="宋体" w:eastAsia="宋体" w:cs="宋体"/>
                <w:color w:val="000000"/>
                <w:kern w:val="0"/>
                <w:sz w:val="18"/>
                <w:szCs w:val="18"/>
                <w:lang w:bidi="ar"/>
              </w:rPr>
              <w:t>元以下的罚款</w:t>
            </w:r>
          </w:p>
        </w:tc>
        <w:tc>
          <w:tcPr>
            <w:tcW w:w="958" w:type="dxa"/>
            <w:vMerge w:val="continue"/>
            <w:tcBorders>
              <w:left w:val="single" w:color="auto" w:sz="4" w:space="0"/>
              <w:right w:val="single" w:color="auto" w:sz="4" w:space="0"/>
            </w:tcBorders>
            <w:noWrap w:val="0"/>
            <w:tcMar>
              <w:top w:w="0" w:type="dxa"/>
              <w:left w:w="0" w:type="dxa"/>
              <w:bottom w:w="0" w:type="dxa"/>
              <w:right w:w="0" w:type="dxa"/>
            </w:tcMar>
            <w:vAlign w:val="center"/>
          </w:tcPr>
          <w:p w14:paraId="61439469">
            <w:pPr>
              <w:widowControl/>
              <w:spacing w:line="260" w:lineRule="exact"/>
              <w:jc w:val="center"/>
              <w:textAlignment w:val="center"/>
              <w:rPr>
                <w:rFonts w:hint="eastAsia" w:ascii="宋体" w:hAnsi="宋体" w:eastAsia="宋体" w:cs="宋体"/>
                <w:color w:val="000000"/>
                <w:kern w:val="0"/>
                <w:sz w:val="18"/>
                <w:szCs w:val="18"/>
                <w:lang w:bidi="ar"/>
              </w:rPr>
            </w:pPr>
          </w:p>
        </w:tc>
      </w:tr>
      <w:tr w14:paraId="56DA65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10" w:type="dxa"/>
            <w:vMerge w:val="restart"/>
            <w:tcBorders>
              <w:left w:val="single" w:color="auto" w:sz="4" w:space="0"/>
              <w:right w:val="single" w:color="auto" w:sz="4" w:space="0"/>
            </w:tcBorders>
            <w:noWrap w:val="0"/>
            <w:tcMar>
              <w:top w:w="0" w:type="dxa"/>
              <w:left w:w="0" w:type="dxa"/>
              <w:bottom w:w="0" w:type="dxa"/>
              <w:right w:w="0" w:type="dxa"/>
            </w:tcMar>
            <w:vAlign w:val="center"/>
          </w:tcPr>
          <w:p w14:paraId="1883E067">
            <w:pPr>
              <w:spacing w:line="260" w:lineRule="exact"/>
              <w:jc w:val="center"/>
              <w:rPr>
                <w:rFonts w:hint="eastAsia" w:ascii="宋体" w:hAnsi="宋体" w:eastAsia="宋体" w:cs="宋体"/>
                <w:sz w:val="18"/>
                <w:szCs w:val="18"/>
              </w:rPr>
            </w:pPr>
            <w:r>
              <w:rPr>
                <w:rFonts w:hint="eastAsia" w:ascii="宋体" w:hAnsi="宋体" w:eastAsia="宋体" w:cs="宋体"/>
                <w:sz w:val="18"/>
                <w:szCs w:val="18"/>
                <w:lang w:val="en-US" w:eastAsia="zh-CN"/>
              </w:rPr>
              <w:t>46</w:t>
            </w:r>
          </w:p>
        </w:tc>
        <w:tc>
          <w:tcPr>
            <w:tcW w:w="1260" w:type="dxa"/>
            <w:vMerge w:val="restart"/>
            <w:tcBorders>
              <w:left w:val="single" w:color="auto" w:sz="4" w:space="0"/>
              <w:right w:val="single" w:color="auto" w:sz="4" w:space="0"/>
            </w:tcBorders>
            <w:noWrap w:val="0"/>
            <w:tcMar>
              <w:top w:w="0" w:type="dxa"/>
              <w:left w:w="0" w:type="dxa"/>
              <w:bottom w:w="0" w:type="dxa"/>
              <w:right w:w="0" w:type="dxa"/>
            </w:tcMar>
            <w:vAlign w:val="center"/>
          </w:tcPr>
          <w:p w14:paraId="17250C29">
            <w:pPr>
              <w:widowControl/>
              <w:spacing w:line="260" w:lineRule="exact"/>
              <w:textAlignment w:val="center"/>
              <w:rPr>
                <w:rFonts w:hint="eastAsia" w:ascii="宋体" w:hAnsi="宋体" w:eastAsia="宋体" w:cs="宋体"/>
                <w:kern w:val="0"/>
                <w:sz w:val="18"/>
                <w:szCs w:val="18"/>
                <w:lang w:bidi="ar"/>
              </w:rPr>
            </w:pPr>
            <w:r>
              <w:rPr>
                <w:rFonts w:hint="eastAsia" w:ascii="宋体" w:hAnsi="宋体" w:eastAsia="宋体" w:cs="宋体"/>
                <w:color w:val="000000"/>
                <w:kern w:val="0"/>
                <w:sz w:val="18"/>
                <w:szCs w:val="18"/>
                <w:lang w:bidi="ar"/>
              </w:rPr>
              <w:t>对在禁止开垦坡度以上陡坡地开垦种植农作物，或者在禁止开垦、开发的植物保护带内开垦、开发行为的行政处罚</w:t>
            </w:r>
          </w:p>
        </w:tc>
        <w:tc>
          <w:tcPr>
            <w:tcW w:w="3895" w:type="dxa"/>
            <w:vMerge w:val="restart"/>
            <w:tcBorders>
              <w:left w:val="single" w:color="auto" w:sz="4" w:space="0"/>
              <w:right w:val="single" w:color="auto" w:sz="4" w:space="0"/>
            </w:tcBorders>
            <w:noWrap w:val="0"/>
            <w:tcMar>
              <w:top w:w="0" w:type="dxa"/>
              <w:left w:w="0" w:type="dxa"/>
              <w:bottom w:w="0" w:type="dxa"/>
              <w:right w:w="0" w:type="dxa"/>
            </w:tcMar>
            <w:vAlign w:val="center"/>
          </w:tcPr>
          <w:p w14:paraId="650869E1">
            <w:pPr>
              <w:widowControl/>
              <w:spacing w:line="260" w:lineRule="exact"/>
              <w:ind w:firstLine="360" w:firstLineChars="200"/>
              <w:textAlignment w:val="center"/>
              <w:rPr>
                <w:rFonts w:hint="eastAsia" w:ascii="宋体" w:hAnsi="宋体" w:eastAsia="宋体" w:cs="宋体"/>
                <w:kern w:val="0"/>
                <w:sz w:val="18"/>
                <w:szCs w:val="18"/>
                <w:lang w:bidi="ar"/>
              </w:rPr>
            </w:pPr>
            <w:r>
              <w:rPr>
                <w:rFonts w:hint="eastAsia" w:ascii="宋体" w:hAnsi="宋体" w:eastAsia="宋体" w:cs="宋体"/>
                <w:color w:val="000000"/>
                <w:kern w:val="0"/>
                <w:sz w:val="18"/>
                <w:szCs w:val="18"/>
                <w:lang w:bidi="ar"/>
              </w:rPr>
              <w:t>《中华人民共和国水土保持法》第四十九条 违反本法规定，在禁止开垦坡度以上陡坡地开垦种植农作物，或者在禁止开垦、开发的植物保护带内开垦、开发的，由县级以上地方人民政府水行政主管部门责令停止违法行为，采取退耕、恢复植被等补救措施；按照开垦或者开发面积，可以对个人处每平方米二元以下的罚款、对单位处每平方米十元以下的罚款。</w:t>
            </w:r>
          </w:p>
        </w:tc>
        <w:tc>
          <w:tcPr>
            <w:tcW w:w="2342" w:type="dxa"/>
            <w:vMerge w:val="restart"/>
            <w:tcBorders>
              <w:left w:val="single" w:color="auto" w:sz="4" w:space="0"/>
              <w:right w:val="single" w:color="auto" w:sz="4" w:space="0"/>
            </w:tcBorders>
            <w:noWrap w:val="0"/>
            <w:tcMar>
              <w:top w:w="0" w:type="dxa"/>
              <w:left w:w="0" w:type="dxa"/>
              <w:bottom w:w="0" w:type="dxa"/>
              <w:right w:w="0" w:type="dxa"/>
            </w:tcMar>
            <w:vAlign w:val="center"/>
          </w:tcPr>
          <w:p w14:paraId="488FCCCD">
            <w:pPr>
              <w:spacing w:line="260" w:lineRule="exact"/>
              <w:jc w:val="both"/>
              <w:rPr>
                <w:rFonts w:hint="eastAsia" w:ascii="宋体" w:hAnsi="宋体" w:eastAsia="宋体" w:cs="宋体"/>
                <w:sz w:val="18"/>
                <w:szCs w:val="18"/>
              </w:rPr>
            </w:pPr>
            <w:r>
              <w:rPr>
                <w:rFonts w:hint="eastAsia" w:ascii="宋体" w:hAnsi="宋体" w:eastAsia="宋体" w:cs="宋体"/>
                <w:color w:val="000000"/>
                <w:kern w:val="0"/>
                <w:sz w:val="18"/>
                <w:szCs w:val="18"/>
                <w:lang w:bidi="ar"/>
              </w:rPr>
              <w:t>在禁止开垦坡度以上陡坡地开垦种植农作物，或者在禁止开垦、开发的植物保护带内开垦、开发行为的</w:t>
            </w:r>
          </w:p>
        </w:tc>
        <w:tc>
          <w:tcPr>
            <w:tcW w:w="6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C8AFCC4">
            <w:pPr>
              <w:spacing w:line="260" w:lineRule="exact"/>
              <w:jc w:val="center"/>
              <w:rPr>
                <w:rFonts w:hint="eastAsia" w:ascii="宋体" w:hAnsi="宋体" w:eastAsia="宋体" w:cs="宋体"/>
                <w:sz w:val="18"/>
                <w:szCs w:val="18"/>
                <w:lang w:eastAsia="zh-CN"/>
              </w:rPr>
            </w:pPr>
            <w:r>
              <w:rPr>
                <w:rFonts w:hint="eastAsia" w:ascii="宋体" w:hAnsi="宋体" w:eastAsia="宋体" w:cs="宋体"/>
                <w:sz w:val="18"/>
                <w:szCs w:val="18"/>
                <w:lang w:eastAsia="zh-CN"/>
              </w:rPr>
              <w:t>较重</w:t>
            </w:r>
          </w:p>
        </w:tc>
        <w:tc>
          <w:tcPr>
            <w:tcW w:w="306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F9093B1">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开垦或开发面积在2000平方米以上5000平方米以下的</w:t>
            </w:r>
          </w:p>
        </w:tc>
        <w:tc>
          <w:tcPr>
            <w:tcW w:w="236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D646E0A">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对个人处每平方米</w:t>
            </w:r>
            <w:r>
              <w:rPr>
                <w:rFonts w:hint="eastAsia" w:ascii="宋体" w:hAnsi="宋体" w:eastAsia="宋体" w:cs="宋体"/>
                <w:color w:val="000000"/>
                <w:kern w:val="0"/>
                <w:sz w:val="18"/>
                <w:szCs w:val="18"/>
                <w:lang w:val="en-US" w:eastAsia="zh-CN" w:bidi="ar"/>
              </w:rPr>
              <w:t>1</w:t>
            </w:r>
            <w:r>
              <w:rPr>
                <w:rFonts w:hint="eastAsia" w:ascii="宋体" w:hAnsi="宋体" w:eastAsia="宋体" w:cs="宋体"/>
                <w:color w:val="000000"/>
                <w:kern w:val="0"/>
                <w:sz w:val="18"/>
                <w:szCs w:val="18"/>
                <w:lang w:bidi="ar"/>
              </w:rPr>
              <w:t>元以上</w:t>
            </w:r>
            <w:r>
              <w:rPr>
                <w:rFonts w:hint="eastAsia" w:ascii="宋体" w:hAnsi="宋体" w:eastAsia="宋体" w:cs="宋体"/>
                <w:color w:val="000000"/>
                <w:kern w:val="0"/>
                <w:sz w:val="18"/>
                <w:szCs w:val="18"/>
                <w:lang w:val="en-US" w:eastAsia="zh-CN" w:bidi="ar"/>
              </w:rPr>
              <w:t>1.5元</w:t>
            </w:r>
            <w:r>
              <w:rPr>
                <w:rFonts w:hint="eastAsia" w:ascii="宋体" w:hAnsi="宋体" w:eastAsia="宋体" w:cs="宋体"/>
                <w:color w:val="000000"/>
                <w:kern w:val="0"/>
                <w:sz w:val="18"/>
                <w:szCs w:val="18"/>
                <w:lang w:bidi="ar"/>
              </w:rPr>
              <w:t>以下的罚款，对单位处每平方米</w:t>
            </w:r>
            <w:r>
              <w:rPr>
                <w:rFonts w:hint="eastAsia" w:ascii="宋体" w:hAnsi="宋体" w:eastAsia="宋体" w:cs="宋体"/>
                <w:color w:val="000000"/>
                <w:kern w:val="0"/>
                <w:sz w:val="18"/>
                <w:szCs w:val="18"/>
                <w:lang w:val="en-US" w:eastAsia="zh-CN" w:bidi="ar"/>
              </w:rPr>
              <w:t>5</w:t>
            </w:r>
            <w:r>
              <w:rPr>
                <w:rFonts w:hint="eastAsia" w:ascii="宋体" w:hAnsi="宋体" w:eastAsia="宋体" w:cs="宋体"/>
                <w:color w:val="000000"/>
                <w:kern w:val="0"/>
                <w:sz w:val="18"/>
                <w:szCs w:val="18"/>
                <w:lang w:bidi="ar"/>
              </w:rPr>
              <w:t>元以上</w:t>
            </w:r>
            <w:r>
              <w:rPr>
                <w:rFonts w:hint="eastAsia" w:ascii="宋体" w:hAnsi="宋体" w:eastAsia="宋体" w:cs="宋体"/>
                <w:color w:val="000000"/>
                <w:kern w:val="0"/>
                <w:sz w:val="18"/>
                <w:szCs w:val="18"/>
                <w:lang w:val="en-US" w:eastAsia="zh-CN" w:bidi="ar"/>
              </w:rPr>
              <w:t>8</w:t>
            </w:r>
            <w:r>
              <w:rPr>
                <w:rFonts w:hint="eastAsia" w:ascii="宋体" w:hAnsi="宋体" w:eastAsia="宋体" w:cs="宋体"/>
                <w:color w:val="000000"/>
                <w:kern w:val="0"/>
                <w:sz w:val="18"/>
                <w:szCs w:val="18"/>
                <w:lang w:bidi="ar"/>
              </w:rPr>
              <w:t>元以下的罚款</w:t>
            </w:r>
          </w:p>
        </w:tc>
        <w:tc>
          <w:tcPr>
            <w:tcW w:w="958" w:type="dxa"/>
            <w:vMerge w:val="continue"/>
            <w:tcBorders>
              <w:left w:val="single" w:color="auto" w:sz="4" w:space="0"/>
              <w:right w:val="single" w:color="auto" w:sz="4" w:space="0"/>
            </w:tcBorders>
            <w:noWrap w:val="0"/>
            <w:tcMar>
              <w:top w:w="0" w:type="dxa"/>
              <w:left w:w="0" w:type="dxa"/>
              <w:bottom w:w="0" w:type="dxa"/>
              <w:right w:w="0" w:type="dxa"/>
            </w:tcMar>
            <w:vAlign w:val="center"/>
          </w:tcPr>
          <w:p w14:paraId="3427DFEF">
            <w:pPr>
              <w:widowControl/>
              <w:spacing w:line="260" w:lineRule="exact"/>
              <w:jc w:val="center"/>
              <w:textAlignment w:val="center"/>
              <w:rPr>
                <w:rFonts w:hint="eastAsia" w:ascii="宋体" w:hAnsi="宋体" w:eastAsia="宋体" w:cs="宋体"/>
                <w:color w:val="000000"/>
                <w:kern w:val="0"/>
                <w:sz w:val="18"/>
                <w:szCs w:val="18"/>
                <w:lang w:bidi="ar"/>
              </w:rPr>
            </w:pPr>
          </w:p>
        </w:tc>
      </w:tr>
      <w:tr w14:paraId="7CE25F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10" w:type="dxa"/>
            <w:vMerge w:val="continue"/>
            <w:tcBorders>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C00F3C3">
            <w:pPr>
              <w:spacing w:line="260" w:lineRule="exact"/>
              <w:jc w:val="center"/>
              <w:rPr>
                <w:rFonts w:hint="eastAsia" w:ascii="宋体" w:hAnsi="宋体" w:eastAsia="宋体" w:cs="宋体"/>
                <w:sz w:val="18"/>
                <w:szCs w:val="18"/>
              </w:rPr>
            </w:pPr>
          </w:p>
        </w:tc>
        <w:tc>
          <w:tcPr>
            <w:tcW w:w="1260" w:type="dxa"/>
            <w:vMerge w:val="continue"/>
            <w:tcBorders>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6359E58">
            <w:pPr>
              <w:widowControl/>
              <w:spacing w:line="260" w:lineRule="exact"/>
              <w:textAlignment w:val="center"/>
              <w:rPr>
                <w:rFonts w:hint="eastAsia" w:ascii="宋体" w:hAnsi="宋体" w:eastAsia="宋体" w:cs="宋体"/>
                <w:kern w:val="0"/>
                <w:sz w:val="18"/>
                <w:szCs w:val="18"/>
                <w:lang w:bidi="ar"/>
              </w:rPr>
            </w:pPr>
          </w:p>
        </w:tc>
        <w:tc>
          <w:tcPr>
            <w:tcW w:w="3895" w:type="dxa"/>
            <w:vMerge w:val="continue"/>
            <w:tcBorders>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C598FBA">
            <w:pPr>
              <w:widowControl/>
              <w:spacing w:line="260" w:lineRule="exact"/>
              <w:ind w:firstLine="360" w:firstLineChars="200"/>
              <w:textAlignment w:val="center"/>
              <w:rPr>
                <w:rFonts w:hint="eastAsia" w:ascii="宋体" w:hAnsi="宋体" w:eastAsia="宋体" w:cs="宋体"/>
                <w:kern w:val="0"/>
                <w:sz w:val="18"/>
                <w:szCs w:val="18"/>
                <w:lang w:bidi="ar"/>
              </w:rPr>
            </w:pPr>
          </w:p>
        </w:tc>
        <w:tc>
          <w:tcPr>
            <w:tcW w:w="2342" w:type="dxa"/>
            <w:vMerge w:val="continue"/>
            <w:tcBorders>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D4BEADE">
            <w:pPr>
              <w:spacing w:line="260" w:lineRule="exact"/>
              <w:jc w:val="both"/>
              <w:rPr>
                <w:rFonts w:hint="eastAsia" w:ascii="宋体" w:hAnsi="宋体" w:eastAsia="宋体" w:cs="宋体"/>
                <w:sz w:val="18"/>
                <w:szCs w:val="18"/>
              </w:rPr>
            </w:pPr>
          </w:p>
        </w:tc>
        <w:tc>
          <w:tcPr>
            <w:tcW w:w="6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52488AA">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严重</w:t>
            </w:r>
          </w:p>
        </w:tc>
        <w:tc>
          <w:tcPr>
            <w:tcW w:w="306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A5A50D8">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开垦或开发面积在5000平方米以上的</w:t>
            </w:r>
          </w:p>
        </w:tc>
        <w:tc>
          <w:tcPr>
            <w:tcW w:w="236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70CFA6D">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对个人处每平方米</w:t>
            </w:r>
            <w:r>
              <w:rPr>
                <w:rFonts w:hint="eastAsia" w:ascii="宋体" w:hAnsi="宋体" w:eastAsia="宋体" w:cs="宋体"/>
                <w:color w:val="000000"/>
                <w:kern w:val="0"/>
                <w:sz w:val="18"/>
                <w:szCs w:val="18"/>
                <w:lang w:val="en-US" w:eastAsia="zh-CN" w:bidi="ar"/>
              </w:rPr>
              <w:t>1.5元</w:t>
            </w:r>
            <w:r>
              <w:rPr>
                <w:rFonts w:hint="eastAsia" w:ascii="宋体" w:hAnsi="宋体" w:eastAsia="宋体" w:cs="宋体"/>
                <w:color w:val="000000"/>
                <w:kern w:val="0"/>
                <w:sz w:val="18"/>
                <w:szCs w:val="18"/>
                <w:lang w:bidi="ar"/>
              </w:rPr>
              <w:t>以上</w:t>
            </w:r>
            <w:r>
              <w:rPr>
                <w:rFonts w:hint="eastAsia" w:ascii="宋体" w:hAnsi="宋体" w:eastAsia="宋体" w:cs="宋体"/>
                <w:color w:val="000000"/>
                <w:kern w:val="0"/>
                <w:sz w:val="18"/>
                <w:szCs w:val="18"/>
                <w:lang w:val="en-US" w:eastAsia="zh-CN" w:bidi="ar"/>
              </w:rPr>
              <w:t>2</w:t>
            </w:r>
            <w:r>
              <w:rPr>
                <w:rFonts w:hint="eastAsia" w:ascii="宋体" w:hAnsi="宋体" w:eastAsia="宋体" w:cs="宋体"/>
                <w:color w:val="000000"/>
                <w:kern w:val="0"/>
                <w:sz w:val="18"/>
                <w:szCs w:val="18"/>
                <w:lang w:bidi="ar"/>
              </w:rPr>
              <w:t>元以下的罚款，对单位处每平方米</w:t>
            </w:r>
            <w:r>
              <w:rPr>
                <w:rFonts w:hint="eastAsia" w:ascii="宋体" w:hAnsi="宋体" w:eastAsia="宋体" w:cs="宋体"/>
                <w:color w:val="000000"/>
                <w:kern w:val="0"/>
                <w:sz w:val="18"/>
                <w:szCs w:val="18"/>
                <w:lang w:val="en-US" w:eastAsia="zh-CN" w:bidi="ar"/>
              </w:rPr>
              <w:t>8</w:t>
            </w:r>
            <w:r>
              <w:rPr>
                <w:rFonts w:hint="eastAsia" w:ascii="宋体" w:hAnsi="宋体" w:eastAsia="宋体" w:cs="宋体"/>
                <w:color w:val="000000"/>
                <w:kern w:val="0"/>
                <w:sz w:val="18"/>
                <w:szCs w:val="18"/>
                <w:lang w:bidi="ar"/>
              </w:rPr>
              <w:t>元以上</w:t>
            </w:r>
            <w:r>
              <w:rPr>
                <w:rFonts w:hint="eastAsia" w:ascii="宋体" w:hAnsi="宋体" w:eastAsia="宋体" w:cs="宋体"/>
                <w:color w:val="000000"/>
                <w:kern w:val="0"/>
                <w:sz w:val="18"/>
                <w:szCs w:val="18"/>
                <w:lang w:val="en-US" w:eastAsia="zh-CN" w:bidi="ar"/>
              </w:rPr>
              <w:t>10</w:t>
            </w:r>
            <w:r>
              <w:rPr>
                <w:rFonts w:hint="eastAsia" w:ascii="宋体" w:hAnsi="宋体" w:eastAsia="宋体" w:cs="宋体"/>
                <w:color w:val="000000"/>
                <w:kern w:val="0"/>
                <w:sz w:val="18"/>
                <w:szCs w:val="18"/>
                <w:lang w:bidi="ar"/>
              </w:rPr>
              <w:t>元以下的罚款</w:t>
            </w:r>
          </w:p>
        </w:tc>
        <w:tc>
          <w:tcPr>
            <w:tcW w:w="958" w:type="dxa"/>
            <w:vMerge w:val="continue"/>
            <w:tcBorders>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E55C1C5">
            <w:pPr>
              <w:widowControl/>
              <w:spacing w:line="260" w:lineRule="exact"/>
              <w:jc w:val="center"/>
              <w:textAlignment w:val="center"/>
              <w:rPr>
                <w:rFonts w:hint="eastAsia" w:ascii="宋体" w:hAnsi="宋体" w:eastAsia="宋体" w:cs="宋体"/>
                <w:color w:val="000000"/>
                <w:kern w:val="0"/>
                <w:sz w:val="18"/>
                <w:szCs w:val="18"/>
                <w:lang w:bidi="ar"/>
              </w:rPr>
            </w:pPr>
          </w:p>
        </w:tc>
      </w:tr>
      <w:tr w14:paraId="6E47F1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10" w:type="dxa"/>
            <w:vMerge w:val="restart"/>
            <w:tcBorders>
              <w:left w:val="single" w:color="auto" w:sz="4" w:space="0"/>
              <w:right w:val="single" w:color="auto" w:sz="4" w:space="0"/>
            </w:tcBorders>
            <w:noWrap w:val="0"/>
            <w:tcMar>
              <w:top w:w="0" w:type="dxa"/>
              <w:left w:w="0" w:type="dxa"/>
              <w:bottom w:w="0" w:type="dxa"/>
              <w:right w:w="0" w:type="dxa"/>
            </w:tcMar>
            <w:vAlign w:val="center"/>
          </w:tcPr>
          <w:p w14:paraId="19A59517">
            <w:pPr>
              <w:widowControl/>
              <w:spacing w:line="260" w:lineRule="exact"/>
              <w:jc w:val="center"/>
              <w:textAlignment w:val="center"/>
              <w:rPr>
                <w:rFonts w:hint="eastAsia" w:ascii="宋体" w:hAnsi="宋体" w:eastAsia="宋体" w:cs="宋体"/>
                <w:sz w:val="18"/>
                <w:szCs w:val="18"/>
              </w:rPr>
            </w:pPr>
            <w:r>
              <w:rPr>
                <w:rFonts w:hint="eastAsia" w:ascii="宋体" w:hAnsi="宋体" w:eastAsia="宋体" w:cs="宋体"/>
                <w:color w:val="000000"/>
                <w:kern w:val="0"/>
                <w:sz w:val="18"/>
                <w:szCs w:val="18"/>
                <w:lang w:bidi="ar"/>
              </w:rPr>
              <w:t>47</w:t>
            </w:r>
          </w:p>
        </w:tc>
        <w:tc>
          <w:tcPr>
            <w:tcW w:w="1260" w:type="dxa"/>
            <w:vMerge w:val="restart"/>
            <w:tcBorders>
              <w:left w:val="single" w:color="auto" w:sz="4" w:space="0"/>
              <w:right w:val="single" w:color="auto" w:sz="4" w:space="0"/>
            </w:tcBorders>
            <w:noWrap w:val="0"/>
            <w:tcMar>
              <w:top w:w="0" w:type="dxa"/>
              <w:left w:w="0" w:type="dxa"/>
              <w:bottom w:w="0" w:type="dxa"/>
              <w:right w:w="0" w:type="dxa"/>
            </w:tcMar>
            <w:vAlign w:val="center"/>
          </w:tcPr>
          <w:p w14:paraId="07613C10">
            <w:pPr>
              <w:widowControl/>
              <w:spacing w:line="260" w:lineRule="exact"/>
              <w:jc w:val="both"/>
              <w:textAlignment w:val="center"/>
              <w:rPr>
                <w:rFonts w:hint="eastAsia" w:ascii="宋体" w:hAnsi="宋体" w:eastAsia="宋体" w:cs="宋体"/>
                <w:kern w:val="0"/>
                <w:sz w:val="18"/>
                <w:szCs w:val="18"/>
                <w:lang w:bidi="ar"/>
              </w:rPr>
            </w:pPr>
            <w:r>
              <w:rPr>
                <w:rFonts w:hint="eastAsia" w:ascii="宋体" w:hAnsi="宋体" w:eastAsia="宋体" w:cs="宋体"/>
                <w:color w:val="000000"/>
                <w:kern w:val="0"/>
                <w:sz w:val="18"/>
                <w:szCs w:val="18"/>
                <w:lang w:bidi="ar"/>
              </w:rPr>
              <w:t>对采集发菜，或者在水土流失重点预防区和重点治理区铲草皮、挖树兜、滥挖虫草、甘草、麻黄等行为的行政处罚</w:t>
            </w:r>
          </w:p>
        </w:tc>
        <w:tc>
          <w:tcPr>
            <w:tcW w:w="3895" w:type="dxa"/>
            <w:vMerge w:val="restart"/>
            <w:tcBorders>
              <w:top w:val="single" w:color="auto" w:sz="4" w:space="0"/>
              <w:left w:val="single" w:color="auto" w:sz="4" w:space="0"/>
              <w:right w:val="single" w:color="auto" w:sz="4" w:space="0"/>
            </w:tcBorders>
            <w:noWrap w:val="0"/>
            <w:tcMar>
              <w:top w:w="0" w:type="dxa"/>
              <w:left w:w="0" w:type="dxa"/>
              <w:bottom w:w="0" w:type="dxa"/>
              <w:right w:w="0" w:type="dxa"/>
            </w:tcMar>
            <w:vAlign w:val="center"/>
          </w:tcPr>
          <w:p w14:paraId="14EF88D3">
            <w:pPr>
              <w:widowControl/>
              <w:spacing w:line="260" w:lineRule="exact"/>
              <w:jc w:val="both"/>
              <w:textAlignment w:val="center"/>
              <w:rPr>
                <w:rFonts w:hint="eastAsia" w:ascii="宋体" w:hAnsi="宋体" w:eastAsia="宋体" w:cs="宋体"/>
                <w:kern w:val="0"/>
                <w:sz w:val="18"/>
                <w:szCs w:val="18"/>
                <w:lang w:bidi="ar"/>
              </w:rPr>
            </w:pPr>
            <w:r>
              <w:rPr>
                <w:rFonts w:hint="eastAsia" w:ascii="宋体" w:hAnsi="宋体" w:eastAsia="宋体" w:cs="宋体"/>
                <w:color w:val="000000"/>
                <w:kern w:val="0"/>
                <w:sz w:val="18"/>
                <w:szCs w:val="18"/>
                <w:lang w:bidi="ar"/>
              </w:rPr>
              <w:t>《中华人民共和国水土保持法》第五十一条第一款 违反本法规定，采集发菜，或者在水土流失重点预防区和重点治理区铲草皮、挖树兜、滥挖虫草、甘草、麻黄等的，由县级以上地方人民政府水行政主管部门责令停止违法行为，采取补救措施，没收违法所得，并处违法所得一倍以上五倍以下的罚款；没有违法所得的，可以处五万元以下的罚款。</w:t>
            </w:r>
          </w:p>
        </w:tc>
        <w:tc>
          <w:tcPr>
            <w:tcW w:w="2342" w:type="dxa"/>
            <w:vMerge w:val="restart"/>
            <w:tcBorders>
              <w:top w:val="single" w:color="auto" w:sz="4" w:space="0"/>
              <w:left w:val="single" w:color="auto" w:sz="4" w:space="0"/>
              <w:right w:val="single" w:color="auto" w:sz="4" w:space="0"/>
            </w:tcBorders>
            <w:noWrap w:val="0"/>
            <w:tcMar>
              <w:top w:w="0" w:type="dxa"/>
              <w:left w:w="0" w:type="dxa"/>
              <w:bottom w:w="0" w:type="dxa"/>
              <w:right w:w="0" w:type="dxa"/>
            </w:tcMar>
            <w:vAlign w:val="center"/>
          </w:tcPr>
          <w:p w14:paraId="2029086F">
            <w:pPr>
              <w:spacing w:line="260" w:lineRule="exact"/>
              <w:jc w:val="both"/>
              <w:rPr>
                <w:rFonts w:hint="eastAsia" w:ascii="宋体" w:hAnsi="宋体" w:eastAsia="宋体" w:cs="宋体"/>
                <w:sz w:val="18"/>
                <w:szCs w:val="18"/>
              </w:rPr>
            </w:pPr>
            <w:r>
              <w:rPr>
                <w:rFonts w:hint="eastAsia" w:ascii="宋体" w:hAnsi="宋体" w:eastAsia="宋体" w:cs="宋体"/>
                <w:color w:val="000000"/>
                <w:kern w:val="0"/>
                <w:sz w:val="18"/>
                <w:szCs w:val="18"/>
                <w:lang w:bidi="ar"/>
              </w:rPr>
              <w:t>采集发菜，或者在水土流失重点预防区和重点治理区铲草皮、挖树兜、滥挖虫草、甘草、麻黄等行为的</w:t>
            </w:r>
          </w:p>
        </w:tc>
        <w:tc>
          <w:tcPr>
            <w:tcW w:w="6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A52B59E">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轻微</w:t>
            </w:r>
          </w:p>
        </w:tc>
        <w:tc>
          <w:tcPr>
            <w:tcW w:w="306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FF27721">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1.初次违法；</w:t>
            </w:r>
          </w:p>
          <w:p w14:paraId="02DC8B95">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2.签署承诺书，开垦或者开发面积在500平方米以下的，及时采取退耕、恢复植被等补救措施，没有造成水土流失危害后果的；</w:t>
            </w:r>
          </w:p>
          <w:p w14:paraId="67E57F6B">
            <w:pPr>
              <w:widowControl/>
              <w:spacing w:line="260" w:lineRule="exact"/>
              <w:jc w:val="both"/>
              <w:textAlignment w:val="center"/>
              <w:rPr>
                <w:rFonts w:hint="eastAsia" w:ascii="宋体" w:hAnsi="宋体" w:eastAsia="宋体" w:cs="宋体"/>
                <w:color w:val="000000"/>
                <w:kern w:val="0"/>
                <w:sz w:val="18"/>
                <w:szCs w:val="18"/>
                <w:lang w:bidi="ar"/>
              </w:rPr>
            </w:pPr>
            <w:r>
              <w:rPr>
                <w:rStyle w:val="21"/>
                <w:rFonts w:hint="eastAsia" w:ascii="宋体" w:hAnsi="宋体" w:eastAsia="宋体" w:cs="宋体"/>
                <w:sz w:val="18"/>
                <w:szCs w:val="18"/>
                <w:lang w:val="en-US" w:eastAsia="zh-CN" w:bidi="ar"/>
              </w:rPr>
              <w:t>（注：符合上述所有情形的，不予处罚，应将本次违法情况进行登记备案，以后再发生类似问题的将不再适用本条件）</w:t>
            </w:r>
          </w:p>
        </w:tc>
        <w:tc>
          <w:tcPr>
            <w:tcW w:w="236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C13F671">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不予处罚</w:t>
            </w:r>
          </w:p>
        </w:tc>
        <w:tc>
          <w:tcPr>
            <w:tcW w:w="958" w:type="dxa"/>
            <w:vMerge w:val="restart"/>
            <w:tcBorders>
              <w:top w:val="single" w:color="auto" w:sz="4" w:space="0"/>
              <w:left w:val="single" w:color="auto" w:sz="4" w:space="0"/>
              <w:right w:val="single" w:color="auto" w:sz="4" w:space="0"/>
            </w:tcBorders>
            <w:noWrap w:val="0"/>
            <w:tcMar>
              <w:top w:w="0" w:type="dxa"/>
              <w:left w:w="0" w:type="dxa"/>
              <w:bottom w:w="0" w:type="dxa"/>
              <w:right w:w="0" w:type="dxa"/>
            </w:tcMar>
            <w:vAlign w:val="center"/>
          </w:tcPr>
          <w:p w14:paraId="4D39563D">
            <w:pPr>
              <w:widowControl/>
              <w:spacing w:line="260" w:lineRule="exact"/>
              <w:jc w:val="center"/>
              <w:textAlignment w:val="center"/>
              <w:rPr>
                <w:rFonts w:hint="eastAsia" w:ascii="宋体" w:hAnsi="宋体" w:eastAsia="宋体" w:cs="宋体"/>
                <w:color w:val="000000"/>
                <w:kern w:val="0"/>
                <w:sz w:val="18"/>
                <w:szCs w:val="18"/>
                <w:lang w:bidi="ar"/>
              </w:rPr>
            </w:pPr>
          </w:p>
        </w:tc>
      </w:tr>
      <w:tr w14:paraId="0D3085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10" w:type="dxa"/>
            <w:vMerge w:val="continue"/>
            <w:tcBorders>
              <w:left w:val="single" w:color="auto" w:sz="4" w:space="0"/>
              <w:right w:val="single" w:color="auto" w:sz="4" w:space="0"/>
            </w:tcBorders>
            <w:noWrap w:val="0"/>
            <w:tcMar>
              <w:top w:w="0" w:type="dxa"/>
              <w:left w:w="0" w:type="dxa"/>
              <w:bottom w:w="0" w:type="dxa"/>
              <w:right w:w="0" w:type="dxa"/>
            </w:tcMar>
            <w:vAlign w:val="center"/>
          </w:tcPr>
          <w:p w14:paraId="246BF079">
            <w:pPr>
              <w:spacing w:line="260" w:lineRule="exact"/>
              <w:jc w:val="center"/>
              <w:rPr>
                <w:rFonts w:hint="eastAsia" w:ascii="宋体" w:hAnsi="宋体" w:eastAsia="宋体" w:cs="宋体"/>
                <w:sz w:val="18"/>
                <w:szCs w:val="18"/>
              </w:rPr>
            </w:pPr>
          </w:p>
        </w:tc>
        <w:tc>
          <w:tcPr>
            <w:tcW w:w="1260" w:type="dxa"/>
            <w:vMerge w:val="continue"/>
            <w:tcBorders>
              <w:left w:val="single" w:color="auto" w:sz="4" w:space="0"/>
              <w:right w:val="single" w:color="auto" w:sz="4" w:space="0"/>
            </w:tcBorders>
            <w:noWrap w:val="0"/>
            <w:tcMar>
              <w:top w:w="0" w:type="dxa"/>
              <w:left w:w="0" w:type="dxa"/>
              <w:bottom w:w="0" w:type="dxa"/>
              <w:right w:w="0" w:type="dxa"/>
            </w:tcMar>
            <w:vAlign w:val="center"/>
          </w:tcPr>
          <w:p w14:paraId="0D3A9ABF">
            <w:pPr>
              <w:widowControl/>
              <w:spacing w:line="260" w:lineRule="exact"/>
              <w:textAlignment w:val="center"/>
              <w:rPr>
                <w:rFonts w:hint="eastAsia" w:ascii="宋体" w:hAnsi="宋体" w:eastAsia="宋体" w:cs="宋体"/>
                <w:kern w:val="0"/>
                <w:sz w:val="18"/>
                <w:szCs w:val="18"/>
                <w:lang w:bidi="ar"/>
              </w:rPr>
            </w:pPr>
          </w:p>
        </w:tc>
        <w:tc>
          <w:tcPr>
            <w:tcW w:w="3895" w:type="dxa"/>
            <w:vMerge w:val="continue"/>
            <w:tcBorders>
              <w:left w:val="single" w:color="auto" w:sz="4" w:space="0"/>
              <w:right w:val="single" w:color="auto" w:sz="4" w:space="0"/>
            </w:tcBorders>
            <w:noWrap w:val="0"/>
            <w:tcMar>
              <w:top w:w="0" w:type="dxa"/>
              <w:left w:w="0" w:type="dxa"/>
              <w:bottom w:w="0" w:type="dxa"/>
              <w:right w:w="0" w:type="dxa"/>
            </w:tcMar>
            <w:vAlign w:val="center"/>
          </w:tcPr>
          <w:p w14:paraId="7AE0CD75">
            <w:pPr>
              <w:widowControl/>
              <w:spacing w:line="260" w:lineRule="exact"/>
              <w:ind w:firstLine="360" w:firstLineChars="200"/>
              <w:textAlignment w:val="center"/>
              <w:rPr>
                <w:rFonts w:hint="eastAsia" w:ascii="宋体" w:hAnsi="宋体" w:eastAsia="宋体" w:cs="宋体"/>
                <w:kern w:val="0"/>
                <w:sz w:val="18"/>
                <w:szCs w:val="18"/>
                <w:lang w:bidi="ar"/>
              </w:rPr>
            </w:pPr>
          </w:p>
        </w:tc>
        <w:tc>
          <w:tcPr>
            <w:tcW w:w="2342" w:type="dxa"/>
            <w:vMerge w:val="continue"/>
            <w:tcBorders>
              <w:left w:val="single" w:color="auto" w:sz="4" w:space="0"/>
              <w:right w:val="single" w:color="auto" w:sz="4" w:space="0"/>
            </w:tcBorders>
            <w:noWrap w:val="0"/>
            <w:tcMar>
              <w:top w:w="0" w:type="dxa"/>
              <w:left w:w="0" w:type="dxa"/>
              <w:bottom w:w="0" w:type="dxa"/>
              <w:right w:w="0" w:type="dxa"/>
            </w:tcMar>
            <w:vAlign w:val="center"/>
          </w:tcPr>
          <w:p w14:paraId="555937C0">
            <w:pPr>
              <w:spacing w:line="260" w:lineRule="exact"/>
              <w:jc w:val="both"/>
              <w:rPr>
                <w:rFonts w:hint="eastAsia" w:ascii="宋体" w:hAnsi="宋体" w:eastAsia="宋体" w:cs="宋体"/>
                <w:sz w:val="18"/>
                <w:szCs w:val="18"/>
              </w:rPr>
            </w:pPr>
          </w:p>
        </w:tc>
        <w:tc>
          <w:tcPr>
            <w:tcW w:w="6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4879599">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较轻</w:t>
            </w:r>
          </w:p>
        </w:tc>
        <w:tc>
          <w:tcPr>
            <w:tcW w:w="306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9664058">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采挖面积500平方米以上1000平方米以下的</w:t>
            </w:r>
          </w:p>
        </w:tc>
        <w:tc>
          <w:tcPr>
            <w:tcW w:w="236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1B539FE">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没收违法所得，并处违法所得</w:t>
            </w:r>
            <w:r>
              <w:rPr>
                <w:rFonts w:hint="eastAsia" w:ascii="宋体" w:hAnsi="宋体" w:eastAsia="宋体" w:cs="宋体"/>
                <w:color w:val="000000"/>
                <w:kern w:val="0"/>
                <w:sz w:val="18"/>
                <w:szCs w:val="18"/>
                <w:lang w:val="en-US" w:eastAsia="zh-CN" w:bidi="ar"/>
              </w:rPr>
              <w:t>1</w:t>
            </w:r>
            <w:r>
              <w:rPr>
                <w:rFonts w:hint="eastAsia" w:ascii="宋体" w:hAnsi="宋体" w:eastAsia="宋体" w:cs="宋体"/>
                <w:color w:val="000000"/>
                <w:kern w:val="0"/>
                <w:sz w:val="18"/>
                <w:szCs w:val="18"/>
                <w:lang w:bidi="ar"/>
              </w:rPr>
              <w:t>倍以上</w:t>
            </w:r>
            <w:r>
              <w:rPr>
                <w:rFonts w:hint="eastAsia" w:ascii="宋体" w:hAnsi="宋体" w:eastAsia="宋体" w:cs="宋体"/>
                <w:color w:val="000000"/>
                <w:kern w:val="0"/>
                <w:sz w:val="18"/>
                <w:szCs w:val="18"/>
                <w:lang w:val="en-US" w:eastAsia="zh-CN" w:bidi="ar"/>
              </w:rPr>
              <w:t>2</w:t>
            </w:r>
            <w:r>
              <w:rPr>
                <w:rFonts w:hint="eastAsia" w:ascii="宋体" w:hAnsi="宋体" w:eastAsia="宋体" w:cs="宋体"/>
                <w:color w:val="000000"/>
                <w:kern w:val="0"/>
                <w:sz w:val="18"/>
                <w:szCs w:val="18"/>
                <w:lang w:bidi="ar"/>
              </w:rPr>
              <w:t>倍以下的罚款；没有违法所得的，处</w:t>
            </w:r>
            <w:r>
              <w:rPr>
                <w:rFonts w:hint="eastAsia" w:ascii="宋体" w:hAnsi="宋体" w:eastAsia="宋体" w:cs="宋体"/>
                <w:color w:val="000000"/>
                <w:kern w:val="0"/>
                <w:sz w:val="18"/>
                <w:szCs w:val="18"/>
                <w:lang w:val="en-US" w:eastAsia="zh-CN" w:bidi="ar"/>
              </w:rPr>
              <w:t>2</w:t>
            </w:r>
            <w:r>
              <w:rPr>
                <w:rFonts w:hint="eastAsia" w:ascii="宋体" w:hAnsi="宋体" w:eastAsia="宋体" w:cs="宋体"/>
                <w:color w:val="000000"/>
                <w:kern w:val="0"/>
                <w:sz w:val="18"/>
                <w:szCs w:val="18"/>
                <w:lang w:bidi="ar"/>
              </w:rPr>
              <w:t>万元以下的罚款</w:t>
            </w:r>
          </w:p>
        </w:tc>
        <w:tc>
          <w:tcPr>
            <w:tcW w:w="958" w:type="dxa"/>
            <w:vMerge w:val="continue"/>
            <w:tcBorders>
              <w:left w:val="single" w:color="auto" w:sz="4" w:space="0"/>
              <w:right w:val="single" w:color="auto" w:sz="4" w:space="0"/>
            </w:tcBorders>
            <w:noWrap w:val="0"/>
            <w:tcMar>
              <w:top w:w="0" w:type="dxa"/>
              <w:left w:w="0" w:type="dxa"/>
              <w:bottom w:w="0" w:type="dxa"/>
              <w:right w:w="0" w:type="dxa"/>
            </w:tcMar>
            <w:vAlign w:val="center"/>
          </w:tcPr>
          <w:p w14:paraId="3A9B19D0">
            <w:pPr>
              <w:widowControl/>
              <w:spacing w:line="260" w:lineRule="exact"/>
              <w:jc w:val="center"/>
              <w:textAlignment w:val="center"/>
              <w:rPr>
                <w:rFonts w:hint="eastAsia" w:ascii="宋体" w:hAnsi="宋体" w:eastAsia="宋体" w:cs="宋体"/>
                <w:color w:val="000000"/>
                <w:kern w:val="0"/>
                <w:sz w:val="18"/>
                <w:szCs w:val="18"/>
                <w:lang w:bidi="ar"/>
              </w:rPr>
            </w:pPr>
          </w:p>
        </w:tc>
      </w:tr>
      <w:tr w14:paraId="7B6541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10" w:type="dxa"/>
            <w:vMerge w:val="continue"/>
            <w:tcBorders>
              <w:left w:val="single" w:color="auto" w:sz="4" w:space="0"/>
              <w:right w:val="single" w:color="auto" w:sz="4" w:space="0"/>
            </w:tcBorders>
            <w:noWrap w:val="0"/>
            <w:tcMar>
              <w:top w:w="0" w:type="dxa"/>
              <w:left w:w="0" w:type="dxa"/>
              <w:bottom w:w="0" w:type="dxa"/>
              <w:right w:w="0" w:type="dxa"/>
            </w:tcMar>
            <w:vAlign w:val="center"/>
          </w:tcPr>
          <w:p w14:paraId="5DF981B7">
            <w:pPr>
              <w:spacing w:line="260" w:lineRule="exact"/>
              <w:jc w:val="center"/>
              <w:rPr>
                <w:rFonts w:hint="eastAsia" w:ascii="宋体" w:hAnsi="宋体" w:eastAsia="宋体" w:cs="宋体"/>
                <w:sz w:val="18"/>
                <w:szCs w:val="18"/>
              </w:rPr>
            </w:pPr>
          </w:p>
        </w:tc>
        <w:tc>
          <w:tcPr>
            <w:tcW w:w="1260" w:type="dxa"/>
            <w:vMerge w:val="continue"/>
            <w:tcBorders>
              <w:left w:val="single" w:color="auto" w:sz="4" w:space="0"/>
              <w:right w:val="single" w:color="auto" w:sz="4" w:space="0"/>
            </w:tcBorders>
            <w:noWrap w:val="0"/>
            <w:tcMar>
              <w:top w:w="0" w:type="dxa"/>
              <w:left w:w="0" w:type="dxa"/>
              <w:bottom w:w="0" w:type="dxa"/>
              <w:right w:w="0" w:type="dxa"/>
            </w:tcMar>
            <w:vAlign w:val="center"/>
          </w:tcPr>
          <w:p w14:paraId="099CD701">
            <w:pPr>
              <w:widowControl/>
              <w:spacing w:line="260" w:lineRule="exact"/>
              <w:textAlignment w:val="center"/>
              <w:rPr>
                <w:rFonts w:hint="eastAsia" w:ascii="宋体" w:hAnsi="宋体" w:eastAsia="宋体" w:cs="宋体"/>
                <w:kern w:val="0"/>
                <w:sz w:val="18"/>
                <w:szCs w:val="18"/>
                <w:lang w:bidi="ar"/>
              </w:rPr>
            </w:pPr>
          </w:p>
        </w:tc>
        <w:tc>
          <w:tcPr>
            <w:tcW w:w="3895" w:type="dxa"/>
            <w:vMerge w:val="continue"/>
            <w:tcBorders>
              <w:left w:val="single" w:color="auto" w:sz="4" w:space="0"/>
              <w:right w:val="single" w:color="auto" w:sz="4" w:space="0"/>
            </w:tcBorders>
            <w:noWrap w:val="0"/>
            <w:tcMar>
              <w:top w:w="0" w:type="dxa"/>
              <w:left w:w="0" w:type="dxa"/>
              <w:bottom w:w="0" w:type="dxa"/>
              <w:right w:w="0" w:type="dxa"/>
            </w:tcMar>
            <w:vAlign w:val="center"/>
          </w:tcPr>
          <w:p w14:paraId="715B30D1">
            <w:pPr>
              <w:widowControl/>
              <w:spacing w:line="260" w:lineRule="exact"/>
              <w:ind w:firstLine="360" w:firstLineChars="200"/>
              <w:textAlignment w:val="center"/>
              <w:rPr>
                <w:rFonts w:hint="eastAsia" w:ascii="宋体" w:hAnsi="宋体" w:eastAsia="宋体" w:cs="宋体"/>
                <w:kern w:val="0"/>
                <w:sz w:val="18"/>
                <w:szCs w:val="18"/>
                <w:lang w:bidi="ar"/>
              </w:rPr>
            </w:pPr>
          </w:p>
        </w:tc>
        <w:tc>
          <w:tcPr>
            <w:tcW w:w="2342" w:type="dxa"/>
            <w:vMerge w:val="continue"/>
            <w:tcBorders>
              <w:left w:val="single" w:color="auto" w:sz="4" w:space="0"/>
              <w:right w:val="single" w:color="auto" w:sz="4" w:space="0"/>
            </w:tcBorders>
            <w:noWrap w:val="0"/>
            <w:tcMar>
              <w:top w:w="0" w:type="dxa"/>
              <w:left w:w="0" w:type="dxa"/>
              <w:bottom w:w="0" w:type="dxa"/>
              <w:right w:w="0" w:type="dxa"/>
            </w:tcMar>
            <w:vAlign w:val="center"/>
          </w:tcPr>
          <w:p w14:paraId="2171B071">
            <w:pPr>
              <w:spacing w:line="260" w:lineRule="exact"/>
              <w:jc w:val="both"/>
              <w:rPr>
                <w:rFonts w:hint="eastAsia" w:ascii="宋体" w:hAnsi="宋体" w:eastAsia="宋体" w:cs="宋体"/>
                <w:sz w:val="18"/>
                <w:szCs w:val="18"/>
              </w:rPr>
            </w:pPr>
          </w:p>
        </w:tc>
        <w:tc>
          <w:tcPr>
            <w:tcW w:w="6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490B9D3">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一般</w:t>
            </w:r>
          </w:p>
        </w:tc>
        <w:tc>
          <w:tcPr>
            <w:tcW w:w="306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CDA2943">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采挖面积1000平方米以上2000平方米以下的</w:t>
            </w:r>
          </w:p>
        </w:tc>
        <w:tc>
          <w:tcPr>
            <w:tcW w:w="236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EC5BAF3">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没收违法所得，并处违法所得</w:t>
            </w:r>
            <w:r>
              <w:rPr>
                <w:rFonts w:hint="eastAsia" w:ascii="宋体" w:hAnsi="宋体" w:eastAsia="宋体" w:cs="宋体"/>
                <w:color w:val="000000"/>
                <w:kern w:val="0"/>
                <w:sz w:val="18"/>
                <w:szCs w:val="18"/>
                <w:lang w:val="en-US" w:eastAsia="zh-CN" w:bidi="ar"/>
              </w:rPr>
              <w:t>2</w:t>
            </w:r>
            <w:r>
              <w:rPr>
                <w:rFonts w:hint="eastAsia" w:ascii="宋体" w:hAnsi="宋体" w:eastAsia="宋体" w:cs="宋体"/>
                <w:color w:val="000000"/>
                <w:kern w:val="0"/>
                <w:sz w:val="18"/>
                <w:szCs w:val="18"/>
                <w:lang w:bidi="ar"/>
              </w:rPr>
              <w:t>倍以上</w:t>
            </w:r>
            <w:r>
              <w:rPr>
                <w:rFonts w:hint="eastAsia" w:ascii="宋体" w:hAnsi="宋体" w:eastAsia="宋体" w:cs="宋体"/>
                <w:color w:val="000000"/>
                <w:kern w:val="0"/>
                <w:sz w:val="18"/>
                <w:szCs w:val="18"/>
                <w:lang w:val="en-US" w:eastAsia="zh-CN" w:bidi="ar"/>
              </w:rPr>
              <w:t>3</w:t>
            </w:r>
            <w:r>
              <w:rPr>
                <w:rFonts w:hint="eastAsia" w:ascii="宋体" w:hAnsi="宋体" w:eastAsia="宋体" w:cs="宋体"/>
                <w:color w:val="000000"/>
                <w:kern w:val="0"/>
                <w:sz w:val="18"/>
                <w:szCs w:val="18"/>
                <w:lang w:bidi="ar"/>
              </w:rPr>
              <w:t>倍以下的罚款；没有违法所得的，处</w:t>
            </w:r>
            <w:r>
              <w:rPr>
                <w:rFonts w:hint="eastAsia" w:ascii="宋体" w:hAnsi="宋体" w:eastAsia="宋体" w:cs="宋体"/>
                <w:color w:val="000000"/>
                <w:kern w:val="0"/>
                <w:sz w:val="18"/>
                <w:szCs w:val="18"/>
                <w:lang w:val="en-US" w:eastAsia="zh-CN" w:bidi="ar"/>
              </w:rPr>
              <w:t>2</w:t>
            </w:r>
            <w:r>
              <w:rPr>
                <w:rFonts w:hint="eastAsia" w:ascii="宋体" w:hAnsi="宋体" w:eastAsia="宋体" w:cs="宋体"/>
                <w:color w:val="000000"/>
                <w:kern w:val="0"/>
                <w:sz w:val="18"/>
                <w:szCs w:val="18"/>
                <w:lang w:bidi="ar"/>
              </w:rPr>
              <w:t>万元以上</w:t>
            </w:r>
            <w:r>
              <w:rPr>
                <w:rFonts w:hint="eastAsia" w:ascii="宋体" w:hAnsi="宋体" w:eastAsia="宋体" w:cs="宋体"/>
                <w:color w:val="000000"/>
                <w:kern w:val="0"/>
                <w:sz w:val="18"/>
                <w:szCs w:val="18"/>
                <w:lang w:val="en-US" w:eastAsia="zh-CN" w:bidi="ar"/>
              </w:rPr>
              <w:t>3</w:t>
            </w:r>
            <w:r>
              <w:rPr>
                <w:rFonts w:hint="eastAsia" w:ascii="宋体" w:hAnsi="宋体" w:eastAsia="宋体" w:cs="宋体"/>
                <w:color w:val="000000"/>
                <w:kern w:val="0"/>
                <w:sz w:val="18"/>
                <w:szCs w:val="18"/>
                <w:lang w:bidi="ar"/>
              </w:rPr>
              <w:t>万元以下的罚款</w:t>
            </w:r>
          </w:p>
        </w:tc>
        <w:tc>
          <w:tcPr>
            <w:tcW w:w="958" w:type="dxa"/>
            <w:vMerge w:val="continue"/>
            <w:tcBorders>
              <w:left w:val="single" w:color="auto" w:sz="4" w:space="0"/>
              <w:right w:val="single" w:color="auto" w:sz="4" w:space="0"/>
            </w:tcBorders>
            <w:noWrap w:val="0"/>
            <w:tcMar>
              <w:top w:w="0" w:type="dxa"/>
              <w:left w:w="0" w:type="dxa"/>
              <w:bottom w:w="0" w:type="dxa"/>
              <w:right w:w="0" w:type="dxa"/>
            </w:tcMar>
            <w:vAlign w:val="center"/>
          </w:tcPr>
          <w:p w14:paraId="3BD63AAB">
            <w:pPr>
              <w:widowControl/>
              <w:spacing w:line="260" w:lineRule="exact"/>
              <w:jc w:val="center"/>
              <w:textAlignment w:val="center"/>
              <w:rPr>
                <w:rFonts w:hint="eastAsia" w:ascii="宋体" w:hAnsi="宋体" w:eastAsia="宋体" w:cs="宋体"/>
                <w:color w:val="000000"/>
                <w:kern w:val="0"/>
                <w:sz w:val="18"/>
                <w:szCs w:val="18"/>
                <w:lang w:bidi="ar"/>
              </w:rPr>
            </w:pPr>
          </w:p>
        </w:tc>
      </w:tr>
      <w:tr w14:paraId="3FBDAD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10" w:type="dxa"/>
            <w:vMerge w:val="continue"/>
            <w:tcBorders>
              <w:left w:val="single" w:color="auto" w:sz="4" w:space="0"/>
              <w:right w:val="single" w:color="auto" w:sz="4" w:space="0"/>
            </w:tcBorders>
            <w:noWrap w:val="0"/>
            <w:tcMar>
              <w:top w:w="0" w:type="dxa"/>
              <w:left w:w="0" w:type="dxa"/>
              <w:bottom w:w="0" w:type="dxa"/>
              <w:right w:w="0" w:type="dxa"/>
            </w:tcMar>
            <w:vAlign w:val="center"/>
          </w:tcPr>
          <w:p w14:paraId="36A61114">
            <w:pPr>
              <w:spacing w:line="260" w:lineRule="exact"/>
              <w:jc w:val="center"/>
              <w:rPr>
                <w:rFonts w:hint="eastAsia" w:ascii="宋体" w:hAnsi="宋体" w:eastAsia="宋体" w:cs="宋体"/>
                <w:sz w:val="18"/>
                <w:szCs w:val="18"/>
              </w:rPr>
            </w:pPr>
          </w:p>
        </w:tc>
        <w:tc>
          <w:tcPr>
            <w:tcW w:w="1260" w:type="dxa"/>
            <w:vMerge w:val="continue"/>
            <w:tcBorders>
              <w:left w:val="single" w:color="auto" w:sz="4" w:space="0"/>
              <w:right w:val="single" w:color="auto" w:sz="4" w:space="0"/>
            </w:tcBorders>
            <w:noWrap w:val="0"/>
            <w:tcMar>
              <w:top w:w="0" w:type="dxa"/>
              <w:left w:w="0" w:type="dxa"/>
              <w:bottom w:w="0" w:type="dxa"/>
              <w:right w:w="0" w:type="dxa"/>
            </w:tcMar>
            <w:vAlign w:val="center"/>
          </w:tcPr>
          <w:p w14:paraId="2BF4213B">
            <w:pPr>
              <w:widowControl/>
              <w:spacing w:line="260" w:lineRule="exact"/>
              <w:textAlignment w:val="center"/>
              <w:rPr>
                <w:rFonts w:hint="eastAsia" w:ascii="宋体" w:hAnsi="宋体" w:eastAsia="宋体" w:cs="宋体"/>
                <w:kern w:val="0"/>
                <w:sz w:val="18"/>
                <w:szCs w:val="18"/>
                <w:lang w:bidi="ar"/>
              </w:rPr>
            </w:pPr>
          </w:p>
        </w:tc>
        <w:tc>
          <w:tcPr>
            <w:tcW w:w="3895" w:type="dxa"/>
            <w:vMerge w:val="continue"/>
            <w:tcBorders>
              <w:left w:val="single" w:color="auto" w:sz="4" w:space="0"/>
              <w:right w:val="single" w:color="auto" w:sz="4" w:space="0"/>
            </w:tcBorders>
            <w:noWrap w:val="0"/>
            <w:tcMar>
              <w:top w:w="0" w:type="dxa"/>
              <w:left w:w="0" w:type="dxa"/>
              <w:bottom w:w="0" w:type="dxa"/>
              <w:right w:w="0" w:type="dxa"/>
            </w:tcMar>
            <w:vAlign w:val="center"/>
          </w:tcPr>
          <w:p w14:paraId="1F4A9904">
            <w:pPr>
              <w:widowControl/>
              <w:spacing w:line="260" w:lineRule="exact"/>
              <w:ind w:firstLine="360" w:firstLineChars="200"/>
              <w:textAlignment w:val="center"/>
              <w:rPr>
                <w:rFonts w:hint="eastAsia" w:ascii="宋体" w:hAnsi="宋体" w:eastAsia="宋体" w:cs="宋体"/>
                <w:kern w:val="0"/>
                <w:sz w:val="18"/>
                <w:szCs w:val="18"/>
                <w:lang w:bidi="ar"/>
              </w:rPr>
            </w:pPr>
          </w:p>
        </w:tc>
        <w:tc>
          <w:tcPr>
            <w:tcW w:w="2342" w:type="dxa"/>
            <w:vMerge w:val="continue"/>
            <w:tcBorders>
              <w:left w:val="single" w:color="auto" w:sz="4" w:space="0"/>
              <w:right w:val="single" w:color="auto" w:sz="4" w:space="0"/>
            </w:tcBorders>
            <w:noWrap w:val="0"/>
            <w:tcMar>
              <w:top w:w="0" w:type="dxa"/>
              <w:left w:w="0" w:type="dxa"/>
              <w:bottom w:w="0" w:type="dxa"/>
              <w:right w:w="0" w:type="dxa"/>
            </w:tcMar>
            <w:vAlign w:val="center"/>
          </w:tcPr>
          <w:p w14:paraId="0B8C95E5">
            <w:pPr>
              <w:spacing w:line="260" w:lineRule="exact"/>
              <w:jc w:val="both"/>
              <w:rPr>
                <w:rFonts w:hint="eastAsia" w:ascii="宋体" w:hAnsi="宋体" w:eastAsia="宋体" w:cs="宋体"/>
                <w:sz w:val="18"/>
                <w:szCs w:val="18"/>
              </w:rPr>
            </w:pPr>
          </w:p>
        </w:tc>
        <w:tc>
          <w:tcPr>
            <w:tcW w:w="6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CAFD3A7">
            <w:pPr>
              <w:spacing w:line="260" w:lineRule="exact"/>
              <w:jc w:val="center"/>
              <w:rPr>
                <w:rFonts w:hint="eastAsia" w:ascii="宋体" w:hAnsi="宋体" w:eastAsia="宋体" w:cs="宋体"/>
                <w:sz w:val="18"/>
                <w:szCs w:val="18"/>
                <w:lang w:eastAsia="zh-CN"/>
              </w:rPr>
            </w:pPr>
            <w:r>
              <w:rPr>
                <w:rFonts w:hint="eastAsia" w:ascii="宋体" w:hAnsi="宋体" w:eastAsia="宋体" w:cs="宋体"/>
                <w:sz w:val="18"/>
                <w:szCs w:val="18"/>
                <w:lang w:eastAsia="zh-CN"/>
              </w:rPr>
              <w:t>较重</w:t>
            </w:r>
          </w:p>
        </w:tc>
        <w:tc>
          <w:tcPr>
            <w:tcW w:w="306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6054BFC">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采挖面积2000平方米以上5000平方米以下的</w:t>
            </w:r>
          </w:p>
        </w:tc>
        <w:tc>
          <w:tcPr>
            <w:tcW w:w="236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E4C328E">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没收违法所得，并处违法所得</w:t>
            </w:r>
            <w:r>
              <w:rPr>
                <w:rFonts w:hint="eastAsia" w:ascii="宋体" w:hAnsi="宋体" w:eastAsia="宋体" w:cs="宋体"/>
                <w:color w:val="000000"/>
                <w:kern w:val="0"/>
                <w:sz w:val="18"/>
                <w:szCs w:val="18"/>
                <w:lang w:val="en-US" w:eastAsia="zh-CN" w:bidi="ar"/>
              </w:rPr>
              <w:t>3</w:t>
            </w:r>
            <w:r>
              <w:rPr>
                <w:rFonts w:hint="eastAsia" w:ascii="宋体" w:hAnsi="宋体" w:eastAsia="宋体" w:cs="宋体"/>
                <w:color w:val="000000"/>
                <w:kern w:val="0"/>
                <w:sz w:val="18"/>
                <w:szCs w:val="18"/>
                <w:lang w:bidi="ar"/>
              </w:rPr>
              <w:t>倍以上</w:t>
            </w:r>
            <w:r>
              <w:rPr>
                <w:rFonts w:hint="eastAsia" w:ascii="宋体" w:hAnsi="宋体" w:eastAsia="宋体" w:cs="宋体"/>
                <w:color w:val="000000"/>
                <w:kern w:val="0"/>
                <w:sz w:val="18"/>
                <w:szCs w:val="18"/>
                <w:lang w:val="en-US" w:eastAsia="zh-CN" w:bidi="ar"/>
              </w:rPr>
              <w:t>4</w:t>
            </w:r>
            <w:r>
              <w:rPr>
                <w:rFonts w:hint="eastAsia" w:ascii="宋体" w:hAnsi="宋体" w:eastAsia="宋体" w:cs="宋体"/>
                <w:color w:val="000000"/>
                <w:kern w:val="0"/>
                <w:sz w:val="18"/>
                <w:szCs w:val="18"/>
                <w:lang w:bidi="ar"/>
              </w:rPr>
              <w:t>倍以下的罚款；没有违法所得的，处</w:t>
            </w:r>
            <w:r>
              <w:rPr>
                <w:rFonts w:hint="eastAsia" w:ascii="宋体" w:hAnsi="宋体" w:eastAsia="宋体" w:cs="宋体"/>
                <w:color w:val="000000"/>
                <w:kern w:val="0"/>
                <w:sz w:val="18"/>
                <w:szCs w:val="18"/>
                <w:lang w:val="en-US" w:eastAsia="zh-CN" w:bidi="ar"/>
              </w:rPr>
              <w:t>3</w:t>
            </w:r>
            <w:r>
              <w:rPr>
                <w:rFonts w:hint="eastAsia" w:ascii="宋体" w:hAnsi="宋体" w:eastAsia="宋体" w:cs="宋体"/>
                <w:color w:val="000000"/>
                <w:kern w:val="0"/>
                <w:sz w:val="18"/>
                <w:szCs w:val="18"/>
                <w:lang w:bidi="ar"/>
              </w:rPr>
              <w:t>万元以上</w:t>
            </w:r>
            <w:r>
              <w:rPr>
                <w:rFonts w:hint="eastAsia" w:ascii="宋体" w:hAnsi="宋体" w:eastAsia="宋体" w:cs="宋体"/>
                <w:color w:val="000000"/>
                <w:kern w:val="0"/>
                <w:sz w:val="18"/>
                <w:szCs w:val="18"/>
                <w:lang w:val="en-US" w:eastAsia="zh-CN" w:bidi="ar"/>
              </w:rPr>
              <w:t>4</w:t>
            </w:r>
            <w:r>
              <w:rPr>
                <w:rFonts w:hint="eastAsia" w:ascii="宋体" w:hAnsi="宋体" w:eastAsia="宋体" w:cs="宋体"/>
                <w:color w:val="000000"/>
                <w:kern w:val="0"/>
                <w:sz w:val="18"/>
                <w:szCs w:val="18"/>
                <w:lang w:bidi="ar"/>
              </w:rPr>
              <w:t>万元以下的罚款</w:t>
            </w:r>
          </w:p>
        </w:tc>
        <w:tc>
          <w:tcPr>
            <w:tcW w:w="958" w:type="dxa"/>
            <w:vMerge w:val="continue"/>
            <w:tcBorders>
              <w:left w:val="single" w:color="auto" w:sz="4" w:space="0"/>
              <w:right w:val="single" w:color="auto" w:sz="4" w:space="0"/>
            </w:tcBorders>
            <w:noWrap w:val="0"/>
            <w:tcMar>
              <w:top w:w="0" w:type="dxa"/>
              <w:left w:w="0" w:type="dxa"/>
              <w:bottom w:w="0" w:type="dxa"/>
              <w:right w:w="0" w:type="dxa"/>
            </w:tcMar>
            <w:vAlign w:val="center"/>
          </w:tcPr>
          <w:p w14:paraId="26588398">
            <w:pPr>
              <w:widowControl/>
              <w:spacing w:line="260" w:lineRule="exact"/>
              <w:jc w:val="center"/>
              <w:textAlignment w:val="center"/>
              <w:rPr>
                <w:rFonts w:hint="eastAsia" w:ascii="宋体" w:hAnsi="宋体" w:eastAsia="宋体" w:cs="宋体"/>
                <w:color w:val="000000"/>
                <w:kern w:val="0"/>
                <w:sz w:val="18"/>
                <w:szCs w:val="18"/>
                <w:lang w:bidi="ar"/>
              </w:rPr>
            </w:pPr>
          </w:p>
        </w:tc>
      </w:tr>
      <w:tr w14:paraId="1DC065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10" w:type="dxa"/>
            <w:vMerge w:val="continue"/>
            <w:tcBorders>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799469E">
            <w:pPr>
              <w:spacing w:line="260" w:lineRule="exact"/>
              <w:jc w:val="center"/>
              <w:rPr>
                <w:rFonts w:hint="eastAsia" w:ascii="宋体" w:hAnsi="宋体" w:eastAsia="宋体" w:cs="宋体"/>
                <w:sz w:val="18"/>
                <w:szCs w:val="18"/>
              </w:rPr>
            </w:pPr>
          </w:p>
        </w:tc>
        <w:tc>
          <w:tcPr>
            <w:tcW w:w="1260" w:type="dxa"/>
            <w:vMerge w:val="continue"/>
            <w:tcBorders>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37900E5">
            <w:pPr>
              <w:widowControl/>
              <w:spacing w:line="260" w:lineRule="exact"/>
              <w:textAlignment w:val="center"/>
              <w:rPr>
                <w:rFonts w:hint="eastAsia" w:ascii="宋体" w:hAnsi="宋体" w:eastAsia="宋体" w:cs="宋体"/>
                <w:kern w:val="0"/>
                <w:sz w:val="18"/>
                <w:szCs w:val="18"/>
                <w:lang w:bidi="ar"/>
              </w:rPr>
            </w:pPr>
          </w:p>
        </w:tc>
        <w:tc>
          <w:tcPr>
            <w:tcW w:w="3895" w:type="dxa"/>
            <w:vMerge w:val="continue"/>
            <w:tcBorders>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5ECE3F7">
            <w:pPr>
              <w:widowControl/>
              <w:spacing w:line="260" w:lineRule="exact"/>
              <w:ind w:firstLine="360" w:firstLineChars="200"/>
              <w:textAlignment w:val="center"/>
              <w:rPr>
                <w:rFonts w:hint="eastAsia" w:ascii="宋体" w:hAnsi="宋体" w:eastAsia="宋体" w:cs="宋体"/>
                <w:kern w:val="0"/>
                <w:sz w:val="18"/>
                <w:szCs w:val="18"/>
                <w:lang w:bidi="ar"/>
              </w:rPr>
            </w:pPr>
          </w:p>
        </w:tc>
        <w:tc>
          <w:tcPr>
            <w:tcW w:w="2342" w:type="dxa"/>
            <w:vMerge w:val="continue"/>
            <w:tcBorders>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1995DB7">
            <w:pPr>
              <w:spacing w:line="260" w:lineRule="exact"/>
              <w:jc w:val="both"/>
              <w:rPr>
                <w:rFonts w:hint="eastAsia" w:ascii="宋体" w:hAnsi="宋体" w:eastAsia="宋体" w:cs="宋体"/>
                <w:sz w:val="18"/>
                <w:szCs w:val="18"/>
              </w:rPr>
            </w:pPr>
          </w:p>
        </w:tc>
        <w:tc>
          <w:tcPr>
            <w:tcW w:w="6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6C85680">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严重</w:t>
            </w:r>
          </w:p>
        </w:tc>
        <w:tc>
          <w:tcPr>
            <w:tcW w:w="306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44F6445">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采挖面积5000平方米以上的</w:t>
            </w:r>
          </w:p>
        </w:tc>
        <w:tc>
          <w:tcPr>
            <w:tcW w:w="236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A3A2F11">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没收违法所得，并处违法所得</w:t>
            </w:r>
            <w:r>
              <w:rPr>
                <w:rFonts w:hint="eastAsia" w:ascii="宋体" w:hAnsi="宋体" w:eastAsia="宋体" w:cs="宋体"/>
                <w:color w:val="000000"/>
                <w:kern w:val="0"/>
                <w:sz w:val="18"/>
                <w:szCs w:val="18"/>
                <w:lang w:val="en-US" w:eastAsia="zh-CN" w:bidi="ar"/>
              </w:rPr>
              <w:t>4</w:t>
            </w:r>
            <w:r>
              <w:rPr>
                <w:rFonts w:hint="eastAsia" w:ascii="宋体" w:hAnsi="宋体" w:eastAsia="宋体" w:cs="宋体"/>
                <w:color w:val="000000"/>
                <w:kern w:val="0"/>
                <w:sz w:val="18"/>
                <w:szCs w:val="18"/>
                <w:lang w:bidi="ar"/>
              </w:rPr>
              <w:t>倍以上</w:t>
            </w:r>
            <w:r>
              <w:rPr>
                <w:rFonts w:hint="eastAsia" w:ascii="宋体" w:hAnsi="宋体" w:eastAsia="宋体" w:cs="宋体"/>
                <w:color w:val="000000"/>
                <w:kern w:val="0"/>
                <w:sz w:val="18"/>
                <w:szCs w:val="18"/>
                <w:lang w:val="en-US" w:eastAsia="zh-CN" w:bidi="ar"/>
              </w:rPr>
              <w:t>5</w:t>
            </w:r>
            <w:r>
              <w:rPr>
                <w:rFonts w:hint="eastAsia" w:ascii="宋体" w:hAnsi="宋体" w:eastAsia="宋体" w:cs="宋体"/>
                <w:color w:val="000000"/>
                <w:kern w:val="0"/>
                <w:sz w:val="18"/>
                <w:szCs w:val="18"/>
                <w:lang w:bidi="ar"/>
              </w:rPr>
              <w:t>倍以下的罚款；没有违法所得的，处</w:t>
            </w:r>
            <w:r>
              <w:rPr>
                <w:rFonts w:hint="eastAsia" w:ascii="宋体" w:hAnsi="宋体" w:eastAsia="宋体" w:cs="宋体"/>
                <w:color w:val="000000"/>
                <w:kern w:val="0"/>
                <w:sz w:val="18"/>
                <w:szCs w:val="18"/>
                <w:lang w:val="en-US" w:eastAsia="zh-CN" w:bidi="ar"/>
              </w:rPr>
              <w:t>4</w:t>
            </w:r>
            <w:r>
              <w:rPr>
                <w:rFonts w:hint="eastAsia" w:ascii="宋体" w:hAnsi="宋体" w:eastAsia="宋体" w:cs="宋体"/>
                <w:color w:val="000000"/>
                <w:kern w:val="0"/>
                <w:sz w:val="18"/>
                <w:szCs w:val="18"/>
                <w:lang w:bidi="ar"/>
              </w:rPr>
              <w:t>万元以上</w:t>
            </w:r>
            <w:r>
              <w:rPr>
                <w:rFonts w:hint="eastAsia" w:ascii="宋体" w:hAnsi="宋体" w:eastAsia="宋体" w:cs="宋体"/>
                <w:color w:val="000000"/>
                <w:kern w:val="0"/>
                <w:sz w:val="18"/>
                <w:szCs w:val="18"/>
                <w:lang w:val="en-US" w:eastAsia="zh-CN" w:bidi="ar"/>
              </w:rPr>
              <w:t>5</w:t>
            </w:r>
            <w:r>
              <w:rPr>
                <w:rFonts w:hint="eastAsia" w:ascii="宋体" w:hAnsi="宋体" w:eastAsia="宋体" w:cs="宋体"/>
                <w:color w:val="000000"/>
                <w:kern w:val="0"/>
                <w:sz w:val="18"/>
                <w:szCs w:val="18"/>
                <w:lang w:bidi="ar"/>
              </w:rPr>
              <w:t>万元以下的罚款</w:t>
            </w:r>
          </w:p>
        </w:tc>
        <w:tc>
          <w:tcPr>
            <w:tcW w:w="958" w:type="dxa"/>
            <w:vMerge w:val="continue"/>
            <w:tcBorders>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8A746AA">
            <w:pPr>
              <w:widowControl/>
              <w:spacing w:line="260" w:lineRule="exact"/>
              <w:jc w:val="center"/>
              <w:textAlignment w:val="center"/>
              <w:rPr>
                <w:rFonts w:hint="eastAsia" w:ascii="宋体" w:hAnsi="宋体" w:eastAsia="宋体" w:cs="宋体"/>
                <w:color w:val="000000"/>
                <w:kern w:val="0"/>
                <w:sz w:val="18"/>
                <w:szCs w:val="18"/>
                <w:lang w:bidi="ar"/>
              </w:rPr>
            </w:pPr>
          </w:p>
        </w:tc>
      </w:tr>
      <w:tr w14:paraId="3EDEF8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5" w:hRule="atLeast"/>
          <w:jc w:val="center"/>
        </w:trPr>
        <w:tc>
          <w:tcPr>
            <w:tcW w:w="510" w:type="dxa"/>
            <w:vMerge w:val="restart"/>
            <w:tcBorders>
              <w:left w:val="single" w:color="auto" w:sz="4" w:space="0"/>
              <w:right w:val="single" w:color="auto" w:sz="4" w:space="0"/>
            </w:tcBorders>
            <w:noWrap w:val="0"/>
            <w:tcMar>
              <w:top w:w="0" w:type="dxa"/>
              <w:left w:w="0" w:type="dxa"/>
              <w:bottom w:w="0" w:type="dxa"/>
              <w:right w:w="0" w:type="dxa"/>
            </w:tcMar>
            <w:vAlign w:val="center"/>
          </w:tcPr>
          <w:p w14:paraId="15CAE764">
            <w:pPr>
              <w:widowControl/>
              <w:spacing w:line="260" w:lineRule="exact"/>
              <w:jc w:val="center"/>
              <w:textAlignment w:val="center"/>
              <w:rPr>
                <w:rFonts w:hint="eastAsia" w:ascii="宋体" w:hAnsi="宋体" w:eastAsia="宋体" w:cs="宋体"/>
                <w:sz w:val="18"/>
                <w:szCs w:val="18"/>
              </w:rPr>
            </w:pPr>
            <w:r>
              <w:rPr>
                <w:rFonts w:hint="eastAsia" w:ascii="宋体" w:hAnsi="宋体" w:eastAsia="宋体" w:cs="宋体"/>
                <w:color w:val="000000"/>
                <w:kern w:val="0"/>
                <w:sz w:val="18"/>
                <w:szCs w:val="18"/>
                <w:lang w:bidi="ar"/>
              </w:rPr>
              <w:t>48</w:t>
            </w:r>
          </w:p>
        </w:tc>
        <w:tc>
          <w:tcPr>
            <w:tcW w:w="1260" w:type="dxa"/>
            <w:vMerge w:val="restart"/>
            <w:tcBorders>
              <w:left w:val="single" w:color="auto" w:sz="4" w:space="0"/>
              <w:right w:val="single" w:color="auto" w:sz="4" w:space="0"/>
            </w:tcBorders>
            <w:noWrap w:val="0"/>
            <w:tcMar>
              <w:top w:w="0" w:type="dxa"/>
              <w:left w:w="0" w:type="dxa"/>
              <w:bottom w:w="0" w:type="dxa"/>
              <w:right w:w="0" w:type="dxa"/>
            </w:tcMar>
            <w:vAlign w:val="center"/>
          </w:tcPr>
          <w:p w14:paraId="4008247C">
            <w:pPr>
              <w:widowControl/>
              <w:spacing w:line="260" w:lineRule="exact"/>
              <w:jc w:val="both"/>
              <w:textAlignment w:val="center"/>
              <w:rPr>
                <w:rFonts w:hint="eastAsia" w:ascii="宋体" w:hAnsi="宋体" w:eastAsia="宋体" w:cs="宋体"/>
                <w:kern w:val="0"/>
                <w:sz w:val="18"/>
                <w:szCs w:val="18"/>
                <w:lang w:bidi="ar"/>
              </w:rPr>
            </w:pPr>
            <w:r>
              <w:rPr>
                <w:rFonts w:hint="eastAsia" w:ascii="宋体" w:hAnsi="宋体" w:eastAsia="宋体" w:cs="宋体"/>
                <w:color w:val="000000"/>
                <w:kern w:val="0"/>
                <w:sz w:val="18"/>
                <w:szCs w:val="18"/>
                <w:lang w:bidi="ar"/>
              </w:rPr>
              <w:t>对在林区采伐林木不依法采取防止水土流失措施，造成水土流失行为的行政处罚</w:t>
            </w:r>
          </w:p>
        </w:tc>
        <w:tc>
          <w:tcPr>
            <w:tcW w:w="3895" w:type="dxa"/>
            <w:vMerge w:val="restart"/>
            <w:tcBorders>
              <w:top w:val="single" w:color="auto" w:sz="4" w:space="0"/>
              <w:left w:val="single" w:color="auto" w:sz="4" w:space="0"/>
              <w:right w:val="single" w:color="auto" w:sz="4" w:space="0"/>
            </w:tcBorders>
            <w:noWrap w:val="0"/>
            <w:tcMar>
              <w:top w:w="0" w:type="dxa"/>
              <w:left w:w="0" w:type="dxa"/>
              <w:bottom w:w="0" w:type="dxa"/>
              <w:right w:w="0" w:type="dxa"/>
            </w:tcMar>
            <w:vAlign w:val="center"/>
          </w:tcPr>
          <w:p w14:paraId="28D414DC">
            <w:pPr>
              <w:widowControl/>
              <w:spacing w:line="260" w:lineRule="exact"/>
              <w:jc w:val="both"/>
              <w:textAlignment w:val="center"/>
              <w:rPr>
                <w:rFonts w:hint="eastAsia" w:ascii="宋体" w:hAnsi="宋体" w:eastAsia="宋体" w:cs="宋体"/>
                <w:kern w:val="0"/>
                <w:sz w:val="18"/>
                <w:szCs w:val="18"/>
                <w:lang w:bidi="ar"/>
              </w:rPr>
            </w:pPr>
            <w:r>
              <w:rPr>
                <w:rFonts w:hint="eastAsia" w:ascii="宋体" w:hAnsi="宋体" w:eastAsia="宋体" w:cs="宋体"/>
                <w:color w:val="000000"/>
                <w:kern w:val="0"/>
                <w:sz w:val="18"/>
                <w:szCs w:val="18"/>
                <w:lang w:bidi="ar"/>
              </w:rPr>
              <w:t>《中华人民共和国水土保持法》第五十二条 在林区采伐林木不依法采取防止水土流失措施的，由县级以上地方人民政府林业主管部门、水行政主管部门责令限期改正，采取补救措施；造成水土流失的，由水行政主管部门按照造成水土流失的面积处每平方米二元以上十元以下的罚款。</w:t>
            </w:r>
          </w:p>
        </w:tc>
        <w:tc>
          <w:tcPr>
            <w:tcW w:w="2342" w:type="dxa"/>
            <w:vMerge w:val="restart"/>
            <w:tcBorders>
              <w:top w:val="single" w:color="auto" w:sz="4" w:space="0"/>
              <w:left w:val="single" w:color="auto" w:sz="4" w:space="0"/>
              <w:right w:val="single" w:color="auto" w:sz="4" w:space="0"/>
            </w:tcBorders>
            <w:noWrap w:val="0"/>
            <w:tcMar>
              <w:top w:w="0" w:type="dxa"/>
              <w:left w:w="0" w:type="dxa"/>
              <w:bottom w:w="0" w:type="dxa"/>
              <w:right w:w="0" w:type="dxa"/>
            </w:tcMar>
            <w:vAlign w:val="center"/>
          </w:tcPr>
          <w:p w14:paraId="5830457B">
            <w:pPr>
              <w:spacing w:line="260" w:lineRule="exact"/>
              <w:jc w:val="both"/>
              <w:rPr>
                <w:rFonts w:hint="eastAsia" w:ascii="宋体" w:hAnsi="宋体" w:eastAsia="宋体" w:cs="宋体"/>
                <w:sz w:val="18"/>
                <w:szCs w:val="18"/>
              </w:rPr>
            </w:pPr>
            <w:r>
              <w:rPr>
                <w:rFonts w:hint="eastAsia" w:ascii="宋体" w:hAnsi="宋体" w:eastAsia="宋体" w:cs="宋体"/>
                <w:color w:val="000000"/>
                <w:kern w:val="0"/>
                <w:sz w:val="18"/>
                <w:szCs w:val="18"/>
                <w:lang w:bidi="ar"/>
              </w:rPr>
              <w:t>在林区采伐林木不依法采取防止水土流失措施，造成水土流失行为的</w:t>
            </w:r>
          </w:p>
        </w:tc>
        <w:tc>
          <w:tcPr>
            <w:tcW w:w="6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3A438A8">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轻微</w:t>
            </w:r>
          </w:p>
        </w:tc>
        <w:tc>
          <w:tcPr>
            <w:tcW w:w="306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CDAC997">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1.初次违法；</w:t>
            </w:r>
          </w:p>
          <w:p w14:paraId="2D47917C">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2.签署承诺书，开垦或者开发面积在500平方米以下的，及时采取退耕、恢复植被等补救措施，没有造成水土流失危害后果的；</w:t>
            </w:r>
          </w:p>
          <w:p w14:paraId="2017C68A">
            <w:pPr>
              <w:widowControl/>
              <w:spacing w:line="260" w:lineRule="exact"/>
              <w:jc w:val="both"/>
              <w:textAlignment w:val="center"/>
              <w:rPr>
                <w:rFonts w:hint="eastAsia" w:ascii="宋体" w:hAnsi="宋体" w:eastAsia="宋体" w:cs="宋体"/>
                <w:color w:val="000000"/>
                <w:kern w:val="0"/>
                <w:sz w:val="18"/>
                <w:szCs w:val="18"/>
                <w:lang w:bidi="ar"/>
              </w:rPr>
            </w:pPr>
            <w:r>
              <w:rPr>
                <w:rStyle w:val="21"/>
                <w:rFonts w:hint="eastAsia" w:ascii="宋体" w:hAnsi="宋体" w:eastAsia="宋体" w:cs="宋体"/>
                <w:sz w:val="18"/>
                <w:szCs w:val="18"/>
                <w:lang w:val="en-US" w:eastAsia="zh-CN" w:bidi="ar"/>
              </w:rPr>
              <w:t>（注：符合上述所有情形的，不予处罚，应将本次违法情况进行登记备案，以后再发生类似问题的将不再适用本条件）</w:t>
            </w:r>
          </w:p>
        </w:tc>
        <w:tc>
          <w:tcPr>
            <w:tcW w:w="236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DF5457F">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不予处罚</w:t>
            </w:r>
          </w:p>
        </w:tc>
        <w:tc>
          <w:tcPr>
            <w:tcW w:w="958" w:type="dxa"/>
            <w:vMerge w:val="restart"/>
            <w:tcBorders>
              <w:top w:val="single" w:color="auto" w:sz="4" w:space="0"/>
              <w:left w:val="single" w:color="auto" w:sz="4" w:space="0"/>
              <w:right w:val="single" w:color="auto" w:sz="4" w:space="0"/>
            </w:tcBorders>
            <w:noWrap w:val="0"/>
            <w:tcMar>
              <w:top w:w="0" w:type="dxa"/>
              <w:left w:w="0" w:type="dxa"/>
              <w:bottom w:w="0" w:type="dxa"/>
              <w:right w:w="0" w:type="dxa"/>
            </w:tcMar>
            <w:vAlign w:val="center"/>
          </w:tcPr>
          <w:p w14:paraId="2D39ADDC">
            <w:pPr>
              <w:widowControl/>
              <w:spacing w:line="260" w:lineRule="exact"/>
              <w:jc w:val="center"/>
              <w:textAlignment w:val="center"/>
              <w:rPr>
                <w:rFonts w:hint="eastAsia" w:ascii="宋体" w:hAnsi="宋体" w:eastAsia="宋体" w:cs="宋体"/>
                <w:color w:val="000000"/>
                <w:kern w:val="0"/>
                <w:sz w:val="18"/>
                <w:szCs w:val="18"/>
                <w:lang w:bidi="ar"/>
              </w:rPr>
            </w:pPr>
          </w:p>
        </w:tc>
      </w:tr>
      <w:tr w14:paraId="3250D0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10" w:type="dxa"/>
            <w:vMerge w:val="continue"/>
            <w:tcBorders>
              <w:left w:val="single" w:color="auto" w:sz="4" w:space="0"/>
              <w:right w:val="single" w:color="auto" w:sz="4" w:space="0"/>
            </w:tcBorders>
            <w:noWrap w:val="0"/>
            <w:tcMar>
              <w:top w:w="0" w:type="dxa"/>
              <w:left w:w="0" w:type="dxa"/>
              <w:bottom w:w="0" w:type="dxa"/>
              <w:right w:w="0" w:type="dxa"/>
            </w:tcMar>
            <w:vAlign w:val="center"/>
          </w:tcPr>
          <w:p w14:paraId="08C8AD06">
            <w:pPr>
              <w:spacing w:line="260" w:lineRule="exact"/>
              <w:jc w:val="center"/>
              <w:rPr>
                <w:rFonts w:hint="eastAsia" w:ascii="宋体" w:hAnsi="宋体" w:eastAsia="宋体" w:cs="宋体"/>
                <w:sz w:val="18"/>
                <w:szCs w:val="18"/>
              </w:rPr>
            </w:pPr>
          </w:p>
        </w:tc>
        <w:tc>
          <w:tcPr>
            <w:tcW w:w="1260" w:type="dxa"/>
            <w:vMerge w:val="continue"/>
            <w:tcBorders>
              <w:left w:val="single" w:color="auto" w:sz="4" w:space="0"/>
              <w:right w:val="single" w:color="auto" w:sz="4" w:space="0"/>
            </w:tcBorders>
            <w:noWrap w:val="0"/>
            <w:tcMar>
              <w:top w:w="0" w:type="dxa"/>
              <w:left w:w="0" w:type="dxa"/>
              <w:bottom w:w="0" w:type="dxa"/>
              <w:right w:w="0" w:type="dxa"/>
            </w:tcMar>
            <w:vAlign w:val="center"/>
          </w:tcPr>
          <w:p w14:paraId="1307D2FC">
            <w:pPr>
              <w:widowControl/>
              <w:spacing w:line="260" w:lineRule="exact"/>
              <w:textAlignment w:val="center"/>
              <w:rPr>
                <w:rFonts w:hint="eastAsia" w:ascii="宋体" w:hAnsi="宋体" w:eastAsia="宋体" w:cs="宋体"/>
                <w:kern w:val="0"/>
                <w:sz w:val="18"/>
                <w:szCs w:val="18"/>
                <w:lang w:bidi="ar"/>
              </w:rPr>
            </w:pPr>
          </w:p>
        </w:tc>
        <w:tc>
          <w:tcPr>
            <w:tcW w:w="3895" w:type="dxa"/>
            <w:vMerge w:val="continue"/>
            <w:tcBorders>
              <w:left w:val="single" w:color="auto" w:sz="4" w:space="0"/>
              <w:right w:val="single" w:color="auto" w:sz="4" w:space="0"/>
            </w:tcBorders>
            <w:noWrap w:val="0"/>
            <w:tcMar>
              <w:top w:w="0" w:type="dxa"/>
              <w:left w:w="0" w:type="dxa"/>
              <w:bottom w:w="0" w:type="dxa"/>
              <w:right w:w="0" w:type="dxa"/>
            </w:tcMar>
            <w:vAlign w:val="center"/>
          </w:tcPr>
          <w:p w14:paraId="682DF2F5">
            <w:pPr>
              <w:widowControl/>
              <w:spacing w:line="260" w:lineRule="exact"/>
              <w:ind w:firstLine="360" w:firstLineChars="200"/>
              <w:textAlignment w:val="center"/>
              <w:rPr>
                <w:rFonts w:hint="eastAsia" w:ascii="宋体" w:hAnsi="宋体" w:eastAsia="宋体" w:cs="宋体"/>
                <w:kern w:val="0"/>
                <w:sz w:val="18"/>
                <w:szCs w:val="18"/>
                <w:lang w:bidi="ar"/>
              </w:rPr>
            </w:pPr>
          </w:p>
        </w:tc>
        <w:tc>
          <w:tcPr>
            <w:tcW w:w="2342" w:type="dxa"/>
            <w:vMerge w:val="continue"/>
            <w:tcBorders>
              <w:left w:val="single" w:color="auto" w:sz="4" w:space="0"/>
              <w:right w:val="single" w:color="auto" w:sz="4" w:space="0"/>
            </w:tcBorders>
            <w:noWrap w:val="0"/>
            <w:tcMar>
              <w:top w:w="0" w:type="dxa"/>
              <w:left w:w="0" w:type="dxa"/>
              <w:bottom w:w="0" w:type="dxa"/>
              <w:right w:w="0" w:type="dxa"/>
            </w:tcMar>
            <w:vAlign w:val="center"/>
          </w:tcPr>
          <w:p w14:paraId="74C82B11">
            <w:pPr>
              <w:spacing w:line="260" w:lineRule="exact"/>
              <w:jc w:val="both"/>
              <w:rPr>
                <w:rFonts w:hint="eastAsia" w:ascii="宋体" w:hAnsi="宋体" w:eastAsia="宋体" w:cs="宋体"/>
                <w:sz w:val="18"/>
                <w:szCs w:val="18"/>
              </w:rPr>
            </w:pPr>
          </w:p>
        </w:tc>
        <w:tc>
          <w:tcPr>
            <w:tcW w:w="6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5BFBBDD">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较轻</w:t>
            </w:r>
          </w:p>
        </w:tc>
        <w:tc>
          <w:tcPr>
            <w:tcW w:w="306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89B99CA">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造成水土流失面积500平方米以上1000平方米以下的</w:t>
            </w:r>
          </w:p>
        </w:tc>
        <w:tc>
          <w:tcPr>
            <w:tcW w:w="236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CD2C6EA">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处每平方米</w:t>
            </w:r>
            <w:r>
              <w:rPr>
                <w:rFonts w:hint="eastAsia" w:ascii="宋体" w:hAnsi="宋体" w:eastAsia="宋体" w:cs="宋体"/>
                <w:color w:val="000000"/>
                <w:kern w:val="0"/>
                <w:sz w:val="18"/>
                <w:szCs w:val="18"/>
                <w:lang w:val="en-US" w:eastAsia="zh-CN" w:bidi="ar"/>
              </w:rPr>
              <w:t>2</w:t>
            </w:r>
            <w:r>
              <w:rPr>
                <w:rFonts w:hint="eastAsia" w:ascii="宋体" w:hAnsi="宋体" w:eastAsia="宋体" w:cs="宋体"/>
                <w:color w:val="000000"/>
                <w:kern w:val="0"/>
                <w:sz w:val="18"/>
                <w:szCs w:val="18"/>
                <w:lang w:bidi="ar"/>
              </w:rPr>
              <w:t>元以上</w:t>
            </w:r>
            <w:r>
              <w:rPr>
                <w:rFonts w:hint="eastAsia" w:ascii="宋体" w:hAnsi="宋体" w:eastAsia="宋体" w:cs="宋体"/>
                <w:color w:val="000000"/>
                <w:kern w:val="0"/>
                <w:sz w:val="18"/>
                <w:szCs w:val="18"/>
                <w:lang w:val="en-US" w:eastAsia="zh-CN" w:bidi="ar"/>
              </w:rPr>
              <w:t>4</w:t>
            </w:r>
            <w:r>
              <w:rPr>
                <w:rFonts w:hint="eastAsia" w:ascii="宋体" w:hAnsi="宋体" w:eastAsia="宋体" w:cs="宋体"/>
                <w:color w:val="000000"/>
                <w:kern w:val="0"/>
                <w:sz w:val="18"/>
                <w:szCs w:val="18"/>
                <w:lang w:bidi="ar"/>
              </w:rPr>
              <w:t>元以下的罚款</w:t>
            </w:r>
          </w:p>
        </w:tc>
        <w:tc>
          <w:tcPr>
            <w:tcW w:w="958" w:type="dxa"/>
            <w:vMerge w:val="continue"/>
            <w:tcBorders>
              <w:left w:val="single" w:color="auto" w:sz="4" w:space="0"/>
              <w:right w:val="single" w:color="auto" w:sz="4" w:space="0"/>
            </w:tcBorders>
            <w:noWrap w:val="0"/>
            <w:tcMar>
              <w:top w:w="0" w:type="dxa"/>
              <w:left w:w="0" w:type="dxa"/>
              <w:bottom w:w="0" w:type="dxa"/>
              <w:right w:w="0" w:type="dxa"/>
            </w:tcMar>
            <w:vAlign w:val="center"/>
          </w:tcPr>
          <w:p w14:paraId="4BA007A1">
            <w:pPr>
              <w:widowControl/>
              <w:spacing w:line="260" w:lineRule="exact"/>
              <w:jc w:val="center"/>
              <w:textAlignment w:val="center"/>
              <w:rPr>
                <w:rFonts w:hint="eastAsia" w:ascii="宋体" w:hAnsi="宋体" w:eastAsia="宋体" w:cs="宋体"/>
                <w:color w:val="000000"/>
                <w:kern w:val="0"/>
                <w:sz w:val="18"/>
                <w:szCs w:val="18"/>
                <w:lang w:bidi="ar"/>
              </w:rPr>
            </w:pPr>
          </w:p>
        </w:tc>
      </w:tr>
      <w:tr w14:paraId="6DEB2F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10" w:type="dxa"/>
            <w:vMerge w:val="continue"/>
            <w:tcBorders>
              <w:left w:val="single" w:color="auto" w:sz="4" w:space="0"/>
              <w:right w:val="single" w:color="auto" w:sz="4" w:space="0"/>
            </w:tcBorders>
            <w:noWrap w:val="0"/>
            <w:tcMar>
              <w:top w:w="0" w:type="dxa"/>
              <w:left w:w="0" w:type="dxa"/>
              <w:bottom w:w="0" w:type="dxa"/>
              <w:right w:w="0" w:type="dxa"/>
            </w:tcMar>
            <w:vAlign w:val="center"/>
          </w:tcPr>
          <w:p w14:paraId="296CF734">
            <w:pPr>
              <w:spacing w:line="260" w:lineRule="exact"/>
              <w:jc w:val="center"/>
              <w:rPr>
                <w:rFonts w:hint="eastAsia" w:ascii="宋体" w:hAnsi="宋体" w:eastAsia="宋体" w:cs="宋体"/>
                <w:sz w:val="18"/>
                <w:szCs w:val="18"/>
              </w:rPr>
            </w:pPr>
          </w:p>
        </w:tc>
        <w:tc>
          <w:tcPr>
            <w:tcW w:w="1260" w:type="dxa"/>
            <w:vMerge w:val="continue"/>
            <w:tcBorders>
              <w:left w:val="single" w:color="auto" w:sz="4" w:space="0"/>
              <w:right w:val="single" w:color="auto" w:sz="4" w:space="0"/>
            </w:tcBorders>
            <w:noWrap w:val="0"/>
            <w:tcMar>
              <w:top w:w="0" w:type="dxa"/>
              <w:left w:w="0" w:type="dxa"/>
              <w:bottom w:w="0" w:type="dxa"/>
              <w:right w:w="0" w:type="dxa"/>
            </w:tcMar>
            <w:vAlign w:val="center"/>
          </w:tcPr>
          <w:p w14:paraId="36FCA039">
            <w:pPr>
              <w:widowControl/>
              <w:spacing w:line="260" w:lineRule="exact"/>
              <w:textAlignment w:val="center"/>
              <w:rPr>
                <w:rFonts w:hint="eastAsia" w:ascii="宋体" w:hAnsi="宋体" w:eastAsia="宋体" w:cs="宋体"/>
                <w:kern w:val="0"/>
                <w:sz w:val="18"/>
                <w:szCs w:val="18"/>
                <w:lang w:bidi="ar"/>
              </w:rPr>
            </w:pPr>
          </w:p>
        </w:tc>
        <w:tc>
          <w:tcPr>
            <w:tcW w:w="3895" w:type="dxa"/>
            <w:vMerge w:val="continue"/>
            <w:tcBorders>
              <w:left w:val="single" w:color="auto" w:sz="4" w:space="0"/>
              <w:right w:val="single" w:color="auto" w:sz="4" w:space="0"/>
            </w:tcBorders>
            <w:noWrap w:val="0"/>
            <w:tcMar>
              <w:top w:w="0" w:type="dxa"/>
              <w:left w:w="0" w:type="dxa"/>
              <w:bottom w:w="0" w:type="dxa"/>
              <w:right w:w="0" w:type="dxa"/>
            </w:tcMar>
            <w:vAlign w:val="center"/>
          </w:tcPr>
          <w:p w14:paraId="0194C14E">
            <w:pPr>
              <w:widowControl/>
              <w:spacing w:line="260" w:lineRule="exact"/>
              <w:ind w:firstLine="360" w:firstLineChars="200"/>
              <w:textAlignment w:val="center"/>
              <w:rPr>
                <w:rFonts w:hint="eastAsia" w:ascii="宋体" w:hAnsi="宋体" w:eastAsia="宋体" w:cs="宋体"/>
                <w:kern w:val="0"/>
                <w:sz w:val="18"/>
                <w:szCs w:val="18"/>
                <w:lang w:bidi="ar"/>
              </w:rPr>
            </w:pPr>
          </w:p>
        </w:tc>
        <w:tc>
          <w:tcPr>
            <w:tcW w:w="2342" w:type="dxa"/>
            <w:vMerge w:val="continue"/>
            <w:tcBorders>
              <w:left w:val="single" w:color="auto" w:sz="4" w:space="0"/>
              <w:right w:val="single" w:color="auto" w:sz="4" w:space="0"/>
            </w:tcBorders>
            <w:noWrap w:val="0"/>
            <w:tcMar>
              <w:top w:w="0" w:type="dxa"/>
              <w:left w:w="0" w:type="dxa"/>
              <w:bottom w:w="0" w:type="dxa"/>
              <w:right w:w="0" w:type="dxa"/>
            </w:tcMar>
            <w:vAlign w:val="center"/>
          </w:tcPr>
          <w:p w14:paraId="71B941AB">
            <w:pPr>
              <w:spacing w:line="260" w:lineRule="exact"/>
              <w:jc w:val="both"/>
              <w:rPr>
                <w:rFonts w:hint="eastAsia" w:ascii="宋体" w:hAnsi="宋体" w:eastAsia="宋体" w:cs="宋体"/>
                <w:sz w:val="18"/>
                <w:szCs w:val="18"/>
              </w:rPr>
            </w:pPr>
          </w:p>
        </w:tc>
        <w:tc>
          <w:tcPr>
            <w:tcW w:w="6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75A49C5">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一般</w:t>
            </w:r>
          </w:p>
        </w:tc>
        <w:tc>
          <w:tcPr>
            <w:tcW w:w="306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4AF868F">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造成水土流失面积1000平方米以上2000平方米以下的</w:t>
            </w:r>
          </w:p>
        </w:tc>
        <w:tc>
          <w:tcPr>
            <w:tcW w:w="236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F26521E">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处每平方米</w:t>
            </w:r>
            <w:r>
              <w:rPr>
                <w:rFonts w:hint="eastAsia" w:ascii="宋体" w:hAnsi="宋体" w:eastAsia="宋体" w:cs="宋体"/>
                <w:color w:val="000000"/>
                <w:kern w:val="0"/>
                <w:sz w:val="18"/>
                <w:szCs w:val="18"/>
                <w:lang w:val="en-US" w:eastAsia="zh-CN" w:bidi="ar"/>
              </w:rPr>
              <w:t>4</w:t>
            </w:r>
            <w:r>
              <w:rPr>
                <w:rFonts w:hint="eastAsia" w:ascii="宋体" w:hAnsi="宋体" w:eastAsia="宋体" w:cs="宋体"/>
                <w:color w:val="000000"/>
                <w:kern w:val="0"/>
                <w:sz w:val="18"/>
                <w:szCs w:val="18"/>
                <w:lang w:bidi="ar"/>
              </w:rPr>
              <w:t>元以上</w:t>
            </w:r>
            <w:r>
              <w:rPr>
                <w:rFonts w:hint="eastAsia" w:ascii="宋体" w:hAnsi="宋体" w:eastAsia="宋体" w:cs="宋体"/>
                <w:color w:val="000000"/>
                <w:kern w:val="0"/>
                <w:sz w:val="18"/>
                <w:szCs w:val="18"/>
                <w:lang w:val="en-US" w:eastAsia="zh-CN" w:bidi="ar"/>
              </w:rPr>
              <w:t>6</w:t>
            </w:r>
            <w:r>
              <w:rPr>
                <w:rFonts w:hint="eastAsia" w:ascii="宋体" w:hAnsi="宋体" w:eastAsia="宋体" w:cs="宋体"/>
                <w:color w:val="000000"/>
                <w:kern w:val="0"/>
                <w:sz w:val="18"/>
                <w:szCs w:val="18"/>
                <w:lang w:bidi="ar"/>
              </w:rPr>
              <w:t>元以下的罚款</w:t>
            </w:r>
          </w:p>
        </w:tc>
        <w:tc>
          <w:tcPr>
            <w:tcW w:w="958" w:type="dxa"/>
            <w:vMerge w:val="continue"/>
            <w:tcBorders>
              <w:left w:val="single" w:color="auto" w:sz="4" w:space="0"/>
              <w:right w:val="single" w:color="auto" w:sz="4" w:space="0"/>
            </w:tcBorders>
            <w:noWrap w:val="0"/>
            <w:tcMar>
              <w:top w:w="0" w:type="dxa"/>
              <w:left w:w="0" w:type="dxa"/>
              <w:bottom w:w="0" w:type="dxa"/>
              <w:right w:w="0" w:type="dxa"/>
            </w:tcMar>
            <w:vAlign w:val="center"/>
          </w:tcPr>
          <w:p w14:paraId="32F38B02">
            <w:pPr>
              <w:widowControl/>
              <w:spacing w:line="260" w:lineRule="exact"/>
              <w:jc w:val="center"/>
              <w:textAlignment w:val="center"/>
              <w:rPr>
                <w:rFonts w:hint="eastAsia" w:ascii="宋体" w:hAnsi="宋体" w:eastAsia="宋体" w:cs="宋体"/>
                <w:color w:val="000000"/>
                <w:kern w:val="0"/>
                <w:sz w:val="18"/>
                <w:szCs w:val="18"/>
                <w:lang w:bidi="ar"/>
              </w:rPr>
            </w:pPr>
          </w:p>
        </w:tc>
      </w:tr>
      <w:tr w14:paraId="420903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10" w:type="dxa"/>
            <w:vMerge w:val="continue"/>
            <w:tcBorders>
              <w:left w:val="single" w:color="auto" w:sz="4" w:space="0"/>
              <w:right w:val="single" w:color="auto" w:sz="4" w:space="0"/>
            </w:tcBorders>
            <w:noWrap w:val="0"/>
            <w:tcMar>
              <w:top w:w="0" w:type="dxa"/>
              <w:left w:w="0" w:type="dxa"/>
              <w:bottom w:w="0" w:type="dxa"/>
              <w:right w:w="0" w:type="dxa"/>
            </w:tcMar>
            <w:vAlign w:val="center"/>
          </w:tcPr>
          <w:p w14:paraId="1D4CCA0E">
            <w:pPr>
              <w:spacing w:line="260" w:lineRule="exact"/>
              <w:jc w:val="center"/>
              <w:rPr>
                <w:rFonts w:hint="eastAsia" w:ascii="宋体" w:hAnsi="宋体" w:eastAsia="宋体" w:cs="宋体"/>
                <w:sz w:val="18"/>
                <w:szCs w:val="18"/>
              </w:rPr>
            </w:pPr>
          </w:p>
        </w:tc>
        <w:tc>
          <w:tcPr>
            <w:tcW w:w="1260" w:type="dxa"/>
            <w:vMerge w:val="continue"/>
            <w:tcBorders>
              <w:left w:val="single" w:color="auto" w:sz="4" w:space="0"/>
              <w:right w:val="single" w:color="auto" w:sz="4" w:space="0"/>
            </w:tcBorders>
            <w:noWrap w:val="0"/>
            <w:tcMar>
              <w:top w:w="0" w:type="dxa"/>
              <w:left w:w="0" w:type="dxa"/>
              <w:bottom w:w="0" w:type="dxa"/>
              <w:right w:w="0" w:type="dxa"/>
            </w:tcMar>
            <w:vAlign w:val="center"/>
          </w:tcPr>
          <w:p w14:paraId="21BBB0DD">
            <w:pPr>
              <w:widowControl/>
              <w:spacing w:line="260" w:lineRule="exact"/>
              <w:textAlignment w:val="center"/>
              <w:rPr>
                <w:rFonts w:hint="eastAsia" w:ascii="宋体" w:hAnsi="宋体" w:eastAsia="宋体" w:cs="宋体"/>
                <w:kern w:val="0"/>
                <w:sz w:val="18"/>
                <w:szCs w:val="18"/>
                <w:lang w:bidi="ar"/>
              </w:rPr>
            </w:pPr>
          </w:p>
        </w:tc>
        <w:tc>
          <w:tcPr>
            <w:tcW w:w="3895" w:type="dxa"/>
            <w:vMerge w:val="continue"/>
            <w:tcBorders>
              <w:left w:val="single" w:color="auto" w:sz="4" w:space="0"/>
              <w:right w:val="single" w:color="auto" w:sz="4" w:space="0"/>
            </w:tcBorders>
            <w:noWrap w:val="0"/>
            <w:tcMar>
              <w:top w:w="0" w:type="dxa"/>
              <w:left w:w="0" w:type="dxa"/>
              <w:bottom w:w="0" w:type="dxa"/>
              <w:right w:w="0" w:type="dxa"/>
            </w:tcMar>
            <w:vAlign w:val="center"/>
          </w:tcPr>
          <w:p w14:paraId="2159F9A5">
            <w:pPr>
              <w:widowControl/>
              <w:spacing w:line="260" w:lineRule="exact"/>
              <w:ind w:firstLine="360" w:firstLineChars="200"/>
              <w:textAlignment w:val="center"/>
              <w:rPr>
                <w:rFonts w:hint="eastAsia" w:ascii="宋体" w:hAnsi="宋体" w:eastAsia="宋体" w:cs="宋体"/>
                <w:kern w:val="0"/>
                <w:sz w:val="18"/>
                <w:szCs w:val="18"/>
                <w:lang w:bidi="ar"/>
              </w:rPr>
            </w:pPr>
          </w:p>
        </w:tc>
        <w:tc>
          <w:tcPr>
            <w:tcW w:w="2342" w:type="dxa"/>
            <w:vMerge w:val="continue"/>
            <w:tcBorders>
              <w:left w:val="single" w:color="auto" w:sz="4" w:space="0"/>
              <w:right w:val="single" w:color="auto" w:sz="4" w:space="0"/>
            </w:tcBorders>
            <w:noWrap w:val="0"/>
            <w:tcMar>
              <w:top w:w="0" w:type="dxa"/>
              <w:left w:w="0" w:type="dxa"/>
              <w:bottom w:w="0" w:type="dxa"/>
              <w:right w:w="0" w:type="dxa"/>
            </w:tcMar>
            <w:vAlign w:val="center"/>
          </w:tcPr>
          <w:p w14:paraId="13D8B903">
            <w:pPr>
              <w:spacing w:line="260" w:lineRule="exact"/>
              <w:jc w:val="both"/>
              <w:rPr>
                <w:rFonts w:hint="eastAsia" w:ascii="宋体" w:hAnsi="宋体" w:eastAsia="宋体" w:cs="宋体"/>
                <w:sz w:val="18"/>
                <w:szCs w:val="18"/>
              </w:rPr>
            </w:pPr>
          </w:p>
        </w:tc>
        <w:tc>
          <w:tcPr>
            <w:tcW w:w="6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625FDF0">
            <w:pPr>
              <w:spacing w:line="260" w:lineRule="exact"/>
              <w:jc w:val="center"/>
              <w:rPr>
                <w:rFonts w:hint="eastAsia" w:ascii="宋体" w:hAnsi="宋体" w:eastAsia="宋体" w:cs="宋体"/>
                <w:sz w:val="18"/>
                <w:szCs w:val="18"/>
                <w:lang w:eastAsia="zh-CN"/>
              </w:rPr>
            </w:pPr>
            <w:r>
              <w:rPr>
                <w:rFonts w:hint="eastAsia" w:ascii="宋体" w:hAnsi="宋体" w:eastAsia="宋体" w:cs="宋体"/>
                <w:sz w:val="18"/>
                <w:szCs w:val="18"/>
                <w:lang w:eastAsia="zh-CN"/>
              </w:rPr>
              <w:t>较重</w:t>
            </w:r>
          </w:p>
        </w:tc>
        <w:tc>
          <w:tcPr>
            <w:tcW w:w="306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49D6DA7">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造成水土流失面积2000平方米以上5000平方米以下的</w:t>
            </w:r>
          </w:p>
        </w:tc>
        <w:tc>
          <w:tcPr>
            <w:tcW w:w="236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996B5B9">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处每平方米</w:t>
            </w:r>
            <w:r>
              <w:rPr>
                <w:rFonts w:hint="eastAsia" w:ascii="宋体" w:hAnsi="宋体" w:eastAsia="宋体" w:cs="宋体"/>
                <w:color w:val="000000"/>
                <w:kern w:val="0"/>
                <w:sz w:val="18"/>
                <w:szCs w:val="18"/>
                <w:lang w:val="en-US" w:eastAsia="zh-CN" w:bidi="ar"/>
              </w:rPr>
              <w:t>6</w:t>
            </w:r>
            <w:r>
              <w:rPr>
                <w:rFonts w:hint="eastAsia" w:ascii="宋体" w:hAnsi="宋体" w:eastAsia="宋体" w:cs="宋体"/>
                <w:color w:val="000000"/>
                <w:kern w:val="0"/>
                <w:sz w:val="18"/>
                <w:szCs w:val="18"/>
                <w:lang w:bidi="ar"/>
              </w:rPr>
              <w:t>元以上</w:t>
            </w:r>
            <w:r>
              <w:rPr>
                <w:rFonts w:hint="eastAsia" w:ascii="宋体" w:hAnsi="宋体" w:eastAsia="宋体" w:cs="宋体"/>
                <w:color w:val="000000"/>
                <w:kern w:val="0"/>
                <w:sz w:val="18"/>
                <w:szCs w:val="18"/>
                <w:lang w:val="en-US" w:eastAsia="zh-CN" w:bidi="ar"/>
              </w:rPr>
              <w:t>8</w:t>
            </w:r>
            <w:r>
              <w:rPr>
                <w:rFonts w:hint="eastAsia" w:ascii="宋体" w:hAnsi="宋体" w:eastAsia="宋体" w:cs="宋体"/>
                <w:color w:val="000000"/>
                <w:kern w:val="0"/>
                <w:sz w:val="18"/>
                <w:szCs w:val="18"/>
                <w:lang w:bidi="ar"/>
              </w:rPr>
              <w:t>元以下的罚款</w:t>
            </w:r>
          </w:p>
        </w:tc>
        <w:tc>
          <w:tcPr>
            <w:tcW w:w="958" w:type="dxa"/>
            <w:vMerge w:val="continue"/>
            <w:tcBorders>
              <w:left w:val="single" w:color="auto" w:sz="4" w:space="0"/>
              <w:right w:val="single" w:color="auto" w:sz="4" w:space="0"/>
            </w:tcBorders>
            <w:noWrap w:val="0"/>
            <w:tcMar>
              <w:top w:w="0" w:type="dxa"/>
              <w:left w:w="0" w:type="dxa"/>
              <w:bottom w:w="0" w:type="dxa"/>
              <w:right w:w="0" w:type="dxa"/>
            </w:tcMar>
            <w:vAlign w:val="center"/>
          </w:tcPr>
          <w:p w14:paraId="2F8F1AB9">
            <w:pPr>
              <w:widowControl/>
              <w:spacing w:line="260" w:lineRule="exact"/>
              <w:jc w:val="center"/>
              <w:textAlignment w:val="center"/>
              <w:rPr>
                <w:rFonts w:hint="eastAsia" w:ascii="宋体" w:hAnsi="宋体" w:eastAsia="宋体" w:cs="宋体"/>
                <w:color w:val="000000"/>
                <w:kern w:val="0"/>
                <w:sz w:val="18"/>
                <w:szCs w:val="18"/>
                <w:lang w:bidi="ar"/>
              </w:rPr>
            </w:pPr>
          </w:p>
        </w:tc>
      </w:tr>
      <w:tr w14:paraId="037721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10" w:type="dxa"/>
            <w:vMerge w:val="continue"/>
            <w:tcBorders>
              <w:left w:val="single" w:color="auto" w:sz="4" w:space="0"/>
              <w:right w:val="single" w:color="auto" w:sz="4" w:space="0"/>
            </w:tcBorders>
            <w:noWrap w:val="0"/>
            <w:tcMar>
              <w:top w:w="0" w:type="dxa"/>
              <w:left w:w="0" w:type="dxa"/>
              <w:bottom w:w="0" w:type="dxa"/>
              <w:right w:w="0" w:type="dxa"/>
            </w:tcMar>
            <w:vAlign w:val="center"/>
          </w:tcPr>
          <w:p w14:paraId="1BAD8A0C">
            <w:pPr>
              <w:spacing w:line="260" w:lineRule="exact"/>
              <w:jc w:val="center"/>
              <w:rPr>
                <w:rFonts w:hint="eastAsia" w:ascii="宋体" w:hAnsi="宋体" w:eastAsia="宋体" w:cs="宋体"/>
                <w:sz w:val="18"/>
                <w:szCs w:val="18"/>
              </w:rPr>
            </w:pPr>
          </w:p>
        </w:tc>
        <w:tc>
          <w:tcPr>
            <w:tcW w:w="1260" w:type="dxa"/>
            <w:vMerge w:val="continue"/>
            <w:tcBorders>
              <w:left w:val="single" w:color="auto" w:sz="4" w:space="0"/>
              <w:right w:val="single" w:color="auto" w:sz="4" w:space="0"/>
            </w:tcBorders>
            <w:noWrap w:val="0"/>
            <w:tcMar>
              <w:top w:w="0" w:type="dxa"/>
              <w:left w:w="0" w:type="dxa"/>
              <w:bottom w:w="0" w:type="dxa"/>
              <w:right w:w="0" w:type="dxa"/>
            </w:tcMar>
            <w:vAlign w:val="center"/>
          </w:tcPr>
          <w:p w14:paraId="4BBB194F">
            <w:pPr>
              <w:widowControl/>
              <w:spacing w:line="260" w:lineRule="exact"/>
              <w:textAlignment w:val="center"/>
              <w:rPr>
                <w:rFonts w:hint="eastAsia" w:ascii="宋体" w:hAnsi="宋体" w:eastAsia="宋体" w:cs="宋体"/>
                <w:kern w:val="0"/>
                <w:sz w:val="18"/>
                <w:szCs w:val="18"/>
                <w:lang w:bidi="ar"/>
              </w:rPr>
            </w:pPr>
          </w:p>
        </w:tc>
        <w:tc>
          <w:tcPr>
            <w:tcW w:w="3895" w:type="dxa"/>
            <w:vMerge w:val="continue"/>
            <w:tcBorders>
              <w:left w:val="single" w:color="auto" w:sz="4" w:space="0"/>
              <w:right w:val="single" w:color="auto" w:sz="4" w:space="0"/>
            </w:tcBorders>
            <w:noWrap w:val="0"/>
            <w:tcMar>
              <w:top w:w="0" w:type="dxa"/>
              <w:left w:w="0" w:type="dxa"/>
              <w:bottom w:w="0" w:type="dxa"/>
              <w:right w:w="0" w:type="dxa"/>
            </w:tcMar>
            <w:vAlign w:val="center"/>
          </w:tcPr>
          <w:p w14:paraId="543F41EF">
            <w:pPr>
              <w:widowControl/>
              <w:spacing w:line="260" w:lineRule="exact"/>
              <w:ind w:firstLine="360" w:firstLineChars="200"/>
              <w:textAlignment w:val="center"/>
              <w:rPr>
                <w:rFonts w:hint="eastAsia" w:ascii="宋体" w:hAnsi="宋体" w:eastAsia="宋体" w:cs="宋体"/>
                <w:kern w:val="0"/>
                <w:sz w:val="18"/>
                <w:szCs w:val="18"/>
                <w:lang w:bidi="ar"/>
              </w:rPr>
            </w:pPr>
          </w:p>
        </w:tc>
        <w:tc>
          <w:tcPr>
            <w:tcW w:w="2342" w:type="dxa"/>
            <w:vMerge w:val="continue"/>
            <w:tcBorders>
              <w:left w:val="single" w:color="auto" w:sz="4" w:space="0"/>
              <w:right w:val="single" w:color="auto" w:sz="4" w:space="0"/>
            </w:tcBorders>
            <w:noWrap w:val="0"/>
            <w:tcMar>
              <w:top w:w="0" w:type="dxa"/>
              <w:left w:w="0" w:type="dxa"/>
              <w:bottom w:w="0" w:type="dxa"/>
              <w:right w:w="0" w:type="dxa"/>
            </w:tcMar>
            <w:vAlign w:val="center"/>
          </w:tcPr>
          <w:p w14:paraId="1233A78A">
            <w:pPr>
              <w:spacing w:line="260" w:lineRule="exact"/>
              <w:jc w:val="both"/>
              <w:rPr>
                <w:rFonts w:hint="eastAsia" w:ascii="宋体" w:hAnsi="宋体" w:eastAsia="宋体" w:cs="宋体"/>
                <w:sz w:val="18"/>
                <w:szCs w:val="18"/>
              </w:rPr>
            </w:pPr>
          </w:p>
        </w:tc>
        <w:tc>
          <w:tcPr>
            <w:tcW w:w="6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195E2AB">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严重</w:t>
            </w:r>
          </w:p>
        </w:tc>
        <w:tc>
          <w:tcPr>
            <w:tcW w:w="306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D1AE66A">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造成水土流失面积5000平方米以上的</w:t>
            </w:r>
          </w:p>
        </w:tc>
        <w:tc>
          <w:tcPr>
            <w:tcW w:w="236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7070565">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处每平方米</w:t>
            </w:r>
            <w:r>
              <w:rPr>
                <w:rFonts w:hint="eastAsia" w:ascii="宋体" w:hAnsi="宋体" w:eastAsia="宋体" w:cs="宋体"/>
                <w:color w:val="000000"/>
                <w:kern w:val="0"/>
                <w:sz w:val="18"/>
                <w:szCs w:val="18"/>
                <w:lang w:val="en-US" w:eastAsia="zh-CN" w:bidi="ar"/>
              </w:rPr>
              <w:t>8</w:t>
            </w:r>
            <w:r>
              <w:rPr>
                <w:rFonts w:hint="eastAsia" w:ascii="宋体" w:hAnsi="宋体" w:eastAsia="宋体" w:cs="宋体"/>
                <w:color w:val="000000"/>
                <w:kern w:val="0"/>
                <w:sz w:val="18"/>
                <w:szCs w:val="18"/>
                <w:lang w:bidi="ar"/>
              </w:rPr>
              <w:t>元以上</w:t>
            </w:r>
            <w:r>
              <w:rPr>
                <w:rFonts w:hint="eastAsia" w:ascii="宋体" w:hAnsi="宋体" w:eastAsia="宋体" w:cs="宋体"/>
                <w:color w:val="000000"/>
                <w:kern w:val="0"/>
                <w:sz w:val="18"/>
                <w:szCs w:val="18"/>
                <w:lang w:val="en-US" w:eastAsia="zh-CN" w:bidi="ar"/>
              </w:rPr>
              <w:t>10</w:t>
            </w:r>
            <w:r>
              <w:rPr>
                <w:rFonts w:hint="eastAsia" w:ascii="宋体" w:hAnsi="宋体" w:eastAsia="宋体" w:cs="宋体"/>
                <w:color w:val="000000"/>
                <w:kern w:val="0"/>
                <w:sz w:val="18"/>
                <w:szCs w:val="18"/>
                <w:lang w:bidi="ar"/>
              </w:rPr>
              <w:t>元以下的罚款</w:t>
            </w:r>
          </w:p>
        </w:tc>
        <w:tc>
          <w:tcPr>
            <w:tcW w:w="958" w:type="dxa"/>
            <w:vMerge w:val="continue"/>
            <w:tcBorders>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D939D35">
            <w:pPr>
              <w:widowControl/>
              <w:spacing w:line="260" w:lineRule="exact"/>
              <w:jc w:val="center"/>
              <w:textAlignment w:val="center"/>
              <w:rPr>
                <w:rFonts w:hint="eastAsia" w:ascii="宋体" w:hAnsi="宋体" w:eastAsia="宋体" w:cs="宋体"/>
                <w:color w:val="000000"/>
                <w:kern w:val="0"/>
                <w:sz w:val="18"/>
                <w:szCs w:val="18"/>
                <w:lang w:bidi="ar"/>
              </w:rPr>
            </w:pPr>
          </w:p>
        </w:tc>
      </w:tr>
      <w:tr w14:paraId="4D05B1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10" w:type="dxa"/>
            <w:vMerge w:val="restart"/>
            <w:tcBorders>
              <w:left w:val="single" w:color="auto" w:sz="4" w:space="0"/>
              <w:right w:val="single" w:color="auto" w:sz="4" w:space="0"/>
            </w:tcBorders>
            <w:noWrap w:val="0"/>
            <w:tcMar>
              <w:top w:w="0" w:type="dxa"/>
              <w:left w:w="0" w:type="dxa"/>
              <w:bottom w:w="0" w:type="dxa"/>
              <w:right w:w="0" w:type="dxa"/>
            </w:tcMar>
            <w:vAlign w:val="center"/>
          </w:tcPr>
          <w:p w14:paraId="473F257F">
            <w:pPr>
              <w:widowControl/>
              <w:spacing w:line="260" w:lineRule="exact"/>
              <w:jc w:val="center"/>
              <w:textAlignment w:val="center"/>
              <w:rPr>
                <w:rFonts w:hint="eastAsia" w:ascii="宋体" w:hAnsi="宋体" w:eastAsia="宋体" w:cs="宋体"/>
                <w:sz w:val="18"/>
                <w:szCs w:val="18"/>
              </w:rPr>
            </w:pPr>
            <w:r>
              <w:rPr>
                <w:rFonts w:hint="eastAsia" w:ascii="宋体" w:hAnsi="宋体" w:eastAsia="宋体" w:cs="宋体"/>
                <w:color w:val="000000"/>
                <w:kern w:val="0"/>
                <w:sz w:val="18"/>
                <w:szCs w:val="18"/>
                <w:lang w:bidi="ar"/>
              </w:rPr>
              <w:t>49</w:t>
            </w:r>
          </w:p>
        </w:tc>
        <w:tc>
          <w:tcPr>
            <w:tcW w:w="1260" w:type="dxa"/>
            <w:vMerge w:val="restart"/>
            <w:tcBorders>
              <w:left w:val="single" w:color="auto" w:sz="4" w:space="0"/>
              <w:right w:val="single" w:color="auto" w:sz="4" w:space="0"/>
            </w:tcBorders>
            <w:noWrap w:val="0"/>
            <w:tcMar>
              <w:top w:w="0" w:type="dxa"/>
              <w:left w:w="0" w:type="dxa"/>
              <w:bottom w:w="0" w:type="dxa"/>
              <w:right w:w="0" w:type="dxa"/>
            </w:tcMar>
            <w:vAlign w:val="center"/>
          </w:tcPr>
          <w:p w14:paraId="2EA32608">
            <w:pPr>
              <w:widowControl/>
              <w:spacing w:line="260" w:lineRule="exact"/>
              <w:jc w:val="both"/>
              <w:textAlignment w:val="center"/>
              <w:rPr>
                <w:rFonts w:hint="eastAsia" w:ascii="宋体" w:hAnsi="宋体" w:eastAsia="宋体" w:cs="宋体"/>
                <w:kern w:val="0"/>
                <w:sz w:val="18"/>
                <w:szCs w:val="18"/>
                <w:lang w:bidi="ar"/>
              </w:rPr>
            </w:pPr>
            <w:r>
              <w:rPr>
                <w:rFonts w:hint="eastAsia" w:ascii="宋体" w:hAnsi="宋体" w:eastAsia="宋体" w:cs="宋体"/>
                <w:color w:val="000000"/>
                <w:kern w:val="0"/>
                <w:sz w:val="18"/>
                <w:szCs w:val="18"/>
                <w:lang w:bidi="ar"/>
              </w:rPr>
              <w:t>对依法应当编制水土保持方案的生产建设项目，未编制水土保持方案或者编制的水土保持方案未经批准而开工建设等行为的行政处罚</w:t>
            </w:r>
          </w:p>
        </w:tc>
        <w:tc>
          <w:tcPr>
            <w:tcW w:w="3895" w:type="dxa"/>
            <w:vMerge w:val="restart"/>
            <w:tcBorders>
              <w:left w:val="single" w:color="auto" w:sz="4" w:space="0"/>
              <w:right w:val="single" w:color="auto" w:sz="4" w:space="0"/>
            </w:tcBorders>
            <w:noWrap w:val="0"/>
            <w:tcMar>
              <w:top w:w="0" w:type="dxa"/>
              <w:left w:w="0" w:type="dxa"/>
              <w:bottom w:w="0" w:type="dxa"/>
              <w:right w:w="0" w:type="dxa"/>
            </w:tcMar>
            <w:vAlign w:val="center"/>
          </w:tcPr>
          <w:p w14:paraId="40992076">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《中华人民共和国水土保持法》第五十三条 违反本法规定，有下列行为之一的，由县级以上人民政府水行政主管部门责令停止违法行为，限期补办手续；逾期不补办手续的，处五万元以上五十万元以下的罚款；对生产建设单位直接负责的主管人员和其他直接责任人员依法给予处分：</w:t>
            </w:r>
          </w:p>
          <w:p w14:paraId="12806612">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（一）依法应当编制水土保持方案的生产建设项目，未编制水土保持方案或者编制的水土保持方案未经批准而开工建设的；</w:t>
            </w:r>
          </w:p>
          <w:p w14:paraId="4E6FE2B8">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（二）生产建设项目的地点、规模发生重大变化，未补充、修改水土保持方案或者补充、修改的水土保持方案未经原审批机关批准的；</w:t>
            </w:r>
          </w:p>
          <w:p w14:paraId="3F882355">
            <w:pPr>
              <w:widowControl/>
              <w:spacing w:line="260" w:lineRule="exact"/>
              <w:jc w:val="both"/>
              <w:textAlignment w:val="center"/>
              <w:rPr>
                <w:rFonts w:hint="eastAsia" w:ascii="宋体" w:hAnsi="宋体" w:eastAsia="宋体" w:cs="宋体"/>
                <w:kern w:val="0"/>
                <w:sz w:val="18"/>
                <w:szCs w:val="18"/>
                <w:lang w:bidi="ar"/>
              </w:rPr>
            </w:pPr>
            <w:r>
              <w:rPr>
                <w:rFonts w:hint="eastAsia" w:ascii="宋体" w:hAnsi="宋体" w:eastAsia="宋体" w:cs="宋体"/>
                <w:color w:val="000000"/>
                <w:kern w:val="0"/>
                <w:sz w:val="18"/>
                <w:szCs w:val="18"/>
                <w:lang w:bidi="ar"/>
              </w:rPr>
              <w:t>（三）水土保持方案实施过程中，未经原审批机关批准，对水土保持措施作出重大变更的。</w:t>
            </w:r>
          </w:p>
        </w:tc>
        <w:tc>
          <w:tcPr>
            <w:tcW w:w="2342" w:type="dxa"/>
            <w:vMerge w:val="restart"/>
            <w:tcBorders>
              <w:left w:val="single" w:color="auto" w:sz="4" w:space="0"/>
              <w:right w:val="single" w:color="auto" w:sz="4" w:space="0"/>
            </w:tcBorders>
            <w:noWrap w:val="0"/>
            <w:tcMar>
              <w:top w:w="0" w:type="dxa"/>
              <w:left w:w="0" w:type="dxa"/>
              <w:bottom w:w="0" w:type="dxa"/>
              <w:right w:w="0" w:type="dxa"/>
            </w:tcMar>
            <w:vAlign w:val="center"/>
          </w:tcPr>
          <w:p w14:paraId="2D82E57C">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（一）依法应当编制水土保持方案的生产建设项目，未编制水土保持方案或者编制的水土保持方案未经批准而开工建设</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val="en-US" w:eastAsia="zh-CN" w:bidi="ar"/>
              </w:rPr>
              <w:t>且</w:t>
            </w:r>
            <w:r>
              <w:rPr>
                <w:rFonts w:hint="eastAsia" w:ascii="宋体" w:hAnsi="宋体" w:eastAsia="宋体" w:cs="宋体"/>
                <w:color w:val="000000"/>
                <w:kern w:val="0"/>
                <w:sz w:val="18"/>
                <w:szCs w:val="18"/>
                <w:lang w:bidi="ar"/>
              </w:rPr>
              <w:t>逾期不补办手续的；</w:t>
            </w:r>
          </w:p>
          <w:p w14:paraId="2E83B6F3">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（二）生产建设项目的地点、规模发生重大变化，未补充、修改水土保持方案或者补充、修改的水土保持方案未经原审批机关批准</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val="en-US" w:eastAsia="zh-CN" w:bidi="ar"/>
              </w:rPr>
              <w:t>且</w:t>
            </w:r>
            <w:r>
              <w:rPr>
                <w:rFonts w:hint="eastAsia" w:ascii="宋体" w:hAnsi="宋体" w:eastAsia="宋体" w:cs="宋体"/>
                <w:color w:val="000000"/>
                <w:kern w:val="0"/>
                <w:sz w:val="18"/>
                <w:szCs w:val="18"/>
                <w:lang w:bidi="ar"/>
              </w:rPr>
              <w:t>逾期不补办手续的；</w:t>
            </w:r>
          </w:p>
          <w:p w14:paraId="277EE948">
            <w:pPr>
              <w:spacing w:line="260" w:lineRule="exact"/>
              <w:jc w:val="both"/>
              <w:rPr>
                <w:rFonts w:hint="eastAsia" w:ascii="宋体" w:hAnsi="宋体" w:eastAsia="宋体" w:cs="宋体"/>
                <w:sz w:val="18"/>
                <w:szCs w:val="18"/>
                <w:lang w:val="en-US" w:eastAsia="zh-CN"/>
              </w:rPr>
            </w:pPr>
            <w:r>
              <w:rPr>
                <w:rFonts w:hint="eastAsia" w:ascii="宋体" w:hAnsi="宋体" w:eastAsia="宋体" w:cs="宋体"/>
                <w:color w:val="000000"/>
                <w:kern w:val="0"/>
                <w:sz w:val="18"/>
                <w:szCs w:val="18"/>
                <w:lang w:bidi="ar"/>
              </w:rPr>
              <w:t>（三）水土保持方案实施过程中，未经原审批机关批准，对水土保持措施作出重大变更</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val="en-US" w:eastAsia="zh-CN" w:bidi="ar"/>
              </w:rPr>
              <w:t>且</w:t>
            </w:r>
            <w:r>
              <w:rPr>
                <w:rFonts w:hint="eastAsia" w:ascii="宋体" w:hAnsi="宋体" w:eastAsia="宋体" w:cs="宋体"/>
                <w:color w:val="000000"/>
                <w:kern w:val="0"/>
                <w:sz w:val="18"/>
                <w:szCs w:val="18"/>
                <w:lang w:bidi="ar"/>
              </w:rPr>
              <w:t>逾期不补办手续的</w:t>
            </w:r>
          </w:p>
        </w:tc>
        <w:tc>
          <w:tcPr>
            <w:tcW w:w="6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0272A66">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轻微</w:t>
            </w:r>
          </w:p>
        </w:tc>
        <w:tc>
          <w:tcPr>
            <w:tcW w:w="306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6F4FFD2D">
            <w:pPr>
              <w:widowControl/>
              <w:snapToGrid w:val="0"/>
              <w:spacing w:line="240" w:lineRule="auto"/>
              <w:jc w:val="both"/>
              <w:textAlignment w:val="center"/>
              <mc:AlternateContent>
                <mc:Choice Requires="wpsCustomData">
                  <wpsCustomData:diagonalParaType/>
                </mc:Choice>
              </mc:AlternateContent>
              <w:rPr>
                <w:rFonts w:hint="eastAsia" w:ascii="宋体" w:hAnsi="宋体" w:eastAsia="宋体" w:cs="宋体"/>
                <w:color w:val="000000"/>
                <w:kern w:val="0"/>
                <w:sz w:val="18"/>
                <w:szCs w:val="18"/>
                <w:lang w:bidi="ar"/>
              </w:rPr>
            </w:pPr>
          </w:p>
          <w:p w14:paraId="4D4B3B8F">
            <w:pPr>
              <w:widowControl/>
              <w:spacing w:line="260" w:lineRule="exact"/>
              <w:jc w:val="both"/>
              <w:textAlignment w:val="center"/>
              <w:rPr>
                <w:rFonts w:hint="eastAsia" w:ascii="宋体" w:hAnsi="宋体" w:eastAsia="宋体" w:cs="宋体"/>
                <w:color w:val="000000"/>
                <w:kern w:val="0"/>
                <w:sz w:val="18"/>
                <w:szCs w:val="18"/>
                <w:lang w:bidi="ar"/>
              </w:rPr>
            </w:pPr>
          </w:p>
        </w:tc>
        <w:tc>
          <w:tcPr>
            <w:tcW w:w="236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06C12EE7">
            <w:pPr>
              <w:widowControl/>
              <w:snapToGrid w:val="0"/>
              <w:spacing w:line="240" w:lineRule="auto"/>
              <w:jc w:val="both"/>
              <w:textAlignment w:val="center"/>
              <mc:AlternateContent>
                <mc:Choice Requires="wpsCustomData">
                  <wpsCustomData:diagonalParaType/>
                </mc:Choice>
              </mc:AlternateContent>
              <w:rPr>
                <w:rFonts w:hint="eastAsia" w:ascii="宋体" w:hAnsi="宋体" w:eastAsia="宋体" w:cs="宋体"/>
                <w:color w:val="000000"/>
                <w:kern w:val="0"/>
                <w:sz w:val="18"/>
                <w:szCs w:val="18"/>
                <w:lang w:bidi="ar"/>
              </w:rPr>
            </w:pPr>
          </w:p>
          <w:p w14:paraId="052E5EA7">
            <w:pPr>
              <w:widowControl/>
              <w:spacing w:line="260" w:lineRule="exact"/>
              <w:jc w:val="both"/>
              <w:textAlignment w:val="center"/>
              <w:rPr>
                <w:rFonts w:hint="eastAsia" w:ascii="宋体" w:hAnsi="宋体" w:eastAsia="宋体" w:cs="宋体"/>
                <w:color w:val="000000"/>
                <w:kern w:val="0"/>
                <w:sz w:val="18"/>
                <w:szCs w:val="18"/>
                <w:lang w:bidi="ar"/>
              </w:rPr>
            </w:pPr>
          </w:p>
        </w:tc>
        <w:tc>
          <w:tcPr>
            <w:tcW w:w="958" w:type="dxa"/>
            <w:vMerge w:val="restart"/>
            <w:tcBorders>
              <w:top w:val="single" w:color="auto" w:sz="4" w:space="0"/>
              <w:left w:val="single" w:color="auto" w:sz="4" w:space="0"/>
              <w:right w:val="single" w:color="auto" w:sz="4" w:space="0"/>
            </w:tcBorders>
            <w:noWrap w:val="0"/>
            <w:tcMar>
              <w:top w:w="0" w:type="dxa"/>
              <w:left w:w="0" w:type="dxa"/>
              <w:bottom w:w="0" w:type="dxa"/>
              <w:right w:w="0" w:type="dxa"/>
            </w:tcMar>
            <w:vAlign w:val="center"/>
          </w:tcPr>
          <w:p w14:paraId="3C1E92B9">
            <w:pPr>
              <w:widowControl/>
              <w:spacing w:line="260" w:lineRule="exact"/>
              <w:jc w:val="center"/>
              <w:textAlignment w:val="center"/>
              <w:rPr>
                <w:rFonts w:hint="eastAsia" w:ascii="宋体" w:hAnsi="宋体" w:eastAsia="宋体" w:cs="宋体"/>
                <w:color w:val="000000"/>
                <w:kern w:val="0"/>
                <w:sz w:val="18"/>
                <w:szCs w:val="18"/>
                <w:lang w:bidi="ar"/>
              </w:rPr>
            </w:pPr>
          </w:p>
        </w:tc>
      </w:tr>
      <w:tr w14:paraId="14A48E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510" w:type="dxa"/>
            <w:vMerge w:val="continue"/>
            <w:tcBorders>
              <w:left w:val="single" w:color="auto" w:sz="4" w:space="0"/>
              <w:right w:val="single" w:color="auto" w:sz="4" w:space="0"/>
            </w:tcBorders>
            <w:noWrap w:val="0"/>
            <w:tcMar>
              <w:top w:w="0" w:type="dxa"/>
              <w:left w:w="0" w:type="dxa"/>
              <w:bottom w:w="0" w:type="dxa"/>
              <w:right w:w="0" w:type="dxa"/>
            </w:tcMar>
            <w:vAlign w:val="center"/>
          </w:tcPr>
          <w:p w14:paraId="20FE1F90">
            <w:pPr>
              <w:spacing w:line="260" w:lineRule="exact"/>
              <w:jc w:val="center"/>
              <w:rPr>
                <w:rFonts w:hint="eastAsia" w:ascii="宋体" w:hAnsi="宋体" w:eastAsia="宋体" w:cs="宋体"/>
                <w:sz w:val="18"/>
                <w:szCs w:val="18"/>
              </w:rPr>
            </w:pPr>
          </w:p>
        </w:tc>
        <w:tc>
          <w:tcPr>
            <w:tcW w:w="1260" w:type="dxa"/>
            <w:vMerge w:val="continue"/>
            <w:tcBorders>
              <w:left w:val="single" w:color="auto" w:sz="4" w:space="0"/>
              <w:right w:val="single" w:color="auto" w:sz="4" w:space="0"/>
            </w:tcBorders>
            <w:noWrap w:val="0"/>
            <w:tcMar>
              <w:top w:w="0" w:type="dxa"/>
              <w:left w:w="0" w:type="dxa"/>
              <w:bottom w:w="0" w:type="dxa"/>
              <w:right w:w="0" w:type="dxa"/>
            </w:tcMar>
            <w:vAlign w:val="center"/>
          </w:tcPr>
          <w:p w14:paraId="19A199D0">
            <w:pPr>
              <w:widowControl/>
              <w:spacing w:line="260" w:lineRule="exact"/>
              <w:textAlignment w:val="center"/>
              <w:rPr>
                <w:rFonts w:hint="eastAsia" w:ascii="宋体" w:hAnsi="宋体" w:eastAsia="宋体" w:cs="宋体"/>
                <w:kern w:val="0"/>
                <w:sz w:val="18"/>
                <w:szCs w:val="18"/>
                <w:lang w:bidi="ar"/>
              </w:rPr>
            </w:pPr>
          </w:p>
        </w:tc>
        <w:tc>
          <w:tcPr>
            <w:tcW w:w="3895" w:type="dxa"/>
            <w:vMerge w:val="continue"/>
            <w:tcBorders>
              <w:left w:val="single" w:color="auto" w:sz="4" w:space="0"/>
              <w:right w:val="single" w:color="auto" w:sz="4" w:space="0"/>
            </w:tcBorders>
            <w:noWrap w:val="0"/>
            <w:tcMar>
              <w:top w:w="0" w:type="dxa"/>
              <w:left w:w="0" w:type="dxa"/>
              <w:bottom w:w="0" w:type="dxa"/>
              <w:right w:w="0" w:type="dxa"/>
            </w:tcMar>
            <w:vAlign w:val="center"/>
          </w:tcPr>
          <w:p w14:paraId="6D731B70">
            <w:pPr>
              <w:widowControl/>
              <w:spacing w:line="260" w:lineRule="exact"/>
              <w:ind w:firstLine="360" w:firstLineChars="200"/>
              <w:textAlignment w:val="center"/>
              <w:rPr>
                <w:rFonts w:hint="eastAsia" w:ascii="宋体" w:hAnsi="宋体" w:eastAsia="宋体" w:cs="宋体"/>
                <w:kern w:val="0"/>
                <w:sz w:val="18"/>
                <w:szCs w:val="18"/>
                <w:lang w:bidi="ar"/>
              </w:rPr>
            </w:pPr>
          </w:p>
        </w:tc>
        <w:tc>
          <w:tcPr>
            <w:tcW w:w="2342" w:type="dxa"/>
            <w:vMerge w:val="continue"/>
            <w:tcBorders>
              <w:left w:val="single" w:color="auto" w:sz="4" w:space="0"/>
              <w:right w:val="single" w:color="auto" w:sz="4" w:space="0"/>
            </w:tcBorders>
            <w:noWrap w:val="0"/>
            <w:tcMar>
              <w:top w:w="0" w:type="dxa"/>
              <w:left w:w="0" w:type="dxa"/>
              <w:bottom w:w="0" w:type="dxa"/>
              <w:right w:w="0" w:type="dxa"/>
            </w:tcMar>
            <w:vAlign w:val="center"/>
          </w:tcPr>
          <w:p w14:paraId="361E5750">
            <w:pPr>
              <w:spacing w:line="260" w:lineRule="exact"/>
              <w:jc w:val="both"/>
              <w:rPr>
                <w:rFonts w:hint="eastAsia" w:ascii="宋体" w:hAnsi="宋体" w:eastAsia="宋体" w:cs="宋体"/>
                <w:sz w:val="18"/>
                <w:szCs w:val="18"/>
              </w:rPr>
            </w:pPr>
          </w:p>
        </w:tc>
        <w:tc>
          <w:tcPr>
            <w:tcW w:w="6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A417FAB">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较轻</w:t>
            </w:r>
          </w:p>
        </w:tc>
        <w:tc>
          <w:tcPr>
            <w:tcW w:w="306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85D9646">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逾期不补办手续的，占地面积</w:t>
            </w:r>
            <w:r>
              <w:rPr>
                <w:rFonts w:hint="eastAsia" w:ascii="宋体" w:hAnsi="宋体" w:eastAsia="宋体" w:cs="宋体"/>
                <w:color w:val="000000"/>
                <w:kern w:val="0"/>
                <w:sz w:val="18"/>
                <w:szCs w:val="18"/>
                <w:lang w:val="en-US" w:eastAsia="zh-CN" w:bidi="ar"/>
              </w:rPr>
              <w:t>5000</w:t>
            </w:r>
            <w:r>
              <w:rPr>
                <w:rFonts w:hint="eastAsia" w:ascii="宋体" w:hAnsi="宋体" w:eastAsia="宋体" w:cs="宋体"/>
                <w:color w:val="000000"/>
                <w:kern w:val="0"/>
                <w:sz w:val="18"/>
                <w:szCs w:val="18"/>
                <w:lang w:bidi="ar"/>
              </w:rPr>
              <w:t>平方米以上</w:t>
            </w:r>
            <w:r>
              <w:rPr>
                <w:rFonts w:hint="eastAsia" w:ascii="宋体" w:hAnsi="宋体" w:eastAsia="宋体" w:cs="宋体"/>
                <w:color w:val="000000"/>
                <w:kern w:val="0"/>
                <w:sz w:val="18"/>
                <w:szCs w:val="18"/>
                <w:lang w:val="en-US" w:eastAsia="zh-CN" w:bidi="ar"/>
              </w:rPr>
              <w:t>2</w:t>
            </w:r>
            <w:r>
              <w:rPr>
                <w:rFonts w:hint="eastAsia" w:ascii="宋体" w:hAnsi="宋体" w:eastAsia="宋体" w:cs="宋体"/>
                <w:color w:val="000000"/>
                <w:kern w:val="0"/>
                <w:sz w:val="18"/>
                <w:szCs w:val="18"/>
                <w:lang w:bidi="ar"/>
              </w:rPr>
              <w:t>公顷以下的</w:t>
            </w:r>
          </w:p>
        </w:tc>
        <w:tc>
          <w:tcPr>
            <w:tcW w:w="236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92B8B69">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处</w:t>
            </w:r>
            <w:r>
              <w:rPr>
                <w:rFonts w:hint="eastAsia" w:ascii="宋体" w:hAnsi="宋体" w:eastAsia="宋体" w:cs="宋体"/>
                <w:color w:val="000000"/>
                <w:kern w:val="0"/>
                <w:sz w:val="18"/>
                <w:szCs w:val="18"/>
                <w:lang w:val="en-US" w:eastAsia="zh-CN" w:bidi="ar"/>
              </w:rPr>
              <w:t>5</w:t>
            </w:r>
            <w:r>
              <w:rPr>
                <w:rFonts w:hint="eastAsia" w:ascii="宋体" w:hAnsi="宋体" w:eastAsia="宋体" w:cs="宋体"/>
                <w:color w:val="000000"/>
                <w:kern w:val="0"/>
                <w:sz w:val="18"/>
                <w:szCs w:val="18"/>
                <w:lang w:bidi="ar"/>
              </w:rPr>
              <w:t>万元以上</w:t>
            </w:r>
            <w:r>
              <w:rPr>
                <w:rFonts w:hint="eastAsia" w:ascii="宋体" w:hAnsi="宋体" w:eastAsia="宋体" w:cs="宋体"/>
                <w:color w:val="000000"/>
                <w:kern w:val="0"/>
                <w:sz w:val="18"/>
                <w:szCs w:val="18"/>
                <w:lang w:val="en-US" w:eastAsia="zh-CN" w:bidi="ar"/>
              </w:rPr>
              <w:t>15</w:t>
            </w:r>
            <w:r>
              <w:rPr>
                <w:rFonts w:hint="eastAsia" w:ascii="宋体" w:hAnsi="宋体" w:eastAsia="宋体" w:cs="宋体"/>
                <w:color w:val="000000"/>
                <w:kern w:val="0"/>
                <w:sz w:val="18"/>
                <w:szCs w:val="18"/>
                <w:lang w:bidi="ar"/>
              </w:rPr>
              <w:t>万元以下的罚款</w:t>
            </w:r>
          </w:p>
        </w:tc>
        <w:tc>
          <w:tcPr>
            <w:tcW w:w="958" w:type="dxa"/>
            <w:vMerge w:val="continue"/>
            <w:tcBorders>
              <w:left w:val="single" w:color="auto" w:sz="4" w:space="0"/>
              <w:right w:val="single" w:color="auto" w:sz="4" w:space="0"/>
            </w:tcBorders>
            <w:noWrap w:val="0"/>
            <w:tcMar>
              <w:top w:w="0" w:type="dxa"/>
              <w:left w:w="0" w:type="dxa"/>
              <w:bottom w:w="0" w:type="dxa"/>
              <w:right w:w="0" w:type="dxa"/>
            </w:tcMar>
            <w:vAlign w:val="center"/>
          </w:tcPr>
          <w:p w14:paraId="45F34E9B">
            <w:pPr>
              <w:widowControl/>
              <w:spacing w:line="260" w:lineRule="exact"/>
              <w:jc w:val="center"/>
              <w:textAlignment w:val="center"/>
              <w:rPr>
                <w:rFonts w:hint="eastAsia" w:ascii="宋体" w:hAnsi="宋体" w:eastAsia="宋体" w:cs="宋体"/>
                <w:color w:val="000000"/>
                <w:kern w:val="0"/>
                <w:sz w:val="18"/>
                <w:szCs w:val="18"/>
                <w:lang w:bidi="ar"/>
              </w:rPr>
            </w:pPr>
          </w:p>
        </w:tc>
      </w:tr>
      <w:tr w14:paraId="22892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510" w:type="dxa"/>
            <w:vMerge w:val="continue"/>
            <w:tcBorders>
              <w:left w:val="single" w:color="auto" w:sz="4" w:space="0"/>
              <w:right w:val="single" w:color="auto" w:sz="4" w:space="0"/>
            </w:tcBorders>
            <w:noWrap w:val="0"/>
            <w:tcMar>
              <w:top w:w="0" w:type="dxa"/>
              <w:left w:w="0" w:type="dxa"/>
              <w:bottom w:w="0" w:type="dxa"/>
              <w:right w:w="0" w:type="dxa"/>
            </w:tcMar>
            <w:vAlign w:val="center"/>
          </w:tcPr>
          <w:p w14:paraId="246F4604">
            <w:pPr>
              <w:spacing w:line="260" w:lineRule="exact"/>
              <w:jc w:val="center"/>
              <w:rPr>
                <w:rFonts w:hint="eastAsia" w:ascii="宋体" w:hAnsi="宋体" w:eastAsia="宋体" w:cs="宋体"/>
                <w:sz w:val="18"/>
                <w:szCs w:val="18"/>
              </w:rPr>
            </w:pPr>
          </w:p>
        </w:tc>
        <w:tc>
          <w:tcPr>
            <w:tcW w:w="1260" w:type="dxa"/>
            <w:vMerge w:val="continue"/>
            <w:tcBorders>
              <w:left w:val="single" w:color="auto" w:sz="4" w:space="0"/>
              <w:right w:val="single" w:color="auto" w:sz="4" w:space="0"/>
            </w:tcBorders>
            <w:noWrap w:val="0"/>
            <w:tcMar>
              <w:top w:w="0" w:type="dxa"/>
              <w:left w:w="0" w:type="dxa"/>
              <w:bottom w:w="0" w:type="dxa"/>
              <w:right w:w="0" w:type="dxa"/>
            </w:tcMar>
            <w:vAlign w:val="center"/>
          </w:tcPr>
          <w:p w14:paraId="3C976CAA">
            <w:pPr>
              <w:widowControl/>
              <w:spacing w:line="260" w:lineRule="exact"/>
              <w:textAlignment w:val="center"/>
              <w:rPr>
                <w:rFonts w:hint="eastAsia" w:ascii="宋体" w:hAnsi="宋体" w:eastAsia="宋体" w:cs="宋体"/>
                <w:kern w:val="0"/>
                <w:sz w:val="18"/>
                <w:szCs w:val="18"/>
                <w:lang w:bidi="ar"/>
              </w:rPr>
            </w:pPr>
          </w:p>
        </w:tc>
        <w:tc>
          <w:tcPr>
            <w:tcW w:w="3895" w:type="dxa"/>
            <w:vMerge w:val="continue"/>
            <w:tcBorders>
              <w:left w:val="single" w:color="auto" w:sz="4" w:space="0"/>
              <w:right w:val="single" w:color="auto" w:sz="4" w:space="0"/>
            </w:tcBorders>
            <w:noWrap w:val="0"/>
            <w:tcMar>
              <w:top w:w="0" w:type="dxa"/>
              <w:left w:w="0" w:type="dxa"/>
              <w:bottom w:w="0" w:type="dxa"/>
              <w:right w:w="0" w:type="dxa"/>
            </w:tcMar>
            <w:vAlign w:val="center"/>
          </w:tcPr>
          <w:p w14:paraId="7054F94F">
            <w:pPr>
              <w:widowControl/>
              <w:spacing w:line="260" w:lineRule="exact"/>
              <w:ind w:firstLine="360" w:firstLineChars="200"/>
              <w:textAlignment w:val="center"/>
              <w:rPr>
                <w:rFonts w:hint="eastAsia" w:ascii="宋体" w:hAnsi="宋体" w:eastAsia="宋体" w:cs="宋体"/>
                <w:kern w:val="0"/>
                <w:sz w:val="18"/>
                <w:szCs w:val="18"/>
                <w:lang w:bidi="ar"/>
              </w:rPr>
            </w:pPr>
          </w:p>
        </w:tc>
        <w:tc>
          <w:tcPr>
            <w:tcW w:w="2342" w:type="dxa"/>
            <w:vMerge w:val="continue"/>
            <w:tcBorders>
              <w:left w:val="single" w:color="auto" w:sz="4" w:space="0"/>
              <w:right w:val="single" w:color="auto" w:sz="4" w:space="0"/>
            </w:tcBorders>
            <w:noWrap w:val="0"/>
            <w:tcMar>
              <w:top w:w="0" w:type="dxa"/>
              <w:left w:w="0" w:type="dxa"/>
              <w:bottom w:w="0" w:type="dxa"/>
              <w:right w:w="0" w:type="dxa"/>
            </w:tcMar>
            <w:vAlign w:val="center"/>
          </w:tcPr>
          <w:p w14:paraId="55F184C8">
            <w:pPr>
              <w:spacing w:line="260" w:lineRule="exact"/>
              <w:jc w:val="both"/>
              <w:rPr>
                <w:rFonts w:hint="eastAsia" w:ascii="宋体" w:hAnsi="宋体" w:eastAsia="宋体" w:cs="宋体"/>
                <w:sz w:val="18"/>
                <w:szCs w:val="18"/>
              </w:rPr>
            </w:pPr>
          </w:p>
        </w:tc>
        <w:tc>
          <w:tcPr>
            <w:tcW w:w="6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479C42F">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一般</w:t>
            </w:r>
          </w:p>
        </w:tc>
        <w:tc>
          <w:tcPr>
            <w:tcW w:w="306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76CF433">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逾期不补办手续的，占地面积</w:t>
            </w:r>
            <w:r>
              <w:rPr>
                <w:rFonts w:hint="eastAsia" w:ascii="宋体" w:hAnsi="宋体" w:eastAsia="宋体" w:cs="宋体"/>
                <w:color w:val="000000"/>
                <w:kern w:val="0"/>
                <w:sz w:val="18"/>
                <w:szCs w:val="18"/>
                <w:lang w:val="en-US" w:eastAsia="zh-CN" w:bidi="ar"/>
              </w:rPr>
              <w:t>2</w:t>
            </w:r>
            <w:r>
              <w:rPr>
                <w:rFonts w:hint="eastAsia" w:ascii="宋体" w:hAnsi="宋体" w:eastAsia="宋体" w:cs="宋体"/>
                <w:color w:val="000000"/>
                <w:kern w:val="0"/>
                <w:sz w:val="18"/>
                <w:szCs w:val="18"/>
                <w:lang w:bidi="ar"/>
              </w:rPr>
              <w:t>公顷以上</w:t>
            </w:r>
            <w:r>
              <w:rPr>
                <w:rFonts w:hint="eastAsia" w:ascii="宋体" w:hAnsi="宋体" w:eastAsia="宋体" w:cs="宋体"/>
                <w:color w:val="000000"/>
                <w:kern w:val="0"/>
                <w:sz w:val="18"/>
                <w:szCs w:val="18"/>
                <w:lang w:val="en-US" w:eastAsia="zh-CN" w:bidi="ar"/>
              </w:rPr>
              <w:t>5</w:t>
            </w:r>
            <w:r>
              <w:rPr>
                <w:rFonts w:hint="eastAsia" w:ascii="宋体" w:hAnsi="宋体" w:eastAsia="宋体" w:cs="宋体"/>
                <w:color w:val="000000"/>
                <w:kern w:val="0"/>
                <w:sz w:val="18"/>
                <w:szCs w:val="18"/>
                <w:lang w:bidi="ar"/>
              </w:rPr>
              <w:t>公顷以下的</w:t>
            </w:r>
          </w:p>
        </w:tc>
        <w:tc>
          <w:tcPr>
            <w:tcW w:w="236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D268C40">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处</w:t>
            </w:r>
            <w:r>
              <w:rPr>
                <w:rFonts w:hint="eastAsia" w:ascii="宋体" w:hAnsi="宋体" w:eastAsia="宋体" w:cs="宋体"/>
                <w:color w:val="000000"/>
                <w:kern w:val="0"/>
                <w:sz w:val="18"/>
                <w:szCs w:val="18"/>
                <w:lang w:val="en-US" w:eastAsia="zh-CN" w:bidi="ar"/>
              </w:rPr>
              <w:t>15</w:t>
            </w:r>
            <w:r>
              <w:rPr>
                <w:rFonts w:hint="eastAsia" w:ascii="宋体" w:hAnsi="宋体" w:eastAsia="宋体" w:cs="宋体"/>
                <w:color w:val="000000"/>
                <w:kern w:val="0"/>
                <w:sz w:val="18"/>
                <w:szCs w:val="18"/>
                <w:lang w:bidi="ar"/>
              </w:rPr>
              <w:t>万元以上</w:t>
            </w:r>
            <w:r>
              <w:rPr>
                <w:rFonts w:hint="eastAsia" w:ascii="宋体" w:hAnsi="宋体" w:eastAsia="宋体" w:cs="宋体"/>
                <w:color w:val="000000"/>
                <w:kern w:val="0"/>
                <w:sz w:val="18"/>
                <w:szCs w:val="18"/>
                <w:lang w:val="en-US" w:eastAsia="zh-CN" w:bidi="ar"/>
              </w:rPr>
              <w:t>25</w:t>
            </w:r>
            <w:r>
              <w:rPr>
                <w:rFonts w:hint="eastAsia" w:ascii="宋体" w:hAnsi="宋体" w:eastAsia="宋体" w:cs="宋体"/>
                <w:color w:val="000000"/>
                <w:kern w:val="0"/>
                <w:sz w:val="18"/>
                <w:szCs w:val="18"/>
                <w:lang w:bidi="ar"/>
              </w:rPr>
              <w:t>万元以下的罚款</w:t>
            </w:r>
          </w:p>
        </w:tc>
        <w:tc>
          <w:tcPr>
            <w:tcW w:w="958" w:type="dxa"/>
            <w:vMerge w:val="continue"/>
            <w:tcBorders>
              <w:left w:val="single" w:color="auto" w:sz="4" w:space="0"/>
              <w:right w:val="single" w:color="auto" w:sz="4" w:space="0"/>
            </w:tcBorders>
            <w:noWrap w:val="0"/>
            <w:tcMar>
              <w:top w:w="0" w:type="dxa"/>
              <w:left w:w="0" w:type="dxa"/>
              <w:bottom w:w="0" w:type="dxa"/>
              <w:right w:w="0" w:type="dxa"/>
            </w:tcMar>
            <w:vAlign w:val="center"/>
          </w:tcPr>
          <w:p w14:paraId="7E3638DB">
            <w:pPr>
              <w:widowControl/>
              <w:spacing w:line="260" w:lineRule="exact"/>
              <w:jc w:val="center"/>
              <w:textAlignment w:val="center"/>
              <w:rPr>
                <w:rFonts w:hint="eastAsia" w:ascii="宋体" w:hAnsi="宋体" w:eastAsia="宋体" w:cs="宋体"/>
                <w:color w:val="000000"/>
                <w:kern w:val="0"/>
                <w:sz w:val="18"/>
                <w:szCs w:val="18"/>
                <w:lang w:bidi="ar"/>
              </w:rPr>
            </w:pPr>
          </w:p>
        </w:tc>
      </w:tr>
      <w:tr w14:paraId="611CE5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510" w:type="dxa"/>
            <w:vMerge w:val="continue"/>
            <w:tcBorders>
              <w:left w:val="single" w:color="auto" w:sz="4" w:space="0"/>
              <w:right w:val="single" w:color="auto" w:sz="4" w:space="0"/>
            </w:tcBorders>
            <w:noWrap w:val="0"/>
            <w:tcMar>
              <w:top w:w="0" w:type="dxa"/>
              <w:left w:w="0" w:type="dxa"/>
              <w:bottom w:w="0" w:type="dxa"/>
              <w:right w:w="0" w:type="dxa"/>
            </w:tcMar>
            <w:vAlign w:val="center"/>
          </w:tcPr>
          <w:p w14:paraId="14F9B1C9">
            <w:pPr>
              <w:spacing w:line="260" w:lineRule="exact"/>
              <w:jc w:val="center"/>
              <w:rPr>
                <w:rFonts w:hint="eastAsia" w:ascii="宋体" w:hAnsi="宋体" w:eastAsia="宋体" w:cs="宋体"/>
                <w:sz w:val="18"/>
                <w:szCs w:val="18"/>
              </w:rPr>
            </w:pPr>
          </w:p>
        </w:tc>
        <w:tc>
          <w:tcPr>
            <w:tcW w:w="1260" w:type="dxa"/>
            <w:vMerge w:val="continue"/>
            <w:tcBorders>
              <w:left w:val="single" w:color="auto" w:sz="4" w:space="0"/>
              <w:right w:val="single" w:color="auto" w:sz="4" w:space="0"/>
            </w:tcBorders>
            <w:noWrap w:val="0"/>
            <w:tcMar>
              <w:top w:w="0" w:type="dxa"/>
              <w:left w:w="0" w:type="dxa"/>
              <w:bottom w:w="0" w:type="dxa"/>
              <w:right w:w="0" w:type="dxa"/>
            </w:tcMar>
            <w:vAlign w:val="center"/>
          </w:tcPr>
          <w:p w14:paraId="0D001643">
            <w:pPr>
              <w:widowControl/>
              <w:spacing w:line="260" w:lineRule="exact"/>
              <w:textAlignment w:val="center"/>
              <w:rPr>
                <w:rFonts w:hint="eastAsia" w:ascii="宋体" w:hAnsi="宋体" w:eastAsia="宋体" w:cs="宋体"/>
                <w:kern w:val="0"/>
                <w:sz w:val="18"/>
                <w:szCs w:val="18"/>
                <w:lang w:bidi="ar"/>
              </w:rPr>
            </w:pPr>
          </w:p>
        </w:tc>
        <w:tc>
          <w:tcPr>
            <w:tcW w:w="3895" w:type="dxa"/>
            <w:vMerge w:val="continue"/>
            <w:tcBorders>
              <w:left w:val="single" w:color="auto" w:sz="4" w:space="0"/>
              <w:right w:val="single" w:color="auto" w:sz="4" w:space="0"/>
            </w:tcBorders>
            <w:noWrap w:val="0"/>
            <w:tcMar>
              <w:top w:w="0" w:type="dxa"/>
              <w:left w:w="0" w:type="dxa"/>
              <w:bottom w:w="0" w:type="dxa"/>
              <w:right w:w="0" w:type="dxa"/>
            </w:tcMar>
            <w:vAlign w:val="center"/>
          </w:tcPr>
          <w:p w14:paraId="6A262890">
            <w:pPr>
              <w:widowControl/>
              <w:spacing w:line="260" w:lineRule="exact"/>
              <w:ind w:firstLine="360" w:firstLineChars="200"/>
              <w:textAlignment w:val="center"/>
              <w:rPr>
                <w:rFonts w:hint="eastAsia" w:ascii="宋体" w:hAnsi="宋体" w:eastAsia="宋体" w:cs="宋体"/>
                <w:kern w:val="0"/>
                <w:sz w:val="18"/>
                <w:szCs w:val="18"/>
                <w:lang w:bidi="ar"/>
              </w:rPr>
            </w:pPr>
          </w:p>
        </w:tc>
        <w:tc>
          <w:tcPr>
            <w:tcW w:w="2342" w:type="dxa"/>
            <w:vMerge w:val="continue"/>
            <w:tcBorders>
              <w:left w:val="single" w:color="auto" w:sz="4" w:space="0"/>
              <w:right w:val="single" w:color="auto" w:sz="4" w:space="0"/>
            </w:tcBorders>
            <w:noWrap w:val="0"/>
            <w:tcMar>
              <w:top w:w="0" w:type="dxa"/>
              <w:left w:w="0" w:type="dxa"/>
              <w:bottom w:w="0" w:type="dxa"/>
              <w:right w:w="0" w:type="dxa"/>
            </w:tcMar>
            <w:vAlign w:val="center"/>
          </w:tcPr>
          <w:p w14:paraId="15405D6F">
            <w:pPr>
              <w:spacing w:line="260" w:lineRule="exact"/>
              <w:jc w:val="both"/>
              <w:rPr>
                <w:rFonts w:hint="eastAsia" w:ascii="宋体" w:hAnsi="宋体" w:eastAsia="宋体" w:cs="宋体"/>
                <w:sz w:val="18"/>
                <w:szCs w:val="18"/>
              </w:rPr>
            </w:pPr>
          </w:p>
        </w:tc>
        <w:tc>
          <w:tcPr>
            <w:tcW w:w="6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3FAEAD5">
            <w:pPr>
              <w:spacing w:line="260" w:lineRule="exact"/>
              <w:jc w:val="center"/>
              <w:rPr>
                <w:rFonts w:hint="eastAsia" w:ascii="宋体" w:hAnsi="宋体" w:eastAsia="宋体" w:cs="宋体"/>
                <w:sz w:val="18"/>
                <w:szCs w:val="18"/>
                <w:lang w:eastAsia="zh-CN"/>
              </w:rPr>
            </w:pPr>
            <w:r>
              <w:rPr>
                <w:rFonts w:hint="eastAsia" w:ascii="宋体" w:hAnsi="宋体" w:eastAsia="宋体" w:cs="宋体"/>
                <w:sz w:val="18"/>
                <w:szCs w:val="18"/>
                <w:lang w:eastAsia="zh-CN"/>
              </w:rPr>
              <w:t>较重</w:t>
            </w:r>
          </w:p>
        </w:tc>
        <w:tc>
          <w:tcPr>
            <w:tcW w:w="306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41377F6">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逾期不补办手续的，占地面积</w:t>
            </w:r>
            <w:r>
              <w:rPr>
                <w:rFonts w:hint="eastAsia" w:ascii="宋体" w:hAnsi="宋体" w:eastAsia="宋体" w:cs="宋体"/>
                <w:color w:val="000000"/>
                <w:kern w:val="0"/>
                <w:sz w:val="18"/>
                <w:szCs w:val="18"/>
                <w:lang w:val="en-US" w:eastAsia="zh-CN" w:bidi="ar"/>
              </w:rPr>
              <w:t>5</w:t>
            </w:r>
            <w:r>
              <w:rPr>
                <w:rFonts w:hint="eastAsia" w:ascii="宋体" w:hAnsi="宋体" w:eastAsia="宋体" w:cs="宋体"/>
                <w:color w:val="000000"/>
                <w:kern w:val="0"/>
                <w:sz w:val="18"/>
                <w:szCs w:val="18"/>
                <w:lang w:bidi="ar"/>
              </w:rPr>
              <w:t>公顷以上</w:t>
            </w:r>
            <w:r>
              <w:rPr>
                <w:rFonts w:hint="eastAsia" w:ascii="宋体" w:hAnsi="宋体" w:eastAsia="宋体" w:cs="宋体"/>
                <w:color w:val="000000"/>
                <w:kern w:val="0"/>
                <w:sz w:val="18"/>
                <w:szCs w:val="18"/>
                <w:lang w:val="en-US" w:eastAsia="zh-CN" w:bidi="ar"/>
              </w:rPr>
              <w:t>10</w:t>
            </w:r>
            <w:r>
              <w:rPr>
                <w:rFonts w:hint="eastAsia" w:ascii="宋体" w:hAnsi="宋体" w:eastAsia="宋体" w:cs="宋体"/>
                <w:color w:val="000000"/>
                <w:kern w:val="0"/>
                <w:sz w:val="18"/>
                <w:szCs w:val="18"/>
                <w:lang w:bidi="ar"/>
              </w:rPr>
              <w:t>公顷以下的</w:t>
            </w:r>
          </w:p>
        </w:tc>
        <w:tc>
          <w:tcPr>
            <w:tcW w:w="236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14DA421">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处</w:t>
            </w:r>
            <w:r>
              <w:rPr>
                <w:rFonts w:hint="eastAsia" w:ascii="宋体" w:hAnsi="宋体" w:eastAsia="宋体" w:cs="宋体"/>
                <w:color w:val="000000"/>
                <w:kern w:val="0"/>
                <w:sz w:val="18"/>
                <w:szCs w:val="18"/>
                <w:lang w:val="en-US" w:eastAsia="zh-CN" w:bidi="ar"/>
              </w:rPr>
              <w:t>25</w:t>
            </w:r>
            <w:r>
              <w:rPr>
                <w:rFonts w:hint="eastAsia" w:ascii="宋体" w:hAnsi="宋体" w:eastAsia="宋体" w:cs="宋体"/>
                <w:color w:val="000000"/>
                <w:kern w:val="0"/>
                <w:sz w:val="18"/>
                <w:szCs w:val="18"/>
                <w:lang w:bidi="ar"/>
              </w:rPr>
              <w:t>万元以上</w:t>
            </w:r>
            <w:r>
              <w:rPr>
                <w:rFonts w:hint="eastAsia" w:ascii="宋体" w:hAnsi="宋体" w:eastAsia="宋体" w:cs="宋体"/>
                <w:color w:val="000000"/>
                <w:kern w:val="0"/>
                <w:sz w:val="18"/>
                <w:szCs w:val="18"/>
                <w:lang w:val="en-US" w:eastAsia="zh-CN" w:bidi="ar"/>
              </w:rPr>
              <w:t>35</w:t>
            </w:r>
            <w:r>
              <w:rPr>
                <w:rFonts w:hint="eastAsia" w:ascii="宋体" w:hAnsi="宋体" w:eastAsia="宋体" w:cs="宋体"/>
                <w:color w:val="000000"/>
                <w:kern w:val="0"/>
                <w:sz w:val="18"/>
                <w:szCs w:val="18"/>
                <w:lang w:bidi="ar"/>
              </w:rPr>
              <w:t>万元以下的罚款</w:t>
            </w:r>
          </w:p>
        </w:tc>
        <w:tc>
          <w:tcPr>
            <w:tcW w:w="958" w:type="dxa"/>
            <w:vMerge w:val="continue"/>
            <w:tcBorders>
              <w:left w:val="single" w:color="auto" w:sz="4" w:space="0"/>
              <w:right w:val="single" w:color="auto" w:sz="4" w:space="0"/>
            </w:tcBorders>
            <w:noWrap w:val="0"/>
            <w:tcMar>
              <w:top w:w="0" w:type="dxa"/>
              <w:left w:w="0" w:type="dxa"/>
              <w:bottom w:w="0" w:type="dxa"/>
              <w:right w:w="0" w:type="dxa"/>
            </w:tcMar>
            <w:vAlign w:val="center"/>
          </w:tcPr>
          <w:p w14:paraId="39D28B9B">
            <w:pPr>
              <w:widowControl/>
              <w:spacing w:line="260" w:lineRule="exact"/>
              <w:jc w:val="center"/>
              <w:textAlignment w:val="center"/>
              <w:rPr>
                <w:rFonts w:hint="eastAsia" w:ascii="宋体" w:hAnsi="宋体" w:eastAsia="宋体" w:cs="宋体"/>
                <w:color w:val="000000"/>
                <w:kern w:val="0"/>
                <w:sz w:val="18"/>
                <w:szCs w:val="18"/>
                <w:lang w:bidi="ar"/>
              </w:rPr>
            </w:pPr>
          </w:p>
        </w:tc>
      </w:tr>
      <w:tr w14:paraId="09AC7A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510" w:type="dxa"/>
            <w:vMerge w:val="continue"/>
            <w:tcBorders>
              <w:left w:val="single" w:color="auto" w:sz="4" w:space="0"/>
              <w:right w:val="single" w:color="auto" w:sz="4" w:space="0"/>
            </w:tcBorders>
            <w:noWrap w:val="0"/>
            <w:tcMar>
              <w:top w:w="0" w:type="dxa"/>
              <w:left w:w="0" w:type="dxa"/>
              <w:bottom w:w="0" w:type="dxa"/>
              <w:right w:w="0" w:type="dxa"/>
            </w:tcMar>
            <w:vAlign w:val="center"/>
          </w:tcPr>
          <w:p w14:paraId="3B8BC968">
            <w:pPr>
              <w:spacing w:line="260" w:lineRule="exact"/>
              <w:jc w:val="center"/>
              <w:rPr>
                <w:rFonts w:hint="eastAsia" w:ascii="宋体" w:hAnsi="宋体" w:eastAsia="宋体" w:cs="宋体"/>
                <w:sz w:val="18"/>
                <w:szCs w:val="18"/>
              </w:rPr>
            </w:pPr>
          </w:p>
        </w:tc>
        <w:tc>
          <w:tcPr>
            <w:tcW w:w="1260" w:type="dxa"/>
            <w:vMerge w:val="continue"/>
            <w:tcBorders>
              <w:left w:val="single" w:color="auto" w:sz="4" w:space="0"/>
              <w:right w:val="single" w:color="auto" w:sz="4" w:space="0"/>
            </w:tcBorders>
            <w:noWrap w:val="0"/>
            <w:tcMar>
              <w:top w:w="0" w:type="dxa"/>
              <w:left w:w="0" w:type="dxa"/>
              <w:bottom w:w="0" w:type="dxa"/>
              <w:right w:w="0" w:type="dxa"/>
            </w:tcMar>
            <w:vAlign w:val="center"/>
          </w:tcPr>
          <w:p w14:paraId="474A7868">
            <w:pPr>
              <w:widowControl/>
              <w:spacing w:line="260" w:lineRule="exact"/>
              <w:textAlignment w:val="center"/>
              <w:rPr>
                <w:rFonts w:hint="eastAsia" w:ascii="宋体" w:hAnsi="宋体" w:eastAsia="宋体" w:cs="宋体"/>
                <w:kern w:val="0"/>
                <w:sz w:val="18"/>
                <w:szCs w:val="18"/>
                <w:lang w:bidi="ar"/>
              </w:rPr>
            </w:pPr>
          </w:p>
        </w:tc>
        <w:tc>
          <w:tcPr>
            <w:tcW w:w="3895" w:type="dxa"/>
            <w:vMerge w:val="continue"/>
            <w:tcBorders>
              <w:left w:val="single" w:color="auto" w:sz="4" w:space="0"/>
              <w:right w:val="single" w:color="auto" w:sz="4" w:space="0"/>
            </w:tcBorders>
            <w:noWrap w:val="0"/>
            <w:tcMar>
              <w:top w:w="0" w:type="dxa"/>
              <w:left w:w="0" w:type="dxa"/>
              <w:bottom w:w="0" w:type="dxa"/>
              <w:right w:w="0" w:type="dxa"/>
            </w:tcMar>
            <w:vAlign w:val="center"/>
          </w:tcPr>
          <w:p w14:paraId="35D6C306">
            <w:pPr>
              <w:widowControl/>
              <w:spacing w:line="260" w:lineRule="exact"/>
              <w:ind w:firstLine="360" w:firstLineChars="200"/>
              <w:textAlignment w:val="center"/>
              <w:rPr>
                <w:rFonts w:hint="eastAsia" w:ascii="宋体" w:hAnsi="宋体" w:eastAsia="宋体" w:cs="宋体"/>
                <w:kern w:val="0"/>
                <w:sz w:val="18"/>
                <w:szCs w:val="18"/>
                <w:lang w:bidi="ar"/>
              </w:rPr>
            </w:pPr>
          </w:p>
        </w:tc>
        <w:tc>
          <w:tcPr>
            <w:tcW w:w="2342" w:type="dxa"/>
            <w:vMerge w:val="continue"/>
            <w:tcBorders>
              <w:left w:val="single" w:color="auto" w:sz="4" w:space="0"/>
              <w:right w:val="single" w:color="auto" w:sz="4" w:space="0"/>
            </w:tcBorders>
            <w:noWrap w:val="0"/>
            <w:tcMar>
              <w:top w:w="0" w:type="dxa"/>
              <w:left w:w="0" w:type="dxa"/>
              <w:bottom w:w="0" w:type="dxa"/>
              <w:right w:w="0" w:type="dxa"/>
            </w:tcMar>
            <w:vAlign w:val="center"/>
          </w:tcPr>
          <w:p w14:paraId="75A1245F">
            <w:pPr>
              <w:spacing w:line="260" w:lineRule="exact"/>
              <w:jc w:val="both"/>
              <w:rPr>
                <w:rFonts w:hint="eastAsia" w:ascii="宋体" w:hAnsi="宋体" w:eastAsia="宋体" w:cs="宋体"/>
                <w:sz w:val="18"/>
                <w:szCs w:val="18"/>
              </w:rPr>
            </w:pPr>
          </w:p>
        </w:tc>
        <w:tc>
          <w:tcPr>
            <w:tcW w:w="6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754DB07">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严重</w:t>
            </w:r>
          </w:p>
        </w:tc>
        <w:tc>
          <w:tcPr>
            <w:tcW w:w="306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8373577">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逾期不补办手续的，占地面积</w:t>
            </w:r>
            <w:r>
              <w:rPr>
                <w:rFonts w:hint="eastAsia" w:ascii="宋体" w:hAnsi="宋体" w:eastAsia="宋体" w:cs="宋体"/>
                <w:color w:val="000000"/>
                <w:kern w:val="0"/>
                <w:sz w:val="18"/>
                <w:szCs w:val="18"/>
                <w:lang w:val="en-US" w:eastAsia="zh-CN" w:bidi="ar"/>
              </w:rPr>
              <w:t>10</w:t>
            </w:r>
            <w:r>
              <w:rPr>
                <w:rFonts w:hint="eastAsia" w:ascii="宋体" w:hAnsi="宋体" w:eastAsia="宋体" w:cs="宋体"/>
                <w:color w:val="000000"/>
                <w:kern w:val="0"/>
                <w:sz w:val="18"/>
                <w:szCs w:val="18"/>
                <w:lang w:bidi="ar"/>
              </w:rPr>
              <w:t>公顷以上的</w:t>
            </w:r>
          </w:p>
        </w:tc>
        <w:tc>
          <w:tcPr>
            <w:tcW w:w="236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39D3EA2">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处</w:t>
            </w:r>
            <w:r>
              <w:rPr>
                <w:rFonts w:hint="eastAsia" w:ascii="宋体" w:hAnsi="宋体" w:eastAsia="宋体" w:cs="宋体"/>
                <w:color w:val="000000"/>
                <w:kern w:val="0"/>
                <w:sz w:val="18"/>
                <w:szCs w:val="18"/>
                <w:lang w:val="en-US" w:eastAsia="zh-CN" w:bidi="ar"/>
              </w:rPr>
              <w:t>35</w:t>
            </w:r>
            <w:r>
              <w:rPr>
                <w:rFonts w:hint="eastAsia" w:ascii="宋体" w:hAnsi="宋体" w:eastAsia="宋体" w:cs="宋体"/>
                <w:color w:val="000000"/>
                <w:kern w:val="0"/>
                <w:sz w:val="18"/>
                <w:szCs w:val="18"/>
                <w:lang w:bidi="ar"/>
              </w:rPr>
              <w:t>万元以上</w:t>
            </w:r>
            <w:r>
              <w:rPr>
                <w:rFonts w:hint="eastAsia" w:ascii="宋体" w:hAnsi="宋体" w:eastAsia="宋体" w:cs="宋体"/>
                <w:color w:val="000000"/>
                <w:kern w:val="0"/>
                <w:sz w:val="18"/>
                <w:szCs w:val="18"/>
                <w:lang w:val="en-US" w:eastAsia="zh-CN" w:bidi="ar"/>
              </w:rPr>
              <w:t>50万</w:t>
            </w:r>
            <w:r>
              <w:rPr>
                <w:rFonts w:hint="eastAsia" w:ascii="宋体" w:hAnsi="宋体" w:eastAsia="宋体" w:cs="宋体"/>
                <w:color w:val="000000"/>
                <w:kern w:val="0"/>
                <w:sz w:val="18"/>
                <w:szCs w:val="18"/>
                <w:lang w:bidi="ar"/>
              </w:rPr>
              <w:t>以下的罚款</w:t>
            </w:r>
          </w:p>
        </w:tc>
        <w:tc>
          <w:tcPr>
            <w:tcW w:w="958" w:type="dxa"/>
            <w:vMerge w:val="continue"/>
            <w:tcBorders>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C807492">
            <w:pPr>
              <w:widowControl/>
              <w:spacing w:line="260" w:lineRule="exact"/>
              <w:jc w:val="center"/>
              <w:textAlignment w:val="center"/>
              <w:rPr>
                <w:rFonts w:hint="eastAsia" w:ascii="宋体" w:hAnsi="宋体" w:eastAsia="宋体" w:cs="宋体"/>
                <w:color w:val="000000"/>
                <w:kern w:val="0"/>
                <w:sz w:val="18"/>
                <w:szCs w:val="18"/>
                <w:lang w:bidi="ar"/>
              </w:rPr>
            </w:pPr>
          </w:p>
        </w:tc>
      </w:tr>
      <w:tr w14:paraId="3491C5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10" w:type="dxa"/>
            <w:vMerge w:val="restart"/>
            <w:tcBorders>
              <w:left w:val="single" w:color="auto" w:sz="4" w:space="0"/>
              <w:right w:val="single" w:color="auto" w:sz="4" w:space="0"/>
            </w:tcBorders>
            <w:noWrap w:val="0"/>
            <w:tcMar>
              <w:top w:w="0" w:type="dxa"/>
              <w:left w:w="0" w:type="dxa"/>
              <w:bottom w:w="0" w:type="dxa"/>
              <w:right w:w="0" w:type="dxa"/>
            </w:tcMar>
            <w:vAlign w:val="center"/>
          </w:tcPr>
          <w:p w14:paraId="69AC28EA">
            <w:pPr>
              <w:widowControl/>
              <w:spacing w:line="260" w:lineRule="exact"/>
              <w:jc w:val="center"/>
              <w:textAlignment w:val="center"/>
              <w:rPr>
                <w:rFonts w:hint="eastAsia" w:ascii="宋体" w:hAnsi="宋体" w:eastAsia="宋体" w:cs="宋体"/>
                <w:sz w:val="18"/>
                <w:szCs w:val="18"/>
              </w:rPr>
            </w:pPr>
            <w:r>
              <w:rPr>
                <w:rFonts w:hint="eastAsia" w:ascii="宋体" w:hAnsi="宋体" w:eastAsia="宋体" w:cs="宋体"/>
                <w:color w:val="000000"/>
                <w:kern w:val="0"/>
                <w:sz w:val="18"/>
                <w:szCs w:val="18"/>
                <w:lang w:bidi="ar"/>
              </w:rPr>
              <w:t>50</w:t>
            </w:r>
          </w:p>
        </w:tc>
        <w:tc>
          <w:tcPr>
            <w:tcW w:w="1260" w:type="dxa"/>
            <w:vMerge w:val="restart"/>
            <w:tcBorders>
              <w:left w:val="single" w:color="auto" w:sz="4" w:space="0"/>
              <w:right w:val="single" w:color="auto" w:sz="4" w:space="0"/>
            </w:tcBorders>
            <w:noWrap w:val="0"/>
            <w:tcMar>
              <w:top w:w="0" w:type="dxa"/>
              <w:left w:w="0" w:type="dxa"/>
              <w:bottom w:w="0" w:type="dxa"/>
              <w:right w:w="0" w:type="dxa"/>
            </w:tcMar>
            <w:vAlign w:val="center"/>
          </w:tcPr>
          <w:p w14:paraId="75E7E4E6">
            <w:pPr>
              <w:widowControl/>
              <w:spacing w:line="260" w:lineRule="exact"/>
              <w:jc w:val="both"/>
              <w:textAlignment w:val="center"/>
              <w:rPr>
                <w:rFonts w:hint="eastAsia" w:ascii="宋体" w:hAnsi="宋体" w:eastAsia="宋体" w:cs="宋体"/>
                <w:kern w:val="0"/>
                <w:sz w:val="18"/>
                <w:szCs w:val="18"/>
                <w:lang w:bidi="ar"/>
              </w:rPr>
            </w:pPr>
            <w:r>
              <w:rPr>
                <w:rFonts w:hint="eastAsia" w:ascii="宋体" w:hAnsi="宋体" w:eastAsia="宋体" w:cs="宋体"/>
                <w:color w:val="000000"/>
                <w:kern w:val="0"/>
                <w:sz w:val="18"/>
                <w:szCs w:val="18"/>
                <w:lang w:bidi="ar"/>
              </w:rPr>
              <w:t>对水土保持设施未经验收或者验收不合格，将生产建设项目投产使用行为的行政处罚</w:t>
            </w:r>
          </w:p>
        </w:tc>
        <w:tc>
          <w:tcPr>
            <w:tcW w:w="3895" w:type="dxa"/>
            <w:vMerge w:val="restart"/>
            <w:tcBorders>
              <w:left w:val="single" w:color="auto" w:sz="4" w:space="0"/>
              <w:right w:val="single" w:color="auto" w:sz="4" w:space="0"/>
            </w:tcBorders>
            <w:noWrap w:val="0"/>
            <w:tcMar>
              <w:top w:w="0" w:type="dxa"/>
              <w:left w:w="0" w:type="dxa"/>
              <w:bottom w:w="0" w:type="dxa"/>
              <w:right w:w="0" w:type="dxa"/>
            </w:tcMar>
            <w:vAlign w:val="center"/>
          </w:tcPr>
          <w:p w14:paraId="084CBA7B">
            <w:pPr>
              <w:widowControl/>
              <w:spacing w:line="260" w:lineRule="exact"/>
              <w:jc w:val="both"/>
              <w:textAlignment w:val="center"/>
              <w:rPr>
                <w:rFonts w:hint="eastAsia" w:ascii="宋体" w:hAnsi="宋体" w:eastAsia="宋体" w:cs="宋体"/>
                <w:kern w:val="0"/>
                <w:sz w:val="18"/>
                <w:szCs w:val="18"/>
                <w:lang w:bidi="ar"/>
              </w:rPr>
            </w:pPr>
            <w:r>
              <w:rPr>
                <w:rFonts w:hint="eastAsia" w:ascii="宋体" w:hAnsi="宋体" w:eastAsia="宋体" w:cs="宋体"/>
                <w:color w:val="000000"/>
                <w:kern w:val="0"/>
                <w:sz w:val="18"/>
                <w:szCs w:val="18"/>
                <w:lang w:bidi="ar"/>
              </w:rPr>
              <w:t>《中华人民共和国水土保持法》第五十四条 违反本法规定，水土保持设施未经验收或者验收不合格将生产建设项目投产使用的，由县级以上人民政府水行政主管部门责令停止生产或者使用，直至验收合格，并处五万元以上五十万元以下的罚款。</w:t>
            </w:r>
          </w:p>
        </w:tc>
        <w:tc>
          <w:tcPr>
            <w:tcW w:w="2342" w:type="dxa"/>
            <w:vMerge w:val="restart"/>
            <w:tcBorders>
              <w:left w:val="single" w:color="auto" w:sz="4" w:space="0"/>
              <w:right w:val="single" w:color="auto" w:sz="4" w:space="0"/>
            </w:tcBorders>
            <w:noWrap w:val="0"/>
            <w:tcMar>
              <w:top w:w="0" w:type="dxa"/>
              <w:left w:w="0" w:type="dxa"/>
              <w:bottom w:w="0" w:type="dxa"/>
              <w:right w:w="0" w:type="dxa"/>
            </w:tcMar>
            <w:vAlign w:val="center"/>
          </w:tcPr>
          <w:p w14:paraId="24621E5F">
            <w:pPr>
              <w:spacing w:line="260" w:lineRule="exact"/>
              <w:jc w:val="both"/>
              <w:rPr>
                <w:rFonts w:hint="eastAsia" w:ascii="宋体" w:hAnsi="宋体" w:eastAsia="宋体" w:cs="宋体"/>
                <w:sz w:val="18"/>
                <w:szCs w:val="18"/>
              </w:rPr>
            </w:pPr>
            <w:r>
              <w:rPr>
                <w:rFonts w:hint="eastAsia" w:ascii="宋体" w:hAnsi="宋体" w:eastAsia="宋体" w:cs="宋体"/>
                <w:color w:val="000000"/>
                <w:kern w:val="0"/>
                <w:sz w:val="18"/>
                <w:szCs w:val="18"/>
                <w:lang w:bidi="ar"/>
              </w:rPr>
              <w:t>水土保持设施未经验收或者验收不合格，将生产建设项目投产使用行为的</w:t>
            </w:r>
          </w:p>
        </w:tc>
        <w:tc>
          <w:tcPr>
            <w:tcW w:w="6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9227BD7">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轻微</w:t>
            </w:r>
          </w:p>
        </w:tc>
        <w:tc>
          <w:tcPr>
            <w:tcW w:w="306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18205A33">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55D04435">
            <w:pPr>
              <w:spacing w:line="260" w:lineRule="exact"/>
              <w:rPr>
                <w:rFonts w:hint="eastAsia" w:ascii="宋体" w:hAnsi="宋体" w:eastAsia="宋体" w:cs="宋体"/>
                <w:color w:val="000000"/>
                <w:kern w:val="0"/>
                <w:sz w:val="18"/>
                <w:szCs w:val="18"/>
                <w:lang w:bidi="ar"/>
              </w:rPr>
            </w:pPr>
          </w:p>
        </w:tc>
        <w:tc>
          <w:tcPr>
            <w:tcW w:w="236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65A76C69">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05B9AA80">
            <w:pPr>
              <w:spacing w:line="260" w:lineRule="exact"/>
              <w:rPr>
                <w:rFonts w:hint="eastAsia" w:ascii="宋体" w:hAnsi="宋体" w:eastAsia="宋体" w:cs="宋体"/>
                <w:color w:val="000000"/>
                <w:kern w:val="0"/>
                <w:sz w:val="18"/>
                <w:szCs w:val="18"/>
                <w:lang w:bidi="ar"/>
              </w:rPr>
            </w:pPr>
          </w:p>
        </w:tc>
        <w:tc>
          <w:tcPr>
            <w:tcW w:w="958" w:type="dxa"/>
            <w:vMerge w:val="restart"/>
            <w:tcBorders>
              <w:top w:val="single" w:color="auto" w:sz="4" w:space="0"/>
              <w:left w:val="single" w:color="auto" w:sz="4" w:space="0"/>
              <w:right w:val="single" w:color="auto" w:sz="4" w:space="0"/>
            </w:tcBorders>
            <w:noWrap w:val="0"/>
            <w:tcMar>
              <w:top w:w="0" w:type="dxa"/>
              <w:left w:w="0" w:type="dxa"/>
              <w:bottom w:w="0" w:type="dxa"/>
              <w:right w:w="0" w:type="dxa"/>
            </w:tcMar>
            <w:vAlign w:val="center"/>
          </w:tcPr>
          <w:p w14:paraId="5192BAD7">
            <w:pPr>
              <w:widowControl/>
              <w:spacing w:line="260" w:lineRule="exact"/>
              <w:jc w:val="center"/>
              <w:textAlignment w:val="center"/>
              <w:rPr>
                <w:rFonts w:hint="eastAsia" w:ascii="宋体" w:hAnsi="宋体" w:eastAsia="宋体" w:cs="宋体"/>
                <w:color w:val="000000"/>
                <w:kern w:val="0"/>
                <w:sz w:val="18"/>
                <w:szCs w:val="18"/>
                <w:lang w:bidi="ar"/>
              </w:rPr>
            </w:pPr>
          </w:p>
        </w:tc>
      </w:tr>
      <w:tr w14:paraId="415DA9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10" w:type="dxa"/>
            <w:vMerge w:val="continue"/>
            <w:tcBorders>
              <w:left w:val="single" w:color="auto" w:sz="4" w:space="0"/>
              <w:right w:val="single" w:color="auto" w:sz="4" w:space="0"/>
            </w:tcBorders>
            <w:noWrap w:val="0"/>
            <w:tcMar>
              <w:top w:w="0" w:type="dxa"/>
              <w:left w:w="0" w:type="dxa"/>
              <w:bottom w:w="0" w:type="dxa"/>
              <w:right w:w="0" w:type="dxa"/>
            </w:tcMar>
            <w:vAlign w:val="center"/>
          </w:tcPr>
          <w:p w14:paraId="6E6C0FA1">
            <w:pPr>
              <w:spacing w:line="260" w:lineRule="exact"/>
              <w:jc w:val="center"/>
              <w:rPr>
                <w:rFonts w:hint="eastAsia" w:ascii="宋体" w:hAnsi="宋体" w:eastAsia="宋体" w:cs="宋体"/>
                <w:sz w:val="18"/>
                <w:szCs w:val="18"/>
              </w:rPr>
            </w:pPr>
          </w:p>
        </w:tc>
        <w:tc>
          <w:tcPr>
            <w:tcW w:w="1260" w:type="dxa"/>
            <w:vMerge w:val="continue"/>
            <w:tcBorders>
              <w:left w:val="single" w:color="auto" w:sz="4" w:space="0"/>
              <w:right w:val="single" w:color="auto" w:sz="4" w:space="0"/>
            </w:tcBorders>
            <w:noWrap w:val="0"/>
            <w:tcMar>
              <w:top w:w="0" w:type="dxa"/>
              <w:left w:w="0" w:type="dxa"/>
              <w:bottom w:w="0" w:type="dxa"/>
              <w:right w:w="0" w:type="dxa"/>
            </w:tcMar>
            <w:vAlign w:val="center"/>
          </w:tcPr>
          <w:p w14:paraId="2E373716">
            <w:pPr>
              <w:widowControl/>
              <w:spacing w:line="260" w:lineRule="exact"/>
              <w:textAlignment w:val="center"/>
              <w:rPr>
                <w:rFonts w:hint="eastAsia" w:ascii="宋体" w:hAnsi="宋体" w:eastAsia="宋体" w:cs="宋体"/>
                <w:kern w:val="0"/>
                <w:sz w:val="18"/>
                <w:szCs w:val="18"/>
                <w:lang w:bidi="ar"/>
              </w:rPr>
            </w:pPr>
          </w:p>
        </w:tc>
        <w:tc>
          <w:tcPr>
            <w:tcW w:w="3895" w:type="dxa"/>
            <w:vMerge w:val="continue"/>
            <w:tcBorders>
              <w:left w:val="single" w:color="auto" w:sz="4" w:space="0"/>
              <w:right w:val="single" w:color="auto" w:sz="4" w:space="0"/>
            </w:tcBorders>
            <w:noWrap w:val="0"/>
            <w:tcMar>
              <w:top w:w="0" w:type="dxa"/>
              <w:left w:w="0" w:type="dxa"/>
              <w:bottom w:w="0" w:type="dxa"/>
              <w:right w:w="0" w:type="dxa"/>
            </w:tcMar>
            <w:vAlign w:val="center"/>
          </w:tcPr>
          <w:p w14:paraId="4EF1B2E9">
            <w:pPr>
              <w:widowControl/>
              <w:spacing w:line="260" w:lineRule="exact"/>
              <w:ind w:firstLine="360" w:firstLineChars="200"/>
              <w:textAlignment w:val="center"/>
              <w:rPr>
                <w:rFonts w:hint="eastAsia" w:ascii="宋体" w:hAnsi="宋体" w:eastAsia="宋体" w:cs="宋体"/>
                <w:kern w:val="0"/>
                <w:sz w:val="18"/>
                <w:szCs w:val="18"/>
                <w:lang w:bidi="ar"/>
              </w:rPr>
            </w:pPr>
          </w:p>
        </w:tc>
        <w:tc>
          <w:tcPr>
            <w:tcW w:w="2342" w:type="dxa"/>
            <w:vMerge w:val="continue"/>
            <w:tcBorders>
              <w:left w:val="single" w:color="auto" w:sz="4" w:space="0"/>
              <w:right w:val="single" w:color="auto" w:sz="4" w:space="0"/>
            </w:tcBorders>
            <w:noWrap w:val="0"/>
            <w:tcMar>
              <w:top w:w="0" w:type="dxa"/>
              <w:left w:w="0" w:type="dxa"/>
              <w:bottom w:w="0" w:type="dxa"/>
              <w:right w:w="0" w:type="dxa"/>
            </w:tcMar>
            <w:vAlign w:val="center"/>
          </w:tcPr>
          <w:p w14:paraId="2E21D2EA">
            <w:pPr>
              <w:spacing w:line="260" w:lineRule="exact"/>
              <w:jc w:val="both"/>
              <w:rPr>
                <w:rFonts w:hint="eastAsia" w:ascii="宋体" w:hAnsi="宋体" w:eastAsia="宋体" w:cs="宋体"/>
                <w:sz w:val="18"/>
                <w:szCs w:val="18"/>
              </w:rPr>
            </w:pPr>
          </w:p>
        </w:tc>
        <w:tc>
          <w:tcPr>
            <w:tcW w:w="6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DF6BCB1">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较轻</w:t>
            </w:r>
          </w:p>
        </w:tc>
        <w:tc>
          <w:tcPr>
            <w:tcW w:w="306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426C647">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占地面积</w:t>
            </w:r>
            <w:r>
              <w:rPr>
                <w:rFonts w:hint="eastAsia" w:ascii="宋体" w:hAnsi="宋体" w:eastAsia="宋体" w:cs="宋体"/>
                <w:color w:val="000000"/>
                <w:kern w:val="0"/>
                <w:sz w:val="18"/>
                <w:szCs w:val="18"/>
                <w:lang w:val="en-US" w:eastAsia="zh-CN" w:bidi="ar"/>
              </w:rPr>
              <w:t>5000</w:t>
            </w:r>
            <w:r>
              <w:rPr>
                <w:rFonts w:hint="eastAsia" w:ascii="宋体" w:hAnsi="宋体" w:eastAsia="宋体" w:cs="宋体"/>
                <w:color w:val="000000"/>
                <w:kern w:val="0"/>
                <w:sz w:val="18"/>
                <w:szCs w:val="18"/>
                <w:lang w:bidi="ar"/>
              </w:rPr>
              <w:t>平方米以上</w:t>
            </w:r>
            <w:r>
              <w:rPr>
                <w:rFonts w:hint="eastAsia" w:ascii="宋体" w:hAnsi="宋体" w:eastAsia="宋体" w:cs="宋体"/>
                <w:color w:val="000000"/>
                <w:kern w:val="0"/>
                <w:sz w:val="18"/>
                <w:szCs w:val="18"/>
                <w:lang w:val="en-US" w:eastAsia="zh-CN" w:bidi="ar"/>
              </w:rPr>
              <w:t>2</w:t>
            </w:r>
            <w:r>
              <w:rPr>
                <w:rFonts w:hint="eastAsia" w:ascii="宋体" w:hAnsi="宋体" w:eastAsia="宋体" w:cs="宋体"/>
                <w:color w:val="000000"/>
                <w:kern w:val="0"/>
                <w:sz w:val="18"/>
                <w:szCs w:val="18"/>
                <w:lang w:bidi="ar"/>
              </w:rPr>
              <w:t>公顷以下的</w:t>
            </w:r>
          </w:p>
        </w:tc>
        <w:tc>
          <w:tcPr>
            <w:tcW w:w="236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C5E2416">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处</w:t>
            </w:r>
            <w:r>
              <w:rPr>
                <w:rFonts w:hint="eastAsia" w:ascii="宋体" w:hAnsi="宋体" w:eastAsia="宋体" w:cs="宋体"/>
                <w:color w:val="000000"/>
                <w:kern w:val="0"/>
                <w:sz w:val="18"/>
                <w:szCs w:val="18"/>
                <w:lang w:val="en-US" w:eastAsia="zh-CN" w:bidi="ar"/>
              </w:rPr>
              <w:t>5</w:t>
            </w:r>
            <w:r>
              <w:rPr>
                <w:rFonts w:hint="eastAsia" w:ascii="宋体" w:hAnsi="宋体" w:eastAsia="宋体" w:cs="宋体"/>
                <w:color w:val="000000"/>
                <w:kern w:val="0"/>
                <w:sz w:val="18"/>
                <w:szCs w:val="18"/>
                <w:lang w:bidi="ar"/>
              </w:rPr>
              <w:t>万元以上</w:t>
            </w:r>
            <w:r>
              <w:rPr>
                <w:rFonts w:hint="eastAsia" w:ascii="宋体" w:hAnsi="宋体" w:eastAsia="宋体" w:cs="宋体"/>
                <w:color w:val="000000"/>
                <w:kern w:val="0"/>
                <w:sz w:val="18"/>
                <w:szCs w:val="18"/>
                <w:lang w:val="en-US" w:eastAsia="zh-CN" w:bidi="ar"/>
              </w:rPr>
              <w:t>15</w:t>
            </w:r>
            <w:r>
              <w:rPr>
                <w:rFonts w:hint="eastAsia" w:ascii="宋体" w:hAnsi="宋体" w:eastAsia="宋体" w:cs="宋体"/>
                <w:color w:val="000000"/>
                <w:kern w:val="0"/>
                <w:sz w:val="18"/>
                <w:szCs w:val="18"/>
                <w:lang w:bidi="ar"/>
              </w:rPr>
              <w:t>万元以下的罚款</w:t>
            </w:r>
          </w:p>
        </w:tc>
        <w:tc>
          <w:tcPr>
            <w:tcW w:w="958" w:type="dxa"/>
            <w:vMerge w:val="continue"/>
            <w:tcBorders>
              <w:left w:val="single" w:color="auto" w:sz="4" w:space="0"/>
              <w:right w:val="single" w:color="auto" w:sz="4" w:space="0"/>
            </w:tcBorders>
            <w:noWrap w:val="0"/>
            <w:tcMar>
              <w:top w:w="0" w:type="dxa"/>
              <w:left w:w="0" w:type="dxa"/>
              <w:bottom w:w="0" w:type="dxa"/>
              <w:right w:w="0" w:type="dxa"/>
            </w:tcMar>
            <w:vAlign w:val="center"/>
          </w:tcPr>
          <w:p w14:paraId="7B093ACC">
            <w:pPr>
              <w:widowControl/>
              <w:spacing w:line="260" w:lineRule="exact"/>
              <w:jc w:val="center"/>
              <w:textAlignment w:val="center"/>
              <w:rPr>
                <w:rFonts w:hint="eastAsia" w:ascii="宋体" w:hAnsi="宋体" w:eastAsia="宋体" w:cs="宋体"/>
                <w:color w:val="000000"/>
                <w:kern w:val="0"/>
                <w:sz w:val="18"/>
                <w:szCs w:val="18"/>
                <w:lang w:bidi="ar"/>
              </w:rPr>
            </w:pPr>
          </w:p>
        </w:tc>
      </w:tr>
      <w:tr w14:paraId="517963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10" w:type="dxa"/>
            <w:vMerge w:val="continue"/>
            <w:tcBorders>
              <w:left w:val="single" w:color="auto" w:sz="4" w:space="0"/>
              <w:right w:val="single" w:color="auto" w:sz="4" w:space="0"/>
            </w:tcBorders>
            <w:noWrap w:val="0"/>
            <w:tcMar>
              <w:top w:w="0" w:type="dxa"/>
              <w:left w:w="0" w:type="dxa"/>
              <w:bottom w:w="0" w:type="dxa"/>
              <w:right w:w="0" w:type="dxa"/>
            </w:tcMar>
            <w:vAlign w:val="center"/>
          </w:tcPr>
          <w:p w14:paraId="215FE180">
            <w:pPr>
              <w:spacing w:line="260" w:lineRule="exact"/>
              <w:jc w:val="center"/>
              <w:rPr>
                <w:rFonts w:hint="eastAsia" w:ascii="宋体" w:hAnsi="宋体" w:eastAsia="宋体" w:cs="宋体"/>
                <w:sz w:val="18"/>
                <w:szCs w:val="18"/>
              </w:rPr>
            </w:pPr>
          </w:p>
        </w:tc>
        <w:tc>
          <w:tcPr>
            <w:tcW w:w="1260" w:type="dxa"/>
            <w:vMerge w:val="continue"/>
            <w:tcBorders>
              <w:left w:val="single" w:color="auto" w:sz="4" w:space="0"/>
              <w:right w:val="single" w:color="auto" w:sz="4" w:space="0"/>
            </w:tcBorders>
            <w:noWrap w:val="0"/>
            <w:tcMar>
              <w:top w:w="0" w:type="dxa"/>
              <w:left w:w="0" w:type="dxa"/>
              <w:bottom w:w="0" w:type="dxa"/>
              <w:right w:w="0" w:type="dxa"/>
            </w:tcMar>
            <w:vAlign w:val="center"/>
          </w:tcPr>
          <w:p w14:paraId="658562A4">
            <w:pPr>
              <w:widowControl/>
              <w:spacing w:line="260" w:lineRule="exact"/>
              <w:textAlignment w:val="center"/>
              <w:rPr>
                <w:rFonts w:hint="eastAsia" w:ascii="宋体" w:hAnsi="宋体" w:eastAsia="宋体" w:cs="宋体"/>
                <w:kern w:val="0"/>
                <w:sz w:val="18"/>
                <w:szCs w:val="18"/>
                <w:lang w:bidi="ar"/>
              </w:rPr>
            </w:pPr>
          </w:p>
        </w:tc>
        <w:tc>
          <w:tcPr>
            <w:tcW w:w="3895" w:type="dxa"/>
            <w:vMerge w:val="continue"/>
            <w:tcBorders>
              <w:left w:val="single" w:color="auto" w:sz="4" w:space="0"/>
              <w:right w:val="single" w:color="auto" w:sz="4" w:space="0"/>
            </w:tcBorders>
            <w:noWrap w:val="0"/>
            <w:tcMar>
              <w:top w:w="0" w:type="dxa"/>
              <w:left w:w="0" w:type="dxa"/>
              <w:bottom w:w="0" w:type="dxa"/>
              <w:right w:w="0" w:type="dxa"/>
            </w:tcMar>
            <w:vAlign w:val="center"/>
          </w:tcPr>
          <w:p w14:paraId="3B65A756">
            <w:pPr>
              <w:widowControl/>
              <w:spacing w:line="260" w:lineRule="exact"/>
              <w:ind w:firstLine="360" w:firstLineChars="200"/>
              <w:textAlignment w:val="center"/>
              <w:rPr>
                <w:rFonts w:hint="eastAsia" w:ascii="宋体" w:hAnsi="宋体" w:eastAsia="宋体" w:cs="宋体"/>
                <w:kern w:val="0"/>
                <w:sz w:val="18"/>
                <w:szCs w:val="18"/>
                <w:lang w:bidi="ar"/>
              </w:rPr>
            </w:pPr>
          </w:p>
        </w:tc>
        <w:tc>
          <w:tcPr>
            <w:tcW w:w="2342" w:type="dxa"/>
            <w:vMerge w:val="continue"/>
            <w:tcBorders>
              <w:left w:val="single" w:color="auto" w:sz="4" w:space="0"/>
              <w:right w:val="single" w:color="auto" w:sz="4" w:space="0"/>
            </w:tcBorders>
            <w:noWrap w:val="0"/>
            <w:tcMar>
              <w:top w:w="0" w:type="dxa"/>
              <w:left w:w="0" w:type="dxa"/>
              <w:bottom w:w="0" w:type="dxa"/>
              <w:right w:w="0" w:type="dxa"/>
            </w:tcMar>
            <w:vAlign w:val="center"/>
          </w:tcPr>
          <w:p w14:paraId="0FF0F97B">
            <w:pPr>
              <w:spacing w:line="260" w:lineRule="exact"/>
              <w:jc w:val="both"/>
              <w:rPr>
                <w:rFonts w:hint="eastAsia" w:ascii="宋体" w:hAnsi="宋体" w:eastAsia="宋体" w:cs="宋体"/>
                <w:sz w:val="18"/>
                <w:szCs w:val="18"/>
              </w:rPr>
            </w:pPr>
          </w:p>
        </w:tc>
        <w:tc>
          <w:tcPr>
            <w:tcW w:w="6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B986A84">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一般</w:t>
            </w:r>
          </w:p>
        </w:tc>
        <w:tc>
          <w:tcPr>
            <w:tcW w:w="306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B295AD8">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占地面积</w:t>
            </w:r>
            <w:r>
              <w:rPr>
                <w:rFonts w:hint="eastAsia" w:ascii="宋体" w:hAnsi="宋体" w:eastAsia="宋体" w:cs="宋体"/>
                <w:color w:val="000000"/>
                <w:kern w:val="0"/>
                <w:sz w:val="18"/>
                <w:szCs w:val="18"/>
                <w:lang w:val="en-US" w:eastAsia="zh-CN" w:bidi="ar"/>
              </w:rPr>
              <w:t>2</w:t>
            </w:r>
            <w:r>
              <w:rPr>
                <w:rFonts w:hint="eastAsia" w:ascii="宋体" w:hAnsi="宋体" w:eastAsia="宋体" w:cs="宋体"/>
                <w:color w:val="000000"/>
                <w:kern w:val="0"/>
                <w:sz w:val="18"/>
                <w:szCs w:val="18"/>
                <w:lang w:bidi="ar"/>
              </w:rPr>
              <w:t>公顷以上</w:t>
            </w:r>
            <w:r>
              <w:rPr>
                <w:rFonts w:hint="eastAsia" w:ascii="宋体" w:hAnsi="宋体" w:eastAsia="宋体" w:cs="宋体"/>
                <w:color w:val="000000"/>
                <w:kern w:val="0"/>
                <w:sz w:val="18"/>
                <w:szCs w:val="18"/>
                <w:lang w:val="en-US" w:eastAsia="zh-CN" w:bidi="ar"/>
              </w:rPr>
              <w:t>5</w:t>
            </w:r>
            <w:r>
              <w:rPr>
                <w:rFonts w:hint="eastAsia" w:ascii="宋体" w:hAnsi="宋体" w:eastAsia="宋体" w:cs="宋体"/>
                <w:color w:val="000000"/>
                <w:kern w:val="0"/>
                <w:sz w:val="18"/>
                <w:szCs w:val="18"/>
                <w:lang w:bidi="ar"/>
              </w:rPr>
              <w:t>公顷以下的</w:t>
            </w:r>
          </w:p>
        </w:tc>
        <w:tc>
          <w:tcPr>
            <w:tcW w:w="236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DE359D2">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处</w:t>
            </w:r>
            <w:r>
              <w:rPr>
                <w:rFonts w:hint="eastAsia" w:ascii="宋体" w:hAnsi="宋体" w:eastAsia="宋体" w:cs="宋体"/>
                <w:color w:val="000000"/>
                <w:kern w:val="0"/>
                <w:sz w:val="18"/>
                <w:szCs w:val="18"/>
                <w:lang w:val="en-US" w:eastAsia="zh-CN" w:bidi="ar"/>
              </w:rPr>
              <w:t>15</w:t>
            </w:r>
            <w:r>
              <w:rPr>
                <w:rFonts w:hint="eastAsia" w:ascii="宋体" w:hAnsi="宋体" w:eastAsia="宋体" w:cs="宋体"/>
                <w:color w:val="000000"/>
                <w:kern w:val="0"/>
                <w:sz w:val="18"/>
                <w:szCs w:val="18"/>
                <w:lang w:bidi="ar"/>
              </w:rPr>
              <w:t>万元以上</w:t>
            </w:r>
            <w:r>
              <w:rPr>
                <w:rFonts w:hint="eastAsia" w:ascii="宋体" w:hAnsi="宋体" w:eastAsia="宋体" w:cs="宋体"/>
                <w:color w:val="000000"/>
                <w:kern w:val="0"/>
                <w:sz w:val="18"/>
                <w:szCs w:val="18"/>
                <w:lang w:val="en-US" w:eastAsia="zh-CN" w:bidi="ar"/>
              </w:rPr>
              <w:t>25</w:t>
            </w:r>
            <w:r>
              <w:rPr>
                <w:rFonts w:hint="eastAsia" w:ascii="宋体" w:hAnsi="宋体" w:eastAsia="宋体" w:cs="宋体"/>
                <w:color w:val="000000"/>
                <w:kern w:val="0"/>
                <w:sz w:val="18"/>
                <w:szCs w:val="18"/>
                <w:lang w:bidi="ar"/>
              </w:rPr>
              <w:t>万元以下的罚款</w:t>
            </w:r>
          </w:p>
        </w:tc>
        <w:tc>
          <w:tcPr>
            <w:tcW w:w="958" w:type="dxa"/>
            <w:vMerge w:val="continue"/>
            <w:tcBorders>
              <w:left w:val="single" w:color="auto" w:sz="4" w:space="0"/>
              <w:right w:val="single" w:color="auto" w:sz="4" w:space="0"/>
            </w:tcBorders>
            <w:noWrap w:val="0"/>
            <w:tcMar>
              <w:top w:w="0" w:type="dxa"/>
              <w:left w:w="0" w:type="dxa"/>
              <w:bottom w:w="0" w:type="dxa"/>
              <w:right w:w="0" w:type="dxa"/>
            </w:tcMar>
            <w:vAlign w:val="center"/>
          </w:tcPr>
          <w:p w14:paraId="1BB5FBC2">
            <w:pPr>
              <w:widowControl/>
              <w:spacing w:line="260" w:lineRule="exact"/>
              <w:jc w:val="center"/>
              <w:textAlignment w:val="center"/>
              <w:rPr>
                <w:rFonts w:hint="eastAsia" w:ascii="宋体" w:hAnsi="宋体" w:eastAsia="宋体" w:cs="宋体"/>
                <w:color w:val="000000"/>
                <w:kern w:val="0"/>
                <w:sz w:val="18"/>
                <w:szCs w:val="18"/>
                <w:lang w:bidi="ar"/>
              </w:rPr>
            </w:pPr>
          </w:p>
        </w:tc>
      </w:tr>
      <w:tr w14:paraId="486CCF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10" w:type="dxa"/>
            <w:vMerge w:val="continue"/>
            <w:tcBorders>
              <w:left w:val="single" w:color="auto" w:sz="4" w:space="0"/>
              <w:right w:val="single" w:color="auto" w:sz="4" w:space="0"/>
            </w:tcBorders>
            <w:noWrap w:val="0"/>
            <w:tcMar>
              <w:top w:w="0" w:type="dxa"/>
              <w:left w:w="0" w:type="dxa"/>
              <w:bottom w:w="0" w:type="dxa"/>
              <w:right w:w="0" w:type="dxa"/>
            </w:tcMar>
            <w:vAlign w:val="center"/>
          </w:tcPr>
          <w:p w14:paraId="0D2C9FD9">
            <w:pPr>
              <w:spacing w:line="260" w:lineRule="exact"/>
              <w:jc w:val="center"/>
              <w:rPr>
                <w:rFonts w:hint="eastAsia" w:ascii="宋体" w:hAnsi="宋体" w:eastAsia="宋体" w:cs="宋体"/>
                <w:sz w:val="18"/>
                <w:szCs w:val="18"/>
              </w:rPr>
            </w:pPr>
          </w:p>
        </w:tc>
        <w:tc>
          <w:tcPr>
            <w:tcW w:w="1260" w:type="dxa"/>
            <w:vMerge w:val="continue"/>
            <w:tcBorders>
              <w:left w:val="single" w:color="auto" w:sz="4" w:space="0"/>
              <w:right w:val="single" w:color="auto" w:sz="4" w:space="0"/>
            </w:tcBorders>
            <w:noWrap w:val="0"/>
            <w:tcMar>
              <w:top w:w="0" w:type="dxa"/>
              <w:left w:w="0" w:type="dxa"/>
              <w:bottom w:w="0" w:type="dxa"/>
              <w:right w:w="0" w:type="dxa"/>
            </w:tcMar>
            <w:vAlign w:val="center"/>
          </w:tcPr>
          <w:p w14:paraId="1D071955">
            <w:pPr>
              <w:widowControl/>
              <w:spacing w:line="260" w:lineRule="exact"/>
              <w:textAlignment w:val="center"/>
              <w:rPr>
                <w:rFonts w:hint="eastAsia" w:ascii="宋体" w:hAnsi="宋体" w:eastAsia="宋体" w:cs="宋体"/>
                <w:kern w:val="0"/>
                <w:sz w:val="18"/>
                <w:szCs w:val="18"/>
                <w:lang w:bidi="ar"/>
              </w:rPr>
            </w:pPr>
          </w:p>
        </w:tc>
        <w:tc>
          <w:tcPr>
            <w:tcW w:w="3895" w:type="dxa"/>
            <w:vMerge w:val="continue"/>
            <w:tcBorders>
              <w:left w:val="single" w:color="auto" w:sz="4" w:space="0"/>
              <w:right w:val="single" w:color="auto" w:sz="4" w:space="0"/>
            </w:tcBorders>
            <w:noWrap w:val="0"/>
            <w:tcMar>
              <w:top w:w="0" w:type="dxa"/>
              <w:left w:w="0" w:type="dxa"/>
              <w:bottom w:w="0" w:type="dxa"/>
              <w:right w:w="0" w:type="dxa"/>
            </w:tcMar>
            <w:vAlign w:val="center"/>
          </w:tcPr>
          <w:p w14:paraId="634B9BFD">
            <w:pPr>
              <w:widowControl/>
              <w:spacing w:line="260" w:lineRule="exact"/>
              <w:ind w:firstLine="360" w:firstLineChars="200"/>
              <w:textAlignment w:val="center"/>
              <w:rPr>
                <w:rFonts w:hint="eastAsia" w:ascii="宋体" w:hAnsi="宋体" w:eastAsia="宋体" w:cs="宋体"/>
                <w:kern w:val="0"/>
                <w:sz w:val="18"/>
                <w:szCs w:val="18"/>
                <w:lang w:bidi="ar"/>
              </w:rPr>
            </w:pPr>
          </w:p>
        </w:tc>
        <w:tc>
          <w:tcPr>
            <w:tcW w:w="2342" w:type="dxa"/>
            <w:vMerge w:val="continue"/>
            <w:tcBorders>
              <w:left w:val="single" w:color="auto" w:sz="4" w:space="0"/>
              <w:right w:val="single" w:color="auto" w:sz="4" w:space="0"/>
            </w:tcBorders>
            <w:noWrap w:val="0"/>
            <w:tcMar>
              <w:top w:w="0" w:type="dxa"/>
              <w:left w:w="0" w:type="dxa"/>
              <w:bottom w:w="0" w:type="dxa"/>
              <w:right w:w="0" w:type="dxa"/>
            </w:tcMar>
            <w:vAlign w:val="center"/>
          </w:tcPr>
          <w:p w14:paraId="744A9E2C">
            <w:pPr>
              <w:spacing w:line="260" w:lineRule="exact"/>
              <w:jc w:val="both"/>
              <w:rPr>
                <w:rFonts w:hint="eastAsia" w:ascii="宋体" w:hAnsi="宋体" w:eastAsia="宋体" w:cs="宋体"/>
                <w:sz w:val="18"/>
                <w:szCs w:val="18"/>
              </w:rPr>
            </w:pPr>
          </w:p>
        </w:tc>
        <w:tc>
          <w:tcPr>
            <w:tcW w:w="6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384496B">
            <w:pPr>
              <w:spacing w:line="260" w:lineRule="exact"/>
              <w:jc w:val="center"/>
              <w:rPr>
                <w:rFonts w:hint="eastAsia" w:ascii="宋体" w:hAnsi="宋体" w:eastAsia="宋体" w:cs="宋体"/>
                <w:sz w:val="18"/>
                <w:szCs w:val="18"/>
                <w:lang w:eastAsia="zh-CN"/>
              </w:rPr>
            </w:pPr>
            <w:r>
              <w:rPr>
                <w:rFonts w:hint="eastAsia" w:ascii="宋体" w:hAnsi="宋体" w:eastAsia="宋体" w:cs="宋体"/>
                <w:sz w:val="18"/>
                <w:szCs w:val="18"/>
                <w:lang w:eastAsia="zh-CN"/>
              </w:rPr>
              <w:t>较重</w:t>
            </w:r>
          </w:p>
        </w:tc>
        <w:tc>
          <w:tcPr>
            <w:tcW w:w="306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37FB9F2">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占地面积</w:t>
            </w:r>
            <w:r>
              <w:rPr>
                <w:rFonts w:hint="eastAsia" w:ascii="宋体" w:hAnsi="宋体" w:eastAsia="宋体" w:cs="宋体"/>
                <w:color w:val="000000"/>
                <w:kern w:val="0"/>
                <w:sz w:val="18"/>
                <w:szCs w:val="18"/>
                <w:lang w:val="en-US" w:eastAsia="zh-CN" w:bidi="ar"/>
              </w:rPr>
              <w:t>5</w:t>
            </w:r>
            <w:r>
              <w:rPr>
                <w:rFonts w:hint="eastAsia" w:ascii="宋体" w:hAnsi="宋体" w:eastAsia="宋体" w:cs="宋体"/>
                <w:color w:val="000000"/>
                <w:kern w:val="0"/>
                <w:sz w:val="18"/>
                <w:szCs w:val="18"/>
                <w:lang w:bidi="ar"/>
              </w:rPr>
              <w:t>公顷以上</w:t>
            </w:r>
            <w:r>
              <w:rPr>
                <w:rFonts w:hint="eastAsia" w:ascii="宋体" w:hAnsi="宋体" w:eastAsia="宋体" w:cs="宋体"/>
                <w:color w:val="000000"/>
                <w:kern w:val="0"/>
                <w:sz w:val="18"/>
                <w:szCs w:val="18"/>
                <w:lang w:val="en-US" w:eastAsia="zh-CN" w:bidi="ar"/>
              </w:rPr>
              <w:t>10</w:t>
            </w:r>
            <w:r>
              <w:rPr>
                <w:rFonts w:hint="eastAsia" w:ascii="宋体" w:hAnsi="宋体" w:eastAsia="宋体" w:cs="宋体"/>
                <w:color w:val="000000"/>
                <w:kern w:val="0"/>
                <w:sz w:val="18"/>
                <w:szCs w:val="18"/>
                <w:lang w:bidi="ar"/>
              </w:rPr>
              <w:t>公顷以下的</w:t>
            </w:r>
          </w:p>
        </w:tc>
        <w:tc>
          <w:tcPr>
            <w:tcW w:w="236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19A3646">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处</w:t>
            </w:r>
            <w:r>
              <w:rPr>
                <w:rFonts w:hint="eastAsia" w:ascii="宋体" w:hAnsi="宋体" w:eastAsia="宋体" w:cs="宋体"/>
                <w:color w:val="000000"/>
                <w:kern w:val="0"/>
                <w:sz w:val="18"/>
                <w:szCs w:val="18"/>
                <w:lang w:val="en-US" w:eastAsia="zh-CN" w:bidi="ar"/>
              </w:rPr>
              <w:t>25</w:t>
            </w:r>
            <w:r>
              <w:rPr>
                <w:rFonts w:hint="eastAsia" w:ascii="宋体" w:hAnsi="宋体" w:eastAsia="宋体" w:cs="宋体"/>
                <w:color w:val="000000"/>
                <w:kern w:val="0"/>
                <w:sz w:val="18"/>
                <w:szCs w:val="18"/>
                <w:lang w:bidi="ar"/>
              </w:rPr>
              <w:t>万元以上</w:t>
            </w:r>
            <w:r>
              <w:rPr>
                <w:rFonts w:hint="eastAsia" w:ascii="宋体" w:hAnsi="宋体" w:eastAsia="宋体" w:cs="宋体"/>
                <w:color w:val="000000"/>
                <w:kern w:val="0"/>
                <w:sz w:val="18"/>
                <w:szCs w:val="18"/>
                <w:lang w:val="en-US" w:eastAsia="zh-CN" w:bidi="ar"/>
              </w:rPr>
              <w:t>35</w:t>
            </w:r>
            <w:r>
              <w:rPr>
                <w:rFonts w:hint="eastAsia" w:ascii="宋体" w:hAnsi="宋体" w:eastAsia="宋体" w:cs="宋体"/>
                <w:color w:val="000000"/>
                <w:kern w:val="0"/>
                <w:sz w:val="18"/>
                <w:szCs w:val="18"/>
                <w:lang w:bidi="ar"/>
              </w:rPr>
              <w:t>万元以下的罚款</w:t>
            </w:r>
          </w:p>
        </w:tc>
        <w:tc>
          <w:tcPr>
            <w:tcW w:w="958" w:type="dxa"/>
            <w:vMerge w:val="continue"/>
            <w:tcBorders>
              <w:left w:val="single" w:color="auto" w:sz="4" w:space="0"/>
              <w:right w:val="single" w:color="auto" w:sz="4" w:space="0"/>
            </w:tcBorders>
            <w:noWrap w:val="0"/>
            <w:tcMar>
              <w:top w:w="0" w:type="dxa"/>
              <w:left w:w="0" w:type="dxa"/>
              <w:bottom w:w="0" w:type="dxa"/>
              <w:right w:w="0" w:type="dxa"/>
            </w:tcMar>
            <w:vAlign w:val="center"/>
          </w:tcPr>
          <w:p w14:paraId="737938B6">
            <w:pPr>
              <w:widowControl/>
              <w:spacing w:line="260" w:lineRule="exact"/>
              <w:jc w:val="center"/>
              <w:textAlignment w:val="center"/>
              <w:rPr>
                <w:rFonts w:hint="eastAsia" w:ascii="宋体" w:hAnsi="宋体" w:eastAsia="宋体" w:cs="宋体"/>
                <w:color w:val="000000"/>
                <w:kern w:val="0"/>
                <w:sz w:val="18"/>
                <w:szCs w:val="18"/>
                <w:lang w:bidi="ar"/>
              </w:rPr>
            </w:pPr>
          </w:p>
        </w:tc>
      </w:tr>
      <w:tr w14:paraId="15C0FC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10" w:type="dxa"/>
            <w:vMerge w:val="continue"/>
            <w:tcBorders>
              <w:left w:val="single" w:color="auto" w:sz="4" w:space="0"/>
              <w:right w:val="single" w:color="auto" w:sz="4" w:space="0"/>
            </w:tcBorders>
            <w:noWrap w:val="0"/>
            <w:tcMar>
              <w:top w:w="0" w:type="dxa"/>
              <w:left w:w="0" w:type="dxa"/>
              <w:bottom w:w="0" w:type="dxa"/>
              <w:right w:w="0" w:type="dxa"/>
            </w:tcMar>
            <w:vAlign w:val="center"/>
          </w:tcPr>
          <w:p w14:paraId="7194405D">
            <w:pPr>
              <w:spacing w:line="260" w:lineRule="exact"/>
              <w:jc w:val="center"/>
              <w:rPr>
                <w:rFonts w:hint="eastAsia" w:ascii="宋体" w:hAnsi="宋体" w:eastAsia="宋体" w:cs="宋体"/>
                <w:sz w:val="18"/>
                <w:szCs w:val="18"/>
              </w:rPr>
            </w:pPr>
          </w:p>
        </w:tc>
        <w:tc>
          <w:tcPr>
            <w:tcW w:w="1260" w:type="dxa"/>
            <w:vMerge w:val="continue"/>
            <w:tcBorders>
              <w:left w:val="single" w:color="auto" w:sz="4" w:space="0"/>
              <w:right w:val="single" w:color="auto" w:sz="4" w:space="0"/>
            </w:tcBorders>
            <w:noWrap w:val="0"/>
            <w:tcMar>
              <w:top w:w="0" w:type="dxa"/>
              <w:left w:w="0" w:type="dxa"/>
              <w:bottom w:w="0" w:type="dxa"/>
              <w:right w:w="0" w:type="dxa"/>
            </w:tcMar>
            <w:vAlign w:val="center"/>
          </w:tcPr>
          <w:p w14:paraId="0EB5BFB0">
            <w:pPr>
              <w:widowControl/>
              <w:spacing w:line="260" w:lineRule="exact"/>
              <w:textAlignment w:val="center"/>
              <w:rPr>
                <w:rFonts w:hint="eastAsia" w:ascii="宋体" w:hAnsi="宋体" w:eastAsia="宋体" w:cs="宋体"/>
                <w:kern w:val="0"/>
                <w:sz w:val="18"/>
                <w:szCs w:val="18"/>
                <w:lang w:bidi="ar"/>
              </w:rPr>
            </w:pPr>
          </w:p>
        </w:tc>
        <w:tc>
          <w:tcPr>
            <w:tcW w:w="3895" w:type="dxa"/>
            <w:vMerge w:val="continue"/>
            <w:tcBorders>
              <w:left w:val="single" w:color="auto" w:sz="4" w:space="0"/>
              <w:right w:val="single" w:color="auto" w:sz="4" w:space="0"/>
            </w:tcBorders>
            <w:noWrap w:val="0"/>
            <w:tcMar>
              <w:top w:w="0" w:type="dxa"/>
              <w:left w:w="0" w:type="dxa"/>
              <w:bottom w:w="0" w:type="dxa"/>
              <w:right w:w="0" w:type="dxa"/>
            </w:tcMar>
            <w:vAlign w:val="center"/>
          </w:tcPr>
          <w:p w14:paraId="74F73804">
            <w:pPr>
              <w:widowControl/>
              <w:spacing w:line="260" w:lineRule="exact"/>
              <w:ind w:firstLine="360" w:firstLineChars="200"/>
              <w:textAlignment w:val="center"/>
              <w:rPr>
                <w:rFonts w:hint="eastAsia" w:ascii="宋体" w:hAnsi="宋体" w:eastAsia="宋体" w:cs="宋体"/>
                <w:kern w:val="0"/>
                <w:sz w:val="18"/>
                <w:szCs w:val="18"/>
                <w:lang w:bidi="ar"/>
              </w:rPr>
            </w:pPr>
          </w:p>
        </w:tc>
        <w:tc>
          <w:tcPr>
            <w:tcW w:w="2342" w:type="dxa"/>
            <w:vMerge w:val="continue"/>
            <w:tcBorders>
              <w:left w:val="single" w:color="auto" w:sz="4" w:space="0"/>
              <w:right w:val="single" w:color="auto" w:sz="4" w:space="0"/>
            </w:tcBorders>
            <w:noWrap w:val="0"/>
            <w:tcMar>
              <w:top w:w="0" w:type="dxa"/>
              <w:left w:w="0" w:type="dxa"/>
              <w:bottom w:w="0" w:type="dxa"/>
              <w:right w:w="0" w:type="dxa"/>
            </w:tcMar>
            <w:vAlign w:val="center"/>
          </w:tcPr>
          <w:p w14:paraId="145CF7D9">
            <w:pPr>
              <w:spacing w:line="260" w:lineRule="exact"/>
              <w:jc w:val="both"/>
              <w:rPr>
                <w:rFonts w:hint="eastAsia" w:ascii="宋体" w:hAnsi="宋体" w:eastAsia="宋体" w:cs="宋体"/>
                <w:sz w:val="18"/>
                <w:szCs w:val="18"/>
              </w:rPr>
            </w:pPr>
          </w:p>
        </w:tc>
        <w:tc>
          <w:tcPr>
            <w:tcW w:w="6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D6FA2BB">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严重</w:t>
            </w:r>
          </w:p>
        </w:tc>
        <w:tc>
          <w:tcPr>
            <w:tcW w:w="306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7EB50E5">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占地面积</w:t>
            </w:r>
            <w:r>
              <w:rPr>
                <w:rFonts w:hint="eastAsia" w:ascii="宋体" w:hAnsi="宋体" w:eastAsia="宋体" w:cs="宋体"/>
                <w:color w:val="000000"/>
                <w:kern w:val="0"/>
                <w:sz w:val="18"/>
                <w:szCs w:val="18"/>
                <w:lang w:val="en-US" w:eastAsia="zh-CN" w:bidi="ar"/>
              </w:rPr>
              <w:t>10</w:t>
            </w:r>
            <w:r>
              <w:rPr>
                <w:rFonts w:hint="eastAsia" w:ascii="宋体" w:hAnsi="宋体" w:eastAsia="宋体" w:cs="宋体"/>
                <w:color w:val="000000"/>
                <w:kern w:val="0"/>
                <w:sz w:val="18"/>
                <w:szCs w:val="18"/>
                <w:lang w:bidi="ar"/>
              </w:rPr>
              <w:t>公顷以上的</w:t>
            </w:r>
          </w:p>
        </w:tc>
        <w:tc>
          <w:tcPr>
            <w:tcW w:w="236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97BDF01">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处</w:t>
            </w:r>
            <w:r>
              <w:rPr>
                <w:rFonts w:hint="eastAsia" w:ascii="宋体" w:hAnsi="宋体" w:eastAsia="宋体" w:cs="宋体"/>
                <w:color w:val="000000"/>
                <w:kern w:val="0"/>
                <w:sz w:val="18"/>
                <w:szCs w:val="18"/>
                <w:lang w:val="en-US" w:eastAsia="zh-CN" w:bidi="ar"/>
              </w:rPr>
              <w:t>35</w:t>
            </w:r>
            <w:r>
              <w:rPr>
                <w:rFonts w:hint="eastAsia" w:ascii="宋体" w:hAnsi="宋体" w:eastAsia="宋体" w:cs="宋体"/>
                <w:color w:val="000000"/>
                <w:kern w:val="0"/>
                <w:sz w:val="18"/>
                <w:szCs w:val="18"/>
                <w:lang w:bidi="ar"/>
              </w:rPr>
              <w:t>万元以上</w:t>
            </w:r>
            <w:r>
              <w:rPr>
                <w:rFonts w:hint="eastAsia" w:ascii="宋体" w:hAnsi="宋体" w:eastAsia="宋体" w:cs="宋体"/>
                <w:color w:val="000000"/>
                <w:kern w:val="0"/>
                <w:sz w:val="18"/>
                <w:szCs w:val="18"/>
                <w:lang w:val="en-US" w:eastAsia="zh-CN" w:bidi="ar"/>
              </w:rPr>
              <w:t>50</w:t>
            </w:r>
            <w:r>
              <w:rPr>
                <w:rFonts w:hint="eastAsia" w:ascii="宋体" w:hAnsi="宋体" w:eastAsia="宋体" w:cs="宋体"/>
                <w:color w:val="000000"/>
                <w:kern w:val="0"/>
                <w:sz w:val="18"/>
                <w:szCs w:val="18"/>
                <w:lang w:bidi="ar"/>
              </w:rPr>
              <w:t>万元以下的罚款</w:t>
            </w:r>
          </w:p>
        </w:tc>
        <w:tc>
          <w:tcPr>
            <w:tcW w:w="958" w:type="dxa"/>
            <w:vMerge w:val="continue"/>
            <w:tcBorders>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BE3F64C">
            <w:pPr>
              <w:widowControl/>
              <w:spacing w:line="260" w:lineRule="exact"/>
              <w:jc w:val="center"/>
              <w:textAlignment w:val="center"/>
              <w:rPr>
                <w:rFonts w:hint="eastAsia" w:ascii="宋体" w:hAnsi="宋体" w:eastAsia="宋体" w:cs="宋体"/>
                <w:color w:val="000000"/>
                <w:kern w:val="0"/>
                <w:sz w:val="18"/>
                <w:szCs w:val="18"/>
                <w:lang w:bidi="ar"/>
              </w:rPr>
            </w:pPr>
          </w:p>
        </w:tc>
      </w:tr>
      <w:tr w14:paraId="32D8B0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10" w:hRule="atLeast"/>
          <w:jc w:val="center"/>
        </w:trPr>
        <w:tc>
          <w:tcPr>
            <w:tcW w:w="510" w:type="dxa"/>
            <w:vMerge w:val="restart"/>
            <w:tcBorders>
              <w:left w:val="single" w:color="auto" w:sz="4" w:space="0"/>
              <w:right w:val="single" w:color="auto" w:sz="4" w:space="0"/>
            </w:tcBorders>
            <w:noWrap w:val="0"/>
            <w:tcMar>
              <w:top w:w="0" w:type="dxa"/>
              <w:left w:w="0" w:type="dxa"/>
              <w:bottom w:w="0" w:type="dxa"/>
              <w:right w:w="0" w:type="dxa"/>
            </w:tcMar>
            <w:vAlign w:val="center"/>
          </w:tcPr>
          <w:p w14:paraId="5E3E49D9">
            <w:pPr>
              <w:widowControl/>
              <w:spacing w:line="260" w:lineRule="exact"/>
              <w:jc w:val="center"/>
              <w:textAlignment w:val="center"/>
              <w:rPr>
                <w:rFonts w:hint="eastAsia" w:ascii="宋体" w:hAnsi="宋体" w:eastAsia="宋体" w:cs="宋体"/>
                <w:sz w:val="18"/>
                <w:szCs w:val="18"/>
              </w:rPr>
            </w:pPr>
            <w:r>
              <w:rPr>
                <w:rFonts w:hint="eastAsia" w:ascii="宋体" w:hAnsi="宋体" w:eastAsia="宋体" w:cs="宋体"/>
                <w:color w:val="000000"/>
                <w:kern w:val="0"/>
                <w:sz w:val="18"/>
                <w:szCs w:val="18"/>
                <w:lang w:bidi="ar"/>
              </w:rPr>
              <w:t>51</w:t>
            </w:r>
          </w:p>
        </w:tc>
        <w:tc>
          <w:tcPr>
            <w:tcW w:w="1260" w:type="dxa"/>
            <w:vMerge w:val="restart"/>
            <w:tcBorders>
              <w:left w:val="single" w:color="auto" w:sz="4" w:space="0"/>
              <w:right w:val="single" w:color="auto" w:sz="4" w:space="0"/>
            </w:tcBorders>
            <w:noWrap w:val="0"/>
            <w:tcMar>
              <w:top w:w="0" w:type="dxa"/>
              <w:left w:w="0" w:type="dxa"/>
              <w:bottom w:w="0" w:type="dxa"/>
              <w:right w:w="0" w:type="dxa"/>
            </w:tcMar>
            <w:vAlign w:val="center"/>
          </w:tcPr>
          <w:p w14:paraId="7F90EE81">
            <w:pPr>
              <w:widowControl/>
              <w:spacing w:line="260" w:lineRule="exact"/>
              <w:jc w:val="both"/>
              <w:textAlignment w:val="center"/>
              <w:rPr>
                <w:rFonts w:hint="eastAsia" w:ascii="宋体" w:hAnsi="宋体" w:eastAsia="宋体" w:cs="宋体"/>
                <w:kern w:val="0"/>
                <w:sz w:val="18"/>
                <w:szCs w:val="18"/>
                <w:lang w:bidi="ar"/>
              </w:rPr>
            </w:pPr>
            <w:r>
              <w:rPr>
                <w:rFonts w:hint="eastAsia" w:ascii="宋体" w:hAnsi="宋体" w:eastAsia="宋体" w:cs="宋体"/>
                <w:color w:val="000000"/>
                <w:kern w:val="0"/>
                <w:sz w:val="18"/>
                <w:szCs w:val="18"/>
                <w:lang w:bidi="ar"/>
              </w:rPr>
              <w:t>对在水土保持方案确定的专门存放地以外的区域倾倒砂、石、土、矸石、尾矿、废渣等行为的行政处罚</w:t>
            </w:r>
          </w:p>
        </w:tc>
        <w:tc>
          <w:tcPr>
            <w:tcW w:w="3895" w:type="dxa"/>
            <w:vMerge w:val="restart"/>
            <w:tcBorders>
              <w:left w:val="single" w:color="auto" w:sz="4" w:space="0"/>
              <w:right w:val="single" w:color="auto" w:sz="4" w:space="0"/>
            </w:tcBorders>
            <w:noWrap w:val="0"/>
            <w:tcMar>
              <w:top w:w="0" w:type="dxa"/>
              <w:left w:w="0" w:type="dxa"/>
              <w:bottom w:w="0" w:type="dxa"/>
              <w:right w:w="0" w:type="dxa"/>
            </w:tcMar>
            <w:vAlign w:val="center"/>
          </w:tcPr>
          <w:p w14:paraId="739865AD">
            <w:pPr>
              <w:widowControl/>
              <w:spacing w:line="260" w:lineRule="exact"/>
              <w:jc w:val="both"/>
              <w:textAlignment w:val="center"/>
              <w:rPr>
                <w:rFonts w:hint="eastAsia" w:ascii="宋体" w:hAnsi="宋体" w:eastAsia="宋体" w:cs="宋体"/>
                <w:kern w:val="0"/>
                <w:sz w:val="18"/>
                <w:szCs w:val="18"/>
                <w:lang w:bidi="ar"/>
              </w:rPr>
            </w:pPr>
            <w:r>
              <w:rPr>
                <w:rFonts w:hint="eastAsia" w:ascii="宋体" w:hAnsi="宋体" w:eastAsia="宋体" w:cs="宋体"/>
                <w:color w:val="000000"/>
                <w:kern w:val="0"/>
                <w:sz w:val="18"/>
                <w:szCs w:val="18"/>
                <w:lang w:bidi="ar"/>
              </w:rPr>
              <w:t>《中华人民共和国水土保持法》第五十五条 违反本法规定，在水土保持方案确定的专门存放地以外的区域倾倒砂、石、土、矸石、尾矿、废渣等的，由县级以上地方人民政府水行政主管部门责令停止违法行为，限期清理，按照倾倒数量处每立方米十元以上二十元以下的罚款；逾期仍不清理的，县级以上地方人民政府水行政主管部门可以指定有清理能力的单位代为清理，所需费用由违法行为人承担。</w:t>
            </w:r>
          </w:p>
        </w:tc>
        <w:tc>
          <w:tcPr>
            <w:tcW w:w="2342" w:type="dxa"/>
            <w:vMerge w:val="restart"/>
            <w:tcBorders>
              <w:left w:val="single" w:color="auto" w:sz="4" w:space="0"/>
              <w:right w:val="single" w:color="auto" w:sz="4" w:space="0"/>
            </w:tcBorders>
            <w:noWrap w:val="0"/>
            <w:tcMar>
              <w:top w:w="0" w:type="dxa"/>
              <w:left w:w="0" w:type="dxa"/>
              <w:bottom w:w="0" w:type="dxa"/>
              <w:right w:w="0" w:type="dxa"/>
            </w:tcMar>
            <w:vAlign w:val="center"/>
          </w:tcPr>
          <w:p w14:paraId="601FAE6A">
            <w:pPr>
              <w:spacing w:line="260" w:lineRule="exact"/>
              <w:jc w:val="both"/>
              <w:rPr>
                <w:rFonts w:hint="eastAsia" w:ascii="宋体" w:hAnsi="宋体" w:eastAsia="宋体" w:cs="宋体"/>
                <w:sz w:val="18"/>
                <w:szCs w:val="18"/>
              </w:rPr>
            </w:pPr>
            <w:r>
              <w:rPr>
                <w:rFonts w:hint="eastAsia" w:ascii="宋体" w:hAnsi="宋体" w:eastAsia="宋体" w:cs="宋体"/>
                <w:color w:val="000000"/>
                <w:kern w:val="0"/>
                <w:sz w:val="18"/>
                <w:szCs w:val="18"/>
                <w:lang w:bidi="ar"/>
              </w:rPr>
              <w:t>在水土保持方案确定的专门存放地以外的区域倾倒砂、石、土、矸石、尾矿、废渣等行为的</w:t>
            </w:r>
          </w:p>
        </w:tc>
        <w:tc>
          <w:tcPr>
            <w:tcW w:w="6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4CE119B">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轻微</w:t>
            </w:r>
          </w:p>
        </w:tc>
        <w:tc>
          <w:tcPr>
            <w:tcW w:w="306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E0A5CD3">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1.初次违法；</w:t>
            </w:r>
          </w:p>
          <w:p w14:paraId="1E95DFBD">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2.签署承诺书，在水土保持方案确定的专门存放地以外的区域倾倒砂、石、土、矸石、尾矿、废渣等在五百立方米以下的，立即停止违法行为、限期清理，没有造成水土流失危害后果的；</w:t>
            </w:r>
          </w:p>
          <w:p w14:paraId="509CB89A">
            <w:pPr>
              <w:widowControl/>
              <w:spacing w:line="260" w:lineRule="exact"/>
              <w:jc w:val="both"/>
              <w:textAlignment w:val="center"/>
              <w:rPr>
                <w:rFonts w:hint="eastAsia" w:ascii="宋体" w:hAnsi="宋体" w:eastAsia="宋体" w:cs="宋体"/>
                <w:color w:val="000000"/>
                <w:kern w:val="0"/>
                <w:sz w:val="18"/>
                <w:szCs w:val="18"/>
                <w:lang w:bidi="ar"/>
              </w:rPr>
            </w:pPr>
            <w:r>
              <w:rPr>
                <w:rStyle w:val="21"/>
                <w:rFonts w:hint="eastAsia" w:ascii="宋体" w:hAnsi="宋体" w:eastAsia="宋体" w:cs="宋体"/>
                <w:sz w:val="18"/>
                <w:szCs w:val="18"/>
                <w:lang w:val="en-US" w:eastAsia="zh-CN" w:bidi="ar"/>
              </w:rPr>
              <w:t>（注：符合上述所有情形的，不予处罚，应将本次违法情况进行登记备案，以后再发生类似问题的将不再适用本条件）</w:t>
            </w:r>
          </w:p>
        </w:tc>
        <w:tc>
          <w:tcPr>
            <w:tcW w:w="236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F3F5597">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不予处罚</w:t>
            </w:r>
          </w:p>
        </w:tc>
        <w:tc>
          <w:tcPr>
            <w:tcW w:w="958" w:type="dxa"/>
            <w:vMerge w:val="restart"/>
            <w:tcBorders>
              <w:top w:val="single" w:color="auto" w:sz="4" w:space="0"/>
              <w:left w:val="single" w:color="auto" w:sz="4" w:space="0"/>
              <w:right w:val="single" w:color="auto" w:sz="4" w:space="0"/>
            </w:tcBorders>
            <w:noWrap w:val="0"/>
            <w:tcMar>
              <w:top w:w="0" w:type="dxa"/>
              <w:left w:w="0" w:type="dxa"/>
              <w:bottom w:w="0" w:type="dxa"/>
              <w:right w:w="0" w:type="dxa"/>
            </w:tcMar>
            <w:vAlign w:val="center"/>
          </w:tcPr>
          <w:p w14:paraId="71F01D0B">
            <w:pPr>
              <w:widowControl/>
              <w:spacing w:line="260" w:lineRule="exact"/>
              <w:jc w:val="center"/>
              <w:textAlignment w:val="center"/>
              <w:rPr>
                <w:rFonts w:hint="eastAsia" w:ascii="宋体" w:hAnsi="宋体" w:eastAsia="宋体" w:cs="宋体"/>
                <w:color w:val="000000"/>
                <w:kern w:val="0"/>
                <w:sz w:val="18"/>
                <w:szCs w:val="18"/>
                <w:lang w:bidi="ar"/>
              </w:rPr>
            </w:pPr>
          </w:p>
        </w:tc>
      </w:tr>
      <w:tr w14:paraId="4E31B4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510" w:type="dxa"/>
            <w:vMerge w:val="continue"/>
            <w:tcBorders>
              <w:left w:val="single" w:color="auto" w:sz="4" w:space="0"/>
              <w:right w:val="single" w:color="auto" w:sz="4" w:space="0"/>
            </w:tcBorders>
            <w:noWrap w:val="0"/>
            <w:tcMar>
              <w:top w:w="0" w:type="dxa"/>
              <w:left w:w="0" w:type="dxa"/>
              <w:bottom w:w="0" w:type="dxa"/>
              <w:right w:w="0" w:type="dxa"/>
            </w:tcMar>
            <w:vAlign w:val="center"/>
          </w:tcPr>
          <w:p w14:paraId="79F7E5B5">
            <w:pPr>
              <w:spacing w:line="260" w:lineRule="exact"/>
              <w:jc w:val="center"/>
              <w:rPr>
                <w:rFonts w:hint="eastAsia" w:ascii="宋体" w:hAnsi="宋体" w:eastAsia="宋体" w:cs="宋体"/>
                <w:sz w:val="18"/>
                <w:szCs w:val="18"/>
              </w:rPr>
            </w:pPr>
          </w:p>
        </w:tc>
        <w:tc>
          <w:tcPr>
            <w:tcW w:w="1260" w:type="dxa"/>
            <w:vMerge w:val="continue"/>
            <w:tcBorders>
              <w:left w:val="single" w:color="auto" w:sz="4" w:space="0"/>
              <w:right w:val="single" w:color="auto" w:sz="4" w:space="0"/>
            </w:tcBorders>
            <w:noWrap w:val="0"/>
            <w:tcMar>
              <w:top w:w="0" w:type="dxa"/>
              <w:left w:w="0" w:type="dxa"/>
              <w:bottom w:w="0" w:type="dxa"/>
              <w:right w:w="0" w:type="dxa"/>
            </w:tcMar>
            <w:vAlign w:val="center"/>
          </w:tcPr>
          <w:p w14:paraId="279B8100">
            <w:pPr>
              <w:widowControl/>
              <w:spacing w:line="260" w:lineRule="exact"/>
              <w:textAlignment w:val="center"/>
              <w:rPr>
                <w:rFonts w:hint="eastAsia" w:ascii="宋体" w:hAnsi="宋体" w:eastAsia="宋体" w:cs="宋体"/>
                <w:kern w:val="0"/>
                <w:sz w:val="18"/>
                <w:szCs w:val="18"/>
                <w:lang w:bidi="ar"/>
              </w:rPr>
            </w:pPr>
          </w:p>
        </w:tc>
        <w:tc>
          <w:tcPr>
            <w:tcW w:w="3895" w:type="dxa"/>
            <w:vMerge w:val="continue"/>
            <w:tcBorders>
              <w:left w:val="single" w:color="auto" w:sz="4" w:space="0"/>
              <w:right w:val="single" w:color="auto" w:sz="4" w:space="0"/>
            </w:tcBorders>
            <w:noWrap w:val="0"/>
            <w:tcMar>
              <w:top w:w="0" w:type="dxa"/>
              <w:left w:w="0" w:type="dxa"/>
              <w:bottom w:w="0" w:type="dxa"/>
              <w:right w:w="0" w:type="dxa"/>
            </w:tcMar>
            <w:vAlign w:val="center"/>
          </w:tcPr>
          <w:p w14:paraId="7C3F26FD">
            <w:pPr>
              <w:widowControl/>
              <w:spacing w:line="260" w:lineRule="exact"/>
              <w:ind w:firstLine="360" w:firstLineChars="200"/>
              <w:textAlignment w:val="center"/>
              <w:rPr>
                <w:rFonts w:hint="eastAsia" w:ascii="宋体" w:hAnsi="宋体" w:eastAsia="宋体" w:cs="宋体"/>
                <w:kern w:val="0"/>
                <w:sz w:val="18"/>
                <w:szCs w:val="18"/>
                <w:lang w:bidi="ar"/>
              </w:rPr>
            </w:pPr>
          </w:p>
        </w:tc>
        <w:tc>
          <w:tcPr>
            <w:tcW w:w="2342" w:type="dxa"/>
            <w:vMerge w:val="continue"/>
            <w:tcBorders>
              <w:left w:val="single" w:color="auto" w:sz="4" w:space="0"/>
              <w:right w:val="single" w:color="auto" w:sz="4" w:space="0"/>
            </w:tcBorders>
            <w:noWrap w:val="0"/>
            <w:tcMar>
              <w:top w:w="0" w:type="dxa"/>
              <w:left w:w="0" w:type="dxa"/>
              <w:bottom w:w="0" w:type="dxa"/>
              <w:right w:w="0" w:type="dxa"/>
            </w:tcMar>
            <w:vAlign w:val="center"/>
          </w:tcPr>
          <w:p w14:paraId="6FACFAAD">
            <w:pPr>
              <w:spacing w:line="260" w:lineRule="exact"/>
              <w:jc w:val="both"/>
              <w:rPr>
                <w:rFonts w:hint="eastAsia" w:ascii="宋体" w:hAnsi="宋体" w:eastAsia="宋体" w:cs="宋体"/>
                <w:sz w:val="18"/>
                <w:szCs w:val="18"/>
              </w:rPr>
            </w:pPr>
          </w:p>
        </w:tc>
        <w:tc>
          <w:tcPr>
            <w:tcW w:w="6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7FC0546">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较轻</w:t>
            </w:r>
          </w:p>
        </w:tc>
        <w:tc>
          <w:tcPr>
            <w:tcW w:w="306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171B422">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采取符合标准的水土保持措施，无安全隐患，尚未造成水土流失，倾倒数量</w:t>
            </w:r>
            <w:r>
              <w:rPr>
                <w:rFonts w:hint="eastAsia" w:ascii="宋体" w:hAnsi="宋体" w:eastAsia="宋体" w:cs="宋体"/>
                <w:color w:val="000000"/>
                <w:kern w:val="0"/>
                <w:sz w:val="18"/>
                <w:szCs w:val="18"/>
                <w:lang w:val="en-US" w:eastAsia="zh-CN" w:bidi="ar"/>
              </w:rPr>
              <w:t>500</w:t>
            </w:r>
            <w:r>
              <w:rPr>
                <w:rFonts w:hint="eastAsia" w:ascii="宋体" w:hAnsi="宋体" w:eastAsia="宋体" w:cs="宋体"/>
                <w:color w:val="000000"/>
                <w:kern w:val="0"/>
                <w:sz w:val="18"/>
                <w:szCs w:val="18"/>
                <w:lang w:bidi="ar"/>
              </w:rPr>
              <w:t>立方米以上的</w:t>
            </w:r>
          </w:p>
        </w:tc>
        <w:tc>
          <w:tcPr>
            <w:tcW w:w="236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B54DD93">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按照倾倒数量处每立方米</w:t>
            </w:r>
            <w:r>
              <w:rPr>
                <w:rFonts w:hint="eastAsia" w:ascii="宋体" w:hAnsi="宋体" w:eastAsia="宋体" w:cs="宋体"/>
                <w:color w:val="000000"/>
                <w:kern w:val="0"/>
                <w:sz w:val="18"/>
                <w:szCs w:val="18"/>
                <w:lang w:val="en-US" w:eastAsia="zh-CN" w:bidi="ar"/>
              </w:rPr>
              <w:t>10</w:t>
            </w:r>
            <w:r>
              <w:rPr>
                <w:rFonts w:hint="eastAsia" w:ascii="宋体" w:hAnsi="宋体" w:eastAsia="宋体" w:cs="宋体"/>
                <w:color w:val="000000"/>
                <w:kern w:val="0"/>
                <w:sz w:val="18"/>
                <w:szCs w:val="18"/>
                <w:lang w:bidi="ar"/>
              </w:rPr>
              <w:t>元以上</w:t>
            </w:r>
            <w:r>
              <w:rPr>
                <w:rFonts w:hint="eastAsia" w:ascii="宋体" w:hAnsi="宋体" w:eastAsia="宋体" w:cs="宋体"/>
                <w:color w:val="000000"/>
                <w:kern w:val="0"/>
                <w:sz w:val="18"/>
                <w:szCs w:val="18"/>
                <w:lang w:val="en-US" w:eastAsia="zh-CN" w:bidi="ar"/>
              </w:rPr>
              <w:t>12</w:t>
            </w:r>
            <w:r>
              <w:rPr>
                <w:rFonts w:hint="eastAsia" w:ascii="宋体" w:hAnsi="宋体" w:eastAsia="宋体" w:cs="宋体"/>
                <w:color w:val="000000"/>
                <w:kern w:val="0"/>
                <w:sz w:val="18"/>
                <w:szCs w:val="18"/>
                <w:lang w:bidi="ar"/>
              </w:rPr>
              <w:t>元以下的罚款</w:t>
            </w:r>
          </w:p>
        </w:tc>
        <w:tc>
          <w:tcPr>
            <w:tcW w:w="958" w:type="dxa"/>
            <w:vMerge w:val="continue"/>
            <w:tcBorders>
              <w:left w:val="single" w:color="auto" w:sz="4" w:space="0"/>
              <w:right w:val="single" w:color="auto" w:sz="4" w:space="0"/>
            </w:tcBorders>
            <w:noWrap w:val="0"/>
            <w:tcMar>
              <w:top w:w="0" w:type="dxa"/>
              <w:left w:w="0" w:type="dxa"/>
              <w:bottom w:w="0" w:type="dxa"/>
              <w:right w:w="0" w:type="dxa"/>
            </w:tcMar>
            <w:vAlign w:val="center"/>
          </w:tcPr>
          <w:p w14:paraId="26D81538">
            <w:pPr>
              <w:widowControl/>
              <w:spacing w:line="260" w:lineRule="exact"/>
              <w:jc w:val="center"/>
              <w:textAlignment w:val="center"/>
              <w:rPr>
                <w:rFonts w:hint="eastAsia" w:ascii="宋体" w:hAnsi="宋体" w:eastAsia="宋体" w:cs="宋体"/>
                <w:color w:val="000000"/>
                <w:kern w:val="0"/>
                <w:sz w:val="18"/>
                <w:szCs w:val="18"/>
                <w:lang w:bidi="ar"/>
              </w:rPr>
            </w:pPr>
          </w:p>
        </w:tc>
      </w:tr>
      <w:tr w14:paraId="5A11BB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jc w:val="center"/>
        </w:trPr>
        <w:tc>
          <w:tcPr>
            <w:tcW w:w="510" w:type="dxa"/>
            <w:vMerge w:val="continue"/>
            <w:tcBorders>
              <w:left w:val="single" w:color="auto" w:sz="4" w:space="0"/>
              <w:right w:val="single" w:color="auto" w:sz="4" w:space="0"/>
            </w:tcBorders>
            <w:noWrap w:val="0"/>
            <w:tcMar>
              <w:top w:w="0" w:type="dxa"/>
              <w:left w:w="0" w:type="dxa"/>
              <w:bottom w:w="0" w:type="dxa"/>
              <w:right w:w="0" w:type="dxa"/>
            </w:tcMar>
            <w:vAlign w:val="center"/>
          </w:tcPr>
          <w:p w14:paraId="3259A8E0">
            <w:pPr>
              <w:spacing w:line="260" w:lineRule="exact"/>
              <w:jc w:val="center"/>
              <w:rPr>
                <w:rFonts w:hint="eastAsia" w:ascii="宋体" w:hAnsi="宋体" w:eastAsia="宋体" w:cs="宋体"/>
                <w:sz w:val="18"/>
                <w:szCs w:val="18"/>
              </w:rPr>
            </w:pPr>
          </w:p>
        </w:tc>
        <w:tc>
          <w:tcPr>
            <w:tcW w:w="1260" w:type="dxa"/>
            <w:vMerge w:val="continue"/>
            <w:tcBorders>
              <w:left w:val="single" w:color="auto" w:sz="4" w:space="0"/>
              <w:right w:val="single" w:color="auto" w:sz="4" w:space="0"/>
            </w:tcBorders>
            <w:noWrap w:val="0"/>
            <w:tcMar>
              <w:top w:w="0" w:type="dxa"/>
              <w:left w:w="0" w:type="dxa"/>
              <w:bottom w:w="0" w:type="dxa"/>
              <w:right w:w="0" w:type="dxa"/>
            </w:tcMar>
            <w:vAlign w:val="center"/>
          </w:tcPr>
          <w:p w14:paraId="6737A08A">
            <w:pPr>
              <w:widowControl/>
              <w:spacing w:line="260" w:lineRule="exact"/>
              <w:textAlignment w:val="center"/>
              <w:rPr>
                <w:rFonts w:hint="eastAsia" w:ascii="宋体" w:hAnsi="宋体" w:eastAsia="宋体" w:cs="宋体"/>
                <w:kern w:val="0"/>
                <w:sz w:val="18"/>
                <w:szCs w:val="18"/>
                <w:lang w:bidi="ar"/>
              </w:rPr>
            </w:pPr>
          </w:p>
        </w:tc>
        <w:tc>
          <w:tcPr>
            <w:tcW w:w="3895" w:type="dxa"/>
            <w:vMerge w:val="continue"/>
            <w:tcBorders>
              <w:left w:val="single" w:color="auto" w:sz="4" w:space="0"/>
              <w:right w:val="single" w:color="auto" w:sz="4" w:space="0"/>
            </w:tcBorders>
            <w:noWrap w:val="0"/>
            <w:tcMar>
              <w:top w:w="0" w:type="dxa"/>
              <w:left w:w="0" w:type="dxa"/>
              <w:bottom w:w="0" w:type="dxa"/>
              <w:right w:w="0" w:type="dxa"/>
            </w:tcMar>
            <w:vAlign w:val="center"/>
          </w:tcPr>
          <w:p w14:paraId="36A7D3F7">
            <w:pPr>
              <w:widowControl/>
              <w:spacing w:line="260" w:lineRule="exact"/>
              <w:ind w:firstLine="360" w:firstLineChars="200"/>
              <w:textAlignment w:val="center"/>
              <w:rPr>
                <w:rFonts w:hint="eastAsia" w:ascii="宋体" w:hAnsi="宋体" w:eastAsia="宋体" w:cs="宋体"/>
                <w:kern w:val="0"/>
                <w:sz w:val="18"/>
                <w:szCs w:val="18"/>
                <w:lang w:bidi="ar"/>
              </w:rPr>
            </w:pPr>
          </w:p>
        </w:tc>
        <w:tc>
          <w:tcPr>
            <w:tcW w:w="2342" w:type="dxa"/>
            <w:vMerge w:val="continue"/>
            <w:tcBorders>
              <w:left w:val="single" w:color="auto" w:sz="4" w:space="0"/>
              <w:right w:val="single" w:color="auto" w:sz="4" w:space="0"/>
            </w:tcBorders>
            <w:noWrap w:val="0"/>
            <w:tcMar>
              <w:top w:w="0" w:type="dxa"/>
              <w:left w:w="0" w:type="dxa"/>
              <w:bottom w:w="0" w:type="dxa"/>
              <w:right w:w="0" w:type="dxa"/>
            </w:tcMar>
            <w:vAlign w:val="center"/>
          </w:tcPr>
          <w:p w14:paraId="4B4A52D2">
            <w:pPr>
              <w:spacing w:line="260" w:lineRule="exact"/>
              <w:jc w:val="both"/>
              <w:rPr>
                <w:rFonts w:hint="eastAsia" w:ascii="宋体" w:hAnsi="宋体" w:eastAsia="宋体" w:cs="宋体"/>
                <w:sz w:val="18"/>
                <w:szCs w:val="18"/>
              </w:rPr>
            </w:pPr>
          </w:p>
        </w:tc>
        <w:tc>
          <w:tcPr>
            <w:tcW w:w="6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DFBE880">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一般</w:t>
            </w:r>
          </w:p>
        </w:tc>
        <w:tc>
          <w:tcPr>
            <w:tcW w:w="306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FD50803">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采取部分水土保持措施，无安全隐患，造成水土流失</w:t>
            </w:r>
          </w:p>
        </w:tc>
        <w:tc>
          <w:tcPr>
            <w:tcW w:w="236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5CB8F9D">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按照倾倒数量处每立方米</w:t>
            </w:r>
            <w:r>
              <w:rPr>
                <w:rFonts w:hint="eastAsia" w:ascii="宋体" w:hAnsi="宋体" w:eastAsia="宋体" w:cs="宋体"/>
                <w:color w:val="000000"/>
                <w:kern w:val="0"/>
                <w:sz w:val="18"/>
                <w:szCs w:val="18"/>
                <w:lang w:val="en-US" w:eastAsia="zh-CN" w:bidi="ar"/>
              </w:rPr>
              <w:t>12</w:t>
            </w:r>
            <w:r>
              <w:rPr>
                <w:rFonts w:hint="eastAsia" w:ascii="宋体" w:hAnsi="宋体" w:eastAsia="宋体" w:cs="宋体"/>
                <w:color w:val="000000"/>
                <w:kern w:val="0"/>
                <w:sz w:val="18"/>
                <w:szCs w:val="18"/>
                <w:lang w:bidi="ar"/>
              </w:rPr>
              <w:t>元以上</w:t>
            </w:r>
            <w:r>
              <w:rPr>
                <w:rFonts w:hint="eastAsia" w:ascii="宋体" w:hAnsi="宋体" w:eastAsia="宋体" w:cs="宋体"/>
                <w:color w:val="000000"/>
                <w:kern w:val="0"/>
                <w:sz w:val="18"/>
                <w:szCs w:val="18"/>
                <w:lang w:val="en-US" w:eastAsia="zh-CN" w:bidi="ar"/>
              </w:rPr>
              <w:t>15</w:t>
            </w:r>
            <w:r>
              <w:rPr>
                <w:rFonts w:hint="eastAsia" w:ascii="宋体" w:hAnsi="宋体" w:eastAsia="宋体" w:cs="宋体"/>
                <w:color w:val="000000"/>
                <w:kern w:val="0"/>
                <w:sz w:val="18"/>
                <w:szCs w:val="18"/>
                <w:lang w:bidi="ar"/>
              </w:rPr>
              <w:t>元以下的罚款</w:t>
            </w:r>
          </w:p>
        </w:tc>
        <w:tc>
          <w:tcPr>
            <w:tcW w:w="958" w:type="dxa"/>
            <w:vMerge w:val="continue"/>
            <w:tcBorders>
              <w:left w:val="single" w:color="auto" w:sz="4" w:space="0"/>
              <w:right w:val="single" w:color="auto" w:sz="4" w:space="0"/>
            </w:tcBorders>
            <w:noWrap w:val="0"/>
            <w:tcMar>
              <w:top w:w="0" w:type="dxa"/>
              <w:left w:w="0" w:type="dxa"/>
              <w:bottom w:w="0" w:type="dxa"/>
              <w:right w:w="0" w:type="dxa"/>
            </w:tcMar>
            <w:vAlign w:val="center"/>
          </w:tcPr>
          <w:p w14:paraId="734E2191">
            <w:pPr>
              <w:widowControl/>
              <w:spacing w:line="260" w:lineRule="exact"/>
              <w:jc w:val="center"/>
              <w:textAlignment w:val="center"/>
              <w:rPr>
                <w:rFonts w:hint="eastAsia" w:ascii="宋体" w:hAnsi="宋体" w:eastAsia="宋体" w:cs="宋体"/>
                <w:color w:val="000000"/>
                <w:kern w:val="0"/>
                <w:sz w:val="18"/>
                <w:szCs w:val="18"/>
                <w:lang w:bidi="ar"/>
              </w:rPr>
            </w:pPr>
          </w:p>
        </w:tc>
      </w:tr>
      <w:tr w14:paraId="2C59F9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510" w:type="dxa"/>
            <w:vMerge w:val="continue"/>
            <w:tcBorders>
              <w:left w:val="single" w:color="auto" w:sz="4" w:space="0"/>
              <w:right w:val="single" w:color="auto" w:sz="4" w:space="0"/>
            </w:tcBorders>
            <w:noWrap w:val="0"/>
            <w:tcMar>
              <w:top w:w="0" w:type="dxa"/>
              <w:left w:w="0" w:type="dxa"/>
              <w:bottom w:w="0" w:type="dxa"/>
              <w:right w:w="0" w:type="dxa"/>
            </w:tcMar>
            <w:vAlign w:val="center"/>
          </w:tcPr>
          <w:p w14:paraId="5DC2EE7A">
            <w:pPr>
              <w:spacing w:line="260" w:lineRule="exact"/>
              <w:jc w:val="center"/>
              <w:rPr>
                <w:rFonts w:hint="eastAsia" w:ascii="宋体" w:hAnsi="宋体" w:eastAsia="宋体" w:cs="宋体"/>
                <w:sz w:val="18"/>
                <w:szCs w:val="18"/>
              </w:rPr>
            </w:pPr>
          </w:p>
        </w:tc>
        <w:tc>
          <w:tcPr>
            <w:tcW w:w="1260" w:type="dxa"/>
            <w:vMerge w:val="continue"/>
            <w:tcBorders>
              <w:left w:val="single" w:color="auto" w:sz="4" w:space="0"/>
              <w:right w:val="single" w:color="auto" w:sz="4" w:space="0"/>
            </w:tcBorders>
            <w:noWrap w:val="0"/>
            <w:tcMar>
              <w:top w:w="0" w:type="dxa"/>
              <w:left w:w="0" w:type="dxa"/>
              <w:bottom w:w="0" w:type="dxa"/>
              <w:right w:w="0" w:type="dxa"/>
            </w:tcMar>
            <w:vAlign w:val="center"/>
          </w:tcPr>
          <w:p w14:paraId="01A24359">
            <w:pPr>
              <w:widowControl/>
              <w:spacing w:line="260" w:lineRule="exact"/>
              <w:textAlignment w:val="center"/>
              <w:rPr>
                <w:rFonts w:hint="eastAsia" w:ascii="宋体" w:hAnsi="宋体" w:eastAsia="宋体" w:cs="宋体"/>
                <w:kern w:val="0"/>
                <w:sz w:val="18"/>
                <w:szCs w:val="18"/>
                <w:lang w:bidi="ar"/>
              </w:rPr>
            </w:pPr>
          </w:p>
        </w:tc>
        <w:tc>
          <w:tcPr>
            <w:tcW w:w="3895" w:type="dxa"/>
            <w:vMerge w:val="continue"/>
            <w:tcBorders>
              <w:left w:val="single" w:color="auto" w:sz="4" w:space="0"/>
              <w:right w:val="single" w:color="auto" w:sz="4" w:space="0"/>
            </w:tcBorders>
            <w:noWrap w:val="0"/>
            <w:tcMar>
              <w:top w:w="0" w:type="dxa"/>
              <w:left w:w="0" w:type="dxa"/>
              <w:bottom w:w="0" w:type="dxa"/>
              <w:right w:w="0" w:type="dxa"/>
            </w:tcMar>
            <w:vAlign w:val="center"/>
          </w:tcPr>
          <w:p w14:paraId="721EF90C">
            <w:pPr>
              <w:widowControl/>
              <w:spacing w:line="260" w:lineRule="exact"/>
              <w:ind w:firstLine="360" w:firstLineChars="200"/>
              <w:textAlignment w:val="center"/>
              <w:rPr>
                <w:rFonts w:hint="eastAsia" w:ascii="宋体" w:hAnsi="宋体" w:eastAsia="宋体" w:cs="宋体"/>
                <w:kern w:val="0"/>
                <w:sz w:val="18"/>
                <w:szCs w:val="18"/>
                <w:lang w:bidi="ar"/>
              </w:rPr>
            </w:pPr>
          </w:p>
        </w:tc>
        <w:tc>
          <w:tcPr>
            <w:tcW w:w="2342" w:type="dxa"/>
            <w:vMerge w:val="continue"/>
            <w:tcBorders>
              <w:left w:val="single" w:color="auto" w:sz="4" w:space="0"/>
              <w:right w:val="single" w:color="auto" w:sz="4" w:space="0"/>
            </w:tcBorders>
            <w:noWrap w:val="0"/>
            <w:tcMar>
              <w:top w:w="0" w:type="dxa"/>
              <w:left w:w="0" w:type="dxa"/>
              <w:bottom w:w="0" w:type="dxa"/>
              <w:right w:w="0" w:type="dxa"/>
            </w:tcMar>
            <w:vAlign w:val="center"/>
          </w:tcPr>
          <w:p w14:paraId="638CBA8A">
            <w:pPr>
              <w:spacing w:line="260" w:lineRule="exact"/>
              <w:jc w:val="both"/>
              <w:rPr>
                <w:rFonts w:hint="eastAsia" w:ascii="宋体" w:hAnsi="宋体" w:eastAsia="宋体" w:cs="宋体"/>
                <w:sz w:val="18"/>
                <w:szCs w:val="18"/>
              </w:rPr>
            </w:pPr>
          </w:p>
        </w:tc>
        <w:tc>
          <w:tcPr>
            <w:tcW w:w="6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F9C1A68">
            <w:pPr>
              <w:spacing w:line="260" w:lineRule="exact"/>
              <w:jc w:val="center"/>
              <w:rPr>
                <w:rFonts w:hint="eastAsia" w:ascii="宋体" w:hAnsi="宋体" w:eastAsia="宋体" w:cs="宋体"/>
                <w:sz w:val="18"/>
                <w:szCs w:val="18"/>
                <w:lang w:eastAsia="zh-CN"/>
              </w:rPr>
            </w:pPr>
            <w:r>
              <w:rPr>
                <w:rFonts w:hint="eastAsia" w:ascii="宋体" w:hAnsi="宋体" w:eastAsia="宋体" w:cs="宋体"/>
                <w:sz w:val="18"/>
                <w:szCs w:val="18"/>
                <w:lang w:eastAsia="zh-CN"/>
              </w:rPr>
              <w:t>较重</w:t>
            </w:r>
          </w:p>
        </w:tc>
        <w:tc>
          <w:tcPr>
            <w:tcW w:w="306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B9EBBCE">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未采取水土保持措施，无安全隐患，造成水土流失</w:t>
            </w:r>
          </w:p>
        </w:tc>
        <w:tc>
          <w:tcPr>
            <w:tcW w:w="236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6C24E34">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按照倾倒数量处每立方米</w:t>
            </w:r>
            <w:r>
              <w:rPr>
                <w:rFonts w:hint="eastAsia" w:ascii="宋体" w:hAnsi="宋体" w:eastAsia="宋体" w:cs="宋体"/>
                <w:color w:val="000000"/>
                <w:kern w:val="0"/>
                <w:sz w:val="18"/>
                <w:szCs w:val="18"/>
                <w:lang w:val="en-US" w:eastAsia="zh-CN" w:bidi="ar"/>
              </w:rPr>
              <w:t>15</w:t>
            </w:r>
            <w:r>
              <w:rPr>
                <w:rFonts w:hint="eastAsia" w:ascii="宋体" w:hAnsi="宋体" w:eastAsia="宋体" w:cs="宋体"/>
                <w:color w:val="000000"/>
                <w:kern w:val="0"/>
                <w:sz w:val="18"/>
                <w:szCs w:val="18"/>
                <w:lang w:bidi="ar"/>
              </w:rPr>
              <w:t>元以上</w:t>
            </w:r>
            <w:r>
              <w:rPr>
                <w:rFonts w:hint="eastAsia" w:ascii="宋体" w:hAnsi="宋体" w:eastAsia="宋体" w:cs="宋体"/>
                <w:color w:val="000000"/>
                <w:kern w:val="0"/>
                <w:sz w:val="18"/>
                <w:szCs w:val="18"/>
                <w:lang w:val="en-US" w:eastAsia="zh-CN" w:bidi="ar"/>
              </w:rPr>
              <w:t>18</w:t>
            </w:r>
            <w:r>
              <w:rPr>
                <w:rFonts w:hint="eastAsia" w:ascii="宋体" w:hAnsi="宋体" w:eastAsia="宋体" w:cs="宋体"/>
                <w:color w:val="000000"/>
                <w:kern w:val="0"/>
                <w:sz w:val="18"/>
                <w:szCs w:val="18"/>
                <w:lang w:bidi="ar"/>
              </w:rPr>
              <w:t>元以下的罚款</w:t>
            </w:r>
          </w:p>
        </w:tc>
        <w:tc>
          <w:tcPr>
            <w:tcW w:w="958" w:type="dxa"/>
            <w:vMerge w:val="continue"/>
            <w:tcBorders>
              <w:left w:val="single" w:color="auto" w:sz="4" w:space="0"/>
              <w:right w:val="single" w:color="auto" w:sz="4" w:space="0"/>
            </w:tcBorders>
            <w:noWrap w:val="0"/>
            <w:tcMar>
              <w:top w:w="0" w:type="dxa"/>
              <w:left w:w="0" w:type="dxa"/>
              <w:bottom w:w="0" w:type="dxa"/>
              <w:right w:w="0" w:type="dxa"/>
            </w:tcMar>
            <w:vAlign w:val="center"/>
          </w:tcPr>
          <w:p w14:paraId="1990ACCF">
            <w:pPr>
              <w:widowControl/>
              <w:spacing w:line="260" w:lineRule="exact"/>
              <w:jc w:val="center"/>
              <w:textAlignment w:val="center"/>
              <w:rPr>
                <w:rFonts w:hint="eastAsia" w:ascii="宋体" w:hAnsi="宋体" w:eastAsia="宋体" w:cs="宋体"/>
                <w:color w:val="000000"/>
                <w:kern w:val="0"/>
                <w:sz w:val="18"/>
                <w:szCs w:val="18"/>
                <w:lang w:bidi="ar"/>
              </w:rPr>
            </w:pPr>
          </w:p>
        </w:tc>
      </w:tr>
      <w:tr w14:paraId="3138D9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2" w:hRule="atLeast"/>
          <w:jc w:val="center"/>
        </w:trPr>
        <w:tc>
          <w:tcPr>
            <w:tcW w:w="510" w:type="dxa"/>
            <w:vMerge w:val="continue"/>
            <w:tcBorders>
              <w:left w:val="single" w:color="auto" w:sz="4" w:space="0"/>
              <w:right w:val="single" w:color="auto" w:sz="4" w:space="0"/>
            </w:tcBorders>
            <w:noWrap w:val="0"/>
            <w:tcMar>
              <w:top w:w="0" w:type="dxa"/>
              <w:left w:w="0" w:type="dxa"/>
              <w:bottom w:w="0" w:type="dxa"/>
              <w:right w:w="0" w:type="dxa"/>
            </w:tcMar>
            <w:vAlign w:val="center"/>
          </w:tcPr>
          <w:p w14:paraId="42978BDD">
            <w:pPr>
              <w:spacing w:line="260" w:lineRule="exact"/>
              <w:jc w:val="center"/>
              <w:rPr>
                <w:rFonts w:hint="eastAsia" w:ascii="宋体" w:hAnsi="宋体" w:eastAsia="宋体" w:cs="宋体"/>
                <w:sz w:val="18"/>
                <w:szCs w:val="18"/>
              </w:rPr>
            </w:pPr>
          </w:p>
        </w:tc>
        <w:tc>
          <w:tcPr>
            <w:tcW w:w="1260" w:type="dxa"/>
            <w:vMerge w:val="continue"/>
            <w:tcBorders>
              <w:left w:val="single" w:color="auto" w:sz="4" w:space="0"/>
              <w:right w:val="single" w:color="auto" w:sz="4" w:space="0"/>
            </w:tcBorders>
            <w:noWrap w:val="0"/>
            <w:tcMar>
              <w:top w:w="0" w:type="dxa"/>
              <w:left w:w="0" w:type="dxa"/>
              <w:bottom w:w="0" w:type="dxa"/>
              <w:right w:w="0" w:type="dxa"/>
            </w:tcMar>
            <w:vAlign w:val="center"/>
          </w:tcPr>
          <w:p w14:paraId="45AAD947">
            <w:pPr>
              <w:widowControl/>
              <w:spacing w:line="260" w:lineRule="exact"/>
              <w:textAlignment w:val="center"/>
              <w:rPr>
                <w:rFonts w:hint="eastAsia" w:ascii="宋体" w:hAnsi="宋体" w:eastAsia="宋体" w:cs="宋体"/>
                <w:kern w:val="0"/>
                <w:sz w:val="18"/>
                <w:szCs w:val="18"/>
                <w:lang w:bidi="ar"/>
              </w:rPr>
            </w:pPr>
          </w:p>
        </w:tc>
        <w:tc>
          <w:tcPr>
            <w:tcW w:w="3895" w:type="dxa"/>
            <w:vMerge w:val="continue"/>
            <w:tcBorders>
              <w:left w:val="single" w:color="auto" w:sz="4" w:space="0"/>
              <w:right w:val="single" w:color="auto" w:sz="4" w:space="0"/>
            </w:tcBorders>
            <w:noWrap w:val="0"/>
            <w:tcMar>
              <w:top w:w="0" w:type="dxa"/>
              <w:left w:w="0" w:type="dxa"/>
              <w:bottom w:w="0" w:type="dxa"/>
              <w:right w:w="0" w:type="dxa"/>
            </w:tcMar>
            <w:vAlign w:val="center"/>
          </w:tcPr>
          <w:p w14:paraId="50EC6036">
            <w:pPr>
              <w:widowControl/>
              <w:spacing w:line="260" w:lineRule="exact"/>
              <w:ind w:firstLine="360" w:firstLineChars="200"/>
              <w:textAlignment w:val="center"/>
              <w:rPr>
                <w:rFonts w:hint="eastAsia" w:ascii="宋体" w:hAnsi="宋体" w:eastAsia="宋体" w:cs="宋体"/>
                <w:kern w:val="0"/>
                <w:sz w:val="18"/>
                <w:szCs w:val="18"/>
                <w:lang w:bidi="ar"/>
              </w:rPr>
            </w:pPr>
          </w:p>
        </w:tc>
        <w:tc>
          <w:tcPr>
            <w:tcW w:w="2342" w:type="dxa"/>
            <w:vMerge w:val="continue"/>
            <w:tcBorders>
              <w:left w:val="single" w:color="auto" w:sz="4" w:space="0"/>
              <w:right w:val="single" w:color="auto" w:sz="4" w:space="0"/>
            </w:tcBorders>
            <w:noWrap w:val="0"/>
            <w:tcMar>
              <w:top w:w="0" w:type="dxa"/>
              <w:left w:w="0" w:type="dxa"/>
              <w:bottom w:w="0" w:type="dxa"/>
              <w:right w:w="0" w:type="dxa"/>
            </w:tcMar>
            <w:vAlign w:val="center"/>
          </w:tcPr>
          <w:p w14:paraId="04C143B0">
            <w:pPr>
              <w:spacing w:line="260" w:lineRule="exact"/>
              <w:jc w:val="both"/>
              <w:rPr>
                <w:rFonts w:hint="eastAsia" w:ascii="宋体" w:hAnsi="宋体" w:eastAsia="宋体" w:cs="宋体"/>
                <w:sz w:val="18"/>
                <w:szCs w:val="18"/>
              </w:rPr>
            </w:pPr>
          </w:p>
        </w:tc>
        <w:tc>
          <w:tcPr>
            <w:tcW w:w="6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BBC6CF9">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严重</w:t>
            </w:r>
          </w:p>
        </w:tc>
        <w:tc>
          <w:tcPr>
            <w:tcW w:w="306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D833269">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未采取水土保持措施，存在安全隐患，造成水土流失的</w:t>
            </w:r>
          </w:p>
        </w:tc>
        <w:tc>
          <w:tcPr>
            <w:tcW w:w="236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176DCCB">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按照倾倒数量处每立方米</w:t>
            </w:r>
            <w:r>
              <w:rPr>
                <w:rFonts w:hint="eastAsia" w:ascii="宋体" w:hAnsi="宋体" w:eastAsia="宋体" w:cs="宋体"/>
                <w:color w:val="000000"/>
                <w:kern w:val="0"/>
                <w:sz w:val="18"/>
                <w:szCs w:val="18"/>
                <w:lang w:val="en-US" w:eastAsia="zh-CN" w:bidi="ar"/>
              </w:rPr>
              <w:t>18</w:t>
            </w:r>
            <w:r>
              <w:rPr>
                <w:rFonts w:hint="eastAsia" w:ascii="宋体" w:hAnsi="宋体" w:eastAsia="宋体" w:cs="宋体"/>
                <w:color w:val="000000"/>
                <w:kern w:val="0"/>
                <w:sz w:val="18"/>
                <w:szCs w:val="18"/>
                <w:lang w:bidi="ar"/>
              </w:rPr>
              <w:t>元以上</w:t>
            </w:r>
            <w:r>
              <w:rPr>
                <w:rFonts w:hint="eastAsia" w:ascii="宋体" w:hAnsi="宋体" w:eastAsia="宋体" w:cs="宋体"/>
                <w:color w:val="000000"/>
                <w:kern w:val="0"/>
                <w:sz w:val="18"/>
                <w:szCs w:val="18"/>
                <w:lang w:val="en-US" w:eastAsia="zh-CN" w:bidi="ar"/>
              </w:rPr>
              <w:t>20</w:t>
            </w:r>
            <w:r>
              <w:rPr>
                <w:rFonts w:hint="eastAsia" w:ascii="宋体" w:hAnsi="宋体" w:eastAsia="宋体" w:cs="宋体"/>
                <w:color w:val="000000"/>
                <w:kern w:val="0"/>
                <w:sz w:val="18"/>
                <w:szCs w:val="18"/>
                <w:lang w:bidi="ar"/>
              </w:rPr>
              <w:t>元以下的罚款</w:t>
            </w:r>
          </w:p>
        </w:tc>
        <w:tc>
          <w:tcPr>
            <w:tcW w:w="958" w:type="dxa"/>
            <w:vMerge w:val="continue"/>
            <w:tcBorders>
              <w:left w:val="single" w:color="auto" w:sz="4" w:space="0"/>
              <w:right w:val="single" w:color="auto" w:sz="4" w:space="0"/>
            </w:tcBorders>
            <w:noWrap w:val="0"/>
            <w:tcMar>
              <w:top w:w="0" w:type="dxa"/>
              <w:left w:w="0" w:type="dxa"/>
              <w:bottom w:w="0" w:type="dxa"/>
              <w:right w:w="0" w:type="dxa"/>
            </w:tcMar>
            <w:vAlign w:val="center"/>
          </w:tcPr>
          <w:p w14:paraId="0B5B64FA">
            <w:pPr>
              <w:widowControl/>
              <w:spacing w:line="260" w:lineRule="exact"/>
              <w:jc w:val="center"/>
              <w:textAlignment w:val="center"/>
              <w:rPr>
                <w:rFonts w:hint="eastAsia" w:ascii="宋体" w:hAnsi="宋体" w:eastAsia="宋体" w:cs="宋体"/>
                <w:color w:val="000000"/>
                <w:kern w:val="0"/>
                <w:sz w:val="18"/>
                <w:szCs w:val="18"/>
                <w:lang w:bidi="ar"/>
              </w:rPr>
            </w:pPr>
          </w:p>
        </w:tc>
      </w:tr>
      <w:tr w14:paraId="27663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10" w:type="dxa"/>
            <w:vMerge w:val="restart"/>
            <w:tcBorders>
              <w:left w:val="single" w:color="auto" w:sz="4" w:space="0"/>
              <w:right w:val="single" w:color="auto" w:sz="4" w:space="0"/>
            </w:tcBorders>
            <w:noWrap w:val="0"/>
            <w:tcMar>
              <w:top w:w="0" w:type="dxa"/>
              <w:left w:w="0" w:type="dxa"/>
              <w:bottom w:w="0" w:type="dxa"/>
              <w:right w:w="0" w:type="dxa"/>
            </w:tcMar>
            <w:vAlign w:val="center"/>
          </w:tcPr>
          <w:p w14:paraId="14C87343">
            <w:pPr>
              <w:widowControl/>
              <w:spacing w:line="260" w:lineRule="exact"/>
              <w:jc w:val="center"/>
              <w:textAlignment w:val="center"/>
              <w:rPr>
                <w:rFonts w:hint="default" w:ascii="宋体" w:hAnsi="宋体" w:eastAsia="宋体" w:cs="宋体"/>
                <w:color w:val="000000"/>
                <w:kern w:val="0"/>
                <w:sz w:val="18"/>
                <w:szCs w:val="18"/>
                <w:lang w:val="en-US" w:eastAsia="zh-CN" w:bidi="ar"/>
              </w:rPr>
            </w:pPr>
            <w:r>
              <w:rPr>
                <w:rFonts w:hint="eastAsia" w:ascii="宋体" w:hAnsi="宋体" w:eastAsia="宋体" w:cs="宋体"/>
                <w:color w:val="000000"/>
                <w:kern w:val="0"/>
                <w:sz w:val="18"/>
                <w:szCs w:val="18"/>
                <w:lang w:val="en-US" w:eastAsia="zh-CN" w:bidi="ar"/>
              </w:rPr>
              <w:t>52</w:t>
            </w:r>
          </w:p>
        </w:tc>
        <w:tc>
          <w:tcPr>
            <w:tcW w:w="1260" w:type="dxa"/>
            <w:vMerge w:val="restart"/>
            <w:tcBorders>
              <w:left w:val="single" w:color="auto" w:sz="4" w:space="0"/>
              <w:right w:val="single" w:color="auto" w:sz="4" w:space="0"/>
            </w:tcBorders>
            <w:noWrap w:val="0"/>
            <w:tcMar>
              <w:top w:w="0" w:type="dxa"/>
              <w:left w:w="0" w:type="dxa"/>
              <w:bottom w:w="0" w:type="dxa"/>
              <w:right w:w="0" w:type="dxa"/>
            </w:tcMar>
            <w:vAlign w:val="center"/>
          </w:tcPr>
          <w:p w14:paraId="53258767">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对逾期拒不缴纳水土保持补偿费行为的</w:t>
            </w:r>
          </w:p>
        </w:tc>
        <w:tc>
          <w:tcPr>
            <w:tcW w:w="3895" w:type="dxa"/>
            <w:vMerge w:val="restart"/>
            <w:tcBorders>
              <w:left w:val="single" w:color="auto" w:sz="4" w:space="0"/>
              <w:right w:val="single" w:color="auto" w:sz="4" w:space="0"/>
            </w:tcBorders>
            <w:noWrap w:val="0"/>
            <w:tcMar>
              <w:top w:w="0" w:type="dxa"/>
              <w:left w:w="0" w:type="dxa"/>
              <w:bottom w:w="0" w:type="dxa"/>
              <w:right w:w="0" w:type="dxa"/>
            </w:tcMar>
            <w:vAlign w:val="center"/>
          </w:tcPr>
          <w:p w14:paraId="102BB675">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《中华人民共和国水土保持法》第五十七条  违反本法规定，拒不缴纳水土保持补偿费的，由</w:t>
            </w:r>
            <w:r>
              <w:rPr>
                <w:rFonts w:hint="default" w:ascii="宋体" w:hAnsi="宋体" w:eastAsia="宋体" w:cs="宋体"/>
                <w:color w:val="000000"/>
                <w:kern w:val="0"/>
                <w:sz w:val="18"/>
                <w:szCs w:val="18"/>
                <w:lang w:bidi="ar"/>
              </w:rPr>
              <w:t>县级以上人民政府水行政主管部门责令限期缴纳；逾期不缴纳的，自滞纳之日起按日加收滞纳部分万分之五的滞纳金，可以处应缴水土保持补偿费三倍以下的罚款</w:t>
            </w:r>
          </w:p>
        </w:tc>
        <w:tc>
          <w:tcPr>
            <w:tcW w:w="2342" w:type="dxa"/>
            <w:vMerge w:val="restart"/>
            <w:tcBorders>
              <w:left w:val="single" w:color="auto" w:sz="4" w:space="0"/>
              <w:right w:val="single" w:color="auto" w:sz="4" w:space="0"/>
            </w:tcBorders>
            <w:noWrap w:val="0"/>
            <w:tcMar>
              <w:top w:w="0" w:type="dxa"/>
              <w:left w:w="0" w:type="dxa"/>
              <w:bottom w:w="0" w:type="dxa"/>
              <w:right w:w="0" w:type="dxa"/>
            </w:tcMar>
            <w:vAlign w:val="center"/>
          </w:tcPr>
          <w:p w14:paraId="3ED4C29D">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拒不缴纳水土保持补偿费的</w:t>
            </w:r>
          </w:p>
        </w:tc>
        <w:tc>
          <w:tcPr>
            <w:tcW w:w="623"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center"/>
          </w:tcPr>
          <w:p w14:paraId="6BC14DF1">
            <w:pPr>
              <w:spacing w:line="260" w:lineRule="exact"/>
              <w:jc w:val="center"/>
              <w:rPr>
                <w:rFonts w:hint="eastAsia" w:ascii="宋体" w:hAnsi="宋体" w:eastAsia="宋体" w:cs="宋体"/>
                <w:kern w:val="2"/>
                <w:sz w:val="18"/>
                <w:szCs w:val="18"/>
                <w:lang w:val="en-US" w:eastAsia="zh-CN" w:bidi="ar-SA"/>
              </w:rPr>
            </w:pPr>
            <w:r>
              <w:rPr>
                <w:rFonts w:hint="eastAsia" w:ascii="宋体" w:hAnsi="宋体" w:eastAsia="宋体" w:cs="宋体"/>
                <w:sz w:val="18"/>
                <w:szCs w:val="18"/>
              </w:rPr>
              <w:t>轻微</w:t>
            </w:r>
          </w:p>
        </w:tc>
        <w:tc>
          <w:tcPr>
            <w:tcW w:w="306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9A7AAED">
            <w:pPr>
              <w:widowControl/>
              <w:spacing w:line="260" w:lineRule="exact"/>
              <w:jc w:val="both"/>
              <w:textAlignment w:val="center"/>
              <w:rPr>
                <w:rFonts w:hint="eastAsia" w:ascii="宋体" w:hAnsi="宋体" w:eastAsia="宋体" w:cs="宋体"/>
                <w:color w:val="000000"/>
                <w:kern w:val="0"/>
                <w:sz w:val="18"/>
                <w:szCs w:val="18"/>
                <w:lang w:bidi="ar"/>
              </w:rPr>
            </w:pPr>
          </w:p>
        </w:tc>
        <w:tc>
          <w:tcPr>
            <w:tcW w:w="236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175ABA1">
            <w:pPr>
              <w:widowControl/>
              <w:spacing w:line="260" w:lineRule="exact"/>
              <w:jc w:val="both"/>
              <w:textAlignment w:val="center"/>
              <w:rPr>
                <w:rFonts w:hint="eastAsia" w:ascii="宋体" w:hAnsi="宋体" w:eastAsia="宋体" w:cs="宋体"/>
                <w:color w:val="000000"/>
                <w:kern w:val="0"/>
                <w:sz w:val="18"/>
                <w:szCs w:val="18"/>
                <w:lang w:bidi="ar"/>
              </w:rPr>
            </w:pPr>
          </w:p>
        </w:tc>
        <w:tc>
          <w:tcPr>
            <w:tcW w:w="958" w:type="dxa"/>
            <w:tcBorders>
              <w:left w:val="single" w:color="auto" w:sz="4" w:space="0"/>
              <w:right w:val="single" w:color="auto" w:sz="4" w:space="0"/>
            </w:tcBorders>
            <w:noWrap w:val="0"/>
            <w:tcMar>
              <w:top w:w="0" w:type="dxa"/>
              <w:left w:w="0" w:type="dxa"/>
              <w:bottom w:w="0" w:type="dxa"/>
              <w:right w:w="0" w:type="dxa"/>
            </w:tcMar>
            <w:vAlign w:val="center"/>
          </w:tcPr>
          <w:p w14:paraId="670F9853">
            <w:pPr>
              <w:widowControl/>
              <w:spacing w:line="260" w:lineRule="exact"/>
              <w:jc w:val="both"/>
              <w:textAlignment w:val="center"/>
              <w:rPr>
                <w:rFonts w:hint="eastAsia" w:ascii="宋体" w:hAnsi="宋体" w:eastAsia="宋体" w:cs="宋体"/>
                <w:color w:val="000000"/>
                <w:kern w:val="0"/>
                <w:sz w:val="18"/>
                <w:szCs w:val="18"/>
                <w:lang w:bidi="ar"/>
              </w:rPr>
            </w:pPr>
          </w:p>
        </w:tc>
      </w:tr>
      <w:tr w14:paraId="7AFC15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510" w:type="dxa"/>
            <w:vMerge w:val="continue"/>
            <w:tcBorders>
              <w:left w:val="single" w:color="auto" w:sz="4" w:space="0"/>
              <w:right w:val="single" w:color="auto" w:sz="4" w:space="0"/>
            </w:tcBorders>
            <w:noWrap w:val="0"/>
            <w:tcMar>
              <w:top w:w="0" w:type="dxa"/>
              <w:left w:w="0" w:type="dxa"/>
              <w:bottom w:w="0" w:type="dxa"/>
              <w:right w:w="0" w:type="dxa"/>
            </w:tcMar>
            <w:vAlign w:val="center"/>
          </w:tcPr>
          <w:p w14:paraId="7A1EE3B0">
            <w:pPr>
              <w:widowControl/>
              <w:spacing w:line="260" w:lineRule="exact"/>
              <w:jc w:val="both"/>
              <w:textAlignment w:val="center"/>
              <w:rPr>
                <w:rFonts w:hint="eastAsia" w:ascii="宋体" w:hAnsi="宋体" w:eastAsia="宋体" w:cs="宋体"/>
                <w:color w:val="000000"/>
                <w:kern w:val="0"/>
                <w:sz w:val="18"/>
                <w:szCs w:val="18"/>
                <w:lang w:bidi="ar"/>
              </w:rPr>
            </w:pPr>
          </w:p>
        </w:tc>
        <w:tc>
          <w:tcPr>
            <w:tcW w:w="1260" w:type="dxa"/>
            <w:vMerge w:val="continue"/>
            <w:tcBorders>
              <w:left w:val="single" w:color="auto" w:sz="4" w:space="0"/>
              <w:right w:val="single" w:color="auto" w:sz="4" w:space="0"/>
            </w:tcBorders>
            <w:noWrap w:val="0"/>
            <w:tcMar>
              <w:top w:w="0" w:type="dxa"/>
              <w:left w:w="0" w:type="dxa"/>
              <w:bottom w:w="0" w:type="dxa"/>
              <w:right w:w="0" w:type="dxa"/>
            </w:tcMar>
            <w:vAlign w:val="center"/>
          </w:tcPr>
          <w:p w14:paraId="7ED1BAF5">
            <w:pPr>
              <w:widowControl/>
              <w:spacing w:line="260" w:lineRule="exact"/>
              <w:jc w:val="both"/>
              <w:textAlignment w:val="center"/>
              <w:rPr>
                <w:rFonts w:hint="eastAsia" w:ascii="宋体" w:hAnsi="宋体" w:eastAsia="宋体" w:cs="宋体"/>
                <w:color w:val="000000"/>
                <w:kern w:val="0"/>
                <w:sz w:val="18"/>
                <w:szCs w:val="18"/>
                <w:lang w:bidi="ar"/>
              </w:rPr>
            </w:pPr>
          </w:p>
        </w:tc>
        <w:tc>
          <w:tcPr>
            <w:tcW w:w="3895" w:type="dxa"/>
            <w:vMerge w:val="continue"/>
            <w:tcBorders>
              <w:left w:val="single" w:color="auto" w:sz="4" w:space="0"/>
              <w:right w:val="single" w:color="auto" w:sz="4" w:space="0"/>
            </w:tcBorders>
            <w:noWrap w:val="0"/>
            <w:tcMar>
              <w:top w:w="0" w:type="dxa"/>
              <w:left w:w="0" w:type="dxa"/>
              <w:bottom w:w="0" w:type="dxa"/>
              <w:right w:w="0" w:type="dxa"/>
            </w:tcMar>
            <w:vAlign w:val="center"/>
          </w:tcPr>
          <w:p w14:paraId="799322FF">
            <w:pPr>
              <w:widowControl/>
              <w:spacing w:line="260" w:lineRule="exact"/>
              <w:jc w:val="both"/>
              <w:textAlignment w:val="center"/>
              <w:rPr>
                <w:rFonts w:hint="eastAsia" w:ascii="宋体" w:hAnsi="宋体" w:eastAsia="宋体" w:cs="宋体"/>
                <w:color w:val="000000"/>
                <w:kern w:val="0"/>
                <w:sz w:val="18"/>
                <w:szCs w:val="18"/>
                <w:lang w:bidi="ar"/>
              </w:rPr>
            </w:pPr>
          </w:p>
        </w:tc>
        <w:tc>
          <w:tcPr>
            <w:tcW w:w="2342" w:type="dxa"/>
            <w:vMerge w:val="continue"/>
            <w:tcBorders>
              <w:left w:val="single" w:color="auto" w:sz="4" w:space="0"/>
              <w:right w:val="single" w:color="auto" w:sz="4" w:space="0"/>
            </w:tcBorders>
            <w:noWrap w:val="0"/>
            <w:tcMar>
              <w:top w:w="0" w:type="dxa"/>
              <w:left w:w="0" w:type="dxa"/>
              <w:bottom w:w="0" w:type="dxa"/>
              <w:right w:w="0" w:type="dxa"/>
            </w:tcMar>
            <w:vAlign w:val="center"/>
          </w:tcPr>
          <w:p w14:paraId="76CCEAED">
            <w:pPr>
              <w:widowControl/>
              <w:spacing w:line="260" w:lineRule="exact"/>
              <w:jc w:val="both"/>
              <w:textAlignment w:val="center"/>
              <w:rPr>
                <w:rFonts w:hint="eastAsia" w:ascii="宋体" w:hAnsi="宋体" w:eastAsia="宋体" w:cs="宋体"/>
                <w:color w:val="000000"/>
                <w:kern w:val="0"/>
                <w:sz w:val="18"/>
                <w:szCs w:val="18"/>
                <w:lang w:bidi="ar"/>
              </w:rPr>
            </w:pPr>
          </w:p>
        </w:tc>
        <w:tc>
          <w:tcPr>
            <w:tcW w:w="623"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center"/>
          </w:tcPr>
          <w:p w14:paraId="7F6114AB">
            <w:pPr>
              <w:widowControl/>
              <w:spacing w:line="260" w:lineRule="exact"/>
              <w:jc w:val="center"/>
              <w:textAlignment w:val="center"/>
              <w:rPr>
                <w:rFonts w:hint="eastAsia" w:ascii="宋体" w:hAnsi="宋体" w:eastAsia="宋体" w:cs="宋体"/>
                <w:color w:val="000000"/>
                <w:kern w:val="0"/>
                <w:sz w:val="18"/>
                <w:szCs w:val="18"/>
                <w:lang w:val="en-US" w:eastAsia="zh-CN" w:bidi="ar"/>
              </w:rPr>
            </w:pPr>
            <w:r>
              <w:rPr>
                <w:rFonts w:hint="eastAsia" w:ascii="宋体" w:hAnsi="宋体" w:eastAsia="宋体" w:cs="宋体"/>
                <w:color w:val="000000"/>
                <w:kern w:val="0"/>
                <w:sz w:val="18"/>
                <w:szCs w:val="18"/>
                <w:lang w:bidi="ar"/>
              </w:rPr>
              <w:t>较轻</w:t>
            </w:r>
          </w:p>
        </w:tc>
        <w:tc>
          <w:tcPr>
            <w:tcW w:w="3060"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center"/>
          </w:tcPr>
          <w:p w14:paraId="59BA45CA">
            <w:pPr>
              <w:widowControl/>
              <w:spacing w:line="260" w:lineRule="exact"/>
              <w:jc w:val="both"/>
              <w:textAlignment w:val="center"/>
              <w:rPr>
                <w:rFonts w:hint="eastAsia" w:ascii="宋体" w:hAnsi="宋体" w:eastAsia="宋体" w:cs="宋体"/>
                <w:color w:val="000000"/>
                <w:kern w:val="0"/>
                <w:sz w:val="18"/>
                <w:szCs w:val="18"/>
                <w:lang w:val="en-US" w:eastAsia="zh-CN" w:bidi="ar"/>
              </w:rPr>
            </w:pPr>
            <w:r>
              <w:rPr>
                <w:rFonts w:hint="default" w:ascii="宋体" w:hAnsi="宋体" w:eastAsia="宋体" w:cs="宋体"/>
                <w:color w:val="000000"/>
                <w:kern w:val="0"/>
                <w:sz w:val="18"/>
                <w:szCs w:val="18"/>
                <w:lang w:bidi="ar"/>
              </w:rPr>
              <w:t>逾期三个月</w:t>
            </w:r>
            <w:r>
              <w:rPr>
                <w:rFonts w:hint="eastAsia" w:ascii="宋体" w:hAnsi="宋体" w:eastAsia="宋体" w:cs="宋体"/>
                <w:color w:val="000000"/>
                <w:kern w:val="0"/>
                <w:sz w:val="18"/>
                <w:szCs w:val="18"/>
                <w:lang w:val="en-US" w:eastAsia="zh-CN" w:bidi="ar"/>
              </w:rPr>
              <w:t>以下缴纳</w:t>
            </w:r>
            <w:r>
              <w:rPr>
                <w:rFonts w:hint="default" w:ascii="宋体" w:hAnsi="宋体" w:eastAsia="宋体" w:cs="宋体"/>
                <w:color w:val="000000"/>
                <w:kern w:val="0"/>
                <w:sz w:val="18"/>
                <w:szCs w:val="18"/>
                <w:lang w:bidi="ar"/>
              </w:rPr>
              <w:t>的</w:t>
            </w:r>
          </w:p>
        </w:tc>
        <w:tc>
          <w:tcPr>
            <w:tcW w:w="2360"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center"/>
          </w:tcPr>
          <w:p w14:paraId="1C889E55">
            <w:pPr>
              <w:widowControl/>
              <w:spacing w:line="260" w:lineRule="exact"/>
              <w:jc w:val="both"/>
              <w:textAlignment w:val="center"/>
              <w:rPr>
                <w:rFonts w:hint="eastAsia" w:ascii="宋体" w:hAnsi="宋体" w:eastAsia="宋体" w:cs="宋体"/>
                <w:color w:val="000000"/>
                <w:kern w:val="0"/>
                <w:sz w:val="18"/>
                <w:szCs w:val="18"/>
                <w:lang w:val="en-US" w:eastAsia="zh-CN" w:bidi="ar"/>
              </w:rPr>
            </w:pPr>
            <w:r>
              <w:rPr>
                <w:rFonts w:hint="default" w:ascii="宋体" w:hAnsi="宋体" w:eastAsia="宋体" w:cs="宋体"/>
                <w:color w:val="000000"/>
                <w:kern w:val="0"/>
                <w:sz w:val="18"/>
                <w:szCs w:val="18"/>
                <w:lang w:bidi="ar"/>
              </w:rPr>
              <w:t>处应缴水土保持补偿费零点五倍以下的罚款</w:t>
            </w:r>
          </w:p>
        </w:tc>
        <w:tc>
          <w:tcPr>
            <w:tcW w:w="958" w:type="dxa"/>
            <w:tcBorders>
              <w:left w:val="single" w:color="auto" w:sz="4" w:space="0"/>
              <w:right w:val="single" w:color="auto" w:sz="4" w:space="0"/>
            </w:tcBorders>
            <w:noWrap w:val="0"/>
            <w:tcMar>
              <w:top w:w="0" w:type="dxa"/>
              <w:left w:w="0" w:type="dxa"/>
              <w:bottom w:w="0" w:type="dxa"/>
              <w:right w:w="0" w:type="dxa"/>
            </w:tcMar>
            <w:vAlign w:val="center"/>
          </w:tcPr>
          <w:p w14:paraId="734F0834">
            <w:pPr>
              <w:widowControl/>
              <w:spacing w:line="260" w:lineRule="exact"/>
              <w:jc w:val="both"/>
              <w:textAlignment w:val="center"/>
              <w:rPr>
                <w:rFonts w:hint="eastAsia" w:ascii="宋体" w:hAnsi="宋体" w:eastAsia="宋体" w:cs="宋体"/>
                <w:color w:val="000000"/>
                <w:kern w:val="0"/>
                <w:sz w:val="18"/>
                <w:szCs w:val="18"/>
                <w:lang w:bidi="ar"/>
              </w:rPr>
            </w:pPr>
          </w:p>
        </w:tc>
      </w:tr>
      <w:tr w14:paraId="48B04E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510" w:type="dxa"/>
            <w:vMerge w:val="continue"/>
            <w:tcBorders>
              <w:left w:val="single" w:color="auto" w:sz="4" w:space="0"/>
              <w:right w:val="single" w:color="auto" w:sz="4" w:space="0"/>
            </w:tcBorders>
            <w:noWrap w:val="0"/>
            <w:tcMar>
              <w:top w:w="0" w:type="dxa"/>
              <w:left w:w="0" w:type="dxa"/>
              <w:bottom w:w="0" w:type="dxa"/>
              <w:right w:w="0" w:type="dxa"/>
            </w:tcMar>
            <w:vAlign w:val="center"/>
          </w:tcPr>
          <w:p w14:paraId="2309535E">
            <w:pPr>
              <w:widowControl/>
              <w:spacing w:line="260" w:lineRule="exact"/>
              <w:jc w:val="both"/>
              <w:textAlignment w:val="center"/>
              <w:rPr>
                <w:rFonts w:hint="eastAsia" w:ascii="宋体" w:hAnsi="宋体" w:eastAsia="宋体" w:cs="宋体"/>
                <w:color w:val="000000"/>
                <w:kern w:val="0"/>
                <w:sz w:val="18"/>
                <w:szCs w:val="18"/>
                <w:lang w:bidi="ar"/>
              </w:rPr>
            </w:pPr>
          </w:p>
        </w:tc>
        <w:tc>
          <w:tcPr>
            <w:tcW w:w="1260" w:type="dxa"/>
            <w:vMerge w:val="continue"/>
            <w:tcBorders>
              <w:left w:val="single" w:color="auto" w:sz="4" w:space="0"/>
              <w:right w:val="single" w:color="auto" w:sz="4" w:space="0"/>
            </w:tcBorders>
            <w:noWrap w:val="0"/>
            <w:tcMar>
              <w:top w:w="0" w:type="dxa"/>
              <w:left w:w="0" w:type="dxa"/>
              <w:bottom w:w="0" w:type="dxa"/>
              <w:right w:w="0" w:type="dxa"/>
            </w:tcMar>
            <w:vAlign w:val="center"/>
          </w:tcPr>
          <w:p w14:paraId="472BEA1A">
            <w:pPr>
              <w:widowControl/>
              <w:spacing w:line="260" w:lineRule="exact"/>
              <w:jc w:val="both"/>
              <w:textAlignment w:val="center"/>
              <w:rPr>
                <w:rFonts w:hint="eastAsia" w:ascii="宋体" w:hAnsi="宋体" w:eastAsia="宋体" w:cs="宋体"/>
                <w:color w:val="000000"/>
                <w:kern w:val="0"/>
                <w:sz w:val="18"/>
                <w:szCs w:val="18"/>
                <w:lang w:bidi="ar"/>
              </w:rPr>
            </w:pPr>
          </w:p>
        </w:tc>
        <w:tc>
          <w:tcPr>
            <w:tcW w:w="3895" w:type="dxa"/>
            <w:vMerge w:val="continue"/>
            <w:tcBorders>
              <w:left w:val="single" w:color="auto" w:sz="4" w:space="0"/>
              <w:right w:val="single" w:color="auto" w:sz="4" w:space="0"/>
            </w:tcBorders>
            <w:noWrap w:val="0"/>
            <w:tcMar>
              <w:top w:w="0" w:type="dxa"/>
              <w:left w:w="0" w:type="dxa"/>
              <w:bottom w:w="0" w:type="dxa"/>
              <w:right w:w="0" w:type="dxa"/>
            </w:tcMar>
            <w:vAlign w:val="center"/>
          </w:tcPr>
          <w:p w14:paraId="367CB7CD">
            <w:pPr>
              <w:widowControl/>
              <w:spacing w:line="260" w:lineRule="exact"/>
              <w:jc w:val="both"/>
              <w:textAlignment w:val="center"/>
              <w:rPr>
                <w:rFonts w:hint="eastAsia" w:ascii="宋体" w:hAnsi="宋体" w:eastAsia="宋体" w:cs="宋体"/>
                <w:color w:val="000000"/>
                <w:kern w:val="0"/>
                <w:sz w:val="18"/>
                <w:szCs w:val="18"/>
                <w:lang w:bidi="ar"/>
              </w:rPr>
            </w:pPr>
          </w:p>
        </w:tc>
        <w:tc>
          <w:tcPr>
            <w:tcW w:w="2342" w:type="dxa"/>
            <w:vMerge w:val="continue"/>
            <w:tcBorders>
              <w:left w:val="single" w:color="auto" w:sz="4" w:space="0"/>
              <w:right w:val="single" w:color="auto" w:sz="4" w:space="0"/>
            </w:tcBorders>
            <w:noWrap w:val="0"/>
            <w:tcMar>
              <w:top w:w="0" w:type="dxa"/>
              <w:left w:w="0" w:type="dxa"/>
              <w:bottom w:w="0" w:type="dxa"/>
              <w:right w:w="0" w:type="dxa"/>
            </w:tcMar>
            <w:vAlign w:val="center"/>
          </w:tcPr>
          <w:p w14:paraId="7FB064C4">
            <w:pPr>
              <w:widowControl/>
              <w:spacing w:line="260" w:lineRule="exact"/>
              <w:jc w:val="both"/>
              <w:textAlignment w:val="center"/>
              <w:rPr>
                <w:rFonts w:hint="eastAsia" w:ascii="宋体" w:hAnsi="宋体" w:eastAsia="宋体" w:cs="宋体"/>
                <w:color w:val="000000"/>
                <w:kern w:val="0"/>
                <w:sz w:val="18"/>
                <w:szCs w:val="18"/>
                <w:lang w:bidi="ar"/>
              </w:rPr>
            </w:pPr>
          </w:p>
        </w:tc>
        <w:tc>
          <w:tcPr>
            <w:tcW w:w="623"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center"/>
          </w:tcPr>
          <w:p w14:paraId="0DB620DD">
            <w:pPr>
              <w:widowControl/>
              <w:spacing w:line="260" w:lineRule="exact"/>
              <w:jc w:val="center"/>
              <w:textAlignment w:val="center"/>
              <w:rPr>
                <w:rFonts w:hint="eastAsia" w:ascii="宋体" w:hAnsi="宋体" w:eastAsia="宋体" w:cs="宋体"/>
                <w:color w:val="000000"/>
                <w:kern w:val="0"/>
                <w:sz w:val="18"/>
                <w:szCs w:val="18"/>
                <w:lang w:val="en-US" w:eastAsia="zh-CN" w:bidi="ar"/>
              </w:rPr>
            </w:pPr>
            <w:r>
              <w:rPr>
                <w:rFonts w:hint="eastAsia" w:ascii="宋体" w:hAnsi="宋体" w:eastAsia="宋体" w:cs="宋体"/>
                <w:color w:val="000000"/>
                <w:kern w:val="0"/>
                <w:sz w:val="18"/>
                <w:szCs w:val="18"/>
                <w:lang w:bidi="ar"/>
              </w:rPr>
              <w:t>一般</w:t>
            </w:r>
          </w:p>
        </w:tc>
        <w:tc>
          <w:tcPr>
            <w:tcW w:w="3060"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center"/>
          </w:tcPr>
          <w:p w14:paraId="2DC53D2E">
            <w:pPr>
              <w:widowControl/>
              <w:spacing w:line="260" w:lineRule="exact"/>
              <w:jc w:val="both"/>
              <w:textAlignment w:val="center"/>
              <w:rPr>
                <w:rFonts w:hint="eastAsia" w:ascii="宋体" w:hAnsi="宋体" w:eastAsia="宋体" w:cs="宋体"/>
                <w:color w:val="000000"/>
                <w:kern w:val="0"/>
                <w:sz w:val="18"/>
                <w:szCs w:val="18"/>
                <w:lang w:val="en-US" w:eastAsia="zh-CN" w:bidi="ar"/>
              </w:rPr>
            </w:pPr>
            <w:r>
              <w:rPr>
                <w:rFonts w:hint="default" w:ascii="宋体" w:hAnsi="宋体" w:eastAsia="宋体" w:cs="宋体"/>
                <w:color w:val="000000"/>
                <w:kern w:val="0"/>
                <w:sz w:val="18"/>
                <w:szCs w:val="18"/>
                <w:lang w:bidi="ar"/>
              </w:rPr>
              <w:t>逾期三个月以上六个月</w:t>
            </w:r>
            <w:r>
              <w:rPr>
                <w:rFonts w:hint="eastAsia" w:ascii="宋体" w:hAnsi="宋体" w:eastAsia="宋体" w:cs="宋体"/>
                <w:color w:val="000000"/>
                <w:kern w:val="0"/>
                <w:sz w:val="18"/>
                <w:szCs w:val="18"/>
                <w:lang w:val="en-US" w:eastAsia="zh-CN" w:bidi="ar"/>
              </w:rPr>
              <w:t>以下缴纳</w:t>
            </w:r>
            <w:r>
              <w:rPr>
                <w:rFonts w:hint="default" w:ascii="宋体" w:hAnsi="宋体" w:eastAsia="宋体" w:cs="宋体"/>
                <w:color w:val="000000"/>
                <w:kern w:val="0"/>
                <w:sz w:val="18"/>
                <w:szCs w:val="18"/>
                <w:lang w:bidi="ar"/>
              </w:rPr>
              <w:t>的</w:t>
            </w:r>
          </w:p>
        </w:tc>
        <w:tc>
          <w:tcPr>
            <w:tcW w:w="2360"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center"/>
          </w:tcPr>
          <w:p w14:paraId="5E10FD98">
            <w:pPr>
              <w:widowControl/>
              <w:spacing w:line="260" w:lineRule="exact"/>
              <w:jc w:val="both"/>
              <w:textAlignment w:val="center"/>
              <w:rPr>
                <w:rFonts w:hint="eastAsia" w:ascii="宋体" w:hAnsi="宋体" w:eastAsia="宋体" w:cs="宋体"/>
                <w:color w:val="000000"/>
                <w:kern w:val="0"/>
                <w:sz w:val="18"/>
                <w:szCs w:val="18"/>
                <w:lang w:val="en-US" w:eastAsia="zh-CN" w:bidi="ar"/>
              </w:rPr>
            </w:pPr>
            <w:r>
              <w:rPr>
                <w:rFonts w:hint="default" w:ascii="宋体" w:hAnsi="宋体" w:eastAsia="宋体" w:cs="宋体"/>
                <w:color w:val="000000"/>
                <w:kern w:val="0"/>
                <w:sz w:val="18"/>
                <w:szCs w:val="18"/>
                <w:lang w:bidi="ar"/>
              </w:rPr>
              <w:t>处应缴水土保持补偿费零点五倍以上一点五倍以下的罚款</w:t>
            </w:r>
          </w:p>
        </w:tc>
        <w:tc>
          <w:tcPr>
            <w:tcW w:w="958" w:type="dxa"/>
            <w:tcBorders>
              <w:left w:val="single" w:color="auto" w:sz="4" w:space="0"/>
              <w:right w:val="single" w:color="auto" w:sz="4" w:space="0"/>
            </w:tcBorders>
            <w:noWrap w:val="0"/>
            <w:tcMar>
              <w:top w:w="0" w:type="dxa"/>
              <w:left w:w="0" w:type="dxa"/>
              <w:bottom w:w="0" w:type="dxa"/>
              <w:right w:w="0" w:type="dxa"/>
            </w:tcMar>
            <w:vAlign w:val="center"/>
          </w:tcPr>
          <w:p w14:paraId="26C43100">
            <w:pPr>
              <w:widowControl/>
              <w:spacing w:line="260" w:lineRule="exact"/>
              <w:jc w:val="both"/>
              <w:textAlignment w:val="center"/>
              <w:rPr>
                <w:rFonts w:hint="eastAsia" w:ascii="宋体" w:hAnsi="宋体" w:eastAsia="宋体" w:cs="宋体"/>
                <w:color w:val="000000"/>
                <w:kern w:val="0"/>
                <w:sz w:val="18"/>
                <w:szCs w:val="18"/>
                <w:lang w:bidi="ar"/>
              </w:rPr>
            </w:pPr>
          </w:p>
        </w:tc>
      </w:tr>
      <w:tr w14:paraId="11B594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510" w:type="dxa"/>
            <w:vMerge w:val="continue"/>
            <w:tcBorders>
              <w:left w:val="single" w:color="auto" w:sz="4" w:space="0"/>
              <w:right w:val="single" w:color="auto" w:sz="4" w:space="0"/>
            </w:tcBorders>
            <w:noWrap w:val="0"/>
            <w:tcMar>
              <w:top w:w="0" w:type="dxa"/>
              <w:left w:w="0" w:type="dxa"/>
              <w:bottom w:w="0" w:type="dxa"/>
              <w:right w:w="0" w:type="dxa"/>
            </w:tcMar>
            <w:vAlign w:val="center"/>
          </w:tcPr>
          <w:p w14:paraId="2B2622D9">
            <w:pPr>
              <w:widowControl/>
              <w:spacing w:line="260" w:lineRule="exact"/>
              <w:jc w:val="both"/>
              <w:textAlignment w:val="center"/>
              <w:rPr>
                <w:rFonts w:hint="eastAsia" w:ascii="宋体" w:hAnsi="宋体" w:eastAsia="宋体" w:cs="宋体"/>
                <w:color w:val="000000"/>
                <w:kern w:val="0"/>
                <w:sz w:val="18"/>
                <w:szCs w:val="18"/>
                <w:lang w:bidi="ar"/>
              </w:rPr>
            </w:pPr>
          </w:p>
        </w:tc>
        <w:tc>
          <w:tcPr>
            <w:tcW w:w="1260" w:type="dxa"/>
            <w:vMerge w:val="continue"/>
            <w:tcBorders>
              <w:left w:val="single" w:color="auto" w:sz="4" w:space="0"/>
              <w:right w:val="single" w:color="auto" w:sz="4" w:space="0"/>
            </w:tcBorders>
            <w:noWrap w:val="0"/>
            <w:tcMar>
              <w:top w:w="0" w:type="dxa"/>
              <w:left w:w="0" w:type="dxa"/>
              <w:bottom w:w="0" w:type="dxa"/>
              <w:right w:w="0" w:type="dxa"/>
            </w:tcMar>
            <w:vAlign w:val="center"/>
          </w:tcPr>
          <w:p w14:paraId="620197D3">
            <w:pPr>
              <w:widowControl/>
              <w:spacing w:line="260" w:lineRule="exact"/>
              <w:jc w:val="both"/>
              <w:textAlignment w:val="center"/>
              <w:rPr>
                <w:rFonts w:hint="eastAsia" w:ascii="宋体" w:hAnsi="宋体" w:eastAsia="宋体" w:cs="宋体"/>
                <w:color w:val="000000"/>
                <w:kern w:val="0"/>
                <w:sz w:val="18"/>
                <w:szCs w:val="18"/>
                <w:lang w:bidi="ar"/>
              </w:rPr>
            </w:pPr>
          </w:p>
        </w:tc>
        <w:tc>
          <w:tcPr>
            <w:tcW w:w="3895" w:type="dxa"/>
            <w:vMerge w:val="continue"/>
            <w:tcBorders>
              <w:left w:val="single" w:color="auto" w:sz="4" w:space="0"/>
              <w:right w:val="single" w:color="auto" w:sz="4" w:space="0"/>
            </w:tcBorders>
            <w:noWrap w:val="0"/>
            <w:tcMar>
              <w:top w:w="0" w:type="dxa"/>
              <w:left w:w="0" w:type="dxa"/>
              <w:bottom w:w="0" w:type="dxa"/>
              <w:right w:w="0" w:type="dxa"/>
            </w:tcMar>
            <w:vAlign w:val="center"/>
          </w:tcPr>
          <w:p w14:paraId="2B5E705F">
            <w:pPr>
              <w:widowControl/>
              <w:spacing w:line="260" w:lineRule="exact"/>
              <w:jc w:val="both"/>
              <w:textAlignment w:val="center"/>
              <w:rPr>
                <w:rFonts w:hint="eastAsia" w:ascii="宋体" w:hAnsi="宋体" w:eastAsia="宋体" w:cs="宋体"/>
                <w:color w:val="000000"/>
                <w:kern w:val="0"/>
                <w:sz w:val="18"/>
                <w:szCs w:val="18"/>
                <w:lang w:bidi="ar"/>
              </w:rPr>
            </w:pPr>
          </w:p>
        </w:tc>
        <w:tc>
          <w:tcPr>
            <w:tcW w:w="2342" w:type="dxa"/>
            <w:vMerge w:val="continue"/>
            <w:tcBorders>
              <w:left w:val="single" w:color="auto" w:sz="4" w:space="0"/>
              <w:right w:val="single" w:color="auto" w:sz="4" w:space="0"/>
            </w:tcBorders>
            <w:noWrap w:val="0"/>
            <w:tcMar>
              <w:top w:w="0" w:type="dxa"/>
              <w:left w:w="0" w:type="dxa"/>
              <w:bottom w:w="0" w:type="dxa"/>
              <w:right w:w="0" w:type="dxa"/>
            </w:tcMar>
            <w:vAlign w:val="center"/>
          </w:tcPr>
          <w:p w14:paraId="7B3400E2">
            <w:pPr>
              <w:widowControl/>
              <w:spacing w:line="260" w:lineRule="exact"/>
              <w:jc w:val="both"/>
              <w:textAlignment w:val="center"/>
              <w:rPr>
                <w:rFonts w:hint="eastAsia" w:ascii="宋体" w:hAnsi="宋体" w:eastAsia="宋体" w:cs="宋体"/>
                <w:color w:val="000000"/>
                <w:kern w:val="0"/>
                <w:sz w:val="18"/>
                <w:szCs w:val="18"/>
                <w:lang w:bidi="ar"/>
              </w:rPr>
            </w:pPr>
          </w:p>
        </w:tc>
        <w:tc>
          <w:tcPr>
            <w:tcW w:w="623"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center"/>
          </w:tcPr>
          <w:p w14:paraId="513EBAE2">
            <w:pPr>
              <w:widowControl/>
              <w:spacing w:line="260" w:lineRule="exact"/>
              <w:jc w:val="center"/>
              <w:textAlignment w:val="center"/>
              <w:rPr>
                <w:rFonts w:hint="eastAsia" w:ascii="宋体" w:hAnsi="宋体" w:eastAsia="宋体" w:cs="宋体"/>
                <w:color w:val="000000"/>
                <w:kern w:val="0"/>
                <w:sz w:val="18"/>
                <w:szCs w:val="18"/>
                <w:lang w:val="en-US" w:eastAsia="zh-CN" w:bidi="ar"/>
              </w:rPr>
            </w:pPr>
            <w:r>
              <w:rPr>
                <w:rFonts w:hint="eastAsia" w:ascii="宋体" w:hAnsi="宋体" w:eastAsia="宋体" w:cs="宋体"/>
                <w:color w:val="000000"/>
                <w:kern w:val="0"/>
                <w:sz w:val="18"/>
                <w:szCs w:val="18"/>
                <w:lang w:eastAsia="zh-CN" w:bidi="ar"/>
              </w:rPr>
              <w:t>较重</w:t>
            </w:r>
          </w:p>
        </w:tc>
        <w:tc>
          <w:tcPr>
            <w:tcW w:w="3060"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center"/>
          </w:tcPr>
          <w:p w14:paraId="1580DB2E">
            <w:pPr>
              <w:widowControl/>
              <w:spacing w:line="260" w:lineRule="exact"/>
              <w:jc w:val="both"/>
              <w:textAlignment w:val="center"/>
              <w:rPr>
                <w:rFonts w:hint="eastAsia" w:ascii="宋体" w:hAnsi="宋体" w:eastAsia="宋体" w:cs="宋体"/>
                <w:color w:val="000000"/>
                <w:kern w:val="0"/>
                <w:sz w:val="18"/>
                <w:szCs w:val="18"/>
                <w:lang w:val="en-US" w:eastAsia="zh-CN" w:bidi="ar"/>
              </w:rPr>
            </w:pPr>
            <w:r>
              <w:rPr>
                <w:rFonts w:hint="default" w:ascii="宋体" w:hAnsi="宋体" w:eastAsia="宋体" w:cs="宋体"/>
                <w:color w:val="000000"/>
                <w:kern w:val="0"/>
                <w:sz w:val="18"/>
                <w:szCs w:val="18"/>
                <w:lang w:bidi="ar"/>
              </w:rPr>
              <w:t>逾期六个月以上十二个月</w:t>
            </w:r>
            <w:r>
              <w:rPr>
                <w:rFonts w:hint="eastAsia" w:ascii="宋体" w:hAnsi="宋体" w:eastAsia="宋体" w:cs="宋体"/>
                <w:color w:val="000000"/>
                <w:kern w:val="0"/>
                <w:sz w:val="18"/>
                <w:szCs w:val="18"/>
                <w:lang w:val="en-US" w:eastAsia="zh-CN" w:bidi="ar"/>
              </w:rPr>
              <w:t>以下缴纳</w:t>
            </w:r>
            <w:r>
              <w:rPr>
                <w:rFonts w:hint="default" w:ascii="宋体" w:hAnsi="宋体" w:eastAsia="宋体" w:cs="宋体"/>
                <w:color w:val="000000"/>
                <w:kern w:val="0"/>
                <w:sz w:val="18"/>
                <w:szCs w:val="18"/>
                <w:lang w:bidi="ar"/>
              </w:rPr>
              <w:t>的</w:t>
            </w:r>
          </w:p>
        </w:tc>
        <w:tc>
          <w:tcPr>
            <w:tcW w:w="2360"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center"/>
          </w:tcPr>
          <w:p w14:paraId="73B1DC4E">
            <w:pPr>
              <w:widowControl/>
              <w:spacing w:line="260" w:lineRule="exact"/>
              <w:jc w:val="both"/>
              <w:textAlignment w:val="center"/>
              <w:rPr>
                <w:rFonts w:hint="eastAsia" w:ascii="宋体" w:hAnsi="宋体" w:eastAsia="宋体" w:cs="宋体"/>
                <w:color w:val="000000"/>
                <w:kern w:val="0"/>
                <w:sz w:val="18"/>
                <w:szCs w:val="18"/>
                <w:lang w:val="en-US" w:eastAsia="zh-CN" w:bidi="ar"/>
              </w:rPr>
            </w:pPr>
            <w:r>
              <w:rPr>
                <w:rFonts w:hint="default" w:ascii="宋体" w:hAnsi="宋体" w:eastAsia="宋体" w:cs="宋体"/>
                <w:color w:val="000000"/>
                <w:kern w:val="0"/>
                <w:sz w:val="18"/>
                <w:szCs w:val="18"/>
                <w:lang w:bidi="ar"/>
              </w:rPr>
              <w:t>处应缴水土保持补偿费一点五倍以上二点五倍以下的罚款</w:t>
            </w:r>
          </w:p>
        </w:tc>
        <w:tc>
          <w:tcPr>
            <w:tcW w:w="958" w:type="dxa"/>
            <w:tcBorders>
              <w:left w:val="single" w:color="auto" w:sz="4" w:space="0"/>
              <w:right w:val="single" w:color="auto" w:sz="4" w:space="0"/>
            </w:tcBorders>
            <w:noWrap w:val="0"/>
            <w:tcMar>
              <w:top w:w="0" w:type="dxa"/>
              <w:left w:w="0" w:type="dxa"/>
              <w:bottom w:w="0" w:type="dxa"/>
              <w:right w:w="0" w:type="dxa"/>
            </w:tcMar>
            <w:vAlign w:val="center"/>
          </w:tcPr>
          <w:p w14:paraId="1BD840A2">
            <w:pPr>
              <w:widowControl/>
              <w:spacing w:line="260" w:lineRule="exact"/>
              <w:jc w:val="both"/>
              <w:textAlignment w:val="center"/>
              <w:rPr>
                <w:rFonts w:hint="eastAsia" w:ascii="宋体" w:hAnsi="宋体" w:eastAsia="宋体" w:cs="宋体"/>
                <w:color w:val="000000"/>
                <w:kern w:val="0"/>
                <w:sz w:val="18"/>
                <w:szCs w:val="18"/>
                <w:lang w:bidi="ar"/>
              </w:rPr>
            </w:pPr>
          </w:p>
        </w:tc>
      </w:tr>
      <w:tr w14:paraId="1E9545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510" w:type="dxa"/>
            <w:vMerge w:val="continue"/>
            <w:tcBorders>
              <w:left w:val="single" w:color="auto" w:sz="4" w:space="0"/>
              <w:right w:val="single" w:color="auto" w:sz="4" w:space="0"/>
            </w:tcBorders>
            <w:noWrap w:val="0"/>
            <w:tcMar>
              <w:top w:w="0" w:type="dxa"/>
              <w:left w:w="0" w:type="dxa"/>
              <w:bottom w:w="0" w:type="dxa"/>
              <w:right w:w="0" w:type="dxa"/>
            </w:tcMar>
            <w:vAlign w:val="center"/>
          </w:tcPr>
          <w:p w14:paraId="3F6B82AA">
            <w:pPr>
              <w:widowControl/>
              <w:spacing w:line="260" w:lineRule="exact"/>
              <w:jc w:val="both"/>
              <w:textAlignment w:val="center"/>
              <w:rPr>
                <w:rFonts w:hint="eastAsia" w:ascii="宋体" w:hAnsi="宋体" w:eastAsia="宋体" w:cs="宋体"/>
                <w:color w:val="000000"/>
                <w:kern w:val="0"/>
                <w:sz w:val="18"/>
                <w:szCs w:val="18"/>
                <w:lang w:bidi="ar"/>
              </w:rPr>
            </w:pPr>
          </w:p>
        </w:tc>
        <w:tc>
          <w:tcPr>
            <w:tcW w:w="1260" w:type="dxa"/>
            <w:vMerge w:val="continue"/>
            <w:tcBorders>
              <w:left w:val="single" w:color="auto" w:sz="4" w:space="0"/>
              <w:right w:val="single" w:color="auto" w:sz="4" w:space="0"/>
            </w:tcBorders>
            <w:noWrap w:val="0"/>
            <w:tcMar>
              <w:top w:w="0" w:type="dxa"/>
              <w:left w:w="0" w:type="dxa"/>
              <w:bottom w:w="0" w:type="dxa"/>
              <w:right w:w="0" w:type="dxa"/>
            </w:tcMar>
            <w:vAlign w:val="center"/>
          </w:tcPr>
          <w:p w14:paraId="412D14FD">
            <w:pPr>
              <w:widowControl/>
              <w:spacing w:line="260" w:lineRule="exact"/>
              <w:jc w:val="both"/>
              <w:textAlignment w:val="center"/>
              <w:rPr>
                <w:rFonts w:hint="eastAsia" w:ascii="宋体" w:hAnsi="宋体" w:eastAsia="宋体" w:cs="宋体"/>
                <w:color w:val="000000"/>
                <w:kern w:val="0"/>
                <w:sz w:val="18"/>
                <w:szCs w:val="18"/>
                <w:lang w:bidi="ar"/>
              </w:rPr>
            </w:pPr>
          </w:p>
        </w:tc>
        <w:tc>
          <w:tcPr>
            <w:tcW w:w="3895" w:type="dxa"/>
            <w:vMerge w:val="continue"/>
            <w:tcBorders>
              <w:left w:val="single" w:color="auto" w:sz="4" w:space="0"/>
              <w:right w:val="single" w:color="auto" w:sz="4" w:space="0"/>
            </w:tcBorders>
            <w:noWrap w:val="0"/>
            <w:tcMar>
              <w:top w:w="0" w:type="dxa"/>
              <w:left w:w="0" w:type="dxa"/>
              <w:bottom w:w="0" w:type="dxa"/>
              <w:right w:w="0" w:type="dxa"/>
            </w:tcMar>
            <w:vAlign w:val="center"/>
          </w:tcPr>
          <w:p w14:paraId="4D6082D6">
            <w:pPr>
              <w:widowControl/>
              <w:spacing w:line="260" w:lineRule="exact"/>
              <w:jc w:val="both"/>
              <w:textAlignment w:val="center"/>
              <w:rPr>
                <w:rFonts w:hint="eastAsia" w:ascii="宋体" w:hAnsi="宋体" w:eastAsia="宋体" w:cs="宋体"/>
                <w:color w:val="000000"/>
                <w:kern w:val="0"/>
                <w:sz w:val="18"/>
                <w:szCs w:val="18"/>
                <w:lang w:bidi="ar"/>
              </w:rPr>
            </w:pPr>
          </w:p>
        </w:tc>
        <w:tc>
          <w:tcPr>
            <w:tcW w:w="2342" w:type="dxa"/>
            <w:vMerge w:val="continue"/>
            <w:tcBorders>
              <w:left w:val="single" w:color="auto" w:sz="4" w:space="0"/>
              <w:right w:val="single" w:color="auto" w:sz="4" w:space="0"/>
            </w:tcBorders>
            <w:noWrap w:val="0"/>
            <w:tcMar>
              <w:top w:w="0" w:type="dxa"/>
              <w:left w:w="0" w:type="dxa"/>
              <w:bottom w:w="0" w:type="dxa"/>
              <w:right w:w="0" w:type="dxa"/>
            </w:tcMar>
            <w:vAlign w:val="center"/>
          </w:tcPr>
          <w:p w14:paraId="46F1AED2">
            <w:pPr>
              <w:widowControl/>
              <w:spacing w:line="260" w:lineRule="exact"/>
              <w:jc w:val="both"/>
              <w:textAlignment w:val="center"/>
              <w:rPr>
                <w:rFonts w:hint="eastAsia" w:ascii="宋体" w:hAnsi="宋体" w:eastAsia="宋体" w:cs="宋体"/>
                <w:color w:val="000000"/>
                <w:kern w:val="0"/>
                <w:sz w:val="18"/>
                <w:szCs w:val="18"/>
                <w:lang w:bidi="ar"/>
              </w:rPr>
            </w:pPr>
          </w:p>
        </w:tc>
        <w:tc>
          <w:tcPr>
            <w:tcW w:w="623"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center"/>
          </w:tcPr>
          <w:p w14:paraId="74CFCB56">
            <w:pPr>
              <w:widowControl/>
              <w:spacing w:line="260" w:lineRule="exact"/>
              <w:jc w:val="center"/>
              <w:textAlignment w:val="center"/>
              <w:rPr>
                <w:rFonts w:hint="eastAsia" w:ascii="宋体" w:hAnsi="宋体" w:eastAsia="宋体" w:cs="宋体"/>
                <w:color w:val="000000"/>
                <w:kern w:val="0"/>
                <w:sz w:val="18"/>
                <w:szCs w:val="18"/>
                <w:lang w:val="en-US" w:eastAsia="zh-CN" w:bidi="ar"/>
              </w:rPr>
            </w:pPr>
            <w:r>
              <w:rPr>
                <w:rFonts w:hint="eastAsia" w:ascii="宋体" w:hAnsi="宋体" w:eastAsia="宋体" w:cs="宋体"/>
                <w:color w:val="000000"/>
                <w:kern w:val="0"/>
                <w:sz w:val="18"/>
                <w:szCs w:val="18"/>
                <w:lang w:bidi="ar"/>
              </w:rPr>
              <w:t>严重</w:t>
            </w:r>
          </w:p>
        </w:tc>
        <w:tc>
          <w:tcPr>
            <w:tcW w:w="3060"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center"/>
          </w:tcPr>
          <w:p w14:paraId="3B5F75E5">
            <w:pPr>
              <w:widowControl/>
              <w:spacing w:line="260" w:lineRule="exact"/>
              <w:jc w:val="both"/>
              <w:textAlignment w:val="center"/>
              <w:rPr>
                <w:rFonts w:hint="default" w:ascii="宋体" w:hAnsi="宋体" w:eastAsia="宋体" w:cs="宋体"/>
                <w:color w:val="000000"/>
                <w:kern w:val="0"/>
                <w:sz w:val="18"/>
                <w:szCs w:val="18"/>
                <w:lang w:val="en-US" w:eastAsia="zh-CN" w:bidi="ar"/>
              </w:rPr>
            </w:pPr>
            <w:r>
              <w:rPr>
                <w:rFonts w:hint="default" w:ascii="宋体" w:hAnsi="宋体" w:eastAsia="宋体" w:cs="宋体"/>
                <w:color w:val="000000"/>
                <w:kern w:val="0"/>
                <w:sz w:val="18"/>
                <w:szCs w:val="18"/>
                <w:lang w:bidi="ar"/>
              </w:rPr>
              <w:t>逾期十二个月</w:t>
            </w:r>
            <w:r>
              <w:rPr>
                <w:rFonts w:hint="eastAsia" w:ascii="宋体" w:hAnsi="宋体" w:eastAsia="宋体" w:cs="宋体"/>
                <w:color w:val="000000"/>
                <w:kern w:val="0"/>
                <w:sz w:val="18"/>
                <w:szCs w:val="18"/>
                <w:lang w:val="en-US" w:eastAsia="zh-CN" w:bidi="ar"/>
              </w:rPr>
              <w:t>未缴纳的</w:t>
            </w:r>
          </w:p>
        </w:tc>
        <w:tc>
          <w:tcPr>
            <w:tcW w:w="2360"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center"/>
          </w:tcPr>
          <w:p w14:paraId="2BC20A43">
            <w:pPr>
              <w:widowControl/>
              <w:spacing w:line="260" w:lineRule="exact"/>
              <w:jc w:val="both"/>
              <w:textAlignment w:val="center"/>
              <w:rPr>
                <w:rFonts w:hint="eastAsia" w:ascii="宋体" w:hAnsi="宋体" w:eastAsia="宋体" w:cs="宋体"/>
                <w:color w:val="000000"/>
                <w:kern w:val="0"/>
                <w:sz w:val="18"/>
                <w:szCs w:val="18"/>
                <w:lang w:val="en-US" w:eastAsia="zh-CN" w:bidi="ar"/>
              </w:rPr>
            </w:pPr>
            <w:r>
              <w:rPr>
                <w:rFonts w:hint="default" w:ascii="宋体" w:hAnsi="宋体" w:eastAsia="宋体" w:cs="宋体"/>
                <w:color w:val="000000"/>
                <w:kern w:val="0"/>
                <w:sz w:val="18"/>
                <w:szCs w:val="18"/>
                <w:lang w:bidi="ar"/>
              </w:rPr>
              <w:t>处应缴水土保持补偿费二点五倍以上三倍以下的罚款</w:t>
            </w:r>
          </w:p>
        </w:tc>
        <w:tc>
          <w:tcPr>
            <w:tcW w:w="958" w:type="dxa"/>
            <w:tcBorders>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A1D46B9">
            <w:pPr>
              <w:widowControl/>
              <w:spacing w:line="260" w:lineRule="exact"/>
              <w:jc w:val="both"/>
              <w:textAlignment w:val="center"/>
              <w:rPr>
                <w:rFonts w:hint="eastAsia" w:ascii="宋体" w:hAnsi="宋体" w:eastAsia="宋体" w:cs="宋体"/>
                <w:color w:val="000000"/>
                <w:kern w:val="0"/>
                <w:sz w:val="18"/>
                <w:szCs w:val="18"/>
                <w:lang w:bidi="ar"/>
              </w:rPr>
            </w:pPr>
          </w:p>
        </w:tc>
      </w:tr>
    </w:tbl>
    <w:p w14:paraId="659DEC92">
      <w:pPr>
        <w:pStyle w:val="2"/>
        <w:spacing w:line="600" w:lineRule="exact"/>
        <w:rPr>
          <w:rFonts w:ascii="仿宋_GB2312" w:hAnsi="仿宋_GB2312" w:eastAsia="仿宋_GB2312" w:cs="仿宋_GB2312"/>
        </w:rPr>
        <w:sectPr>
          <w:footerReference r:id="rId13" w:type="default"/>
          <w:footerReference r:id="rId14" w:type="even"/>
          <w:pgSz w:w="16838" w:h="11906" w:orient="landscape"/>
          <w:pgMar w:top="1134" w:right="1134" w:bottom="1134" w:left="1134" w:header="851" w:footer="964" w:gutter="0"/>
          <w:pgNumType w:fmt="decimal"/>
          <w:cols w:space="0" w:num="1"/>
          <w:rtlGutter w:val="0"/>
          <w:docGrid w:type="lines" w:linePitch="312" w:charSpace="0"/>
        </w:sectPr>
      </w:pPr>
    </w:p>
    <w:p w14:paraId="0E2E5D9C">
      <w:pPr>
        <w:spacing w:before="156" w:beforeLines="50" w:after="156" w:afterLines="50" w:line="600" w:lineRule="exact"/>
        <w:jc w:val="center"/>
        <w:rPr>
          <w:rFonts w:hint="eastAsia" w:eastAsia="黑体"/>
        </w:rPr>
      </w:pPr>
      <w:r>
        <w:rPr>
          <w:rFonts w:hint="eastAsia" w:ascii="黑体" w:hAnsi="黑体" w:eastAsia="黑体" w:cs="黑体"/>
          <w:sz w:val="32"/>
          <w:szCs w:val="32"/>
        </w:rPr>
        <w:t xml:space="preserve">第六部分 </w:t>
      </w:r>
      <w:r>
        <w:rPr>
          <w:rFonts w:hint="eastAsia" w:ascii="黑体" w:hAnsi="黑体" w:eastAsia="黑体" w:cs="黑体"/>
          <w:sz w:val="32"/>
          <w:szCs w:val="32"/>
          <w:lang w:val="en-US" w:eastAsia="zh-CN"/>
        </w:rPr>
        <w:t xml:space="preserve"> </w:t>
      </w:r>
      <w:r>
        <w:rPr>
          <w:rFonts w:hint="eastAsia" w:ascii="黑体" w:hAnsi="黑体" w:eastAsia="黑体" w:cs="黑体"/>
          <w:color w:val="000000"/>
          <w:sz w:val="32"/>
          <w:szCs w:val="32"/>
        </w:rPr>
        <w:t>移民安置管理类</w:t>
      </w:r>
    </w:p>
    <w:tbl>
      <w:tblPr>
        <w:tblStyle w:val="13"/>
        <w:tblW w:w="146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23"/>
        <w:gridCol w:w="1411"/>
        <w:gridCol w:w="3700"/>
        <w:gridCol w:w="1360"/>
        <w:gridCol w:w="626"/>
        <w:gridCol w:w="2283"/>
        <w:gridCol w:w="3737"/>
        <w:gridCol w:w="994"/>
      </w:tblGrid>
      <w:tr w14:paraId="04DF31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jc w:val="center"/>
        </w:trPr>
        <w:tc>
          <w:tcPr>
            <w:tcW w:w="5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5091FE1">
            <w:pPr>
              <w:spacing w:line="260" w:lineRule="exact"/>
              <w:jc w:val="center"/>
              <w:rPr>
                <w:rFonts w:hint="eastAsia" w:ascii="黑体" w:hAnsi="黑体" w:eastAsia="黑体" w:cs="黑体"/>
                <w:sz w:val="18"/>
                <w:szCs w:val="18"/>
              </w:rPr>
            </w:pPr>
            <w:r>
              <w:rPr>
                <w:rFonts w:hint="eastAsia" w:ascii="黑体" w:hAnsi="黑体" w:eastAsia="黑体" w:cs="黑体"/>
                <w:sz w:val="18"/>
                <w:szCs w:val="18"/>
              </w:rPr>
              <w:t>序号</w:t>
            </w:r>
          </w:p>
        </w:tc>
        <w:tc>
          <w:tcPr>
            <w:tcW w:w="141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179D5CA">
            <w:pPr>
              <w:spacing w:line="260" w:lineRule="exact"/>
              <w:jc w:val="center"/>
              <w:rPr>
                <w:rFonts w:hint="eastAsia" w:ascii="黑体" w:hAnsi="黑体" w:eastAsia="黑体" w:cs="黑体"/>
                <w:sz w:val="18"/>
                <w:szCs w:val="18"/>
              </w:rPr>
            </w:pPr>
            <w:r>
              <w:rPr>
                <w:rFonts w:hint="eastAsia" w:ascii="黑体" w:hAnsi="黑体" w:eastAsia="黑体" w:cs="黑体"/>
                <w:sz w:val="18"/>
                <w:szCs w:val="18"/>
              </w:rPr>
              <w:t>违法行为</w:t>
            </w:r>
          </w:p>
        </w:tc>
        <w:tc>
          <w:tcPr>
            <w:tcW w:w="370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C5EFC81">
            <w:pPr>
              <w:spacing w:line="260" w:lineRule="exact"/>
              <w:jc w:val="center"/>
              <w:rPr>
                <w:rFonts w:hint="eastAsia" w:ascii="黑体" w:hAnsi="黑体" w:eastAsia="黑体" w:cs="黑体"/>
                <w:sz w:val="18"/>
                <w:szCs w:val="18"/>
              </w:rPr>
            </w:pPr>
            <w:r>
              <w:rPr>
                <w:rFonts w:hint="eastAsia" w:ascii="黑体" w:hAnsi="黑体" w:eastAsia="黑体" w:cs="黑体"/>
                <w:sz w:val="18"/>
                <w:szCs w:val="18"/>
              </w:rPr>
              <w:t>法定依据</w:t>
            </w:r>
          </w:p>
        </w:tc>
        <w:tc>
          <w:tcPr>
            <w:tcW w:w="136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FE3ED33">
            <w:pPr>
              <w:spacing w:line="260" w:lineRule="exact"/>
              <w:jc w:val="center"/>
              <w:rPr>
                <w:rFonts w:hint="eastAsia" w:ascii="黑体" w:hAnsi="黑体" w:eastAsia="黑体" w:cs="黑体"/>
                <w:sz w:val="18"/>
                <w:szCs w:val="18"/>
              </w:rPr>
            </w:pPr>
            <w:r>
              <w:rPr>
                <w:rFonts w:hint="eastAsia" w:ascii="黑体" w:hAnsi="黑体" w:eastAsia="黑体" w:cs="黑体"/>
                <w:sz w:val="18"/>
                <w:szCs w:val="18"/>
              </w:rPr>
              <w:t>违法情形</w:t>
            </w:r>
          </w:p>
        </w:tc>
        <w:tc>
          <w:tcPr>
            <w:tcW w:w="626"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B4AC844">
            <w:pPr>
              <w:spacing w:line="260" w:lineRule="exact"/>
              <w:jc w:val="center"/>
              <w:rPr>
                <w:rFonts w:hint="eastAsia" w:ascii="黑体" w:hAnsi="黑体" w:eastAsia="黑体" w:cs="黑体"/>
                <w:sz w:val="18"/>
                <w:szCs w:val="18"/>
              </w:rPr>
            </w:pPr>
            <w:r>
              <w:rPr>
                <w:rFonts w:hint="eastAsia" w:ascii="黑体" w:hAnsi="黑体" w:eastAsia="黑体" w:cs="黑体"/>
                <w:sz w:val="18"/>
                <w:szCs w:val="18"/>
              </w:rPr>
              <w:t>裁量</w:t>
            </w:r>
          </w:p>
          <w:p w14:paraId="323E1381">
            <w:pPr>
              <w:spacing w:line="260" w:lineRule="exact"/>
              <w:jc w:val="center"/>
              <w:rPr>
                <w:rFonts w:hint="eastAsia" w:ascii="黑体" w:hAnsi="黑体" w:eastAsia="黑体" w:cs="黑体"/>
                <w:sz w:val="18"/>
                <w:szCs w:val="18"/>
              </w:rPr>
            </w:pPr>
            <w:r>
              <w:rPr>
                <w:rFonts w:hint="eastAsia" w:ascii="黑体" w:hAnsi="黑体" w:eastAsia="黑体" w:cs="黑体"/>
                <w:sz w:val="18"/>
                <w:szCs w:val="18"/>
              </w:rPr>
              <w:t>幅度</w:t>
            </w:r>
          </w:p>
        </w:tc>
        <w:tc>
          <w:tcPr>
            <w:tcW w:w="228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D37F867">
            <w:pPr>
              <w:spacing w:line="260" w:lineRule="exact"/>
              <w:jc w:val="center"/>
              <w:rPr>
                <w:rFonts w:hint="eastAsia" w:ascii="黑体" w:hAnsi="黑体" w:eastAsia="黑体" w:cs="黑体"/>
                <w:sz w:val="18"/>
                <w:szCs w:val="18"/>
              </w:rPr>
            </w:pPr>
            <w:r>
              <w:rPr>
                <w:rFonts w:hint="eastAsia" w:ascii="黑体" w:hAnsi="黑体" w:eastAsia="黑体" w:cs="黑体"/>
                <w:sz w:val="18"/>
                <w:szCs w:val="18"/>
              </w:rPr>
              <w:t>适用条件</w:t>
            </w:r>
          </w:p>
        </w:tc>
        <w:tc>
          <w:tcPr>
            <w:tcW w:w="373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BD9EFAE">
            <w:pPr>
              <w:spacing w:line="260" w:lineRule="exact"/>
              <w:jc w:val="center"/>
              <w:rPr>
                <w:rFonts w:hint="eastAsia" w:ascii="黑体" w:hAnsi="黑体" w:eastAsia="黑体" w:cs="黑体"/>
                <w:sz w:val="18"/>
                <w:szCs w:val="18"/>
              </w:rPr>
            </w:pPr>
            <w:r>
              <w:rPr>
                <w:rFonts w:hint="eastAsia" w:ascii="黑体" w:hAnsi="黑体" w:eastAsia="黑体" w:cs="黑体"/>
                <w:sz w:val="18"/>
                <w:szCs w:val="18"/>
              </w:rPr>
              <w:t>裁量基准</w:t>
            </w:r>
          </w:p>
        </w:tc>
        <w:tc>
          <w:tcPr>
            <w:tcW w:w="99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2FCFBB5">
            <w:pPr>
              <w:spacing w:line="260" w:lineRule="exact"/>
              <w:jc w:val="center"/>
              <w:rPr>
                <w:rFonts w:hint="eastAsia" w:ascii="黑体" w:hAnsi="黑体" w:eastAsia="黑体" w:cs="黑体"/>
                <w:sz w:val="18"/>
                <w:szCs w:val="18"/>
                <w:lang w:val="en-US" w:eastAsia="zh-CN"/>
              </w:rPr>
            </w:pPr>
            <w:r>
              <w:rPr>
                <w:rFonts w:hint="eastAsia" w:ascii="黑体" w:hAnsi="黑体" w:eastAsia="黑体" w:cs="黑体"/>
                <w:sz w:val="18"/>
                <w:szCs w:val="18"/>
                <w:lang w:val="en-US" w:eastAsia="zh-CN"/>
              </w:rPr>
              <w:t>备注</w:t>
            </w:r>
          </w:p>
        </w:tc>
      </w:tr>
      <w:tr w14:paraId="22CFC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3" w:type="dxa"/>
            <w:vMerge w:val="restart"/>
            <w:tcBorders>
              <w:left w:val="single" w:color="auto" w:sz="4" w:space="0"/>
              <w:right w:val="single" w:color="auto" w:sz="4" w:space="0"/>
            </w:tcBorders>
            <w:shd w:val="clear" w:color="auto" w:fill="auto"/>
            <w:noWrap w:val="0"/>
            <w:tcMar>
              <w:top w:w="0" w:type="dxa"/>
              <w:left w:w="0" w:type="dxa"/>
              <w:bottom w:w="0" w:type="dxa"/>
              <w:right w:w="0" w:type="dxa"/>
            </w:tcMar>
            <w:vAlign w:val="center"/>
          </w:tcPr>
          <w:p w14:paraId="0C7DA753">
            <w:pPr>
              <w:widowControl/>
              <w:spacing w:line="260" w:lineRule="exact"/>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53</w:t>
            </w:r>
          </w:p>
        </w:tc>
        <w:tc>
          <w:tcPr>
            <w:tcW w:w="1411" w:type="dxa"/>
            <w:vMerge w:val="restart"/>
            <w:tcBorders>
              <w:left w:val="single" w:color="auto" w:sz="4" w:space="0"/>
              <w:right w:val="single" w:color="auto" w:sz="4" w:space="0"/>
            </w:tcBorders>
            <w:noWrap w:val="0"/>
            <w:tcMar>
              <w:top w:w="0" w:type="dxa"/>
              <w:left w:w="0" w:type="dxa"/>
              <w:bottom w:w="0" w:type="dxa"/>
              <w:right w:w="0" w:type="dxa"/>
            </w:tcMar>
            <w:vAlign w:val="center"/>
          </w:tcPr>
          <w:p w14:paraId="70F689EA">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对大中型水利水电工程项目法人违反规定调整或者修改移民安置规划大纲、移民安置规划行为的行政处罚</w:t>
            </w:r>
          </w:p>
        </w:tc>
        <w:tc>
          <w:tcPr>
            <w:tcW w:w="3700" w:type="dxa"/>
            <w:vMerge w:val="restart"/>
            <w:tcBorders>
              <w:top w:val="single" w:color="auto" w:sz="4" w:space="0"/>
              <w:left w:val="single" w:color="auto" w:sz="4" w:space="0"/>
              <w:right w:val="single" w:color="auto" w:sz="4" w:space="0"/>
            </w:tcBorders>
            <w:noWrap w:val="0"/>
            <w:tcMar>
              <w:top w:w="0" w:type="dxa"/>
              <w:left w:w="0" w:type="dxa"/>
              <w:bottom w:w="0" w:type="dxa"/>
              <w:right w:w="0" w:type="dxa"/>
            </w:tcMar>
            <w:vAlign w:val="center"/>
          </w:tcPr>
          <w:p w14:paraId="27D0A549">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《大中型水利水电工程建设征地补偿和移民安置条例》第五十八条第二款 违反本条例规定，项目法人调整或者修改移民安置规划大纲、移民安置规划的，由批准该规划大纲、规划的有关人民政府或者其有关部门、机构责令改正，处10万元以上50万元以下的罚款；对直接负责的主管人员和其他直接责任人员处1万元以上5万元以下的罚款；造成重大损失，有关责任人员构成犯罪的，依法追究刑事责任。</w:t>
            </w:r>
          </w:p>
        </w:tc>
        <w:tc>
          <w:tcPr>
            <w:tcW w:w="1360" w:type="dxa"/>
            <w:vMerge w:val="restart"/>
            <w:tcBorders>
              <w:top w:val="single" w:color="auto" w:sz="4" w:space="0"/>
              <w:left w:val="single" w:color="auto" w:sz="4" w:space="0"/>
              <w:right w:val="single" w:color="auto" w:sz="4" w:space="0"/>
            </w:tcBorders>
            <w:noWrap w:val="0"/>
            <w:tcMar>
              <w:top w:w="0" w:type="dxa"/>
              <w:left w:w="0" w:type="dxa"/>
              <w:bottom w:w="0" w:type="dxa"/>
              <w:right w:w="0" w:type="dxa"/>
            </w:tcMar>
            <w:vAlign w:val="center"/>
          </w:tcPr>
          <w:p w14:paraId="1CCF951B">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违反本条例规定，项目法人调整或者修改移民安置规划大纲、移民安置规划的</w:t>
            </w:r>
          </w:p>
        </w:tc>
        <w:tc>
          <w:tcPr>
            <w:tcW w:w="626"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2998039">
            <w:pPr>
              <w:widowControl/>
              <w:spacing w:line="260" w:lineRule="exact"/>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轻微</w:t>
            </w:r>
          </w:p>
        </w:tc>
        <w:tc>
          <w:tcPr>
            <w:tcW w:w="228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4898F7C1">
            <w:pPr>
              <w:widowControl/>
              <w:spacing w:line="260" w:lineRule="exact"/>
              <w:jc w:val="both"/>
              <w:textAlignment w:val="center"/>
              <mc:AlternateContent>
                <mc:Choice Requires="wpsCustomData">
                  <wpsCustomData:diagonalParaType/>
                </mc:Choice>
              </mc:AlternateContent>
              <w:rPr>
                <w:rFonts w:hint="eastAsia" w:ascii="宋体" w:hAnsi="宋体" w:eastAsia="宋体" w:cs="宋体"/>
                <w:color w:val="000000"/>
                <w:kern w:val="0"/>
                <w:sz w:val="18"/>
                <w:szCs w:val="18"/>
                <w:lang w:bidi="ar"/>
              </w:rPr>
            </w:pPr>
          </w:p>
          <w:p w14:paraId="77931F86">
            <w:pPr>
              <w:widowControl/>
              <w:spacing w:line="260" w:lineRule="exact"/>
              <w:jc w:val="both"/>
              <w:textAlignment w:val="center"/>
              <w:rPr>
                <w:rFonts w:hint="eastAsia" w:ascii="宋体" w:hAnsi="宋体" w:eastAsia="宋体" w:cs="宋体"/>
                <w:color w:val="000000"/>
                <w:kern w:val="0"/>
                <w:sz w:val="18"/>
                <w:szCs w:val="18"/>
                <w:lang w:bidi="ar"/>
              </w:rPr>
            </w:pPr>
          </w:p>
        </w:tc>
        <w:tc>
          <w:tcPr>
            <w:tcW w:w="373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22B3B6BE">
            <w:pPr>
              <w:widowControl/>
              <w:spacing w:line="260" w:lineRule="exact"/>
              <w:jc w:val="both"/>
              <w:textAlignment w:val="center"/>
              <mc:AlternateContent>
                <mc:Choice Requires="wpsCustomData">
                  <wpsCustomData:diagonalParaType/>
                </mc:Choice>
              </mc:AlternateContent>
              <w:rPr>
                <w:rFonts w:hint="eastAsia" w:ascii="宋体" w:hAnsi="宋体" w:eastAsia="宋体" w:cs="宋体"/>
                <w:color w:val="000000"/>
                <w:kern w:val="0"/>
                <w:sz w:val="18"/>
                <w:szCs w:val="18"/>
                <w:lang w:bidi="ar"/>
              </w:rPr>
            </w:pPr>
          </w:p>
          <w:p w14:paraId="654309A6">
            <w:pPr>
              <w:widowControl/>
              <w:spacing w:line="260" w:lineRule="exact"/>
              <w:jc w:val="both"/>
              <w:textAlignment w:val="center"/>
              <w:rPr>
                <w:rFonts w:hint="eastAsia" w:ascii="宋体" w:hAnsi="宋体" w:eastAsia="宋体" w:cs="宋体"/>
                <w:color w:val="000000"/>
                <w:kern w:val="0"/>
                <w:sz w:val="18"/>
                <w:szCs w:val="18"/>
                <w:lang w:bidi="ar"/>
              </w:rPr>
            </w:pPr>
          </w:p>
        </w:tc>
        <w:tc>
          <w:tcPr>
            <w:tcW w:w="994" w:type="dxa"/>
            <w:vMerge w:val="restart"/>
            <w:tcBorders>
              <w:top w:val="single" w:color="auto" w:sz="4" w:space="0"/>
              <w:left w:val="single" w:color="auto" w:sz="4" w:space="0"/>
              <w:right w:val="single" w:color="auto" w:sz="4" w:space="0"/>
            </w:tcBorders>
            <w:noWrap w:val="0"/>
            <w:tcMar>
              <w:top w:w="0" w:type="dxa"/>
              <w:left w:w="0" w:type="dxa"/>
              <w:bottom w:w="0" w:type="dxa"/>
              <w:right w:w="0" w:type="dxa"/>
            </w:tcMar>
            <w:vAlign w:val="center"/>
          </w:tcPr>
          <w:p w14:paraId="69C25921">
            <w:pPr>
              <w:widowControl/>
              <w:spacing w:line="260" w:lineRule="exact"/>
              <w:jc w:val="center"/>
              <w:textAlignment w:val="center"/>
              <w:rPr>
                <w:rFonts w:hint="eastAsia" w:ascii="宋体" w:hAnsi="宋体" w:eastAsia="宋体" w:cs="宋体"/>
                <w:color w:val="000000"/>
                <w:kern w:val="0"/>
                <w:sz w:val="18"/>
                <w:szCs w:val="18"/>
                <w:lang w:bidi="ar"/>
              </w:rPr>
            </w:pPr>
          </w:p>
        </w:tc>
      </w:tr>
      <w:tr w14:paraId="33B3F3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3" w:type="dxa"/>
            <w:vMerge w:val="continue"/>
            <w:tcBorders>
              <w:left w:val="single" w:color="auto" w:sz="4" w:space="0"/>
              <w:right w:val="single" w:color="auto" w:sz="4" w:space="0"/>
            </w:tcBorders>
            <w:noWrap w:val="0"/>
            <w:tcMar>
              <w:top w:w="0" w:type="dxa"/>
              <w:left w:w="0" w:type="dxa"/>
              <w:bottom w:w="0" w:type="dxa"/>
              <w:right w:w="0" w:type="dxa"/>
            </w:tcMar>
            <w:vAlign w:val="center"/>
          </w:tcPr>
          <w:p w14:paraId="64185C92">
            <w:pPr>
              <w:widowControl/>
              <w:spacing w:line="260" w:lineRule="exact"/>
              <w:jc w:val="center"/>
              <w:textAlignment w:val="center"/>
              <w:rPr>
                <w:rFonts w:hint="eastAsia" w:ascii="宋体" w:hAnsi="宋体" w:eastAsia="宋体" w:cs="宋体"/>
                <w:color w:val="000000"/>
                <w:kern w:val="0"/>
                <w:sz w:val="18"/>
                <w:szCs w:val="18"/>
                <w:lang w:bidi="ar"/>
              </w:rPr>
            </w:pPr>
          </w:p>
        </w:tc>
        <w:tc>
          <w:tcPr>
            <w:tcW w:w="1411" w:type="dxa"/>
            <w:vMerge w:val="continue"/>
            <w:tcBorders>
              <w:left w:val="single" w:color="auto" w:sz="4" w:space="0"/>
              <w:right w:val="single" w:color="auto" w:sz="4" w:space="0"/>
            </w:tcBorders>
            <w:noWrap w:val="0"/>
            <w:tcMar>
              <w:top w:w="0" w:type="dxa"/>
              <w:left w:w="0" w:type="dxa"/>
              <w:bottom w:w="0" w:type="dxa"/>
              <w:right w:w="0" w:type="dxa"/>
            </w:tcMar>
            <w:vAlign w:val="center"/>
          </w:tcPr>
          <w:p w14:paraId="7040DF3E">
            <w:pPr>
              <w:widowControl/>
              <w:spacing w:line="260" w:lineRule="exact"/>
              <w:jc w:val="both"/>
              <w:textAlignment w:val="center"/>
              <w:rPr>
                <w:rFonts w:hint="eastAsia" w:ascii="宋体" w:hAnsi="宋体" w:eastAsia="宋体" w:cs="宋体"/>
                <w:color w:val="000000"/>
                <w:kern w:val="0"/>
                <w:sz w:val="18"/>
                <w:szCs w:val="18"/>
                <w:lang w:bidi="ar"/>
              </w:rPr>
            </w:pPr>
          </w:p>
        </w:tc>
        <w:tc>
          <w:tcPr>
            <w:tcW w:w="3700" w:type="dxa"/>
            <w:vMerge w:val="continue"/>
            <w:tcBorders>
              <w:left w:val="single" w:color="auto" w:sz="4" w:space="0"/>
              <w:right w:val="single" w:color="auto" w:sz="4" w:space="0"/>
            </w:tcBorders>
            <w:noWrap w:val="0"/>
            <w:tcMar>
              <w:top w:w="0" w:type="dxa"/>
              <w:left w:w="0" w:type="dxa"/>
              <w:bottom w:w="0" w:type="dxa"/>
              <w:right w:w="0" w:type="dxa"/>
            </w:tcMar>
            <w:vAlign w:val="center"/>
          </w:tcPr>
          <w:p w14:paraId="0A54627F">
            <w:pPr>
              <w:widowControl/>
              <w:spacing w:line="260" w:lineRule="exact"/>
              <w:jc w:val="both"/>
              <w:textAlignment w:val="center"/>
              <w:rPr>
                <w:rFonts w:hint="eastAsia" w:ascii="宋体" w:hAnsi="宋体" w:eastAsia="宋体" w:cs="宋体"/>
                <w:color w:val="000000"/>
                <w:kern w:val="0"/>
                <w:sz w:val="18"/>
                <w:szCs w:val="18"/>
                <w:lang w:bidi="ar"/>
              </w:rPr>
            </w:pPr>
          </w:p>
        </w:tc>
        <w:tc>
          <w:tcPr>
            <w:tcW w:w="1360" w:type="dxa"/>
            <w:vMerge w:val="continue"/>
            <w:tcBorders>
              <w:left w:val="single" w:color="auto" w:sz="4" w:space="0"/>
              <w:right w:val="single" w:color="auto" w:sz="4" w:space="0"/>
            </w:tcBorders>
            <w:noWrap w:val="0"/>
            <w:tcMar>
              <w:top w:w="0" w:type="dxa"/>
              <w:left w:w="0" w:type="dxa"/>
              <w:bottom w:w="0" w:type="dxa"/>
              <w:right w:w="0" w:type="dxa"/>
            </w:tcMar>
            <w:vAlign w:val="center"/>
          </w:tcPr>
          <w:p w14:paraId="25740A69">
            <w:pPr>
              <w:widowControl/>
              <w:spacing w:line="260" w:lineRule="exact"/>
              <w:jc w:val="both"/>
              <w:textAlignment w:val="center"/>
              <w:rPr>
                <w:rFonts w:hint="eastAsia" w:ascii="宋体" w:hAnsi="宋体" w:eastAsia="宋体" w:cs="宋体"/>
                <w:color w:val="000000"/>
                <w:kern w:val="0"/>
                <w:sz w:val="18"/>
                <w:szCs w:val="18"/>
                <w:lang w:bidi="ar"/>
              </w:rPr>
            </w:pPr>
          </w:p>
        </w:tc>
        <w:tc>
          <w:tcPr>
            <w:tcW w:w="626"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7A076D8">
            <w:pPr>
              <w:widowControl/>
              <w:spacing w:line="260" w:lineRule="exact"/>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较轻</w:t>
            </w:r>
          </w:p>
        </w:tc>
        <w:tc>
          <w:tcPr>
            <w:tcW w:w="228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D695155">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在限期内完成改正的</w:t>
            </w:r>
          </w:p>
        </w:tc>
        <w:tc>
          <w:tcPr>
            <w:tcW w:w="373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83E21C8">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项目法人处10万以上20万以下罚款；对直接负责的主管人员和其他直接责任人员处1万元以上2万元以下的罚款</w:t>
            </w:r>
          </w:p>
        </w:tc>
        <w:tc>
          <w:tcPr>
            <w:tcW w:w="994" w:type="dxa"/>
            <w:vMerge w:val="continue"/>
            <w:tcBorders>
              <w:left w:val="single" w:color="auto" w:sz="4" w:space="0"/>
              <w:right w:val="single" w:color="auto" w:sz="4" w:space="0"/>
            </w:tcBorders>
            <w:noWrap w:val="0"/>
            <w:tcMar>
              <w:top w:w="0" w:type="dxa"/>
              <w:left w:w="0" w:type="dxa"/>
              <w:bottom w:w="0" w:type="dxa"/>
              <w:right w:w="0" w:type="dxa"/>
            </w:tcMar>
            <w:vAlign w:val="center"/>
          </w:tcPr>
          <w:p w14:paraId="1DBD599A">
            <w:pPr>
              <w:widowControl/>
              <w:spacing w:line="260" w:lineRule="exact"/>
              <w:jc w:val="center"/>
              <w:textAlignment w:val="center"/>
              <w:rPr>
                <w:rFonts w:hint="eastAsia" w:ascii="宋体" w:hAnsi="宋体" w:eastAsia="宋体" w:cs="宋体"/>
                <w:color w:val="000000"/>
                <w:kern w:val="0"/>
                <w:sz w:val="18"/>
                <w:szCs w:val="18"/>
                <w:lang w:bidi="ar"/>
              </w:rPr>
            </w:pPr>
          </w:p>
        </w:tc>
      </w:tr>
      <w:tr w14:paraId="28D21C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3" w:type="dxa"/>
            <w:vMerge w:val="continue"/>
            <w:tcBorders>
              <w:left w:val="single" w:color="auto" w:sz="4" w:space="0"/>
              <w:right w:val="single" w:color="auto" w:sz="4" w:space="0"/>
            </w:tcBorders>
            <w:noWrap w:val="0"/>
            <w:tcMar>
              <w:top w:w="0" w:type="dxa"/>
              <w:left w:w="0" w:type="dxa"/>
              <w:bottom w:w="0" w:type="dxa"/>
              <w:right w:w="0" w:type="dxa"/>
            </w:tcMar>
            <w:vAlign w:val="center"/>
          </w:tcPr>
          <w:p w14:paraId="11D86BC1">
            <w:pPr>
              <w:widowControl/>
              <w:spacing w:line="260" w:lineRule="exact"/>
              <w:jc w:val="center"/>
              <w:textAlignment w:val="center"/>
              <w:rPr>
                <w:rFonts w:hint="eastAsia" w:ascii="宋体" w:hAnsi="宋体" w:eastAsia="宋体" w:cs="宋体"/>
                <w:color w:val="000000"/>
                <w:kern w:val="0"/>
                <w:sz w:val="18"/>
                <w:szCs w:val="18"/>
                <w:lang w:bidi="ar"/>
              </w:rPr>
            </w:pPr>
          </w:p>
        </w:tc>
        <w:tc>
          <w:tcPr>
            <w:tcW w:w="1411" w:type="dxa"/>
            <w:vMerge w:val="continue"/>
            <w:tcBorders>
              <w:left w:val="single" w:color="auto" w:sz="4" w:space="0"/>
              <w:right w:val="single" w:color="auto" w:sz="4" w:space="0"/>
            </w:tcBorders>
            <w:noWrap w:val="0"/>
            <w:tcMar>
              <w:top w:w="0" w:type="dxa"/>
              <w:left w:w="0" w:type="dxa"/>
              <w:bottom w:w="0" w:type="dxa"/>
              <w:right w:w="0" w:type="dxa"/>
            </w:tcMar>
            <w:vAlign w:val="center"/>
          </w:tcPr>
          <w:p w14:paraId="57BCD190">
            <w:pPr>
              <w:widowControl/>
              <w:spacing w:line="260" w:lineRule="exact"/>
              <w:jc w:val="both"/>
              <w:textAlignment w:val="center"/>
              <w:rPr>
                <w:rFonts w:hint="eastAsia" w:ascii="宋体" w:hAnsi="宋体" w:eastAsia="宋体" w:cs="宋体"/>
                <w:color w:val="000000"/>
                <w:kern w:val="0"/>
                <w:sz w:val="18"/>
                <w:szCs w:val="18"/>
                <w:lang w:bidi="ar"/>
              </w:rPr>
            </w:pPr>
          </w:p>
        </w:tc>
        <w:tc>
          <w:tcPr>
            <w:tcW w:w="3700" w:type="dxa"/>
            <w:vMerge w:val="continue"/>
            <w:tcBorders>
              <w:left w:val="single" w:color="auto" w:sz="4" w:space="0"/>
              <w:right w:val="single" w:color="auto" w:sz="4" w:space="0"/>
            </w:tcBorders>
            <w:noWrap w:val="0"/>
            <w:tcMar>
              <w:top w:w="0" w:type="dxa"/>
              <w:left w:w="0" w:type="dxa"/>
              <w:bottom w:w="0" w:type="dxa"/>
              <w:right w:w="0" w:type="dxa"/>
            </w:tcMar>
            <w:vAlign w:val="center"/>
          </w:tcPr>
          <w:p w14:paraId="771E7B02">
            <w:pPr>
              <w:widowControl/>
              <w:spacing w:line="260" w:lineRule="exact"/>
              <w:jc w:val="both"/>
              <w:textAlignment w:val="center"/>
              <w:rPr>
                <w:rFonts w:hint="eastAsia" w:ascii="宋体" w:hAnsi="宋体" w:eastAsia="宋体" w:cs="宋体"/>
                <w:color w:val="000000"/>
                <w:kern w:val="0"/>
                <w:sz w:val="18"/>
                <w:szCs w:val="18"/>
                <w:lang w:bidi="ar"/>
              </w:rPr>
            </w:pPr>
          </w:p>
        </w:tc>
        <w:tc>
          <w:tcPr>
            <w:tcW w:w="1360" w:type="dxa"/>
            <w:vMerge w:val="continue"/>
            <w:tcBorders>
              <w:left w:val="single" w:color="auto" w:sz="4" w:space="0"/>
              <w:right w:val="single" w:color="auto" w:sz="4" w:space="0"/>
            </w:tcBorders>
            <w:noWrap w:val="0"/>
            <w:tcMar>
              <w:top w:w="0" w:type="dxa"/>
              <w:left w:w="0" w:type="dxa"/>
              <w:bottom w:w="0" w:type="dxa"/>
              <w:right w:w="0" w:type="dxa"/>
            </w:tcMar>
            <w:vAlign w:val="center"/>
          </w:tcPr>
          <w:p w14:paraId="631A15E0">
            <w:pPr>
              <w:widowControl/>
              <w:spacing w:line="260" w:lineRule="exact"/>
              <w:jc w:val="both"/>
              <w:textAlignment w:val="center"/>
              <w:rPr>
                <w:rFonts w:hint="eastAsia" w:ascii="宋体" w:hAnsi="宋体" w:eastAsia="宋体" w:cs="宋体"/>
                <w:color w:val="000000"/>
                <w:kern w:val="0"/>
                <w:sz w:val="18"/>
                <w:szCs w:val="18"/>
                <w:lang w:bidi="ar"/>
              </w:rPr>
            </w:pPr>
          </w:p>
        </w:tc>
        <w:tc>
          <w:tcPr>
            <w:tcW w:w="626"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E8D73D4">
            <w:pPr>
              <w:widowControl/>
              <w:spacing w:line="260" w:lineRule="exact"/>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一般</w:t>
            </w:r>
          </w:p>
        </w:tc>
        <w:tc>
          <w:tcPr>
            <w:tcW w:w="228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8815BF4">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未在限期内完成改正的</w:t>
            </w:r>
          </w:p>
        </w:tc>
        <w:tc>
          <w:tcPr>
            <w:tcW w:w="373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6D1C465">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项目法人处20万以上30万以下罚款；对直接负责的主管人员和其他直接责任人员处2万元以上3万元以下的罚款</w:t>
            </w:r>
          </w:p>
        </w:tc>
        <w:tc>
          <w:tcPr>
            <w:tcW w:w="994" w:type="dxa"/>
            <w:vMerge w:val="continue"/>
            <w:tcBorders>
              <w:left w:val="single" w:color="auto" w:sz="4" w:space="0"/>
              <w:right w:val="single" w:color="auto" w:sz="4" w:space="0"/>
            </w:tcBorders>
            <w:noWrap w:val="0"/>
            <w:tcMar>
              <w:top w:w="0" w:type="dxa"/>
              <w:left w:w="0" w:type="dxa"/>
              <w:bottom w:w="0" w:type="dxa"/>
              <w:right w:w="0" w:type="dxa"/>
            </w:tcMar>
            <w:vAlign w:val="center"/>
          </w:tcPr>
          <w:p w14:paraId="3700955E">
            <w:pPr>
              <w:widowControl/>
              <w:spacing w:line="260" w:lineRule="exact"/>
              <w:jc w:val="center"/>
              <w:textAlignment w:val="center"/>
              <w:rPr>
                <w:rFonts w:hint="eastAsia" w:ascii="宋体" w:hAnsi="宋体" w:eastAsia="宋体" w:cs="宋体"/>
                <w:color w:val="000000"/>
                <w:kern w:val="0"/>
                <w:sz w:val="18"/>
                <w:szCs w:val="18"/>
                <w:lang w:bidi="ar"/>
              </w:rPr>
            </w:pPr>
          </w:p>
        </w:tc>
      </w:tr>
      <w:tr w14:paraId="6BFC26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3" w:type="dxa"/>
            <w:vMerge w:val="continue"/>
            <w:tcBorders>
              <w:left w:val="single" w:color="auto" w:sz="4" w:space="0"/>
              <w:right w:val="single" w:color="auto" w:sz="4" w:space="0"/>
            </w:tcBorders>
            <w:noWrap w:val="0"/>
            <w:tcMar>
              <w:top w:w="0" w:type="dxa"/>
              <w:left w:w="0" w:type="dxa"/>
              <w:bottom w:w="0" w:type="dxa"/>
              <w:right w:w="0" w:type="dxa"/>
            </w:tcMar>
            <w:vAlign w:val="center"/>
          </w:tcPr>
          <w:p w14:paraId="2FCFDE33">
            <w:pPr>
              <w:widowControl/>
              <w:spacing w:line="260" w:lineRule="exact"/>
              <w:jc w:val="center"/>
              <w:textAlignment w:val="center"/>
              <w:rPr>
                <w:rFonts w:hint="eastAsia" w:ascii="宋体" w:hAnsi="宋体" w:eastAsia="宋体" w:cs="宋体"/>
                <w:color w:val="000000"/>
                <w:kern w:val="0"/>
                <w:sz w:val="18"/>
                <w:szCs w:val="18"/>
                <w:lang w:bidi="ar"/>
              </w:rPr>
            </w:pPr>
          </w:p>
        </w:tc>
        <w:tc>
          <w:tcPr>
            <w:tcW w:w="1411" w:type="dxa"/>
            <w:vMerge w:val="continue"/>
            <w:tcBorders>
              <w:left w:val="single" w:color="auto" w:sz="4" w:space="0"/>
              <w:right w:val="single" w:color="auto" w:sz="4" w:space="0"/>
            </w:tcBorders>
            <w:noWrap w:val="0"/>
            <w:tcMar>
              <w:top w:w="0" w:type="dxa"/>
              <w:left w:w="0" w:type="dxa"/>
              <w:bottom w:w="0" w:type="dxa"/>
              <w:right w:w="0" w:type="dxa"/>
            </w:tcMar>
            <w:vAlign w:val="center"/>
          </w:tcPr>
          <w:p w14:paraId="2494785F">
            <w:pPr>
              <w:widowControl/>
              <w:spacing w:line="260" w:lineRule="exact"/>
              <w:jc w:val="both"/>
              <w:textAlignment w:val="center"/>
              <w:rPr>
                <w:rFonts w:hint="eastAsia" w:ascii="宋体" w:hAnsi="宋体" w:eastAsia="宋体" w:cs="宋体"/>
                <w:color w:val="000000"/>
                <w:kern w:val="0"/>
                <w:sz w:val="18"/>
                <w:szCs w:val="18"/>
                <w:lang w:bidi="ar"/>
              </w:rPr>
            </w:pPr>
          </w:p>
        </w:tc>
        <w:tc>
          <w:tcPr>
            <w:tcW w:w="3700" w:type="dxa"/>
            <w:vMerge w:val="continue"/>
            <w:tcBorders>
              <w:left w:val="single" w:color="auto" w:sz="4" w:space="0"/>
              <w:right w:val="single" w:color="auto" w:sz="4" w:space="0"/>
            </w:tcBorders>
            <w:noWrap w:val="0"/>
            <w:tcMar>
              <w:top w:w="0" w:type="dxa"/>
              <w:left w:w="0" w:type="dxa"/>
              <w:bottom w:w="0" w:type="dxa"/>
              <w:right w:w="0" w:type="dxa"/>
            </w:tcMar>
            <w:vAlign w:val="center"/>
          </w:tcPr>
          <w:p w14:paraId="73A6A6C7">
            <w:pPr>
              <w:widowControl/>
              <w:spacing w:line="260" w:lineRule="exact"/>
              <w:jc w:val="both"/>
              <w:textAlignment w:val="center"/>
              <w:rPr>
                <w:rFonts w:hint="eastAsia" w:ascii="宋体" w:hAnsi="宋体" w:eastAsia="宋体" w:cs="宋体"/>
                <w:color w:val="000000"/>
                <w:kern w:val="0"/>
                <w:sz w:val="18"/>
                <w:szCs w:val="18"/>
                <w:lang w:bidi="ar"/>
              </w:rPr>
            </w:pPr>
          </w:p>
        </w:tc>
        <w:tc>
          <w:tcPr>
            <w:tcW w:w="1360" w:type="dxa"/>
            <w:vMerge w:val="continue"/>
            <w:tcBorders>
              <w:left w:val="single" w:color="auto" w:sz="4" w:space="0"/>
              <w:right w:val="single" w:color="auto" w:sz="4" w:space="0"/>
            </w:tcBorders>
            <w:noWrap w:val="0"/>
            <w:tcMar>
              <w:top w:w="0" w:type="dxa"/>
              <w:left w:w="0" w:type="dxa"/>
              <w:bottom w:w="0" w:type="dxa"/>
              <w:right w:w="0" w:type="dxa"/>
            </w:tcMar>
            <w:vAlign w:val="center"/>
          </w:tcPr>
          <w:p w14:paraId="5075BA36">
            <w:pPr>
              <w:widowControl/>
              <w:spacing w:line="260" w:lineRule="exact"/>
              <w:jc w:val="both"/>
              <w:textAlignment w:val="center"/>
              <w:rPr>
                <w:rFonts w:hint="eastAsia" w:ascii="宋体" w:hAnsi="宋体" w:eastAsia="宋体" w:cs="宋体"/>
                <w:color w:val="000000"/>
                <w:kern w:val="0"/>
                <w:sz w:val="18"/>
                <w:szCs w:val="18"/>
                <w:lang w:bidi="ar"/>
              </w:rPr>
            </w:pPr>
          </w:p>
        </w:tc>
        <w:tc>
          <w:tcPr>
            <w:tcW w:w="626"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8B3B2A2">
            <w:pPr>
              <w:widowControl/>
              <w:spacing w:line="260" w:lineRule="exact"/>
              <w:jc w:val="center"/>
              <w:textAlignment w:val="center"/>
              <w:rPr>
                <w:rFonts w:hint="eastAsia" w:ascii="宋体" w:hAnsi="宋体" w:eastAsia="宋体" w:cs="宋体"/>
                <w:color w:val="000000"/>
                <w:kern w:val="0"/>
                <w:sz w:val="18"/>
                <w:szCs w:val="18"/>
                <w:lang w:eastAsia="zh-CN" w:bidi="ar"/>
              </w:rPr>
            </w:pPr>
            <w:r>
              <w:rPr>
                <w:rFonts w:hint="eastAsia" w:ascii="宋体" w:hAnsi="宋体" w:eastAsia="宋体" w:cs="宋体"/>
                <w:color w:val="000000"/>
                <w:kern w:val="0"/>
                <w:sz w:val="18"/>
                <w:szCs w:val="18"/>
                <w:lang w:eastAsia="zh-CN" w:bidi="ar"/>
              </w:rPr>
              <w:t>较重</w:t>
            </w:r>
          </w:p>
        </w:tc>
        <w:tc>
          <w:tcPr>
            <w:tcW w:w="228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395B232">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拒不进行改正的</w:t>
            </w:r>
          </w:p>
        </w:tc>
        <w:tc>
          <w:tcPr>
            <w:tcW w:w="373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6EBCE31">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项目法人处30万以上40万以下罚款；对直接负责的主管人员和其他直接责任人员处3万元以上4万元以下的罚款</w:t>
            </w:r>
          </w:p>
        </w:tc>
        <w:tc>
          <w:tcPr>
            <w:tcW w:w="994" w:type="dxa"/>
            <w:vMerge w:val="continue"/>
            <w:tcBorders>
              <w:left w:val="single" w:color="auto" w:sz="4" w:space="0"/>
              <w:right w:val="single" w:color="auto" w:sz="4" w:space="0"/>
            </w:tcBorders>
            <w:noWrap w:val="0"/>
            <w:tcMar>
              <w:top w:w="0" w:type="dxa"/>
              <w:left w:w="0" w:type="dxa"/>
              <w:bottom w:w="0" w:type="dxa"/>
              <w:right w:w="0" w:type="dxa"/>
            </w:tcMar>
            <w:vAlign w:val="center"/>
          </w:tcPr>
          <w:p w14:paraId="415B6071">
            <w:pPr>
              <w:widowControl/>
              <w:spacing w:line="260" w:lineRule="exact"/>
              <w:jc w:val="center"/>
              <w:textAlignment w:val="center"/>
              <w:rPr>
                <w:rFonts w:hint="eastAsia" w:ascii="宋体" w:hAnsi="宋体" w:eastAsia="宋体" w:cs="宋体"/>
                <w:color w:val="000000"/>
                <w:kern w:val="0"/>
                <w:sz w:val="18"/>
                <w:szCs w:val="18"/>
                <w:lang w:bidi="ar"/>
              </w:rPr>
            </w:pPr>
          </w:p>
        </w:tc>
      </w:tr>
      <w:tr w14:paraId="33586F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3" w:type="dxa"/>
            <w:vMerge w:val="continue"/>
            <w:tcBorders>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1598F64">
            <w:pPr>
              <w:widowControl/>
              <w:spacing w:line="260" w:lineRule="exact"/>
              <w:jc w:val="center"/>
              <w:textAlignment w:val="center"/>
              <w:rPr>
                <w:rFonts w:hint="eastAsia" w:ascii="宋体" w:hAnsi="宋体" w:eastAsia="宋体" w:cs="宋体"/>
                <w:color w:val="000000"/>
                <w:kern w:val="0"/>
                <w:sz w:val="18"/>
                <w:szCs w:val="18"/>
                <w:lang w:bidi="ar"/>
              </w:rPr>
            </w:pPr>
          </w:p>
        </w:tc>
        <w:tc>
          <w:tcPr>
            <w:tcW w:w="1411" w:type="dxa"/>
            <w:vMerge w:val="continue"/>
            <w:tcBorders>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B556145">
            <w:pPr>
              <w:widowControl/>
              <w:spacing w:line="260" w:lineRule="exact"/>
              <w:jc w:val="both"/>
              <w:textAlignment w:val="center"/>
              <w:rPr>
                <w:rFonts w:hint="eastAsia" w:ascii="宋体" w:hAnsi="宋体" w:eastAsia="宋体" w:cs="宋体"/>
                <w:color w:val="000000"/>
                <w:kern w:val="0"/>
                <w:sz w:val="18"/>
                <w:szCs w:val="18"/>
                <w:lang w:bidi="ar"/>
              </w:rPr>
            </w:pPr>
          </w:p>
        </w:tc>
        <w:tc>
          <w:tcPr>
            <w:tcW w:w="3700" w:type="dxa"/>
            <w:vMerge w:val="continue"/>
            <w:tcBorders>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A66D947">
            <w:pPr>
              <w:widowControl/>
              <w:spacing w:line="260" w:lineRule="exact"/>
              <w:jc w:val="both"/>
              <w:textAlignment w:val="center"/>
              <w:rPr>
                <w:rFonts w:hint="eastAsia" w:ascii="宋体" w:hAnsi="宋体" w:eastAsia="宋体" w:cs="宋体"/>
                <w:color w:val="000000"/>
                <w:kern w:val="0"/>
                <w:sz w:val="18"/>
                <w:szCs w:val="18"/>
                <w:lang w:bidi="ar"/>
              </w:rPr>
            </w:pPr>
          </w:p>
        </w:tc>
        <w:tc>
          <w:tcPr>
            <w:tcW w:w="1360" w:type="dxa"/>
            <w:vMerge w:val="continue"/>
            <w:tcBorders>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60AFFF8">
            <w:pPr>
              <w:widowControl/>
              <w:spacing w:line="260" w:lineRule="exact"/>
              <w:jc w:val="both"/>
              <w:textAlignment w:val="center"/>
              <w:rPr>
                <w:rFonts w:hint="eastAsia" w:ascii="宋体" w:hAnsi="宋体" w:eastAsia="宋体" w:cs="宋体"/>
                <w:color w:val="000000"/>
                <w:kern w:val="0"/>
                <w:sz w:val="18"/>
                <w:szCs w:val="18"/>
                <w:lang w:bidi="ar"/>
              </w:rPr>
            </w:pPr>
          </w:p>
        </w:tc>
        <w:tc>
          <w:tcPr>
            <w:tcW w:w="626"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1B81FAE">
            <w:pPr>
              <w:widowControl/>
              <w:spacing w:line="260" w:lineRule="exact"/>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严重</w:t>
            </w:r>
          </w:p>
        </w:tc>
        <w:tc>
          <w:tcPr>
            <w:tcW w:w="228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44A5EED">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引发移民集体上访等群体性事件的</w:t>
            </w:r>
          </w:p>
        </w:tc>
        <w:tc>
          <w:tcPr>
            <w:tcW w:w="373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10FE344">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项目法人处40万以上50万以下罚款；对直接负责的主管人员和其他直接责任人员处4万元以上5万元以下的罚款</w:t>
            </w:r>
          </w:p>
        </w:tc>
        <w:tc>
          <w:tcPr>
            <w:tcW w:w="994" w:type="dxa"/>
            <w:vMerge w:val="continue"/>
            <w:tcBorders>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BC2756A">
            <w:pPr>
              <w:widowControl/>
              <w:spacing w:line="260" w:lineRule="exact"/>
              <w:jc w:val="center"/>
              <w:textAlignment w:val="center"/>
              <w:rPr>
                <w:rFonts w:hint="eastAsia" w:ascii="宋体" w:hAnsi="宋体" w:eastAsia="宋体" w:cs="宋体"/>
                <w:color w:val="000000"/>
                <w:kern w:val="0"/>
                <w:sz w:val="18"/>
                <w:szCs w:val="18"/>
                <w:lang w:bidi="ar"/>
              </w:rPr>
            </w:pPr>
          </w:p>
        </w:tc>
      </w:tr>
      <w:tr w14:paraId="7FE51F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3" w:type="dxa"/>
            <w:vMerge w:val="restart"/>
            <w:tcBorders>
              <w:left w:val="single" w:color="auto" w:sz="4" w:space="0"/>
              <w:right w:val="single" w:color="auto" w:sz="4" w:space="0"/>
            </w:tcBorders>
            <w:shd w:val="clear" w:color="auto" w:fill="auto"/>
            <w:noWrap w:val="0"/>
            <w:tcMar>
              <w:top w:w="0" w:type="dxa"/>
              <w:left w:w="0" w:type="dxa"/>
              <w:bottom w:w="0" w:type="dxa"/>
              <w:right w:w="0" w:type="dxa"/>
            </w:tcMar>
            <w:vAlign w:val="center"/>
          </w:tcPr>
          <w:p w14:paraId="1FBFA26B">
            <w:pPr>
              <w:widowControl/>
              <w:spacing w:line="260" w:lineRule="exact"/>
              <w:jc w:val="center"/>
              <w:textAlignment w:val="center"/>
              <w:rPr>
                <w:rFonts w:hint="eastAsia" w:ascii="宋体" w:hAnsi="宋体" w:eastAsia="宋体" w:cs="宋体"/>
                <w:color w:val="000000"/>
                <w:kern w:val="0"/>
                <w:sz w:val="18"/>
                <w:szCs w:val="18"/>
                <w:lang w:val="en-US" w:eastAsia="zh-CN" w:bidi="ar"/>
              </w:rPr>
            </w:pPr>
            <w:r>
              <w:rPr>
                <w:rFonts w:hint="eastAsia" w:ascii="宋体" w:hAnsi="宋体" w:eastAsia="宋体" w:cs="宋体"/>
                <w:color w:val="000000"/>
                <w:kern w:val="0"/>
                <w:sz w:val="18"/>
                <w:szCs w:val="18"/>
                <w:lang w:bidi="ar"/>
              </w:rPr>
              <w:t>54</w:t>
            </w:r>
          </w:p>
        </w:tc>
        <w:tc>
          <w:tcPr>
            <w:tcW w:w="1411" w:type="dxa"/>
            <w:vMerge w:val="restart"/>
            <w:tcBorders>
              <w:left w:val="single" w:color="auto" w:sz="4" w:space="0"/>
              <w:right w:val="single" w:color="auto" w:sz="4" w:space="0"/>
            </w:tcBorders>
            <w:noWrap w:val="0"/>
            <w:tcMar>
              <w:top w:w="0" w:type="dxa"/>
              <w:left w:w="0" w:type="dxa"/>
              <w:bottom w:w="0" w:type="dxa"/>
              <w:right w:w="0" w:type="dxa"/>
            </w:tcMar>
            <w:vAlign w:val="center"/>
          </w:tcPr>
          <w:p w14:paraId="0B41A512">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对编制大中型水利水电工程移民安置规划大纲、移民安置规划、水库移民后期扶持规划，或者进行实物调查、移民安置监督评估中弄虚作假行为的行政处罚</w:t>
            </w:r>
          </w:p>
        </w:tc>
        <w:tc>
          <w:tcPr>
            <w:tcW w:w="3700" w:type="dxa"/>
            <w:vMerge w:val="restart"/>
            <w:tcBorders>
              <w:top w:val="single" w:color="auto" w:sz="4" w:space="0"/>
              <w:left w:val="single" w:color="auto" w:sz="4" w:space="0"/>
              <w:right w:val="single" w:color="auto" w:sz="4" w:space="0"/>
            </w:tcBorders>
            <w:noWrap w:val="0"/>
            <w:tcMar>
              <w:top w:w="0" w:type="dxa"/>
              <w:left w:w="0" w:type="dxa"/>
              <w:bottom w:w="0" w:type="dxa"/>
              <w:right w:w="0" w:type="dxa"/>
            </w:tcMar>
            <w:vAlign w:val="center"/>
          </w:tcPr>
          <w:p w14:paraId="3BF448EA">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《大中型水利水电工程建设征地补偿和移民安置条例》第五十九条 违反本条例规定，在编制移民安置规划大纲、移民安置规划、水库移民后期扶持规划，或者进行实物调查、移民安置监督评估中弄虚作假的，由批准该规划大纲、规划的有关人民政府或者其有关部门、机构责令改正，对有关单位处10万元以上50万元以下的罚款；对直接负责的主管人员和其他直接责任人员处1万元以上5万元以下的罚款；给他人造成损失的，依法承担赔偿责任。</w:t>
            </w:r>
          </w:p>
        </w:tc>
        <w:tc>
          <w:tcPr>
            <w:tcW w:w="1360" w:type="dxa"/>
            <w:vMerge w:val="restart"/>
            <w:tcBorders>
              <w:top w:val="single" w:color="auto" w:sz="4" w:space="0"/>
              <w:left w:val="single" w:color="auto" w:sz="4" w:space="0"/>
              <w:right w:val="single" w:color="auto" w:sz="4" w:space="0"/>
            </w:tcBorders>
            <w:noWrap w:val="0"/>
            <w:tcMar>
              <w:top w:w="0" w:type="dxa"/>
              <w:left w:w="0" w:type="dxa"/>
              <w:bottom w:w="0" w:type="dxa"/>
              <w:right w:w="0" w:type="dxa"/>
            </w:tcMar>
            <w:vAlign w:val="center"/>
          </w:tcPr>
          <w:p w14:paraId="332DF63A">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在编制移民安置规划大纲、移民安置规划、水库移民后期扶持规划，或者进行实物调查、移民安置监督评估中弄虚作假的</w:t>
            </w:r>
          </w:p>
        </w:tc>
        <w:tc>
          <w:tcPr>
            <w:tcW w:w="626"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7B0F2C2">
            <w:pPr>
              <w:widowControl/>
              <w:spacing w:line="260" w:lineRule="exact"/>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轻微</w:t>
            </w:r>
          </w:p>
        </w:tc>
        <w:tc>
          <w:tcPr>
            <w:tcW w:w="228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293D83A">
            <w:pPr>
              <w:widowControl/>
              <w:spacing w:line="260" w:lineRule="exact"/>
              <w:jc w:val="both"/>
              <w:textAlignment w:val="center"/>
              <w:rPr>
                <w:rFonts w:hint="eastAsia" w:ascii="宋体" w:hAnsi="宋体" w:eastAsia="宋体" w:cs="宋体"/>
                <w:color w:val="000000"/>
                <w:kern w:val="0"/>
                <w:sz w:val="18"/>
                <w:szCs w:val="18"/>
                <w:lang w:bidi="ar"/>
              </w:rPr>
            </w:pPr>
          </w:p>
        </w:tc>
        <w:tc>
          <w:tcPr>
            <w:tcW w:w="373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784EC87">
            <w:pPr>
              <w:widowControl/>
              <w:spacing w:line="260" w:lineRule="exact"/>
              <w:jc w:val="both"/>
              <w:textAlignment w:val="center"/>
              <w:rPr>
                <w:rFonts w:hint="eastAsia" w:ascii="宋体" w:hAnsi="宋体" w:eastAsia="宋体" w:cs="宋体"/>
                <w:color w:val="000000"/>
                <w:kern w:val="0"/>
                <w:sz w:val="18"/>
                <w:szCs w:val="18"/>
                <w:lang w:bidi="ar"/>
              </w:rPr>
            </w:pPr>
          </w:p>
        </w:tc>
        <w:tc>
          <w:tcPr>
            <w:tcW w:w="994" w:type="dxa"/>
            <w:vMerge w:val="restart"/>
            <w:tcBorders>
              <w:top w:val="single" w:color="auto" w:sz="4" w:space="0"/>
              <w:left w:val="single" w:color="auto" w:sz="4" w:space="0"/>
              <w:right w:val="single" w:color="auto" w:sz="4" w:space="0"/>
            </w:tcBorders>
            <w:noWrap w:val="0"/>
            <w:tcMar>
              <w:top w:w="0" w:type="dxa"/>
              <w:left w:w="0" w:type="dxa"/>
              <w:bottom w:w="0" w:type="dxa"/>
              <w:right w:w="0" w:type="dxa"/>
            </w:tcMar>
            <w:vAlign w:val="center"/>
          </w:tcPr>
          <w:p w14:paraId="64DC5B91">
            <w:pPr>
              <w:widowControl/>
              <w:spacing w:line="260" w:lineRule="exact"/>
              <w:jc w:val="center"/>
              <w:textAlignment w:val="center"/>
              <w:rPr>
                <w:rFonts w:hint="eastAsia" w:ascii="宋体" w:hAnsi="宋体" w:eastAsia="宋体" w:cs="宋体"/>
                <w:color w:val="000000"/>
                <w:kern w:val="0"/>
                <w:sz w:val="18"/>
                <w:szCs w:val="18"/>
                <w:lang w:bidi="ar"/>
              </w:rPr>
            </w:pPr>
          </w:p>
        </w:tc>
      </w:tr>
      <w:tr w14:paraId="00BCF8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3" w:type="dxa"/>
            <w:vMerge w:val="continue"/>
            <w:tcBorders>
              <w:left w:val="single" w:color="auto" w:sz="4" w:space="0"/>
              <w:right w:val="single" w:color="auto" w:sz="4" w:space="0"/>
            </w:tcBorders>
            <w:noWrap w:val="0"/>
            <w:tcMar>
              <w:top w:w="0" w:type="dxa"/>
              <w:left w:w="0" w:type="dxa"/>
              <w:bottom w:w="0" w:type="dxa"/>
              <w:right w:w="0" w:type="dxa"/>
            </w:tcMar>
            <w:vAlign w:val="center"/>
          </w:tcPr>
          <w:p w14:paraId="16D88692">
            <w:pPr>
              <w:widowControl/>
              <w:spacing w:line="260" w:lineRule="exact"/>
              <w:jc w:val="both"/>
              <w:textAlignment w:val="center"/>
              <w:rPr>
                <w:rFonts w:hint="eastAsia" w:ascii="宋体" w:hAnsi="宋体" w:eastAsia="宋体" w:cs="宋体"/>
                <w:color w:val="000000"/>
                <w:kern w:val="0"/>
                <w:sz w:val="18"/>
                <w:szCs w:val="18"/>
                <w:lang w:bidi="ar"/>
              </w:rPr>
            </w:pPr>
          </w:p>
        </w:tc>
        <w:tc>
          <w:tcPr>
            <w:tcW w:w="1411" w:type="dxa"/>
            <w:vMerge w:val="continue"/>
            <w:tcBorders>
              <w:left w:val="single" w:color="auto" w:sz="4" w:space="0"/>
              <w:right w:val="single" w:color="auto" w:sz="4" w:space="0"/>
            </w:tcBorders>
            <w:noWrap w:val="0"/>
            <w:tcMar>
              <w:top w:w="0" w:type="dxa"/>
              <w:left w:w="0" w:type="dxa"/>
              <w:bottom w:w="0" w:type="dxa"/>
              <w:right w:w="0" w:type="dxa"/>
            </w:tcMar>
            <w:vAlign w:val="center"/>
          </w:tcPr>
          <w:p w14:paraId="7B906E41">
            <w:pPr>
              <w:widowControl/>
              <w:spacing w:line="260" w:lineRule="exact"/>
              <w:jc w:val="both"/>
              <w:textAlignment w:val="center"/>
              <w:rPr>
                <w:rFonts w:hint="eastAsia" w:ascii="宋体" w:hAnsi="宋体" w:eastAsia="宋体" w:cs="宋体"/>
                <w:color w:val="000000"/>
                <w:kern w:val="0"/>
                <w:sz w:val="18"/>
                <w:szCs w:val="18"/>
                <w:lang w:bidi="ar"/>
              </w:rPr>
            </w:pPr>
          </w:p>
        </w:tc>
        <w:tc>
          <w:tcPr>
            <w:tcW w:w="3700" w:type="dxa"/>
            <w:vMerge w:val="continue"/>
            <w:tcBorders>
              <w:left w:val="single" w:color="auto" w:sz="4" w:space="0"/>
              <w:right w:val="single" w:color="auto" w:sz="4" w:space="0"/>
            </w:tcBorders>
            <w:noWrap w:val="0"/>
            <w:tcMar>
              <w:top w:w="0" w:type="dxa"/>
              <w:left w:w="0" w:type="dxa"/>
              <w:bottom w:w="0" w:type="dxa"/>
              <w:right w:w="0" w:type="dxa"/>
            </w:tcMar>
            <w:vAlign w:val="center"/>
          </w:tcPr>
          <w:p w14:paraId="3F318C8C">
            <w:pPr>
              <w:widowControl/>
              <w:spacing w:line="260" w:lineRule="exact"/>
              <w:jc w:val="both"/>
              <w:textAlignment w:val="center"/>
              <w:rPr>
                <w:rFonts w:hint="eastAsia" w:ascii="宋体" w:hAnsi="宋体" w:eastAsia="宋体" w:cs="宋体"/>
                <w:color w:val="000000"/>
                <w:kern w:val="0"/>
                <w:sz w:val="18"/>
                <w:szCs w:val="18"/>
                <w:lang w:bidi="ar"/>
              </w:rPr>
            </w:pPr>
          </w:p>
        </w:tc>
        <w:tc>
          <w:tcPr>
            <w:tcW w:w="1360" w:type="dxa"/>
            <w:vMerge w:val="continue"/>
            <w:tcBorders>
              <w:left w:val="single" w:color="auto" w:sz="4" w:space="0"/>
              <w:right w:val="single" w:color="auto" w:sz="4" w:space="0"/>
            </w:tcBorders>
            <w:noWrap w:val="0"/>
            <w:tcMar>
              <w:top w:w="0" w:type="dxa"/>
              <w:left w:w="0" w:type="dxa"/>
              <w:bottom w:w="0" w:type="dxa"/>
              <w:right w:w="0" w:type="dxa"/>
            </w:tcMar>
            <w:vAlign w:val="center"/>
          </w:tcPr>
          <w:p w14:paraId="2A820228">
            <w:pPr>
              <w:widowControl/>
              <w:spacing w:line="260" w:lineRule="exact"/>
              <w:jc w:val="both"/>
              <w:textAlignment w:val="center"/>
              <w:rPr>
                <w:rFonts w:hint="eastAsia" w:ascii="宋体" w:hAnsi="宋体" w:eastAsia="宋体" w:cs="宋体"/>
                <w:color w:val="000000"/>
                <w:kern w:val="0"/>
                <w:sz w:val="18"/>
                <w:szCs w:val="18"/>
                <w:lang w:bidi="ar"/>
              </w:rPr>
            </w:pPr>
          </w:p>
        </w:tc>
        <w:tc>
          <w:tcPr>
            <w:tcW w:w="626"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CEFE987">
            <w:pPr>
              <w:widowControl/>
              <w:spacing w:line="260" w:lineRule="exact"/>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较轻</w:t>
            </w:r>
          </w:p>
        </w:tc>
        <w:tc>
          <w:tcPr>
            <w:tcW w:w="228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F5E76E6">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在限期内完成改正的</w:t>
            </w:r>
          </w:p>
        </w:tc>
        <w:tc>
          <w:tcPr>
            <w:tcW w:w="373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B51E7D9">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有关单位处10万以上20万以下罚款；对直接负责的主管人员和其他直接责任人员处1万元以上2万元以下的罚款</w:t>
            </w:r>
          </w:p>
        </w:tc>
        <w:tc>
          <w:tcPr>
            <w:tcW w:w="994" w:type="dxa"/>
            <w:vMerge w:val="continue"/>
            <w:tcBorders>
              <w:left w:val="single" w:color="auto" w:sz="4" w:space="0"/>
              <w:right w:val="single" w:color="auto" w:sz="4" w:space="0"/>
            </w:tcBorders>
            <w:noWrap w:val="0"/>
            <w:tcMar>
              <w:top w:w="0" w:type="dxa"/>
              <w:left w:w="0" w:type="dxa"/>
              <w:bottom w:w="0" w:type="dxa"/>
              <w:right w:w="0" w:type="dxa"/>
            </w:tcMar>
            <w:vAlign w:val="center"/>
          </w:tcPr>
          <w:p w14:paraId="6FAD7E20">
            <w:pPr>
              <w:widowControl/>
              <w:spacing w:line="260" w:lineRule="exact"/>
              <w:jc w:val="center"/>
              <w:textAlignment w:val="center"/>
              <w:rPr>
                <w:rFonts w:hint="eastAsia" w:ascii="宋体" w:hAnsi="宋体" w:eastAsia="宋体" w:cs="宋体"/>
                <w:color w:val="000000"/>
                <w:kern w:val="0"/>
                <w:sz w:val="18"/>
                <w:szCs w:val="18"/>
                <w:lang w:bidi="ar"/>
              </w:rPr>
            </w:pPr>
          </w:p>
        </w:tc>
      </w:tr>
      <w:tr w14:paraId="356C57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3" w:type="dxa"/>
            <w:vMerge w:val="continue"/>
            <w:tcBorders>
              <w:left w:val="single" w:color="auto" w:sz="4" w:space="0"/>
              <w:right w:val="single" w:color="auto" w:sz="4" w:space="0"/>
            </w:tcBorders>
            <w:noWrap w:val="0"/>
            <w:tcMar>
              <w:top w:w="0" w:type="dxa"/>
              <w:left w:w="0" w:type="dxa"/>
              <w:bottom w:w="0" w:type="dxa"/>
              <w:right w:w="0" w:type="dxa"/>
            </w:tcMar>
            <w:vAlign w:val="center"/>
          </w:tcPr>
          <w:p w14:paraId="2F82388C">
            <w:pPr>
              <w:widowControl/>
              <w:spacing w:line="260" w:lineRule="exact"/>
              <w:jc w:val="both"/>
              <w:textAlignment w:val="center"/>
              <w:rPr>
                <w:rFonts w:hint="eastAsia" w:ascii="宋体" w:hAnsi="宋体" w:eastAsia="宋体" w:cs="宋体"/>
                <w:color w:val="000000"/>
                <w:kern w:val="0"/>
                <w:sz w:val="18"/>
                <w:szCs w:val="18"/>
                <w:lang w:bidi="ar"/>
              </w:rPr>
            </w:pPr>
          </w:p>
        </w:tc>
        <w:tc>
          <w:tcPr>
            <w:tcW w:w="1411" w:type="dxa"/>
            <w:vMerge w:val="continue"/>
            <w:tcBorders>
              <w:left w:val="single" w:color="auto" w:sz="4" w:space="0"/>
              <w:right w:val="single" w:color="auto" w:sz="4" w:space="0"/>
            </w:tcBorders>
            <w:noWrap w:val="0"/>
            <w:tcMar>
              <w:top w:w="0" w:type="dxa"/>
              <w:left w:w="0" w:type="dxa"/>
              <w:bottom w:w="0" w:type="dxa"/>
              <w:right w:w="0" w:type="dxa"/>
            </w:tcMar>
            <w:vAlign w:val="center"/>
          </w:tcPr>
          <w:p w14:paraId="3FFD9326">
            <w:pPr>
              <w:widowControl/>
              <w:spacing w:line="260" w:lineRule="exact"/>
              <w:jc w:val="both"/>
              <w:textAlignment w:val="center"/>
              <w:rPr>
                <w:rFonts w:hint="eastAsia" w:ascii="宋体" w:hAnsi="宋体" w:eastAsia="宋体" w:cs="宋体"/>
                <w:color w:val="000000"/>
                <w:kern w:val="0"/>
                <w:sz w:val="18"/>
                <w:szCs w:val="18"/>
                <w:lang w:bidi="ar"/>
              </w:rPr>
            </w:pPr>
          </w:p>
        </w:tc>
        <w:tc>
          <w:tcPr>
            <w:tcW w:w="3700" w:type="dxa"/>
            <w:vMerge w:val="continue"/>
            <w:tcBorders>
              <w:left w:val="single" w:color="auto" w:sz="4" w:space="0"/>
              <w:right w:val="single" w:color="auto" w:sz="4" w:space="0"/>
            </w:tcBorders>
            <w:noWrap w:val="0"/>
            <w:tcMar>
              <w:top w:w="0" w:type="dxa"/>
              <w:left w:w="0" w:type="dxa"/>
              <w:bottom w:w="0" w:type="dxa"/>
              <w:right w:w="0" w:type="dxa"/>
            </w:tcMar>
            <w:vAlign w:val="center"/>
          </w:tcPr>
          <w:p w14:paraId="4559C948">
            <w:pPr>
              <w:widowControl/>
              <w:spacing w:line="260" w:lineRule="exact"/>
              <w:jc w:val="both"/>
              <w:textAlignment w:val="center"/>
              <w:rPr>
                <w:rFonts w:hint="eastAsia" w:ascii="宋体" w:hAnsi="宋体" w:eastAsia="宋体" w:cs="宋体"/>
                <w:color w:val="000000"/>
                <w:kern w:val="0"/>
                <w:sz w:val="18"/>
                <w:szCs w:val="18"/>
                <w:lang w:bidi="ar"/>
              </w:rPr>
            </w:pPr>
          </w:p>
        </w:tc>
        <w:tc>
          <w:tcPr>
            <w:tcW w:w="1360" w:type="dxa"/>
            <w:vMerge w:val="continue"/>
            <w:tcBorders>
              <w:left w:val="single" w:color="auto" w:sz="4" w:space="0"/>
              <w:right w:val="single" w:color="auto" w:sz="4" w:space="0"/>
            </w:tcBorders>
            <w:noWrap w:val="0"/>
            <w:tcMar>
              <w:top w:w="0" w:type="dxa"/>
              <w:left w:w="0" w:type="dxa"/>
              <w:bottom w:w="0" w:type="dxa"/>
              <w:right w:w="0" w:type="dxa"/>
            </w:tcMar>
            <w:vAlign w:val="center"/>
          </w:tcPr>
          <w:p w14:paraId="0001A276">
            <w:pPr>
              <w:widowControl/>
              <w:spacing w:line="260" w:lineRule="exact"/>
              <w:jc w:val="both"/>
              <w:textAlignment w:val="center"/>
              <w:rPr>
                <w:rFonts w:hint="eastAsia" w:ascii="宋体" w:hAnsi="宋体" w:eastAsia="宋体" w:cs="宋体"/>
                <w:color w:val="000000"/>
                <w:kern w:val="0"/>
                <w:sz w:val="18"/>
                <w:szCs w:val="18"/>
                <w:lang w:bidi="ar"/>
              </w:rPr>
            </w:pPr>
          </w:p>
        </w:tc>
        <w:tc>
          <w:tcPr>
            <w:tcW w:w="626"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C7BD624">
            <w:pPr>
              <w:widowControl/>
              <w:spacing w:line="260" w:lineRule="exact"/>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一般</w:t>
            </w:r>
          </w:p>
        </w:tc>
        <w:tc>
          <w:tcPr>
            <w:tcW w:w="228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A6D4DAA">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未在限期内完成改正的</w:t>
            </w:r>
          </w:p>
        </w:tc>
        <w:tc>
          <w:tcPr>
            <w:tcW w:w="373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ABC43E7">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有关单位处20万以上30万以下罚款；对直接负责的主管人员和其他直接责任人员处2万元以上3万元以下的罚款</w:t>
            </w:r>
          </w:p>
        </w:tc>
        <w:tc>
          <w:tcPr>
            <w:tcW w:w="994" w:type="dxa"/>
            <w:vMerge w:val="continue"/>
            <w:tcBorders>
              <w:left w:val="single" w:color="auto" w:sz="4" w:space="0"/>
              <w:right w:val="single" w:color="auto" w:sz="4" w:space="0"/>
            </w:tcBorders>
            <w:noWrap w:val="0"/>
            <w:tcMar>
              <w:top w:w="0" w:type="dxa"/>
              <w:left w:w="0" w:type="dxa"/>
              <w:bottom w:w="0" w:type="dxa"/>
              <w:right w:w="0" w:type="dxa"/>
            </w:tcMar>
            <w:vAlign w:val="center"/>
          </w:tcPr>
          <w:p w14:paraId="1911B916">
            <w:pPr>
              <w:widowControl/>
              <w:spacing w:line="260" w:lineRule="exact"/>
              <w:jc w:val="center"/>
              <w:textAlignment w:val="center"/>
              <w:rPr>
                <w:rFonts w:hint="eastAsia" w:ascii="宋体" w:hAnsi="宋体" w:eastAsia="宋体" w:cs="宋体"/>
                <w:color w:val="000000"/>
                <w:kern w:val="0"/>
                <w:sz w:val="18"/>
                <w:szCs w:val="18"/>
                <w:lang w:bidi="ar"/>
              </w:rPr>
            </w:pPr>
          </w:p>
        </w:tc>
      </w:tr>
      <w:tr w14:paraId="2EA8A4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3" w:type="dxa"/>
            <w:vMerge w:val="continue"/>
            <w:tcBorders>
              <w:left w:val="single" w:color="auto" w:sz="4" w:space="0"/>
              <w:right w:val="single" w:color="auto" w:sz="4" w:space="0"/>
            </w:tcBorders>
            <w:noWrap w:val="0"/>
            <w:tcMar>
              <w:top w:w="0" w:type="dxa"/>
              <w:left w:w="0" w:type="dxa"/>
              <w:bottom w:w="0" w:type="dxa"/>
              <w:right w:w="0" w:type="dxa"/>
            </w:tcMar>
            <w:vAlign w:val="center"/>
          </w:tcPr>
          <w:p w14:paraId="5DF0EEC7">
            <w:pPr>
              <w:widowControl/>
              <w:spacing w:line="260" w:lineRule="exact"/>
              <w:jc w:val="both"/>
              <w:textAlignment w:val="center"/>
              <w:rPr>
                <w:rFonts w:hint="eastAsia" w:ascii="宋体" w:hAnsi="宋体" w:eastAsia="宋体" w:cs="宋体"/>
                <w:color w:val="000000"/>
                <w:kern w:val="0"/>
                <w:sz w:val="18"/>
                <w:szCs w:val="18"/>
                <w:lang w:bidi="ar"/>
              </w:rPr>
            </w:pPr>
          </w:p>
        </w:tc>
        <w:tc>
          <w:tcPr>
            <w:tcW w:w="1411" w:type="dxa"/>
            <w:vMerge w:val="continue"/>
            <w:tcBorders>
              <w:left w:val="single" w:color="auto" w:sz="4" w:space="0"/>
              <w:right w:val="single" w:color="auto" w:sz="4" w:space="0"/>
            </w:tcBorders>
            <w:noWrap w:val="0"/>
            <w:tcMar>
              <w:top w:w="0" w:type="dxa"/>
              <w:left w:w="0" w:type="dxa"/>
              <w:bottom w:w="0" w:type="dxa"/>
              <w:right w:w="0" w:type="dxa"/>
            </w:tcMar>
            <w:vAlign w:val="center"/>
          </w:tcPr>
          <w:p w14:paraId="492C794A">
            <w:pPr>
              <w:widowControl/>
              <w:spacing w:line="260" w:lineRule="exact"/>
              <w:jc w:val="both"/>
              <w:textAlignment w:val="center"/>
              <w:rPr>
                <w:rFonts w:hint="eastAsia" w:ascii="宋体" w:hAnsi="宋体" w:eastAsia="宋体" w:cs="宋体"/>
                <w:color w:val="000000"/>
                <w:kern w:val="0"/>
                <w:sz w:val="18"/>
                <w:szCs w:val="18"/>
                <w:lang w:bidi="ar"/>
              </w:rPr>
            </w:pPr>
          </w:p>
        </w:tc>
        <w:tc>
          <w:tcPr>
            <w:tcW w:w="3700" w:type="dxa"/>
            <w:vMerge w:val="continue"/>
            <w:tcBorders>
              <w:left w:val="single" w:color="auto" w:sz="4" w:space="0"/>
              <w:right w:val="single" w:color="auto" w:sz="4" w:space="0"/>
            </w:tcBorders>
            <w:noWrap w:val="0"/>
            <w:tcMar>
              <w:top w:w="0" w:type="dxa"/>
              <w:left w:w="0" w:type="dxa"/>
              <w:bottom w:w="0" w:type="dxa"/>
              <w:right w:w="0" w:type="dxa"/>
            </w:tcMar>
            <w:vAlign w:val="center"/>
          </w:tcPr>
          <w:p w14:paraId="6D07D6EF">
            <w:pPr>
              <w:widowControl/>
              <w:spacing w:line="260" w:lineRule="exact"/>
              <w:jc w:val="both"/>
              <w:textAlignment w:val="center"/>
              <w:rPr>
                <w:rFonts w:hint="eastAsia" w:ascii="宋体" w:hAnsi="宋体" w:eastAsia="宋体" w:cs="宋体"/>
                <w:color w:val="000000"/>
                <w:kern w:val="0"/>
                <w:sz w:val="18"/>
                <w:szCs w:val="18"/>
                <w:lang w:bidi="ar"/>
              </w:rPr>
            </w:pPr>
          </w:p>
        </w:tc>
        <w:tc>
          <w:tcPr>
            <w:tcW w:w="1360" w:type="dxa"/>
            <w:vMerge w:val="continue"/>
            <w:tcBorders>
              <w:left w:val="single" w:color="auto" w:sz="4" w:space="0"/>
              <w:right w:val="single" w:color="auto" w:sz="4" w:space="0"/>
            </w:tcBorders>
            <w:noWrap w:val="0"/>
            <w:tcMar>
              <w:top w:w="0" w:type="dxa"/>
              <w:left w:w="0" w:type="dxa"/>
              <w:bottom w:w="0" w:type="dxa"/>
              <w:right w:w="0" w:type="dxa"/>
            </w:tcMar>
            <w:vAlign w:val="center"/>
          </w:tcPr>
          <w:p w14:paraId="4D5E9297">
            <w:pPr>
              <w:widowControl/>
              <w:spacing w:line="260" w:lineRule="exact"/>
              <w:jc w:val="both"/>
              <w:textAlignment w:val="center"/>
              <w:rPr>
                <w:rFonts w:hint="eastAsia" w:ascii="宋体" w:hAnsi="宋体" w:eastAsia="宋体" w:cs="宋体"/>
                <w:color w:val="000000"/>
                <w:kern w:val="0"/>
                <w:sz w:val="18"/>
                <w:szCs w:val="18"/>
                <w:lang w:bidi="ar"/>
              </w:rPr>
            </w:pPr>
          </w:p>
        </w:tc>
        <w:tc>
          <w:tcPr>
            <w:tcW w:w="626"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B6BE841">
            <w:pPr>
              <w:widowControl/>
              <w:spacing w:line="260" w:lineRule="exact"/>
              <w:jc w:val="center"/>
              <w:textAlignment w:val="center"/>
              <w:rPr>
                <w:rFonts w:hint="eastAsia" w:ascii="宋体" w:hAnsi="宋体" w:eastAsia="宋体" w:cs="宋体"/>
                <w:color w:val="000000"/>
                <w:kern w:val="0"/>
                <w:sz w:val="18"/>
                <w:szCs w:val="18"/>
                <w:lang w:eastAsia="zh-CN" w:bidi="ar"/>
              </w:rPr>
            </w:pPr>
            <w:r>
              <w:rPr>
                <w:rFonts w:hint="eastAsia" w:ascii="宋体" w:hAnsi="宋体" w:eastAsia="宋体" w:cs="宋体"/>
                <w:color w:val="000000"/>
                <w:kern w:val="0"/>
                <w:sz w:val="18"/>
                <w:szCs w:val="18"/>
                <w:lang w:eastAsia="zh-CN" w:bidi="ar"/>
              </w:rPr>
              <w:t>较重</w:t>
            </w:r>
          </w:p>
        </w:tc>
        <w:tc>
          <w:tcPr>
            <w:tcW w:w="228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3F0ADE0">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拒不进行改正的</w:t>
            </w:r>
          </w:p>
        </w:tc>
        <w:tc>
          <w:tcPr>
            <w:tcW w:w="373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FDC656F">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有关单位处30万以上40万以下罚款；对直接负责的主管人员和其他直接责任人员处3万元以上4万元以下的罚款</w:t>
            </w:r>
          </w:p>
        </w:tc>
        <w:tc>
          <w:tcPr>
            <w:tcW w:w="994" w:type="dxa"/>
            <w:vMerge w:val="continue"/>
            <w:tcBorders>
              <w:left w:val="single" w:color="auto" w:sz="4" w:space="0"/>
              <w:right w:val="single" w:color="auto" w:sz="4" w:space="0"/>
            </w:tcBorders>
            <w:noWrap w:val="0"/>
            <w:tcMar>
              <w:top w:w="0" w:type="dxa"/>
              <w:left w:w="0" w:type="dxa"/>
              <w:bottom w:w="0" w:type="dxa"/>
              <w:right w:w="0" w:type="dxa"/>
            </w:tcMar>
            <w:vAlign w:val="center"/>
          </w:tcPr>
          <w:p w14:paraId="70E10D3D">
            <w:pPr>
              <w:widowControl/>
              <w:spacing w:line="260" w:lineRule="exact"/>
              <w:jc w:val="center"/>
              <w:textAlignment w:val="center"/>
              <w:rPr>
                <w:rFonts w:hint="eastAsia" w:ascii="宋体" w:hAnsi="宋体" w:eastAsia="宋体" w:cs="宋体"/>
                <w:color w:val="000000"/>
                <w:kern w:val="0"/>
                <w:sz w:val="18"/>
                <w:szCs w:val="18"/>
                <w:lang w:bidi="ar"/>
              </w:rPr>
            </w:pPr>
          </w:p>
        </w:tc>
      </w:tr>
      <w:tr w14:paraId="1EEE43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jc w:val="center"/>
        </w:trPr>
        <w:tc>
          <w:tcPr>
            <w:tcW w:w="523" w:type="dxa"/>
            <w:vMerge w:val="continue"/>
            <w:tcBorders>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1C85F45">
            <w:pPr>
              <w:widowControl/>
              <w:spacing w:line="260" w:lineRule="exact"/>
              <w:jc w:val="both"/>
              <w:textAlignment w:val="center"/>
              <w:rPr>
                <w:rFonts w:hint="eastAsia" w:ascii="宋体" w:hAnsi="宋体" w:eastAsia="宋体" w:cs="宋体"/>
                <w:color w:val="000000"/>
                <w:kern w:val="0"/>
                <w:sz w:val="18"/>
                <w:szCs w:val="18"/>
                <w:lang w:bidi="ar"/>
              </w:rPr>
            </w:pPr>
          </w:p>
        </w:tc>
        <w:tc>
          <w:tcPr>
            <w:tcW w:w="1411" w:type="dxa"/>
            <w:vMerge w:val="continue"/>
            <w:tcBorders>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6EDE915">
            <w:pPr>
              <w:widowControl/>
              <w:spacing w:line="260" w:lineRule="exact"/>
              <w:jc w:val="both"/>
              <w:textAlignment w:val="center"/>
              <w:rPr>
                <w:rFonts w:hint="eastAsia" w:ascii="宋体" w:hAnsi="宋体" w:eastAsia="宋体" w:cs="宋体"/>
                <w:color w:val="000000"/>
                <w:kern w:val="0"/>
                <w:sz w:val="18"/>
                <w:szCs w:val="18"/>
                <w:lang w:bidi="ar"/>
              </w:rPr>
            </w:pPr>
          </w:p>
        </w:tc>
        <w:tc>
          <w:tcPr>
            <w:tcW w:w="3700" w:type="dxa"/>
            <w:vMerge w:val="continue"/>
            <w:tcBorders>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9FC21EC">
            <w:pPr>
              <w:widowControl/>
              <w:spacing w:line="260" w:lineRule="exact"/>
              <w:jc w:val="both"/>
              <w:textAlignment w:val="center"/>
              <w:rPr>
                <w:rFonts w:hint="eastAsia" w:ascii="宋体" w:hAnsi="宋体" w:eastAsia="宋体" w:cs="宋体"/>
                <w:color w:val="000000"/>
                <w:kern w:val="0"/>
                <w:sz w:val="18"/>
                <w:szCs w:val="18"/>
                <w:lang w:bidi="ar"/>
              </w:rPr>
            </w:pPr>
          </w:p>
        </w:tc>
        <w:tc>
          <w:tcPr>
            <w:tcW w:w="1360" w:type="dxa"/>
            <w:vMerge w:val="continue"/>
            <w:tcBorders>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31EFE59">
            <w:pPr>
              <w:widowControl/>
              <w:spacing w:line="260" w:lineRule="exact"/>
              <w:jc w:val="both"/>
              <w:textAlignment w:val="center"/>
              <w:rPr>
                <w:rFonts w:hint="eastAsia" w:ascii="宋体" w:hAnsi="宋体" w:eastAsia="宋体" w:cs="宋体"/>
                <w:color w:val="000000"/>
                <w:kern w:val="0"/>
                <w:sz w:val="18"/>
                <w:szCs w:val="18"/>
                <w:lang w:bidi="ar"/>
              </w:rPr>
            </w:pPr>
          </w:p>
        </w:tc>
        <w:tc>
          <w:tcPr>
            <w:tcW w:w="626"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BDA6BE3">
            <w:pPr>
              <w:widowControl/>
              <w:spacing w:line="260" w:lineRule="exact"/>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严重</w:t>
            </w:r>
          </w:p>
        </w:tc>
        <w:tc>
          <w:tcPr>
            <w:tcW w:w="228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CDF64BC">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引发移民集体上访等群体性事件的</w:t>
            </w:r>
          </w:p>
        </w:tc>
        <w:tc>
          <w:tcPr>
            <w:tcW w:w="373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4027F9A">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有关单位处40万以上50万以下罚款；对直接负责的主管人员和其他直接责任人员处4万元以上5万元以下的罚款</w:t>
            </w:r>
          </w:p>
        </w:tc>
        <w:tc>
          <w:tcPr>
            <w:tcW w:w="994" w:type="dxa"/>
            <w:vMerge w:val="continue"/>
            <w:tcBorders>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91533B3">
            <w:pPr>
              <w:widowControl/>
              <w:spacing w:line="260" w:lineRule="exact"/>
              <w:jc w:val="center"/>
              <w:textAlignment w:val="center"/>
              <w:rPr>
                <w:rFonts w:hint="eastAsia" w:ascii="宋体" w:hAnsi="宋体" w:eastAsia="宋体" w:cs="宋体"/>
                <w:color w:val="000000"/>
                <w:kern w:val="0"/>
                <w:sz w:val="18"/>
                <w:szCs w:val="18"/>
                <w:lang w:bidi="ar"/>
              </w:rPr>
            </w:pPr>
          </w:p>
        </w:tc>
      </w:tr>
      <w:tr w14:paraId="3B92E7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3" w:type="dxa"/>
            <w:vMerge w:val="restart"/>
            <w:tcBorders>
              <w:left w:val="single" w:color="auto" w:sz="4" w:space="0"/>
              <w:right w:val="single" w:color="auto" w:sz="4" w:space="0"/>
            </w:tcBorders>
            <w:noWrap w:val="0"/>
            <w:tcMar>
              <w:top w:w="0" w:type="dxa"/>
              <w:left w:w="0" w:type="dxa"/>
              <w:bottom w:w="0" w:type="dxa"/>
              <w:right w:w="0" w:type="dxa"/>
            </w:tcMar>
            <w:vAlign w:val="center"/>
          </w:tcPr>
          <w:p w14:paraId="7F7F4788">
            <w:pPr>
              <w:widowControl/>
              <w:spacing w:line="260" w:lineRule="exact"/>
              <w:jc w:val="center"/>
              <w:textAlignment w:val="center"/>
              <w:rPr>
                <w:rFonts w:hint="default" w:ascii="宋体" w:hAnsi="宋体" w:eastAsia="宋体" w:cs="宋体"/>
                <w:color w:val="000000"/>
                <w:kern w:val="0"/>
                <w:sz w:val="18"/>
                <w:szCs w:val="18"/>
                <w:lang w:val="en-US" w:eastAsia="zh-CN" w:bidi="ar"/>
              </w:rPr>
            </w:pPr>
            <w:r>
              <w:rPr>
                <w:rFonts w:hint="eastAsia" w:ascii="宋体" w:hAnsi="宋体" w:eastAsia="宋体" w:cs="宋体"/>
                <w:color w:val="000000"/>
                <w:kern w:val="0"/>
                <w:sz w:val="18"/>
                <w:szCs w:val="18"/>
                <w:lang w:val="en-US" w:eastAsia="zh-CN" w:bidi="ar"/>
              </w:rPr>
              <w:t>55</w:t>
            </w:r>
          </w:p>
        </w:tc>
        <w:tc>
          <w:tcPr>
            <w:tcW w:w="1411" w:type="dxa"/>
            <w:vMerge w:val="restart"/>
            <w:tcBorders>
              <w:left w:val="single" w:color="auto" w:sz="4" w:space="0"/>
              <w:right w:val="single" w:color="auto" w:sz="4" w:space="0"/>
            </w:tcBorders>
            <w:noWrap w:val="0"/>
            <w:tcMar>
              <w:top w:w="0" w:type="dxa"/>
              <w:left w:w="0" w:type="dxa"/>
              <w:bottom w:w="0" w:type="dxa"/>
              <w:right w:w="0" w:type="dxa"/>
            </w:tcMar>
            <w:vAlign w:val="center"/>
          </w:tcPr>
          <w:p w14:paraId="2DD00448">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对侵占、截留、挪用大中型水利水电工程征地补偿和移民安置资金、水库移民后期扶持资金行为的行政处罚</w:t>
            </w:r>
          </w:p>
        </w:tc>
        <w:tc>
          <w:tcPr>
            <w:tcW w:w="3700" w:type="dxa"/>
            <w:vMerge w:val="restart"/>
            <w:tcBorders>
              <w:top w:val="single" w:color="auto" w:sz="4" w:space="0"/>
              <w:left w:val="single" w:color="auto" w:sz="4" w:space="0"/>
              <w:right w:val="single" w:color="auto" w:sz="4" w:space="0"/>
            </w:tcBorders>
            <w:noWrap w:val="0"/>
            <w:tcMar>
              <w:top w:w="0" w:type="dxa"/>
              <w:left w:w="0" w:type="dxa"/>
              <w:bottom w:w="0" w:type="dxa"/>
              <w:right w:w="0" w:type="dxa"/>
            </w:tcMar>
            <w:vAlign w:val="center"/>
          </w:tcPr>
          <w:p w14:paraId="4EF47265">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《大中型水利水电工程建设征地补偿和移民安置条例》第六十条 违反本条例规定，侵占、截留、挪用征地补偿和移民安置资金、水库移民后期扶持资金的，责令退赔，并处侵占、截留、挪用资金额3倍以下的罚款，对直接负责的主管人员和其他责任人员依法给予行政处分；构成犯罪的，依法追究有关责任人员的刑事责任。</w:t>
            </w:r>
          </w:p>
        </w:tc>
        <w:tc>
          <w:tcPr>
            <w:tcW w:w="1360" w:type="dxa"/>
            <w:vMerge w:val="restart"/>
            <w:tcBorders>
              <w:top w:val="single" w:color="auto" w:sz="4" w:space="0"/>
              <w:left w:val="single" w:color="auto" w:sz="4" w:space="0"/>
              <w:right w:val="single" w:color="auto" w:sz="4" w:space="0"/>
            </w:tcBorders>
            <w:noWrap w:val="0"/>
            <w:tcMar>
              <w:top w:w="0" w:type="dxa"/>
              <w:left w:w="0" w:type="dxa"/>
              <w:bottom w:w="0" w:type="dxa"/>
              <w:right w:w="0" w:type="dxa"/>
            </w:tcMar>
            <w:vAlign w:val="center"/>
          </w:tcPr>
          <w:p w14:paraId="624B30A3">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侵占、截留、挪用征地补偿和移民安置资金、水库移民后期扶持资金的</w:t>
            </w:r>
          </w:p>
        </w:tc>
        <w:tc>
          <w:tcPr>
            <w:tcW w:w="626"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6D5E9A2">
            <w:pPr>
              <w:widowControl/>
              <w:spacing w:line="260" w:lineRule="exact"/>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轻微</w:t>
            </w:r>
          </w:p>
        </w:tc>
        <w:tc>
          <w:tcPr>
            <w:tcW w:w="228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611CAD0">
            <w:pPr>
              <w:widowControl/>
              <w:spacing w:line="260" w:lineRule="exact"/>
              <w:jc w:val="both"/>
              <w:textAlignment w:val="center"/>
              <w:rPr>
                <w:rFonts w:hint="eastAsia" w:ascii="宋体" w:hAnsi="宋体" w:eastAsia="宋体" w:cs="宋体"/>
                <w:color w:val="000000"/>
                <w:kern w:val="0"/>
                <w:sz w:val="18"/>
                <w:szCs w:val="18"/>
                <w:lang w:bidi="ar"/>
              </w:rPr>
            </w:pPr>
          </w:p>
        </w:tc>
        <w:tc>
          <w:tcPr>
            <w:tcW w:w="373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3D27CD6">
            <w:pPr>
              <w:widowControl/>
              <w:spacing w:line="260" w:lineRule="exact"/>
              <w:jc w:val="both"/>
              <w:textAlignment w:val="center"/>
              <w:rPr>
                <w:rFonts w:hint="eastAsia" w:ascii="宋体" w:hAnsi="宋体" w:eastAsia="宋体" w:cs="宋体"/>
                <w:color w:val="000000"/>
                <w:kern w:val="0"/>
                <w:sz w:val="18"/>
                <w:szCs w:val="18"/>
                <w:lang w:bidi="ar"/>
              </w:rPr>
            </w:pPr>
          </w:p>
        </w:tc>
        <w:tc>
          <w:tcPr>
            <w:tcW w:w="994" w:type="dxa"/>
            <w:vMerge w:val="restart"/>
            <w:tcBorders>
              <w:top w:val="single" w:color="auto" w:sz="4" w:space="0"/>
              <w:left w:val="single" w:color="auto" w:sz="4" w:space="0"/>
              <w:right w:val="single" w:color="auto" w:sz="4" w:space="0"/>
            </w:tcBorders>
            <w:noWrap w:val="0"/>
            <w:tcMar>
              <w:top w:w="0" w:type="dxa"/>
              <w:left w:w="0" w:type="dxa"/>
              <w:bottom w:w="0" w:type="dxa"/>
              <w:right w:w="0" w:type="dxa"/>
            </w:tcMar>
            <w:vAlign w:val="center"/>
          </w:tcPr>
          <w:p w14:paraId="62B4B68C">
            <w:pPr>
              <w:widowControl/>
              <w:spacing w:line="260" w:lineRule="exact"/>
              <w:jc w:val="center"/>
              <w:textAlignment w:val="center"/>
              <w:rPr>
                <w:rFonts w:hint="eastAsia" w:ascii="宋体" w:hAnsi="宋体" w:eastAsia="宋体" w:cs="宋体"/>
                <w:color w:val="000000"/>
                <w:kern w:val="0"/>
                <w:sz w:val="18"/>
                <w:szCs w:val="18"/>
                <w:lang w:bidi="ar"/>
              </w:rPr>
            </w:pPr>
          </w:p>
        </w:tc>
      </w:tr>
      <w:tr w14:paraId="214320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3" w:type="dxa"/>
            <w:vMerge w:val="continue"/>
            <w:tcBorders>
              <w:left w:val="single" w:color="auto" w:sz="4" w:space="0"/>
              <w:right w:val="single" w:color="auto" w:sz="4" w:space="0"/>
            </w:tcBorders>
            <w:noWrap w:val="0"/>
            <w:tcMar>
              <w:top w:w="0" w:type="dxa"/>
              <w:left w:w="0" w:type="dxa"/>
              <w:bottom w:w="0" w:type="dxa"/>
              <w:right w:w="0" w:type="dxa"/>
            </w:tcMar>
            <w:vAlign w:val="center"/>
          </w:tcPr>
          <w:p w14:paraId="15D8B893">
            <w:pPr>
              <w:widowControl/>
              <w:spacing w:line="260" w:lineRule="exact"/>
              <w:jc w:val="both"/>
              <w:textAlignment w:val="center"/>
              <w:rPr>
                <w:rFonts w:hint="eastAsia" w:ascii="宋体" w:hAnsi="宋体" w:eastAsia="宋体" w:cs="宋体"/>
                <w:color w:val="000000"/>
                <w:kern w:val="0"/>
                <w:sz w:val="18"/>
                <w:szCs w:val="18"/>
                <w:lang w:bidi="ar"/>
              </w:rPr>
            </w:pPr>
          </w:p>
        </w:tc>
        <w:tc>
          <w:tcPr>
            <w:tcW w:w="1411" w:type="dxa"/>
            <w:vMerge w:val="continue"/>
            <w:tcBorders>
              <w:left w:val="single" w:color="auto" w:sz="4" w:space="0"/>
              <w:right w:val="single" w:color="auto" w:sz="4" w:space="0"/>
            </w:tcBorders>
            <w:noWrap w:val="0"/>
            <w:tcMar>
              <w:top w:w="0" w:type="dxa"/>
              <w:left w:w="0" w:type="dxa"/>
              <w:bottom w:w="0" w:type="dxa"/>
              <w:right w:w="0" w:type="dxa"/>
            </w:tcMar>
            <w:vAlign w:val="center"/>
          </w:tcPr>
          <w:p w14:paraId="5384FDEC">
            <w:pPr>
              <w:widowControl/>
              <w:spacing w:line="260" w:lineRule="exact"/>
              <w:jc w:val="both"/>
              <w:textAlignment w:val="center"/>
              <w:rPr>
                <w:rFonts w:hint="eastAsia" w:ascii="宋体" w:hAnsi="宋体" w:eastAsia="宋体" w:cs="宋体"/>
                <w:color w:val="000000"/>
                <w:kern w:val="0"/>
                <w:sz w:val="18"/>
                <w:szCs w:val="18"/>
                <w:lang w:bidi="ar"/>
              </w:rPr>
            </w:pPr>
          </w:p>
        </w:tc>
        <w:tc>
          <w:tcPr>
            <w:tcW w:w="3700" w:type="dxa"/>
            <w:vMerge w:val="continue"/>
            <w:tcBorders>
              <w:left w:val="single" w:color="auto" w:sz="4" w:space="0"/>
              <w:right w:val="single" w:color="auto" w:sz="4" w:space="0"/>
            </w:tcBorders>
            <w:noWrap w:val="0"/>
            <w:tcMar>
              <w:top w:w="0" w:type="dxa"/>
              <w:left w:w="0" w:type="dxa"/>
              <w:bottom w:w="0" w:type="dxa"/>
              <w:right w:w="0" w:type="dxa"/>
            </w:tcMar>
            <w:vAlign w:val="center"/>
          </w:tcPr>
          <w:p w14:paraId="223A5F4A">
            <w:pPr>
              <w:widowControl/>
              <w:spacing w:line="260" w:lineRule="exact"/>
              <w:jc w:val="both"/>
              <w:textAlignment w:val="center"/>
              <w:rPr>
                <w:rFonts w:hint="eastAsia" w:ascii="宋体" w:hAnsi="宋体" w:eastAsia="宋体" w:cs="宋体"/>
                <w:color w:val="000000"/>
                <w:kern w:val="0"/>
                <w:sz w:val="18"/>
                <w:szCs w:val="18"/>
                <w:lang w:bidi="ar"/>
              </w:rPr>
            </w:pPr>
          </w:p>
        </w:tc>
        <w:tc>
          <w:tcPr>
            <w:tcW w:w="1360" w:type="dxa"/>
            <w:vMerge w:val="continue"/>
            <w:tcBorders>
              <w:left w:val="single" w:color="auto" w:sz="4" w:space="0"/>
              <w:right w:val="single" w:color="auto" w:sz="4" w:space="0"/>
            </w:tcBorders>
            <w:noWrap w:val="0"/>
            <w:tcMar>
              <w:top w:w="0" w:type="dxa"/>
              <w:left w:w="0" w:type="dxa"/>
              <w:bottom w:w="0" w:type="dxa"/>
              <w:right w:w="0" w:type="dxa"/>
            </w:tcMar>
            <w:vAlign w:val="center"/>
          </w:tcPr>
          <w:p w14:paraId="22F80FC6">
            <w:pPr>
              <w:widowControl/>
              <w:spacing w:line="260" w:lineRule="exact"/>
              <w:jc w:val="both"/>
              <w:textAlignment w:val="center"/>
              <w:rPr>
                <w:rFonts w:hint="eastAsia" w:ascii="宋体" w:hAnsi="宋体" w:eastAsia="宋体" w:cs="宋体"/>
                <w:color w:val="000000"/>
                <w:kern w:val="0"/>
                <w:sz w:val="18"/>
                <w:szCs w:val="18"/>
                <w:lang w:bidi="ar"/>
              </w:rPr>
            </w:pPr>
          </w:p>
        </w:tc>
        <w:tc>
          <w:tcPr>
            <w:tcW w:w="626"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AD5012F">
            <w:pPr>
              <w:widowControl/>
              <w:spacing w:line="260" w:lineRule="exact"/>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较轻</w:t>
            </w:r>
          </w:p>
        </w:tc>
        <w:tc>
          <w:tcPr>
            <w:tcW w:w="228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6F2AD35">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在限期内退赔的</w:t>
            </w:r>
          </w:p>
        </w:tc>
        <w:tc>
          <w:tcPr>
            <w:tcW w:w="373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DF831C6">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处侵占、截留、挪用资金额1倍到1.5倍的罚款</w:t>
            </w:r>
          </w:p>
        </w:tc>
        <w:tc>
          <w:tcPr>
            <w:tcW w:w="994" w:type="dxa"/>
            <w:vMerge w:val="continue"/>
            <w:tcBorders>
              <w:left w:val="single" w:color="auto" w:sz="4" w:space="0"/>
              <w:right w:val="single" w:color="auto" w:sz="4" w:space="0"/>
            </w:tcBorders>
            <w:noWrap w:val="0"/>
            <w:tcMar>
              <w:top w:w="0" w:type="dxa"/>
              <w:left w:w="0" w:type="dxa"/>
              <w:bottom w:w="0" w:type="dxa"/>
              <w:right w:w="0" w:type="dxa"/>
            </w:tcMar>
            <w:vAlign w:val="center"/>
          </w:tcPr>
          <w:p w14:paraId="3C59F192">
            <w:pPr>
              <w:widowControl/>
              <w:spacing w:line="260" w:lineRule="exact"/>
              <w:jc w:val="center"/>
              <w:textAlignment w:val="center"/>
              <w:rPr>
                <w:rFonts w:hint="eastAsia" w:ascii="宋体" w:hAnsi="宋体" w:eastAsia="宋体" w:cs="宋体"/>
                <w:color w:val="000000"/>
                <w:kern w:val="0"/>
                <w:sz w:val="18"/>
                <w:szCs w:val="18"/>
                <w:lang w:bidi="ar"/>
              </w:rPr>
            </w:pPr>
          </w:p>
        </w:tc>
      </w:tr>
      <w:tr w14:paraId="01096F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3" w:type="dxa"/>
            <w:vMerge w:val="continue"/>
            <w:tcBorders>
              <w:left w:val="single" w:color="auto" w:sz="4" w:space="0"/>
              <w:right w:val="single" w:color="auto" w:sz="4" w:space="0"/>
            </w:tcBorders>
            <w:noWrap w:val="0"/>
            <w:tcMar>
              <w:top w:w="0" w:type="dxa"/>
              <w:left w:w="0" w:type="dxa"/>
              <w:bottom w:w="0" w:type="dxa"/>
              <w:right w:w="0" w:type="dxa"/>
            </w:tcMar>
            <w:vAlign w:val="center"/>
          </w:tcPr>
          <w:p w14:paraId="0EFFEF2A">
            <w:pPr>
              <w:widowControl/>
              <w:spacing w:line="260" w:lineRule="exact"/>
              <w:jc w:val="both"/>
              <w:textAlignment w:val="center"/>
              <w:rPr>
                <w:rFonts w:hint="eastAsia" w:ascii="宋体" w:hAnsi="宋体" w:eastAsia="宋体" w:cs="宋体"/>
                <w:color w:val="000000"/>
                <w:kern w:val="0"/>
                <w:sz w:val="18"/>
                <w:szCs w:val="18"/>
                <w:lang w:bidi="ar"/>
              </w:rPr>
            </w:pPr>
          </w:p>
        </w:tc>
        <w:tc>
          <w:tcPr>
            <w:tcW w:w="1411" w:type="dxa"/>
            <w:vMerge w:val="continue"/>
            <w:tcBorders>
              <w:left w:val="single" w:color="auto" w:sz="4" w:space="0"/>
              <w:right w:val="single" w:color="auto" w:sz="4" w:space="0"/>
            </w:tcBorders>
            <w:noWrap w:val="0"/>
            <w:tcMar>
              <w:top w:w="0" w:type="dxa"/>
              <w:left w:w="0" w:type="dxa"/>
              <w:bottom w:w="0" w:type="dxa"/>
              <w:right w:w="0" w:type="dxa"/>
            </w:tcMar>
            <w:vAlign w:val="center"/>
          </w:tcPr>
          <w:p w14:paraId="40DCA974">
            <w:pPr>
              <w:widowControl/>
              <w:spacing w:line="260" w:lineRule="exact"/>
              <w:jc w:val="both"/>
              <w:textAlignment w:val="center"/>
              <w:rPr>
                <w:rFonts w:hint="eastAsia" w:ascii="宋体" w:hAnsi="宋体" w:eastAsia="宋体" w:cs="宋体"/>
                <w:color w:val="000000"/>
                <w:kern w:val="0"/>
                <w:sz w:val="18"/>
                <w:szCs w:val="18"/>
                <w:lang w:bidi="ar"/>
              </w:rPr>
            </w:pPr>
          </w:p>
        </w:tc>
        <w:tc>
          <w:tcPr>
            <w:tcW w:w="3700" w:type="dxa"/>
            <w:vMerge w:val="continue"/>
            <w:tcBorders>
              <w:left w:val="single" w:color="auto" w:sz="4" w:space="0"/>
              <w:right w:val="single" w:color="auto" w:sz="4" w:space="0"/>
            </w:tcBorders>
            <w:noWrap w:val="0"/>
            <w:tcMar>
              <w:top w:w="0" w:type="dxa"/>
              <w:left w:w="0" w:type="dxa"/>
              <w:bottom w:w="0" w:type="dxa"/>
              <w:right w:w="0" w:type="dxa"/>
            </w:tcMar>
            <w:vAlign w:val="center"/>
          </w:tcPr>
          <w:p w14:paraId="54AED15D">
            <w:pPr>
              <w:widowControl/>
              <w:spacing w:line="260" w:lineRule="exact"/>
              <w:jc w:val="both"/>
              <w:textAlignment w:val="center"/>
              <w:rPr>
                <w:rFonts w:hint="eastAsia" w:ascii="宋体" w:hAnsi="宋体" w:eastAsia="宋体" w:cs="宋体"/>
                <w:color w:val="000000"/>
                <w:kern w:val="0"/>
                <w:sz w:val="18"/>
                <w:szCs w:val="18"/>
                <w:lang w:bidi="ar"/>
              </w:rPr>
            </w:pPr>
          </w:p>
        </w:tc>
        <w:tc>
          <w:tcPr>
            <w:tcW w:w="1360" w:type="dxa"/>
            <w:vMerge w:val="continue"/>
            <w:tcBorders>
              <w:left w:val="single" w:color="auto" w:sz="4" w:space="0"/>
              <w:right w:val="single" w:color="auto" w:sz="4" w:space="0"/>
            </w:tcBorders>
            <w:noWrap w:val="0"/>
            <w:tcMar>
              <w:top w:w="0" w:type="dxa"/>
              <w:left w:w="0" w:type="dxa"/>
              <w:bottom w:w="0" w:type="dxa"/>
              <w:right w:w="0" w:type="dxa"/>
            </w:tcMar>
            <w:vAlign w:val="center"/>
          </w:tcPr>
          <w:p w14:paraId="16168471">
            <w:pPr>
              <w:widowControl/>
              <w:spacing w:line="260" w:lineRule="exact"/>
              <w:jc w:val="both"/>
              <w:textAlignment w:val="center"/>
              <w:rPr>
                <w:rFonts w:hint="eastAsia" w:ascii="宋体" w:hAnsi="宋体" w:eastAsia="宋体" w:cs="宋体"/>
                <w:color w:val="000000"/>
                <w:kern w:val="0"/>
                <w:sz w:val="18"/>
                <w:szCs w:val="18"/>
                <w:lang w:bidi="ar"/>
              </w:rPr>
            </w:pPr>
          </w:p>
        </w:tc>
        <w:tc>
          <w:tcPr>
            <w:tcW w:w="626"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88424C4">
            <w:pPr>
              <w:widowControl/>
              <w:spacing w:line="260" w:lineRule="exact"/>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一般</w:t>
            </w:r>
          </w:p>
        </w:tc>
        <w:tc>
          <w:tcPr>
            <w:tcW w:w="228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6A0B6EC">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未在限期内退赔的</w:t>
            </w:r>
          </w:p>
        </w:tc>
        <w:tc>
          <w:tcPr>
            <w:tcW w:w="373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EF862B2">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处侵占、截留、挪用资金额1.5倍到2倍的罚款</w:t>
            </w:r>
          </w:p>
        </w:tc>
        <w:tc>
          <w:tcPr>
            <w:tcW w:w="994" w:type="dxa"/>
            <w:vMerge w:val="continue"/>
            <w:tcBorders>
              <w:left w:val="single" w:color="auto" w:sz="4" w:space="0"/>
              <w:right w:val="single" w:color="auto" w:sz="4" w:space="0"/>
            </w:tcBorders>
            <w:noWrap w:val="0"/>
            <w:tcMar>
              <w:top w:w="0" w:type="dxa"/>
              <w:left w:w="0" w:type="dxa"/>
              <w:bottom w:w="0" w:type="dxa"/>
              <w:right w:w="0" w:type="dxa"/>
            </w:tcMar>
            <w:vAlign w:val="center"/>
          </w:tcPr>
          <w:p w14:paraId="47833C58">
            <w:pPr>
              <w:widowControl/>
              <w:spacing w:line="260" w:lineRule="exact"/>
              <w:jc w:val="center"/>
              <w:textAlignment w:val="center"/>
              <w:rPr>
                <w:rFonts w:hint="eastAsia" w:ascii="宋体" w:hAnsi="宋体" w:eastAsia="宋体" w:cs="宋体"/>
                <w:color w:val="000000"/>
                <w:kern w:val="0"/>
                <w:sz w:val="18"/>
                <w:szCs w:val="18"/>
                <w:lang w:bidi="ar"/>
              </w:rPr>
            </w:pPr>
          </w:p>
        </w:tc>
      </w:tr>
      <w:tr w14:paraId="0C93C2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3" w:type="dxa"/>
            <w:vMerge w:val="continue"/>
            <w:tcBorders>
              <w:left w:val="single" w:color="auto" w:sz="4" w:space="0"/>
              <w:right w:val="single" w:color="auto" w:sz="4" w:space="0"/>
            </w:tcBorders>
            <w:noWrap w:val="0"/>
            <w:tcMar>
              <w:top w:w="0" w:type="dxa"/>
              <w:left w:w="0" w:type="dxa"/>
              <w:bottom w:w="0" w:type="dxa"/>
              <w:right w:w="0" w:type="dxa"/>
            </w:tcMar>
            <w:vAlign w:val="center"/>
          </w:tcPr>
          <w:p w14:paraId="5B9F99F7">
            <w:pPr>
              <w:widowControl/>
              <w:spacing w:line="260" w:lineRule="exact"/>
              <w:jc w:val="both"/>
              <w:textAlignment w:val="center"/>
              <w:rPr>
                <w:rFonts w:hint="eastAsia" w:ascii="宋体" w:hAnsi="宋体" w:eastAsia="宋体" w:cs="宋体"/>
                <w:color w:val="000000"/>
                <w:kern w:val="0"/>
                <w:sz w:val="18"/>
                <w:szCs w:val="18"/>
                <w:lang w:bidi="ar"/>
              </w:rPr>
            </w:pPr>
          </w:p>
        </w:tc>
        <w:tc>
          <w:tcPr>
            <w:tcW w:w="1411" w:type="dxa"/>
            <w:vMerge w:val="continue"/>
            <w:tcBorders>
              <w:left w:val="single" w:color="auto" w:sz="4" w:space="0"/>
              <w:right w:val="single" w:color="auto" w:sz="4" w:space="0"/>
            </w:tcBorders>
            <w:noWrap w:val="0"/>
            <w:tcMar>
              <w:top w:w="0" w:type="dxa"/>
              <w:left w:w="0" w:type="dxa"/>
              <w:bottom w:w="0" w:type="dxa"/>
              <w:right w:w="0" w:type="dxa"/>
            </w:tcMar>
            <w:vAlign w:val="center"/>
          </w:tcPr>
          <w:p w14:paraId="601738BD">
            <w:pPr>
              <w:widowControl/>
              <w:spacing w:line="260" w:lineRule="exact"/>
              <w:jc w:val="both"/>
              <w:textAlignment w:val="center"/>
              <w:rPr>
                <w:rFonts w:hint="eastAsia" w:ascii="宋体" w:hAnsi="宋体" w:eastAsia="宋体" w:cs="宋体"/>
                <w:color w:val="000000"/>
                <w:kern w:val="0"/>
                <w:sz w:val="18"/>
                <w:szCs w:val="18"/>
                <w:lang w:bidi="ar"/>
              </w:rPr>
            </w:pPr>
          </w:p>
        </w:tc>
        <w:tc>
          <w:tcPr>
            <w:tcW w:w="3700" w:type="dxa"/>
            <w:vMerge w:val="continue"/>
            <w:tcBorders>
              <w:left w:val="single" w:color="auto" w:sz="4" w:space="0"/>
              <w:right w:val="single" w:color="auto" w:sz="4" w:space="0"/>
            </w:tcBorders>
            <w:noWrap w:val="0"/>
            <w:tcMar>
              <w:top w:w="0" w:type="dxa"/>
              <w:left w:w="0" w:type="dxa"/>
              <w:bottom w:w="0" w:type="dxa"/>
              <w:right w:w="0" w:type="dxa"/>
            </w:tcMar>
            <w:vAlign w:val="center"/>
          </w:tcPr>
          <w:p w14:paraId="54AB1B37">
            <w:pPr>
              <w:widowControl/>
              <w:spacing w:line="260" w:lineRule="exact"/>
              <w:jc w:val="both"/>
              <w:textAlignment w:val="center"/>
              <w:rPr>
                <w:rFonts w:hint="eastAsia" w:ascii="宋体" w:hAnsi="宋体" w:eastAsia="宋体" w:cs="宋体"/>
                <w:color w:val="000000"/>
                <w:kern w:val="0"/>
                <w:sz w:val="18"/>
                <w:szCs w:val="18"/>
                <w:lang w:bidi="ar"/>
              </w:rPr>
            </w:pPr>
          </w:p>
        </w:tc>
        <w:tc>
          <w:tcPr>
            <w:tcW w:w="1360" w:type="dxa"/>
            <w:vMerge w:val="continue"/>
            <w:tcBorders>
              <w:left w:val="single" w:color="auto" w:sz="4" w:space="0"/>
              <w:right w:val="single" w:color="auto" w:sz="4" w:space="0"/>
            </w:tcBorders>
            <w:noWrap w:val="0"/>
            <w:tcMar>
              <w:top w:w="0" w:type="dxa"/>
              <w:left w:w="0" w:type="dxa"/>
              <w:bottom w:w="0" w:type="dxa"/>
              <w:right w:w="0" w:type="dxa"/>
            </w:tcMar>
            <w:vAlign w:val="center"/>
          </w:tcPr>
          <w:p w14:paraId="72764D07">
            <w:pPr>
              <w:widowControl/>
              <w:spacing w:line="260" w:lineRule="exact"/>
              <w:jc w:val="both"/>
              <w:textAlignment w:val="center"/>
              <w:rPr>
                <w:rFonts w:hint="eastAsia" w:ascii="宋体" w:hAnsi="宋体" w:eastAsia="宋体" w:cs="宋体"/>
                <w:color w:val="000000"/>
                <w:kern w:val="0"/>
                <w:sz w:val="18"/>
                <w:szCs w:val="18"/>
                <w:lang w:bidi="ar"/>
              </w:rPr>
            </w:pPr>
          </w:p>
        </w:tc>
        <w:tc>
          <w:tcPr>
            <w:tcW w:w="626"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118A367">
            <w:pPr>
              <w:widowControl/>
              <w:spacing w:line="260" w:lineRule="exact"/>
              <w:jc w:val="center"/>
              <w:textAlignment w:val="center"/>
              <w:rPr>
                <w:rFonts w:hint="eastAsia" w:ascii="宋体" w:hAnsi="宋体" w:eastAsia="宋体" w:cs="宋体"/>
                <w:color w:val="000000"/>
                <w:kern w:val="0"/>
                <w:sz w:val="18"/>
                <w:szCs w:val="18"/>
                <w:lang w:eastAsia="zh-CN" w:bidi="ar"/>
              </w:rPr>
            </w:pPr>
            <w:r>
              <w:rPr>
                <w:rFonts w:hint="eastAsia" w:ascii="宋体" w:hAnsi="宋体" w:eastAsia="宋体" w:cs="宋体"/>
                <w:color w:val="000000"/>
                <w:kern w:val="0"/>
                <w:sz w:val="18"/>
                <w:szCs w:val="18"/>
                <w:lang w:eastAsia="zh-CN" w:bidi="ar"/>
              </w:rPr>
              <w:t>较重</w:t>
            </w:r>
          </w:p>
        </w:tc>
        <w:tc>
          <w:tcPr>
            <w:tcW w:w="228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347075F">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拒不退赔的</w:t>
            </w:r>
          </w:p>
        </w:tc>
        <w:tc>
          <w:tcPr>
            <w:tcW w:w="373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E33AFA0">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处侵占、截留、挪用资金额2倍到2.5倍的罚款</w:t>
            </w:r>
          </w:p>
        </w:tc>
        <w:tc>
          <w:tcPr>
            <w:tcW w:w="994" w:type="dxa"/>
            <w:vMerge w:val="continue"/>
            <w:tcBorders>
              <w:left w:val="single" w:color="auto" w:sz="4" w:space="0"/>
              <w:right w:val="single" w:color="auto" w:sz="4" w:space="0"/>
            </w:tcBorders>
            <w:noWrap w:val="0"/>
            <w:tcMar>
              <w:top w:w="0" w:type="dxa"/>
              <w:left w:w="0" w:type="dxa"/>
              <w:bottom w:w="0" w:type="dxa"/>
              <w:right w:w="0" w:type="dxa"/>
            </w:tcMar>
            <w:vAlign w:val="center"/>
          </w:tcPr>
          <w:p w14:paraId="03587DD1">
            <w:pPr>
              <w:widowControl/>
              <w:spacing w:line="260" w:lineRule="exact"/>
              <w:jc w:val="center"/>
              <w:textAlignment w:val="center"/>
              <w:rPr>
                <w:rFonts w:hint="eastAsia" w:ascii="宋体" w:hAnsi="宋体" w:eastAsia="宋体" w:cs="宋体"/>
                <w:color w:val="000000"/>
                <w:kern w:val="0"/>
                <w:sz w:val="18"/>
                <w:szCs w:val="18"/>
                <w:lang w:bidi="ar"/>
              </w:rPr>
            </w:pPr>
          </w:p>
        </w:tc>
      </w:tr>
      <w:tr w14:paraId="5EED0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2" w:hRule="atLeast"/>
          <w:jc w:val="center"/>
        </w:trPr>
        <w:tc>
          <w:tcPr>
            <w:tcW w:w="523" w:type="dxa"/>
            <w:vMerge w:val="continue"/>
            <w:tcBorders>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BB14C79">
            <w:pPr>
              <w:widowControl/>
              <w:spacing w:line="260" w:lineRule="exact"/>
              <w:jc w:val="both"/>
              <w:textAlignment w:val="center"/>
              <w:rPr>
                <w:rFonts w:hint="eastAsia" w:ascii="宋体" w:hAnsi="宋体" w:eastAsia="宋体" w:cs="宋体"/>
                <w:color w:val="000000"/>
                <w:kern w:val="0"/>
                <w:sz w:val="18"/>
                <w:szCs w:val="18"/>
                <w:lang w:bidi="ar"/>
              </w:rPr>
            </w:pPr>
          </w:p>
        </w:tc>
        <w:tc>
          <w:tcPr>
            <w:tcW w:w="1411" w:type="dxa"/>
            <w:vMerge w:val="continue"/>
            <w:tcBorders>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B0706CE">
            <w:pPr>
              <w:widowControl/>
              <w:spacing w:line="260" w:lineRule="exact"/>
              <w:jc w:val="both"/>
              <w:textAlignment w:val="center"/>
              <w:rPr>
                <w:rFonts w:hint="eastAsia" w:ascii="宋体" w:hAnsi="宋体" w:eastAsia="宋体" w:cs="宋体"/>
                <w:color w:val="000000"/>
                <w:kern w:val="0"/>
                <w:sz w:val="18"/>
                <w:szCs w:val="18"/>
                <w:lang w:bidi="ar"/>
              </w:rPr>
            </w:pPr>
          </w:p>
        </w:tc>
        <w:tc>
          <w:tcPr>
            <w:tcW w:w="3700" w:type="dxa"/>
            <w:vMerge w:val="continue"/>
            <w:tcBorders>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5F4AC35">
            <w:pPr>
              <w:widowControl/>
              <w:spacing w:line="260" w:lineRule="exact"/>
              <w:jc w:val="both"/>
              <w:textAlignment w:val="center"/>
              <w:rPr>
                <w:rFonts w:hint="eastAsia" w:ascii="宋体" w:hAnsi="宋体" w:eastAsia="宋体" w:cs="宋体"/>
                <w:color w:val="000000"/>
                <w:kern w:val="0"/>
                <w:sz w:val="18"/>
                <w:szCs w:val="18"/>
                <w:lang w:bidi="ar"/>
              </w:rPr>
            </w:pPr>
          </w:p>
        </w:tc>
        <w:tc>
          <w:tcPr>
            <w:tcW w:w="1360" w:type="dxa"/>
            <w:vMerge w:val="continue"/>
            <w:tcBorders>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62E80B2">
            <w:pPr>
              <w:widowControl/>
              <w:spacing w:line="260" w:lineRule="exact"/>
              <w:jc w:val="both"/>
              <w:textAlignment w:val="center"/>
              <w:rPr>
                <w:rFonts w:hint="eastAsia" w:ascii="宋体" w:hAnsi="宋体" w:eastAsia="宋体" w:cs="宋体"/>
                <w:color w:val="000000"/>
                <w:kern w:val="0"/>
                <w:sz w:val="18"/>
                <w:szCs w:val="18"/>
                <w:lang w:bidi="ar"/>
              </w:rPr>
            </w:pPr>
          </w:p>
        </w:tc>
        <w:tc>
          <w:tcPr>
            <w:tcW w:w="626"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60BC78F">
            <w:pPr>
              <w:widowControl/>
              <w:spacing w:line="260" w:lineRule="exact"/>
              <w:jc w:val="center"/>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严重</w:t>
            </w:r>
          </w:p>
        </w:tc>
        <w:tc>
          <w:tcPr>
            <w:tcW w:w="228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35E41FC">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引发移民集体上访等群体性事件的</w:t>
            </w:r>
          </w:p>
        </w:tc>
        <w:tc>
          <w:tcPr>
            <w:tcW w:w="373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0476F08">
            <w:pPr>
              <w:widowControl/>
              <w:spacing w:line="260" w:lineRule="exact"/>
              <w:jc w:val="both"/>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处侵占、截留、挪用资金额2.5倍到3倍的罚款</w:t>
            </w:r>
          </w:p>
        </w:tc>
        <w:tc>
          <w:tcPr>
            <w:tcW w:w="994" w:type="dxa"/>
            <w:vMerge w:val="continue"/>
            <w:tcBorders>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13C6B92">
            <w:pPr>
              <w:widowControl/>
              <w:spacing w:line="260" w:lineRule="exact"/>
              <w:jc w:val="center"/>
              <w:textAlignment w:val="center"/>
              <w:rPr>
                <w:rFonts w:hint="eastAsia" w:ascii="宋体" w:hAnsi="宋体" w:eastAsia="宋体" w:cs="宋体"/>
                <w:color w:val="000000"/>
                <w:kern w:val="0"/>
                <w:sz w:val="18"/>
                <w:szCs w:val="18"/>
                <w:lang w:bidi="ar"/>
              </w:rPr>
            </w:pPr>
          </w:p>
        </w:tc>
      </w:tr>
    </w:tbl>
    <w:p w14:paraId="4C40E409">
      <w:pPr>
        <w:pStyle w:val="2"/>
        <w:spacing w:line="600" w:lineRule="exact"/>
        <w:rPr>
          <w:rFonts w:hint="eastAsia"/>
        </w:rPr>
        <w:sectPr>
          <w:footerReference r:id="rId15" w:type="default"/>
          <w:footerReference r:id="rId16" w:type="even"/>
          <w:pgSz w:w="16838" w:h="11906" w:orient="landscape"/>
          <w:pgMar w:top="1134" w:right="1134" w:bottom="1134" w:left="1134" w:header="851" w:footer="964" w:gutter="0"/>
          <w:pgNumType w:fmt="decimal"/>
          <w:cols w:space="0" w:num="1"/>
          <w:rtlGutter w:val="0"/>
          <w:docGrid w:type="lines" w:linePitch="312" w:charSpace="0"/>
        </w:sectPr>
      </w:pPr>
    </w:p>
    <w:p w14:paraId="7FA710FC">
      <w:pPr>
        <w:spacing w:line="600" w:lineRule="exact"/>
        <w:jc w:val="center"/>
        <w:rPr>
          <w:rFonts w:hint="eastAsia" w:eastAsia="黑体"/>
        </w:rPr>
      </w:pPr>
      <w:r>
        <w:rPr>
          <w:rFonts w:hint="eastAsia" w:ascii="黑体" w:hAnsi="黑体" w:eastAsia="黑体" w:cs="黑体"/>
          <w:sz w:val="32"/>
          <w:szCs w:val="32"/>
        </w:rPr>
        <w:t xml:space="preserve">第七部分 </w:t>
      </w:r>
      <w:r>
        <w:rPr>
          <w:rFonts w:hint="eastAsia" w:ascii="黑体" w:hAnsi="黑体" w:eastAsia="黑体" w:cs="黑体"/>
          <w:sz w:val="32"/>
          <w:szCs w:val="32"/>
          <w:lang w:val="en-US" w:eastAsia="zh-CN"/>
        </w:rPr>
        <w:t xml:space="preserve"> </w:t>
      </w:r>
      <w:r>
        <w:rPr>
          <w:rFonts w:hint="eastAsia" w:ascii="黑体" w:hAnsi="黑体" w:eastAsia="黑体" w:cs="黑体"/>
          <w:color w:val="000000"/>
          <w:sz w:val="32"/>
          <w:szCs w:val="32"/>
        </w:rPr>
        <w:t>农村供水用水管理类</w:t>
      </w:r>
    </w:p>
    <w:tbl>
      <w:tblPr>
        <w:tblStyle w:val="13"/>
        <w:tblW w:w="149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7"/>
        <w:gridCol w:w="1282"/>
        <w:gridCol w:w="3448"/>
        <w:gridCol w:w="1570"/>
        <w:gridCol w:w="800"/>
        <w:gridCol w:w="3530"/>
        <w:gridCol w:w="2617"/>
        <w:gridCol w:w="1135"/>
      </w:tblGrid>
      <w:tr w14:paraId="0619D0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jc w:val="center"/>
        </w:trPr>
        <w:tc>
          <w:tcPr>
            <w:tcW w:w="54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99C505B">
            <w:pPr>
              <w:spacing w:line="260" w:lineRule="exact"/>
              <w:jc w:val="center"/>
              <w:rPr>
                <w:rFonts w:hint="eastAsia" w:ascii="黑体" w:hAnsi="黑体" w:eastAsia="黑体" w:cs="黑体"/>
                <w:sz w:val="18"/>
                <w:szCs w:val="18"/>
              </w:rPr>
            </w:pPr>
            <w:r>
              <w:rPr>
                <w:rFonts w:hint="eastAsia" w:ascii="黑体" w:hAnsi="黑体" w:eastAsia="黑体" w:cs="黑体"/>
                <w:sz w:val="18"/>
                <w:szCs w:val="18"/>
              </w:rPr>
              <w:t>序号</w:t>
            </w:r>
          </w:p>
        </w:tc>
        <w:tc>
          <w:tcPr>
            <w:tcW w:w="1282"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F398908">
            <w:pPr>
              <w:spacing w:line="260" w:lineRule="exact"/>
              <w:jc w:val="center"/>
              <w:rPr>
                <w:rFonts w:hint="eastAsia" w:ascii="黑体" w:hAnsi="黑体" w:eastAsia="黑体" w:cs="黑体"/>
                <w:sz w:val="18"/>
                <w:szCs w:val="18"/>
              </w:rPr>
            </w:pPr>
            <w:r>
              <w:rPr>
                <w:rFonts w:hint="eastAsia" w:ascii="黑体" w:hAnsi="黑体" w:eastAsia="黑体" w:cs="黑体"/>
                <w:sz w:val="18"/>
                <w:szCs w:val="18"/>
              </w:rPr>
              <w:t>违法行为</w:t>
            </w:r>
          </w:p>
        </w:tc>
        <w:tc>
          <w:tcPr>
            <w:tcW w:w="3448"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828A5C1">
            <w:pPr>
              <w:spacing w:line="260" w:lineRule="exact"/>
              <w:jc w:val="center"/>
              <w:rPr>
                <w:rFonts w:hint="eastAsia" w:ascii="黑体" w:hAnsi="黑体" w:eastAsia="黑体" w:cs="黑体"/>
                <w:sz w:val="18"/>
                <w:szCs w:val="18"/>
              </w:rPr>
            </w:pPr>
            <w:r>
              <w:rPr>
                <w:rFonts w:hint="eastAsia" w:ascii="黑体" w:hAnsi="黑体" w:eastAsia="黑体" w:cs="黑体"/>
                <w:sz w:val="18"/>
                <w:szCs w:val="18"/>
              </w:rPr>
              <w:t>法定依据</w:t>
            </w:r>
          </w:p>
        </w:tc>
        <w:tc>
          <w:tcPr>
            <w:tcW w:w="157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17D933F">
            <w:pPr>
              <w:spacing w:line="260" w:lineRule="exact"/>
              <w:jc w:val="center"/>
              <w:rPr>
                <w:rFonts w:hint="eastAsia" w:ascii="黑体" w:hAnsi="黑体" w:eastAsia="黑体" w:cs="黑体"/>
                <w:sz w:val="18"/>
                <w:szCs w:val="18"/>
              </w:rPr>
            </w:pPr>
            <w:r>
              <w:rPr>
                <w:rFonts w:hint="eastAsia" w:ascii="黑体" w:hAnsi="黑体" w:eastAsia="黑体" w:cs="黑体"/>
                <w:sz w:val="18"/>
                <w:szCs w:val="18"/>
              </w:rPr>
              <w:t>违法情形</w:t>
            </w:r>
          </w:p>
        </w:tc>
        <w:tc>
          <w:tcPr>
            <w:tcW w:w="80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6A740FE">
            <w:pPr>
              <w:spacing w:line="260" w:lineRule="exact"/>
              <w:jc w:val="center"/>
              <w:rPr>
                <w:rFonts w:hint="eastAsia" w:ascii="黑体" w:hAnsi="黑体" w:eastAsia="黑体" w:cs="黑体"/>
                <w:sz w:val="18"/>
                <w:szCs w:val="18"/>
              </w:rPr>
            </w:pPr>
            <w:r>
              <w:rPr>
                <w:rFonts w:hint="eastAsia" w:ascii="黑体" w:hAnsi="黑体" w:eastAsia="黑体" w:cs="黑体"/>
                <w:sz w:val="18"/>
                <w:szCs w:val="18"/>
              </w:rPr>
              <w:t>裁量幅度</w:t>
            </w:r>
          </w:p>
        </w:tc>
        <w:tc>
          <w:tcPr>
            <w:tcW w:w="353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BA0815F">
            <w:pPr>
              <w:spacing w:line="260" w:lineRule="exact"/>
              <w:jc w:val="center"/>
              <w:rPr>
                <w:rFonts w:hint="eastAsia" w:ascii="黑体" w:hAnsi="黑体" w:eastAsia="黑体" w:cs="黑体"/>
                <w:sz w:val="18"/>
                <w:szCs w:val="18"/>
              </w:rPr>
            </w:pPr>
            <w:r>
              <w:rPr>
                <w:rFonts w:hint="eastAsia" w:ascii="黑体" w:hAnsi="黑体" w:eastAsia="黑体" w:cs="黑体"/>
                <w:sz w:val="18"/>
                <w:szCs w:val="18"/>
              </w:rPr>
              <w:t>适用条件</w:t>
            </w:r>
          </w:p>
        </w:tc>
        <w:tc>
          <w:tcPr>
            <w:tcW w:w="261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ECB95BD">
            <w:pPr>
              <w:spacing w:line="260" w:lineRule="exact"/>
              <w:jc w:val="center"/>
              <w:rPr>
                <w:rFonts w:hint="eastAsia" w:ascii="黑体" w:hAnsi="黑体" w:eastAsia="黑体" w:cs="黑体"/>
                <w:sz w:val="18"/>
                <w:szCs w:val="18"/>
              </w:rPr>
            </w:pPr>
            <w:r>
              <w:rPr>
                <w:rFonts w:hint="eastAsia" w:ascii="黑体" w:hAnsi="黑体" w:eastAsia="黑体" w:cs="黑体"/>
                <w:sz w:val="18"/>
                <w:szCs w:val="18"/>
              </w:rPr>
              <w:t>裁量基准</w:t>
            </w:r>
          </w:p>
        </w:tc>
        <w:tc>
          <w:tcPr>
            <w:tcW w:w="113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D661686">
            <w:pPr>
              <w:spacing w:line="260" w:lineRule="exact"/>
              <w:jc w:val="center"/>
              <w:rPr>
                <w:rFonts w:hint="eastAsia" w:ascii="黑体" w:hAnsi="黑体" w:eastAsia="黑体" w:cs="黑体"/>
                <w:sz w:val="18"/>
                <w:szCs w:val="18"/>
                <w:lang w:val="en-US" w:eastAsia="zh-CN"/>
              </w:rPr>
            </w:pPr>
            <w:r>
              <w:rPr>
                <w:rFonts w:hint="eastAsia" w:ascii="黑体" w:hAnsi="黑体" w:eastAsia="黑体" w:cs="黑体"/>
                <w:sz w:val="18"/>
                <w:szCs w:val="18"/>
                <w:lang w:val="en-US" w:eastAsia="zh-CN"/>
              </w:rPr>
              <w:t>备注</w:t>
            </w:r>
          </w:p>
        </w:tc>
      </w:tr>
      <w:tr w14:paraId="2CEFE6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7" w:type="dxa"/>
            <w:vMerge w:val="restart"/>
            <w:tcBorders>
              <w:left w:val="single" w:color="auto" w:sz="4" w:space="0"/>
              <w:right w:val="single" w:color="auto" w:sz="4" w:space="0"/>
            </w:tcBorders>
            <w:noWrap w:val="0"/>
            <w:tcMar>
              <w:top w:w="0" w:type="dxa"/>
              <w:left w:w="0" w:type="dxa"/>
              <w:bottom w:w="0" w:type="dxa"/>
              <w:right w:w="0" w:type="dxa"/>
            </w:tcMar>
            <w:vAlign w:val="center"/>
          </w:tcPr>
          <w:p w14:paraId="711BB209">
            <w:pPr>
              <w:widowControl/>
              <w:spacing w:line="260" w:lineRule="exact"/>
              <w:jc w:val="center"/>
              <w:textAlignment w:val="center"/>
              <w:rPr>
                <w:rFonts w:hint="default" w:ascii="宋体" w:hAnsi="宋体" w:eastAsia="宋体" w:cs="宋体"/>
                <w:sz w:val="18"/>
                <w:szCs w:val="18"/>
                <w:lang w:val="en-US" w:eastAsia="zh-CN"/>
              </w:rPr>
            </w:pPr>
            <w:r>
              <w:rPr>
                <w:rFonts w:hint="eastAsia" w:ascii="宋体" w:hAnsi="宋体" w:eastAsia="宋体" w:cs="宋体"/>
                <w:color w:val="000000"/>
                <w:kern w:val="0"/>
                <w:sz w:val="18"/>
                <w:szCs w:val="18"/>
                <w:lang w:val="en-US" w:eastAsia="zh-CN" w:bidi="ar"/>
              </w:rPr>
              <w:t>56</w:t>
            </w:r>
          </w:p>
        </w:tc>
        <w:tc>
          <w:tcPr>
            <w:tcW w:w="1282" w:type="dxa"/>
            <w:vMerge w:val="restart"/>
            <w:tcBorders>
              <w:left w:val="single" w:color="auto" w:sz="4" w:space="0"/>
              <w:right w:val="single" w:color="auto" w:sz="4" w:space="0"/>
            </w:tcBorders>
            <w:noWrap w:val="0"/>
            <w:tcMar>
              <w:top w:w="0" w:type="dxa"/>
              <w:left w:w="0" w:type="dxa"/>
              <w:bottom w:w="0" w:type="dxa"/>
              <w:right w:w="0" w:type="dxa"/>
            </w:tcMar>
            <w:vAlign w:val="center"/>
          </w:tcPr>
          <w:p w14:paraId="377B42C3">
            <w:pPr>
              <w:widowControl/>
              <w:spacing w:line="260" w:lineRule="exact"/>
              <w:jc w:val="left"/>
              <w:textAlignment w:val="center"/>
              <w:rPr>
                <w:rFonts w:hint="eastAsia" w:ascii="宋体" w:hAnsi="宋体" w:eastAsia="宋体" w:cs="宋体"/>
                <w:kern w:val="0"/>
                <w:sz w:val="18"/>
                <w:szCs w:val="18"/>
                <w:lang w:bidi="ar"/>
              </w:rPr>
            </w:pPr>
            <w:r>
              <w:rPr>
                <w:rFonts w:hint="eastAsia" w:ascii="宋体" w:hAnsi="宋体" w:eastAsia="宋体" w:cs="宋体"/>
                <w:color w:val="000000"/>
                <w:kern w:val="0"/>
                <w:sz w:val="18"/>
                <w:szCs w:val="18"/>
                <w:lang w:bidi="ar"/>
              </w:rPr>
              <w:t>对在农村饮用水水源保护范围和农村供水设施保护范围内从事取土、采砂、打桩等作业等行为的行政处罚</w:t>
            </w:r>
          </w:p>
        </w:tc>
        <w:tc>
          <w:tcPr>
            <w:tcW w:w="3448" w:type="dxa"/>
            <w:vMerge w:val="restart"/>
            <w:tcBorders>
              <w:top w:val="single" w:color="auto" w:sz="4" w:space="0"/>
              <w:left w:val="single" w:color="auto" w:sz="4" w:space="0"/>
              <w:right w:val="single" w:color="auto" w:sz="4" w:space="0"/>
            </w:tcBorders>
            <w:noWrap w:val="0"/>
            <w:tcMar>
              <w:top w:w="0" w:type="dxa"/>
              <w:left w:w="0" w:type="dxa"/>
              <w:bottom w:w="0" w:type="dxa"/>
              <w:right w:w="0" w:type="dxa"/>
            </w:tcMar>
            <w:vAlign w:val="center"/>
          </w:tcPr>
          <w:p w14:paraId="2116A7AA">
            <w:pPr>
              <w:widowControl/>
              <w:spacing w:line="260" w:lineRule="exact"/>
              <w:jc w:val="left"/>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《河北省农村供水用水管理办法》第十条 禁止在农村饮用水水源保护范围和农村供水设施保护范围内从事下列活动：</w:t>
            </w:r>
          </w:p>
          <w:p w14:paraId="67BCDE92">
            <w:pPr>
              <w:widowControl/>
              <w:spacing w:line="260" w:lineRule="exact"/>
              <w:jc w:val="left"/>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第十条　禁止在农村饮用水水源保护范围和农村供水设施保护范围内从事下列活动：</w:t>
            </w:r>
          </w:p>
          <w:p w14:paraId="18EC8622">
            <w:pPr>
              <w:widowControl/>
              <w:spacing w:line="260" w:lineRule="exact"/>
              <w:jc w:val="left"/>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（一）开展取土、采砂、打桩等作业；</w:t>
            </w:r>
          </w:p>
          <w:p w14:paraId="473F4D96">
            <w:pPr>
              <w:widowControl/>
              <w:spacing w:line="260" w:lineRule="exact"/>
              <w:jc w:val="left"/>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（二）排放有毒有害物质；</w:t>
            </w:r>
          </w:p>
          <w:p w14:paraId="65F3341E">
            <w:pPr>
              <w:widowControl/>
              <w:spacing w:line="260" w:lineRule="exact"/>
              <w:jc w:val="left"/>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（三）堆放垃圾、粪便等废弃物、污染物；</w:t>
            </w:r>
          </w:p>
          <w:p w14:paraId="3DC7DCE7">
            <w:pPr>
              <w:widowControl/>
              <w:spacing w:line="260" w:lineRule="exact"/>
              <w:jc w:val="left"/>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（四）从事畜禽养殖；</w:t>
            </w:r>
          </w:p>
          <w:p w14:paraId="62CFC9B1">
            <w:pPr>
              <w:widowControl/>
              <w:spacing w:line="260" w:lineRule="exact"/>
              <w:jc w:val="left"/>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（五）擅自改造、迁移或者拆除农村集中供水设施。</w:t>
            </w:r>
          </w:p>
          <w:p w14:paraId="59160BA4">
            <w:pPr>
              <w:widowControl/>
              <w:spacing w:line="260" w:lineRule="exact"/>
              <w:jc w:val="left"/>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《河北省农村供水用水管理办法》第二十四条 违反本办法第十条规定的，由县级人民政府水行政主管部门按照下列规定处理；造成损失的，依法予以赔偿：</w:t>
            </w:r>
          </w:p>
          <w:p w14:paraId="3BBB319C">
            <w:pPr>
              <w:widowControl/>
              <w:spacing w:line="260" w:lineRule="exact"/>
              <w:jc w:val="left"/>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（一）违反第一项、第五项规定的，责令限期改正，并处二千元以上五千元以下的罚款；</w:t>
            </w:r>
          </w:p>
          <w:p w14:paraId="79B5E865">
            <w:pPr>
              <w:widowControl/>
              <w:spacing w:line="260" w:lineRule="exact"/>
              <w:jc w:val="left"/>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（二）违反第二项规定的，责令限期改正，并处三万元以上十万元以下的罚款；</w:t>
            </w:r>
          </w:p>
          <w:p w14:paraId="0A07D21F">
            <w:pPr>
              <w:widowControl/>
              <w:spacing w:line="260" w:lineRule="exact"/>
              <w:jc w:val="left"/>
              <w:textAlignment w:val="center"/>
              <w:rPr>
                <w:rFonts w:hint="eastAsia" w:ascii="宋体" w:hAnsi="宋体" w:eastAsia="宋体" w:cs="宋体"/>
                <w:kern w:val="0"/>
                <w:sz w:val="18"/>
                <w:szCs w:val="18"/>
                <w:lang w:bidi="ar"/>
              </w:rPr>
            </w:pPr>
            <w:r>
              <w:rPr>
                <w:rFonts w:hint="eastAsia" w:ascii="宋体" w:hAnsi="宋体" w:eastAsia="宋体" w:cs="宋体"/>
                <w:color w:val="000000"/>
                <w:kern w:val="0"/>
                <w:sz w:val="18"/>
                <w:szCs w:val="18"/>
                <w:lang w:bidi="ar"/>
              </w:rPr>
              <w:t>（三）违反第三项、第四项规定的，责令限期改正；逾期未改正的，处一万元以上三万元以下的罚款。</w:t>
            </w:r>
          </w:p>
        </w:tc>
        <w:tc>
          <w:tcPr>
            <w:tcW w:w="1570" w:type="dxa"/>
            <w:vMerge w:val="restart"/>
            <w:tcBorders>
              <w:top w:val="single" w:color="auto" w:sz="4" w:space="0"/>
              <w:left w:val="single" w:color="auto" w:sz="4" w:space="0"/>
              <w:right w:val="single" w:color="auto" w:sz="4" w:space="0"/>
            </w:tcBorders>
            <w:noWrap w:val="0"/>
            <w:tcMar>
              <w:top w:w="0" w:type="dxa"/>
              <w:left w:w="0" w:type="dxa"/>
              <w:bottom w:w="0" w:type="dxa"/>
              <w:right w:w="0" w:type="dxa"/>
            </w:tcMar>
            <w:vAlign w:val="center"/>
          </w:tcPr>
          <w:p w14:paraId="2B60DDCE">
            <w:pPr>
              <w:spacing w:line="260" w:lineRule="exact"/>
              <w:jc w:val="left"/>
              <w:rPr>
                <w:rFonts w:hint="eastAsia" w:ascii="宋体" w:hAnsi="宋体" w:eastAsia="宋体" w:cs="宋体"/>
                <w:sz w:val="18"/>
                <w:szCs w:val="18"/>
                <w:lang w:val="en-US" w:eastAsia="zh-CN"/>
              </w:rPr>
            </w:pPr>
            <w:r>
              <w:rPr>
                <w:rFonts w:hint="eastAsia" w:ascii="宋体" w:hAnsi="宋体" w:eastAsia="宋体" w:cs="宋体"/>
                <w:color w:val="000000"/>
                <w:kern w:val="0"/>
                <w:sz w:val="18"/>
                <w:szCs w:val="18"/>
                <w:lang w:bidi="ar"/>
              </w:rPr>
              <w:t>开展取土、采砂、打桩等作业</w:t>
            </w:r>
            <w:r>
              <w:rPr>
                <w:rFonts w:hint="eastAsia" w:ascii="宋体" w:hAnsi="宋体" w:eastAsia="宋体" w:cs="宋体"/>
                <w:color w:val="000000"/>
                <w:kern w:val="0"/>
                <w:sz w:val="18"/>
                <w:szCs w:val="18"/>
                <w:lang w:val="en-US" w:eastAsia="zh-CN" w:bidi="ar"/>
              </w:rPr>
              <w:t>的</w:t>
            </w:r>
          </w:p>
        </w:tc>
        <w:tc>
          <w:tcPr>
            <w:tcW w:w="80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F2044D8">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轻微</w:t>
            </w:r>
          </w:p>
        </w:tc>
        <w:tc>
          <w:tcPr>
            <w:tcW w:w="353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7DC4AE7D">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23386DEB">
            <w:pPr>
              <w:spacing w:line="260" w:lineRule="exact"/>
              <w:rPr>
                <w:rFonts w:hint="eastAsia" w:ascii="宋体" w:hAnsi="宋体" w:eastAsia="宋体" w:cs="宋体"/>
                <w:color w:val="000000"/>
                <w:kern w:val="0"/>
                <w:sz w:val="18"/>
                <w:szCs w:val="18"/>
                <w:lang w:bidi="ar"/>
              </w:rPr>
            </w:pPr>
          </w:p>
        </w:tc>
        <w:tc>
          <w:tcPr>
            <w:tcW w:w="261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18BE0948">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1965B9EC">
            <w:pPr>
              <w:spacing w:line="260" w:lineRule="exact"/>
              <w:rPr>
                <w:rFonts w:hint="eastAsia" w:ascii="宋体" w:hAnsi="宋体" w:eastAsia="宋体" w:cs="宋体"/>
                <w:color w:val="000000"/>
                <w:kern w:val="0"/>
                <w:sz w:val="18"/>
                <w:szCs w:val="18"/>
                <w:lang w:bidi="ar"/>
              </w:rPr>
            </w:pPr>
          </w:p>
        </w:tc>
        <w:tc>
          <w:tcPr>
            <w:tcW w:w="1135" w:type="dxa"/>
            <w:vMerge w:val="restart"/>
            <w:tcBorders>
              <w:top w:val="single" w:color="auto" w:sz="4" w:space="0"/>
              <w:left w:val="single" w:color="auto" w:sz="4" w:space="0"/>
              <w:right w:val="single" w:color="auto" w:sz="4" w:space="0"/>
            </w:tcBorders>
            <w:noWrap w:val="0"/>
            <w:tcMar>
              <w:top w:w="0" w:type="dxa"/>
              <w:left w:w="0" w:type="dxa"/>
              <w:bottom w:w="0" w:type="dxa"/>
              <w:right w:w="0" w:type="dxa"/>
            </w:tcMar>
            <w:vAlign w:val="center"/>
          </w:tcPr>
          <w:p w14:paraId="3ACDA6E0">
            <w:pPr>
              <w:widowControl/>
              <w:spacing w:line="260" w:lineRule="exact"/>
              <w:jc w:val="center"/>
              <w:textAlignment w:val="center"/>
              <w:rPr>
                <w:rFonts w:hint="eastAsia" w:ascii="宋体" w:hAnsi="宋体" w:eastAsia="宋体" w:cs="宋体"/>
                <w:color w:val="000000"/>
                <w:kern w:val="0"/>
                <w:sz w:val="18"/>
                <w:szCs w:val="18"/>
                <w:lang w:bidi="ar"/>
              </w:rPr>
            </w:pPr>
          </w:p>
        </w:tc>
      </w:tr>
      <w:tr w14:paraId="0AF7C6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7" w:type="dxa"/>
            <w:vMerge w:val="continue"/>
            <w:tcBorders>
              <w:left w:val="single" w:color="auto" w:sz="4" w:space="0"/>
              <w:right w:val="single" w:color="auto" w:sz="4" w:space="0"/>
            </w:tcBorders>
            <w:noWrap w:val="0"/>
            <w:tcMar>
              <w:top w:w="0" w:type="dxa"/>
              <w:left w:w="0" w:type="dxa"/>
              <w:bottom w:w="0" w:type="dxa"/>
              <w:right w:w="0" w:type="dxa"/>
            </w:tcMar>
            <w:vAlign w:val="center"/>
          </w:tcPr>
          <w:p w14:paraId="169B7A5B">
            <w:pPr>
              <w:spacing w:line="260" w:lineRule="exact"/>
              <w:jc w:val="center"/>
              <w:rPr>
                <w:rFonts w:hint="eastAsia" w:ascii="宋体" w:hAnsi="宋体" w:eastAsia="宋体" w:cs="宋体"/>
                <w:sz w:val="18"/>
                <w:szCs w:val="18"/>
              </w:rPr>
            </w:pPr>
          </w:p>
        </w:tc>
        <w:tc>
          <w:tcPr>
            <w:tcW w:w="1282" w:type="dxa"/>
            <w:vMerge w:val="continue"/>
            <w:tcBorders>
              <w:left w:val="single" w:color="auto" w:sz="4" w:space="0"/>
              <w:right w:val="single" w:color="auto" w:sz="4" w:space="0"/>
            </w:tcBorders>
            <w:noWrap w:val="0"/>
            <w:tcMar>
              <w:top w:w="0" w:type="dxa"/>
              <w:left w:w="0" w:type="dxa"/>
              <w:bottom w:w="0" w:type="dxa"/>
              <w:right w:w="0" w:type="dxa"/>
            </w:tcMar>
            <w:vAlign w:val="center"/>
          </w:tcPr>
          <w:p w14:paraId="159D52D8">
            <w:pPr>
              <w:widowControl/>
              <w:spacing w:line="260" w:lineRule="exact"/>
              <w:textAlignment w:val="center"/>
              <w:rPr>
                <w:rFonts w:hint="eastAsia" w:ascii="宋体" w:hAnsi="宋体" w:eastAsia="宋体" w:cs="宋体"/>
                <w:kern w:val="0"/>
                <w:sz w:val="18"/>
                <w:szCs w:val="18"/>
                <w:lang w:bidi="ar"/>
              </w:rPr>
            </w:pPr>
          </w:p>
        </w:tc>
        <w:tc>
          <w:tcPr>
            <w:tcW w:w="3448" w:type="dxa"/>
            <w:vMerge w:val="continue"/>
            <w:tcBorders>
              <w:left w:val="single" w:color="auto" w:sz="4" w:space="0"/>
              <w:right w:val="single" w:color="auto" w:sz="4" w:space="0"/>
            </w:tcBorders>
            <w:noWrap w:val="0"/>
            <w:tcMar>
              <w:top w:w="0" w:type="dxa"/>
              <w:left w:w="0" w:type="dxa"/>
              <w:bottom w:w="0" w:type="dxa"/>
              <w:right w:w="0" w:type="dxa"/>
            </w:tcMar>
            <w:vAlign w:val="center"/>
          </w:tcPr>
          <w:p w14:paraId="39804074">
            <w:pPr>
              <w:widowControl/>
              <w:spacing w:line="260" w:lineRule="exact"/>
              <w:ind w:firstLine="360" w:firstLineChars="200"/>
              <w:textAlignment w:val="center"/>
              <w:rPr>
                <w:rFonts w:hint="eastAsia" w:ascii="宋体" w:hAnsi="宋体" w:eastAsia="宋体" w:cs="宋体"/>
                <w:kern w:val="0"/>
                <w:sz w:val="18"/>
                <w:szCs w:val="18"/>
                <w:lang w:bidi="ar"/>
              </w:rPr>
            </w:pPr>
          </w:p>
        </w:tc>
        <w:tc>
          <w:tcPr>
            <w:tcW w:w="1570" w:type="dxa"/>
            <w:vMerge w:val="continue"/>
            <w:tcBorders>
              <w:left w:val="single" w:color="auto" w:sz="4" w:space="0"/>
              <w:right w:val="single" w:color="auto" w:sz="4" w:space="0"/>
            </w:tcBorders>
            <w:noWrap w:val="0"/>
            <w:tcMar>
              <w:top w:w="0" w:type="dxa"/>
              <w:left w:w="0" w:type="dxa"/>
              <w:bottom w:w="0" w:type="dxa"/>
              <w:right w:w="0" w:type="dxa"/>
            </w:tcMar>
            <w:vAlign w:val="center"/>
          </w:tcPr>
          <w:p w14:paraId="1A228546">
            <w:pPr>
              <w:spacing w:line="260" w:lineRule="exact"/>
              <w:jc w:val="center"/>
              <w:rPr>
                <w:rFonts w:hint="eastAsia" w:ascii="宋体" w:hAnsi="宋体" w:eastAsia="宋体" w:cs="宋体"/>
                <w:sz w:val="18"/>
                <w:szCs w:val="18"/>
              </w:rPr>
            </w:pPr>
          </w:p>
        </w:tc>
        <w:tc>
          <w:tcPr>
            <w:tcW w:w="80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03ED778">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较轻</w:t>
            </w:r>
          </w:p>
        </w:tc>
        <w:tc>
          <w:tcPr>
            <w:tcW w:w="353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7927082E">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3C4A3DFE">
            <w:pPr>
              <w:spacing w:line="260" w:lineRule="exact"/>
              <w:rPr>
                <w:rFonts w:hint="eastAsia" w:ascii="宋体" w:hAnsi="宋体" w:eastAsia="宋体" w:cs="宋体"/>
                <w:color w:val="000000"/>
                <w:kern w:val="0"/>
                <w:sz w:val="18"/>
                <w:szCs w:val="18"/>
                <w:lang w:bidi="ar"/>
              </w:rPr>
            </w:pPr>
          </w:p>
        </w:tc>
        <w:tc>
          <w:tcPr>
            <w:tcW w:w="261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35492A61">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609625FD">
            <w:pPr>
              <w:spacing w:line="260" w:lineRule="exact"/>
              <w:rPr>
                <w:rFonts w:hint="eastAsia" w:ascii="宋体" w:hAnsi="宋体" w:eastAsia="宋体" w:cs="宋体"/>
                <w:color w:val="000000"/>
                <w:kern w:val="0"/>
                <w:sz w:val="18"/>
                <w:szCs w:val="18"/>
                <w:lang w:bidi="ar"/>
              </w:rPr>
            </w:pPr>
          </w:p>
        </w:tc>
        <w:tc>
          <w:tcPr>
            <w:tcW w:w="1135" w:type="dxa"/>
            <w:vMerge w:val="continue"/>
            <w:tcBorders>
              <w:left w:val="single" w:color="auto" w:sz="4" w:space="0"/>
              <w:right w:val="single" w:color="auto" w:sz="4" w:space="0"/>
            </w:tcBorders>
            <w:noWrap w:val="0"/>
            <w:tcMar>
              <w:top w:w="0" w:type="dxa"/>
              <w:left w:w="0" w:type="dxa"/>
              <w:bottom w:w="0" w:type="dxa"/>
              <w:right w:w="0" w:type="dxa"/>
            </w:tcMar>
            <w:vAlign w:val="center"/>
          </w:tcPr>
          <w:p w14:paraId="32F11842">
            <w:pPr>
              <w:widowControl/>
              <w:spacing w:line="260" w:lineRule="exact"/>
              <w:jc w:val="center"/>
              <w:textAlignment w:val="center"/>
              <w:rPr>
                <w:rFonts w:hint="eastAsia" w:ascii="宋体" w:hAnsi="宋体" w:eastAsia="宋体" w:cs="宋体"/>
                <w:color w:val="000000"/>
                <w:kern w:val="0"/>
                <w:sz w:val="18"/>
                <w:szCs w:val="18"/>
                <w:lang w:bidi="ar"/>
              </w:rPr>
            </w:pPr>
          </w:p>
        </w:tc>
      </w:tr>
      <w:tr w14:paraId="56011B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7" w:type="dxa"/>
            <w:vMerge w:val="continue"/>
            <w:tcBorders>
              <w:left w:val="single" w:color="auto" w:sz="4" w:space="0"/>
              <w:right w:val="single" w:color="auto" w:sz="4" w:space="0"/>
            </w:tcBorders>
            <w:noWrap w:val="0"/>
            <w:tcMar>
              <w:top w:w="0" w:type="dxa"/>
              <w:left w:w="0" w:type="dxa"/>
              <w:bottom w:w="0" w:type="dxa"/>
              <w:right w:w="0" w:type="dxa"/>
            </w:tcMar>
            <w:vAlign w:val="center"/>
          </w:tcPr>
          <w:p w14:paraId="5CF72B7F">
            <w:pPr>
              <w:spacing w:line="260" w:lineRule="exact"/>
              <w:jc w:val="center"/>
              <w:rPr>
                <w:rFonts w:hint="eastAsia" w:ascii="宋体" w:hAnsi="宋体" w:eastAsia="宋体" w:cs="宋体"/>
                <w:sz w:val="18"/>
                <w:szCs w:val="18"/>
              </w:rPr>
            </w:pPr>
          </w:p>
        </w:tc>
        <w:tc>
          <w:tcPr>
            <w:tcW w:w="1282" w:type="dxa"/>
            <w:vMerge w:val="continue"/>
            <w:tcBorders>
              <w:left w:val="single" w:color="auto" w:sz="4" w:space="0"/>
              <w:right w:val="single" w:color="auto" w:sz="4" w:space="0"/>
            </w:tcBorders>
            <w:noWrap w:val="0"/>
            <w:tcMar>
              <w:top w:w="0" w:type="dxa"/>
              <w:left w:w="0" w:type="dxa"/>
              <w:bottom w:w="0" w:type="dxa"/>
              <w:right w:w="0" w:type="dxa"/>
            </w:tcMar>
            <w:vAlign w:val="center"/>
          </w:tcPr>
          <w:p w14:paraId="7B7F6F6C">
            <w:pPr>
              <w:widowControl/>
              <w:spacing w:line="260" w:lineRule="exact"/>
              <w:textAlignment w:val="center"/>
              <w:rPr>
                <w:rFonts w:hint="eastAsia" w:ascii="宋体" w:hAnsi="宋体" w:eastAsia="宋体" w:cs="宋体"/>
                <w:kern w:val="0"/>
                <w:sz w:val="18"/>
                <w:szCs w:val="18"/>
                <w:lang w:bidi="ar"/>
              </w:rPr>
            </w:pPr>
          </w:p>
        </w:tc>
        <w:tc>
          <w:tcPr>
            <w:tcW w:w="3448" w:type="dxa"/>
            <w:vMerge w:val="continue"/>
            <w:tcBorders>
              <w:left w:val="single" w:color="auto" w:sz="4" w:space="0"/>
              <w:right w:val="single" w:color="auto" w:sz="4" w:space="0"/>
            </w:tcBorders>
            <w:noWrap w:val="0"/>
            <w:tcMar>
              <w:top w:w="0" w:type="dxa"/>
              <w:left w:w="0" w:type="dxa"/>
              <w:bottom w:w="0" w:type="dxa"/>
              <w:right w:w="0" w:type="dxa"/>
            </w:tcMar>
            <w:vAlign w:val="center"/>
          </w:tcPr>
          <w:p w14:paraId="492B4961">
            <w:pPr>
              <w:widowControl/>
              <w:spacing w:line="260" w:lineRule="exact"/>
              <w:ind w:firstLine="360" w:firstLineChars="200"/>
              <w:textAlignment w:val="center"/>
              <w:rPr>
                <w:rFonts w:hint="eastAsia" w:ascii="宋体" w:hAnsi="宋体" w:eastAsia="宋体" w:cs="宋体"/>
                <w:kern w:val="0"/>
                <w:sz w:val="18"/>
                <w:szCs w:val="18"/>
                <w:lang w:bidi="ar"/>
              </w:rPr>
            </w:pPr>
          </w:p>
        </w:tc>
        <w:tc>
          <w:tcPr>
            <w:tcW w:w="1570" w:type="dxa"/>
            <w:vMerge w:val="continue"/>
            <w:tcBorders>
              <w:left w:val="single" w:color="auto" w:sz="4" w:space="0"/>
              <w:right w:val="single" w:color="auto" w:sz="4" w:space="0"/>
            </w:tcBorders>
            <w:noWrap w:val="0"/>
            <w:tcMar>
              <w:top w:w="0" w:type="dxa"/>
              <w:left w:w="0" w:type="dxa"/>
              <w:bottom w:w="0" w:type="dxa"/>
              <w:right w:w="0" w:type="dxa"/>
            </w:tcMar>
            <w:vAlign w:val="center"/>
          </w:tcPr>
          <w:p w14:paraId="3CB72CBF">
            <w:pPr>
              <w:spacing w:line="260" w:lineRule="exact"/>
              <w:jc w:val="center"/>
              <w:rPr>
                <w:rFonts w:hint="eastAsia" w:ascii="宋体" w:hAnsi="宋体" w:eastAsia="宋体" w:cs="宋体"/>
                <w:sz w:val="18"/>
                <w:szCs w:val="18"/>
              </w:rPr>
            </w:pPr>
          </w:p>
        </w:tc>
        <w:tc>
          <w:tcPr>
            <w:tcW w:w="80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FFA6C6A">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一般</w:t>
            </w:r>
          </w:p>
        </w:tc>
        <w:tc>
          <w:tcPr>
            <w:tcW w:w="353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0039CD20">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52F90E16">
            <w:pPr>
              <w:spacing w:line="260" w:lineRule="exact"/>
              <w:rPr>
                <w:rFonts w:hint="eastAsia" w:ascii="宋体" w:hAnsi="宋体" w:eastAsia="宋体" w:cs="宋体"/>
                <w:color w:val="000000"/>
                <w:kern w:val="0"/>
                <w:sz w:val="18"/>
                <w:szCs w:val="18"/>
                <w:lang w:bidi="ar"/>
              </w:rPr>
            </w:pPr>
          </w:p>
        </w:tc>
        <w:tc>
          <w:tcPr>
            <w:tcW w:w="261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2C0DABB3">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10DBFE87">
            <w:pPr>
              <w:spacing w:line="260" w:lineRule="exact"/>
              <w:rPr>
                <w:rFonts w:hint="eastAsia" w:ascii="宋体" w:hAnsi="宋体" w:eastAsia="宋体" w:cs="宋体"/>
                <w:color w:val="000000"/>
                <w:kern w:val="0"/>
                <w:sz w:val="18"/>
                <w:szCs w:val="18"/>
                <w:lang w:bidi="ar"/>
              </w:rPr>
            </w:pPr>
          </w:p>
        </w:tc>
        <w:tc>
          <w:tcPr>
            <w:tcW w:w="1135" w:type="dxa"/>
            <w:vMerge w:val="continue"/>
            <w:tcBorders>
              <w:left w:val="single" w:color="auto" w:sz="4" w:space="0"/>
              <w:right w:val="single" w:color="auto" w:sz="4" w:space="0"/>
            </w:tcBorders>
            <w:noWrap w:val="0"/>
            <w:tcMar>
              <w:top w:w="0" w:type="dxa"/>
              <w:left w:w="0" w:type="dxa"/>
              <w:bottom w:w="0" w:type="dxa"/>
              <w:right w:w="0" w:type="dxa"/>
            </w:tcMar>
            <w:vAlign w:val="center"/>
          </w:tcPr>
          <w:p w14:paraId="1CE6DA3A">
            <w:pPr>
              <w:widowControl/>
              <w:spacing w:line="260" w:lineRule="exact"/>
              <w:jc w:val="center"/>
              <w:textAlignment w:val="center"/>
              <w:rPr>
                <w:rFonts w:hint="eastAsia" w:ascii="宋体" w:hAnsi="宋体" w:eastAsia="宋体" w:cs="宋体"/>
                <w:color w:val="000000"/>
                <w:kern w:val="0"/>
                <w:sz w:val="18"/>
                <w:szCs w:val="18"/>
                <w:lang w:bidi="ar"/>
              </w:rPr>
            </w:pPr>
          </w:p>
        </w:tc>
      </w:tr>
      <w:tr w14:paraId="363054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547" w:type="dxa"/>
            <w:vMerge w:val="continue"/>
            <w:tcBorders>
              <w:left w:val="single" w:color="auto" w:sz="4" w:space="0"/>
              <w:right w:val="single" w:color="auto" w:sz="4" w:space="0"/>
            </w:tcBorders>
            <w:noWrap w:val="0"/>
            <w:tcMar>
              <w:top w:w="0" w:type="dxa"/>
              <w:left w:w="0" w:type="dxa"/>
              <w:bottom w:w="0" w:type="dxa"/>
              <w:right w:w="0" w:type="dxa"/>
            </w:tcMar>
            <w:vAlign w:val="center"/>
          </w:tcPr>
          <w:p w14:paraId="16AB109A">
            <w:pPr>
              <w:spacing w:line="260" w:lineRule="exact"/>
              <w:jc w:val="center"/>
              <w:rPr>
                <w:rFonts w:hint="eastAsia" w:ascii="宋体" w:hAnsi="宋体" w:eastAsia="宋体" w:cs="宋体"/>
                <w:sz w:val="18"/>
                <w:szCs w:val="18"/>
              </w:rPr>
            </w:pPr>
          </w:p>
        </w:tc>
        <w:tc>
          <w:tcPr>
            <w:tcW w:w="1282" w:type="dxa"/>
            <w:vMerge w:val="continue"/>
            <w:tcBorders>
              <w:left w:val="single" w:color="auto" w:sz="4" w:space="0"/>
              <w:right w:val="single" w:color="auto" w:sz="4" w:space="0"/>
            </w:tcBorders>
            <w:noWrap w:val="0"/>
            <w:tcMar>
              <w:top w:w="0" w:type="dxa"/>
              <w:left w:w="0" w:type="dxa"/>
              <w:bottom w:w="0" w:type="dxa"/>
              <w:right w:w="0" w:type="dxa"/>
            </w:tcMar>
            <w:vAlign w:val="center"/>
          </w:tcPr>
          <w:p w14:paraId="06B5DA91">
            <w:pPr>
              <w:widowControl/>
              <w:spacing w:line="260" w:lineRule="exact"/>
              <w:textAlignment w:val="center"/>
              <w:rPr>
                <w:rFonts w:hint="eastAsia" w:ascii="宋体" w:hAnsi="宋体" w:eastAsia="宋体" w:cs="宋体"/>
                <w:kern w:val="0"/>
                <w:sz w:val="18"/>
                <w:szCs w:val="18"/>
                <w:lang w:bidi="ar"/>
              </w:rPr>
            </w:pPr>
          </w:p>
        </w:tc>
        <w:tc>
          <w:tcPr>
            <w:tcW w:w="3448" w:type="dxa"/>
            <w:vMerge w:val="continue"/>
            <w:tcBorders>
              <w:left w:val="single" w:color="auto" w:sz="4" w:space="0"/>
              <w:right w:val="single" w:color="auto" w:sz="4" w:space="0"/>
            </w:tcBorders>
            <w:noWrap w:val="0"/>
            <w:tcMar>
              <w:top w:w="0" w:type="dxa"/>
              <w:left w:w="0" w:type="dxa"/>
              <w:bottom w:w="0" w:type="dxa"/>
              <w:right w:w="0" w:type="dxa"/>
            </w:tcMar>
            <w:vAlign w:val="center"/>
          </w:tcPr>
          <w:p w14:paraId="5B6B6EC5">
            <w:pPr>
              <w:widowControl/>
              <w:spacing w:line="260" w:lineRule="exact"/>
              <w:ind w:firstLine="360" w:firstLineChars="200"/>
              <w:textAlignment w:val="center"/>
              <w:rPr>
                <w:rFonts w:hint="eastAsia" w:ascii="宋体" w:hAnsi="宋体" w:eastAsia="宋体" w:cs="宋体"/>
                <w:kern w:val="0"/>
                <w:sz w:val="18"/>
                <w:szCs w:val="18"/>
                <w:lang w:bidi="ar"/>
              </w:rPr>
            </w:pPr>
          </w:p>
        </w:tc>
        <w:tc>
          <w:tcPr>
            <w:tcW w:w="1570" w:type="dxa"/>
            <w:vMerge w:val="continue"/>
            <w:tcBorders>
              <w:left w:val="single" w:color="auto" w:sz="4" w:space="0"/>
              <w:right w:val="single" w:color="auto" w:sz="4" w:space="0"/>
            </w:tcBorders>
            <w:noWrap w:val="0"/>
            <w:tcMar>
              <w:top w:w="0" w:type="dxa"/>
              <w:left w:w="0" w:type="dxa"/>
              <w:bottom w:w="0" w:type="dxa"/>
              <w:right w:w="0" w:type="dxa"/>
            </w:tcMar>
            <w:vAlign w:val="center"/>
          </w:tcPr>
          <w:p w14:paraId="3B359F6E">
            <w:pPr>
              <w:spacing w:line="260" w:lineRule="exact"/>
              <w:jc w:val="center"/>
              <w:rPr>
                <w:rFonts w:hint="eastAsia" w:ascii="宋体" w:hAnsi="宋体" w:eastAsia="宋体" w:cs="宋体"/>
                <w:sz w:val="18"/>
                <w:szCs w:val="18"/>
              </w:rPr>
            </w:pPr>
          </w:p>
        </w:tc>
        <w:tc>
          <w:tcPr>
            <w:tcW w:w="80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53A69AA">
            <w:pPr>
              <w:spacing w:line="260" w:lineRule="exact"/>
              <w:jc w:val="center"/>
              <w:rPr>
                <w:rFonts w:hint="eastAsia" w:ascii="宋体" w:hAnsi="宋体" w:eastAsia="宋体" w:cs="宋体"/>
                <w:sz w:val="18"/>
                <w:szCs w:val="18"/>
                <w:lang w:eastAsia="zh-CN"/>
              </w:rPr>
            </w:pPr>
            <w:r>
              <w:rPr>
                <w:rFonts w:hint="eastAsia" w:ascii="宋体" w:hAnsi="宋体" w:eastAsia="宋体" w:cs="宋体"/>
                <w:sz w:val="18"/>
                <w:szCs w:val="18"/>
                <w:lang w:eastAsia="zh-CN"/>
              </w:rPr>
              <w:t>较重</w:t>
            </w:r>
          </w:p>
        </w:tc>
        <w:tc>
          <w:tcPr>
            <w:tcW w:w="353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08ADED3">
            <w:pPr>
              <w:spacing w:line="260" w:lineRule="exact"/>
              <w:rPr>
                <w:rFonts w:hint="eastAsia" w:ascii="宋体" w:hAnsi="宋体" w:eastAsia="宋体" w:cs="宋体"/>
                <w:color w:val="000000"/>
                <w:sz w:val="18"/>
                <w:szCs w:val="18"/>
                <w:lang w:bidi="ar"/>
              </w:rPr>
            </w:pPr>
            <w:r>
              <w:rPr>
                <w:rStyle w:val="21"/>
                <w:rFonts w:hint="eastAsia" w:ascii="宋体" w:hAnsi="宋体" w:eastAsia="宋体" w:cs="宋体"/>
                <w:sz w:val="18"/>
                <w:szCs w:val="18"/>
                <w:lang w:bidi="ar"/>
              </w:rPr>
              <w:t>限期改正的</w:t>
            </w:r>
          </w:p>
        </w:tc>
        <w:tc>
          <w:tcPr>
            <w:tcW w:w="261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64001C5">
            <w:pPr>
              <w:spacing w:line="260" w:lineRule="exact"/>
              <w:rPr>
                <w:rFonts w:hint="eastAsia" w:ascii="宋体" w:hAnsi="宋体" w:eastAsia="宋体" w:cs="宋体"/>
                <w:color w:val="000000"/>
                <w:sz w:val="18"/>
                <w:szCs w:val="18"/>
                <w:lang w:bidi="ar"/>
              </w:rPr>
            </w:pPr>
            <w:r>
              <w:rPr>
                <w:rStyle w:val="21"/>
                <w:rFonts w:hint="eastAsia" w:ascii="宋体" w:hAnsi="宋体" w:eastAsia="宋体" w:cs="宋体"/>
                <w:sz w:val="18"/>
                <w:szCs w:val="18"/>
                <w:lang w:bidi="ar"/>
              </w:rPr>
              <w:t>处</w:t>
            </w:r>
            <w:r>
              <w:rPr>
                <w:rStyle w:val="21"/>
                <w:rFonts w:hint="eastAsia" w:ascii="宋体" w:hAnsi="宋体" w:eastAsia="宋体" w:cs="宋体"/>
                <w:sz w:val="18"/>
                <w:szCs w:val="18"/>
                <w:lang w:val="en-US" w:eastAsia="zh-CN" w:bidi="ar"/>
              </w:rPr>
              <w:t>2</w:t>
            </w:r>
            <w:r>
              <w:rPr>
                <w:rStyle w:val="21"/>
                <w:rFonts w:hint="eastAsia" w:ascii="宋体" w:hAnsi="宋体" w:eastAsia="宋体" w:cs="宋体"/>
                <w:sz w:val="18"/>
                <w:szCs w:val="18"/>
                <w:lang w:bidi="ar"/>
              </w:rPr>
              <w:t>千元以上</w:t>
            </w:r>
            <w:r>
              <w:rPr>
                <w:rStyle w:val="21"/>
                <w:rFonts w:hint="eastAsia" w:ascii="宋体" w:hAnsi="宋体" w:eastAsia="宋体" w:cs="宋体"/>
                <w:sz w:val="18"/>
                <w:szCs w:val="18"/>
                <w:lang w:val="en-US" w:eastAsia="zh-CN" w:bidi="ar"/>
              </w:rPr>
              <w:t>3</w:t>
            </w:r>
            <w:r>
              <w:rPr>
                <w:rStyle w:val="21"/>
                <w:rFonts w:hint="eastAsia" w:ascii="宋体" w:hAnsi="宋体" w:eastAsia="宋体" w:cs="宋体"/>
                <w:sz w:val="18"/>
                <w:szCs w:val="18"/>
                <w:lang w:bidi="ar"/>
              </w:rPr>
              <w:t>千元以下的罚款；造成损失的，依法予以赔偿</w:t>
            </w:r>
          </w:p>
        </w:tc>
        <w:tc>
          <w:tcPr>
            <w:tcW w:w="1135" w:type="dxa"/>
            <w:vMerge w:val="continue"/>
            <w:tcBorders>
              <w:left w:val="single" w:color="auto" w:sz="4" w:space="0"/>
              <w:right w:val="single" w:color="auto" w:sz="4" w:space="0"/>
            </w:tcBorders>
            <w:noWrap w:val="0"/>
            <w:tcMar>
              <w:top w:w="0" w:type="dxa"/>
              <w:left w:w="0" w:type="dxa"/>
              <w:bottom w:w="0" w:type="dxa"/>
              <w:right w:w="0" w:type="dxa"/>
            </w:tcMar>
            <w:vAlign w:val="center"/>
          </w:tcPr>
          <w:p w14:paraId="79284215">
            <w:pPr>
              <w:spacing w:line="260" w:lineRule="exact"/>
              <w:jc w:val="center"/>
              <w:rPr>
                <w:rStyle w:val="21"/>
                <w:rFonts w:hint="eastAsia" w:ascii="宋体" w:hAnsi="宋体" w:eastAsia="宋体" w:cs="宋体"/>
                <w:sz w:val="18"/>
                <w:szCs w:val="18"/>
                <w:lang w:bidi="ar"/>
              </w:rPr>
            </w:pPr>
          </w:p>
        </w:tc>
      </w:tr>
      <w:tr w14:paraId="25BF00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547" w:type="dxa"/>
            <w:vMerge w:val="continue"/>
            <w:tcBorders>
              <w:left w:val="single" w:color="auto" w:sz="4" w:space="0"/>
              <w:right w:val="single" w:color="auto" w:sz="4" w:space="0"/>
            </w:tcBorders>
            <w:noWrap w:val="0"/>
            <w:tcMar>
              <w:top w:w="0" w:type="dxa"/>
              <w:left w:w="0" w:type="dxa"/>
              <w:bottom w:w="0" w:type="dxa"/>
              <w:right w:w="0" w:type="dxa"/>
            </w:tcMar>
            <w:vAlign w:val="center"/>
          </w:tcPr>
          <w:p w14:paraId="3FE97F28">
            <w:pPr>
              <w:spacing w:line="260" w:lineRule="exact"/>
              <w:jc w:val="center"/>
              <w:rPr>
                <w:rFonts w:hint="eastAsia" w:ascii="宋体" w:hAnsi="宋体" w:eastAsia="宋体" w:cs="宋体"/>
                <w:sz w:val="18"/>
                <w:szCs w:val="18"/>
              </w:rPr>
            </w:pPr>
          </w:p>
        </w:tc>
        <w:tc>
          <w:tcPr>
            <w:tcW w:w="1282" w:type="dxa"/>
            <w:vMerge w:val="continue"/>
            <w:tcBorders>
              <w:left w:val="single" w:color="auto" w:sz="4" w:space="0"/>
              <w:right w:val="single" w:color="auto" w:sz="4" w:space="0"/>
            </w:tcBorders>
            <w:noWrap w:val="0"/>
            <w:tcMar>
              <w:top w:w="0" w:type="dxa"/>
              <w:left w:w="0" w:type="dxa"/>
              <w:bottom w:w="0" w:type="dxa"/>
              <w:right w:w="0" w:type="dxa"/>
            </w:tcMar>
            <w:vAlign w:val="center"/>
          </w:tcPr>
          <w:p w14:paraId="521A855B">
            <w:pPr>
              <w:widowControl/>
              <w:spacing w:line="260" w:lineRule="exact"/>
              <w:textAlignment w:val="center"/>
              <w:rPr>
                <w:rFonts w:hint="eastAsia" w:ascii="宋体" w:hAnsi="宋体" w:eastAsia="宋体" w:cs="宋体"/>
                <w:kern w:val="0"/>
                <w:sz w:val="18"/>
                <w:szCs w:val="18"/>
                <w:lang w:bidi="ar"/>
              </w:rPr>
            </w:pPr>
          </w:p>
        </w:tc>
        <w:tc>
          <w:tcPr>
            <w:tcW w:w="3448" w:type="dxa"/>
            <w:vMerge w:val="continue"/>
            <w:tcBorders>
              <w:left w:val="single" w:color="auto" w:sz="4" w:space="0"/>
              <w:right w:val="single" w:color="auto" w:sz="4" w:space="0"/>
            </w:tcBorders>
            <w:noWrap w:val="0"/>
            <w:tcMar>
              <w:top w:w="0" w:type="dxa"/>
              <w:left w:w="0" w:type="dxa"/>
              <w:bottom w:w="0" w:type="dxa"/>
              <w:right w:w="0" w:type="dxa"/>
            </w:tcMar>
            <w:vAlign w:val="center"/>
          </w:tcPr>
          <w:p w14:paraId="0A88C7DE">
            <w:pPr>
              <w:widowControl/>
              <w:spacing w:line="260" w:lineRule="exact"/>
              <w:ind w:firstLine="360" w:firstLineChars="200"/>
              <w:textAlignment w:val="center"/>
              <w:rPr>
                <w:rFonts w:hint="eastAsia" w:ascii="宋体" w:hAnsi="宋体" w:eastAsia="宋体" w:cs="宋体"/>
                <w:kern w:val="0"/>
                <w:sz w:val="18"/>
                <w:szCs w:val="18"/>
                <w:lang w:bidi="ar"/>
              </w:rPr>
            </w:pPr>
          </w:p>
        </w:tc>
        <w:tc>
          <w:tcPr>
            <w:tcW w:w="1570" w:type="dxa"/>
            <w:vMerge w:val="continue"/>
            <w:tcBorders>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E5CF210">
            <w:pPr>
              <w:spacing w:line="260" w:lineRule="exact"/>
              <w:jc w:val="center"/>
              <w:rPr>
                <w:rFonts w:hint="eastAsia" w:ascii="宋体" w:hAnsi="宋体" w:eastAsia="宋体" w:cs="宋体"/>
                <w:sz w:val="18"/>
                <w:szCs w:val="18"/>
              </w:rPr>
            </w:pPr>
          </w:p>
        </w:tc>
        <w:tc>
          <w:tcPr>
            <w:tcW w:w="80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58B181A">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严重</w:t>
            </w:r>
          </w:p>
        </w:tc>
        <w:tc>
          <w:tcPr>
            <w:tcW w:w="353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72B5474">
            <w:pPr>
              <w:spacing w:line="260" w:lineRule="exact"/>
              <w:rPr>
                <w:rFonts w:hint="eastAsia" w:ascii="宋体" w:hAnsi="宋体" w:eastAsia="宋体" w:cs="宋体"/>
                <w:color w:val="000000"/>
                <w:sz w:val="18"/>
                <w:szCs w:val="18"/>
                <w:lang w:bidi="ar"/>
              </w:rPr>
            </w:pPr>
            <w:r>
              <w:rPr>
                <w:rStyle w:val="21"/>
                <w:rFonts w:hint="eastAsia" w:ascii="宋体" w:hAnsi="宋体" w:eastAsia="宋体" w:cs="宋体"/>
                <w:sz w:val="18"/>
                <w:szCs w:val="18"/>
                <w:lang w:bidi="ar"/>
              </w:rPr>
              <w:t>未限期改正的</w:t>
            </w:r>
          </w:p>
        </w:tc>
        <w:tc>
          <w:tcPr>
            <w:tcW w:w="261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A45D5D2">
            <w:pPr>
              <w:spacing w:line="260" w:lineRule="exact"/>
              <w:rPr>
                <w:rFonts w:hint="eastAsia" w:ascii="宋体" w:hAnsi="宋体" w:eastAsia="宋体" w:cs="宋体"/>
                <w:color w:val="000000"/>
                <w:sz w:val="18"/>
                <w:szCs w:val="18"/>
                <w:lang w:bidi="ar"/>
              </w:rPr>
            </w:pPr>
            <w:r>
              <w:rPr>
                <w:rStyle w:val="21"/>
                <w:rFonts w:hint="eastAsia" w:ascii="宋体" w:hAnsi="宋体" w:eastAsia="宋体" w:cs="宋体"/>
                <w:sz w:val="18"/>
                <w:szCs w:val="18"/>
                <w:lang w:bidi="ar"/>
              </w:rPr>
              <w:t>处</w:t>
            </w:r>
            <w:r>
              <w:rPr>
                <w:rStyle w:val="21"/>
                <w:rFonts w:hint="eastAsia" w:ascii="宋体" w:hAnsi="宋体" w:eastAsia="宋体" w:cs="宋体"/>
                <w:sz w:val="18"/>
                <w:szCs w:val="18"/>
                <w:lang w:val="en-US" w:eastAsia="zh-CN" w:bidi="ar"/>
              </w:rPr>
              <w:t>3</w:t>
            </w:r>
            <w:r>
              <w:rPr>
                <w:rStyle w:val="21"/>
                <w:rFonts w:hint="eastAsia" w:ascii="宋体" w:hAnsi="宋体" w:eastAsia="宋体" w:cs="宋体"/>
                <w:sz w:val="18"/>
                <w:szCs w:val="18"/>
                <w:lang w:bidi="ar"/>
              </w:rPr>
              <w:t>千元以上</w:t>
            </w:r>
            <w:r>
              <w:rPr>
                <w:rStyle w:val="21"/>
                <w:rFonts w:hint="eastAsia" w:ascii="宋体" w:hAnsi="宋体" w:eastAsia="宋体" w:cs="宋体"/>
                <w:sz w:val="18"/>
                <w:szCs w:val="18"/>
                <w:lang w:val="en-US" w:eastAsia="zh-CN" w:bidi="ar"/>
              </w:rPr>
              <w:t>5</w:t>
            </w:r>
            <w:r>
              <w:rPr>
                <w:rStyle w:val="21"/>
                <w:rFonts w:hint="eastAsia" w:ascii="宋体" w:hAnsi="宋体" w:eastAsia="宋体" w:cs="宋体"/>
                <w:sz w:val="18"/>
                <w:szCs w:val="18"/>
                <w:lang w:bidi="ar"/>
              </w:rPr>
              <w:t>千元以下的罚款；造成损失的，依法予以赔偿</w:t>
            </w:r>
          </w:p>
        </w:tc>
        <w:tc>
          <w:tcPr>
            <w:tcW w:w="1135" w:type="dxa"/>
            <w:vMerge w:val="continue"/>
            <w:tcBorders>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D04259F">
            <w:pPr>
              <w:spacing w:line="260" w:lineRule="exact"/>
              <w:jc w:val="center"/>
              <w:rPr>
                <w:rStyle w:val="21"/>
                <w:rFonts w:hint="eastAsia" w:ascii="宋体" w:hAnsi="宋体" w:eastAsia="宋体" w:cs="宋体"/>
                <w:sz w:val="18"/>
                <w:szCs w:val="18"/>
                <w:lang w:bidi="ar"/>
              </w:rPr>
            </w:pPr>
          </w:p>
        </w:tc>
      </w:tr>
      <w:tr w14:paraId="01C1A7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7" w:type="dxa"/>
            <w:vMerge w:val="continue"/>
            <w:tcBorders>
              <w:left w:val="single" w:color="auto" w:sz="4" w:space="0"/>
              <w:right w:val="single" w:color="auto" w:sz="4" w:space="0"/>
            </w:tcBorders>
            <w:noWrap w:val="0"/>
            <w:tcMar>
              <w:top w:w="0" w:type="dxa"/>
              <w:left w:w="0" w:type="dxa"/>
              <w:bottom w:w="0" w:type="dxa"/>
              <w:right w:w="0" w:type="dxa"/>
            </w:tcMar>
            <w:vAlign w:val="center"/>
          </w:tcPr>
          <w:p w14:paraId="50389F24">
            <w:pPr>
              <w:spacing w:line="260" w:lineRule="exact"/>
              <w:jc w:val="center"/>
              <w:rPr>
                <w:rFonts w:hint="eastAsia" w:ascii="宋体" w:hAnsi="宋体" w:eastAsia="宋体" w:cs="宋体"/>
                <w:sz w:val="18"/>
                <w:szCs w:val="18"/>
              </w:rPr>
            </w:pPr>
          </w:p>
        </w:tc>
        <w:tc>
          <w:tcPr>
            <w:tcW w:w="1282" w:type="dxa"/>
            <w:vMerge w:val="continue"/>
            <w:tcBorders>
              <w:left w:val="single" w:color="auto" w:sz="4" w:space="0"/>
              <w:right w:val="single" w:color="auto" w:sz="4" w:space="0"/>
            </w:tcBorders>
            <w:noWrap w:val="0"/>
            <w:tcMar>
              <w:top w:w="0" w:type="dxa"/>
              <w:left w:w="0" w:type="dxa"/>
              <w:bottom w:w="0" w:type="dxa"/>
              <w:right w:w="0" w:type="dxa"/>
            </w:tcMar>
            <w:vAlign w:val="center"/>
          </w:tcPr>
          <w:p w14:paraId="5C31246F">
            <w:pPr>
              <w:widowControl/>
              <w:spacing w:line="260" w:lineRule="exact"/>
              <w:textAlignment w:val="center"/>
              <w:rPr>
                <w:rFonts w:hint="eastAsia" w:ascii="宋体" w:hAnsi="宋体" w:eastAsia="宋体" w:cs="宋体"/>
                <w:kern w:val="0"/>
                <w:sz w:val="18"/>
                <w:szCs w:val="18"/>
                <w:lang w:bidi="ar"/>
              </w:rPr>
            </w:pPr>
          </w:p>
        </w:tc>
        <w:tc>
          <w:tcPr>
            <w:tcW w:w="3448" w:type="dxa"/>
            <w:vMerge w:val="continue"/>
            <w:tcBorders>
              <w:left w:val="single" w:color="auto" w:sz="4" w:space="0"/>
              <w:right w:val="single" w:color="auto" w:sz="4" w:space="0"/>
            </w:tcBorders>
            <w:noWrap w:val="0"/>
            <w:tcMar>
              <w:top w:w="0" w:type="dxa"/>
              <w:left w:w="0" w:type="dxa"/>
              <w:bottom w:w="0" w:type="dxa"/>
              <w:right w:w="0" w:type="dxa"/>
            </w:tcMar>
            <w:vAlign w:val="center"/>
          </w:tcPr>
          <w:p w14:paraId="2AFFD47F">
            <w:pPr>
              <w:widowControl/>
              <w:spacing w:line="260" w:lineRule="exact"/>
              <w:ind w:firstLine="360" w:firstLineChars="200"/>
              <w:textAlignment w:val="center"/>
              <w:rPr>
                <w:rFonts w:hint="eastAsia" w:ascii="宋体" w:hAnsi="宋体" w:eastAsia="宋体" w:cs="宋体"/>
                <w:kern w:val="0"/>
                <w:sz w:val="18"/>
                <w:szCs w:val="18"/>
                <w:lang w:bidi="ar"/>
              </w:rPr>
            </w:pPr>
          </w:p>
        </w:tc>
        <w:tc>
          <w:tcPr>
            <w:tcW w:w="1570" w:type="dxa"/>
            <w:vMerge w:val="restart"/>
            <w:tcBorders>
              <w:left w:val="single" w:color="auto" w:sz="4" w:space="0"/>
              <w:right w:val="single" w:color="auto" w:sz="4" w:space="0"/>
            </w:tcBorders>
            <w:noWrap w:val="0"/>
            <w:tcMar>
              <w:top w:w="0" w:type="dxa"/>
              <w:left w:w="0" w:type="dxa"/>
              <w:bottom w:w="0" w:type="dxa"/>
              <w:right w:w="0" w:type="dxa"/>
            </w:tcMar>
            <w:vAlign w:val="center"/>
          </w:tcPr>
          <w:p w14:paraId="5F8EDEFF">
            <w:pPr>
              <w:spacing w:line="260" w:lineRule="exact"/>
              <w:jc w:val="left"/>
              <w:rPr>
                <w:rFonts w:hint="eastAsia" w:ascii="宋体" w:hAnsi="宋体" w:eastAsia="宋体" w:cs="宋体"/>
                <w:sz w:val="18"/>
                <w:szCs w:val="18"/>
                <w:lang w:val="en-US" w:eastAsia="zh-CN"/>
              </w:rPr>
            </w:pPr>
            <w:r>
              <w:rPr>
                <w:rFonts w:hint="eastAsia" w:ascii="宋体" w:hAnsi="宋体" w:eastAsia="宋体" w:cs="宋体"/>
                <w:color w:val="000000"/>
                <w:kern w:val="0"/>
                <w:sz w:val="18"/>
                <w:szCs w:val="18"/>
                <w:lang w:bidi="ar"/>
              </w:rPr>
              <w:t>排放有毒有害物质</w:t>
            </w:r>
            <w:r>
              <w:rPr>
                <w:rFonts w:hint="eastAsia" w:ascii="宋体" w:hAnsi="宋体" w:eastAsia="宋体" w:cs="宋体"/>
                <w:color w:val="000000"/>
                <w:kern w:val="0"/>
                <w:sz w:val="18"/>
                <w:szCs w:val="18"/>
                <w:lang w:val="en-US" w:eastAsia="zh-CN" w:bidi="ar"/>
              </w:rPr>
              <w:t>的</w:t>
            </w:r>
          </w:p>
        </w:tc>
        <w:tc>
          <w:tcPr>
            <w:tcW w:w="80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F47FA62">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轻微</w:t>
            </w:r>
          </w:p>
        </w:tc>
        <w:tc>
          <w:tcPr>
            <w:tcW w:w="353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3B41B5E0">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064E94A5">
            <w:pPr>
              <w:spacing w:line="260" w:lineRule="exact"/>
              <w:rPr>
                <w:rStyle w:val="21"/>
                <w:rFonts w:hint="eastAsia" w:ascii="宋体" w:hAnsi="宋体" w:eastAsia="宋体" w:cs="宋体"/>
                <w:sz w:val="18"/>
                <w:szCs w:val="18"/>
                <w:lang w:bidi="ar"/>
              </w:rPr>
            </w:pPr>
          </w:p>
        </w:tc>
        <w:tc>
          <w:tcPr>
            <w:tcW w:w="261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2E373D62">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30DDD6F4">
            <w:pPr>
              <w:spacing w:line="260" w:lineRule="exact"/>
              <w:rPr>
                <w:rStyle w:val="21"/>
                <w:rFonts w:hint="eastAsia" w:ascii="宋体" w:hAnsi="宋体" w:eastAsia="宋体" w:cs="宋体"/>
                <w:sz w:val="18"/>
                <w:szCs w:val="18"/>
                <w:lang w:bidi="ar"/>
              </w:rPr>
            </w:pPr>
          </w:p>
        </w:tc>
        <w:tc>
          <w:tcPr>
            <w:tcW w:w="1135" w:type="dxa"/>
            <w:vMerge w:val="restart"/>
            <w:tcBorders>
              <w:top w:val="single" w:color="auto" w:sz="4" w:space="0"/>
              <w:left w:val="single" w:color="auto" w:sz="4" w:space="0"/>
              <w:right w:val="single" w:color="auto" w:sz="4" w:space="0"/>
            </w:tcBorders>
            <w:noWrap w:val="0"/>
            <w:tcMar>
              <w:top w:w="0" w:type="dxa"/>
              <w:left w:w="0" w:type="dxa"/>
              <w:bottom w:w="0" w:type="dxa"/>
              <w:right w:w="0" w:type="dxa"/>
            </w:tcMar>
            <w:vAlign w:val="center"/>
          </w:tcPr>
          <w:p w14:paraId="2C908F0B">
            <w:pPr>
              <w:spacing w:line="260" w:lineRule="exact"/>
              <w:jc w:val="center"/>
              <w:rPr>
                <w:rStyle w:val="21"/>
                <w:rFonts w:hint="eastAsia" w:ascii="宋体" w:hAnsi="宋体" w:eastAsia="宋体" w:cs="宋体"/>
                <w:sz w:val="18"/>
                <w:szCs w:val="18"/>
                <w:lang w:bidi="ar"/>
              </w:rPr>
            </w:pPr>
          </w:p>
        </w:tc>
      </w:tr>
      <w:tr w14:paraId="563650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7" w:type="dxa"/>
            <w:vMerge w:val="continue"/>
            <w:tcBorders>
              <w:left w:val="single" w:color="auto" w:sz="4" w:space="0"/>
              <w:right w:val="single" w:color="auto" w:sz="4" w:space="0"/>
            </w:tcBorders>
            <w:noWrap w:val="0"/>
            <w:tcMar>
              <w:top w:w="0" w:type="dxa"/>
              <w:left w:w="0" w:type="dxa"/>
              <w:bottom w:w="0" w:type="dxa"/>
              <w:right w:w="0" w:type="dxa"/>
            </w:tcMar>
            <w:vAlign w:val="center"/>
          </w:tcPr>
          <w:p w14:paraId="537F7B93">
            <w:pPr>
              <w:spacing w:line="260" w:lineRule="exact"/>
              <w:jc w:val="center"/>
              <w:rPr>
                <w:rFonts w:hint="eastAsia" w:ascii="宋体" w:hAnsi="宋体" w:eastAsia="宋体" w:cs="宋体"/>
                <w:sz w:val="18"/>
                <w:szCs w:val="18"/>
              </w:rPr>
            </w:pPr>
          </w:p>
        </w:tc>
        <w:tc>
          <w:tcPr>
            <w:tcW w:w="1282" w:type="dxa"/>
            <w:vMerge w:val="continue"/>
            <w:tcBorders>
              <w:left w:val="single" w:color="auto" w:sz="4" w:space="0"/>
              <w:right w:val="single" w:color="auto" w:sz="4" w:space="0"/>
            </w:tcBorders>
            <w:noWrap w:val="0"/>
            <w:tcMar>
              <w:top w:w="0" w:type="dxa"/>
              <w:left w:w="0" w:type="dxa"/>
              <w:bottom w:w="0" w:type="dxa"/>
              <w:right w:w="0" w:type="dxa"/>
            </w:tcMar>
            <w:vAlign w:val="center"/>
          </w:tcPr>
          <w:p w14:paraId="2B5F7CAB">
            <w:pPr>
              <w:widowControl/>
              <w:spacing w:line="260" w:lineRule="exact"/>
              <w:textAlignment w:val="center"/>
              <w:rPr>
                <w:rFonts w:hint="eastAsia" w:ascii="宋体" w:hAnsi="宋体" w:eastAsia="宋体" w:cs="宋体"/>
                <w:kern w:val="0"/>
                <w:sz w:val="18"/>
                <w:szCs w:val="18"/>
                <w:lang w:bidi="ar"/>
              </w:rPr>
            </w:pPr>
          </w:p>
        </w:tc>
        <w:tc>
          <w:tcPr>
            <w:tcW w:w="3448" w:type="dxa"/>
            <w:vMerge w:val="continue"/>
            <w:tcBorders>
              <w:left w:val="single" w:color="auto" w:sz="4" w:space="0"/>
              <w:right w:val="single" w:color="auto" w:sz="4" w:space="0"/>
            </w:tcBorders>
            <w:noWrap w:val="0"/>
            <w:tcMar>
              <w:top w:w="0" w:type="dxa"/>
              <w:left w:w="0" w:type="dxa"/>
              <w:bottom w:w="0" w:type="dxa"/>
              <w:right w:w="0" w:type="dxa"/>
            </w:tcMar>
            <w:vAlign w:val="center"/>
          </w:tcPr>
          <w:p w14:paraId="74CAD106">
            <w:pPr>
              <w:widowControl/>
              <w:spacing w:line="260" w:lineRule="exact"/>
              <w:ind w:firstLine="360" w:firstLineChars="200"/>
              <w:textAlignment w:val="center"/>
              <w:rPr>
                <w:rFonts w:hint="eastAsia" w:ascii="宋体" w:hAnsi="宋体" w:eastAsia="宋体" w:cs="宋体"/>
                <w:kern w:val="0"/>
                <w:sz w:val="18"/>
                <w:szCs w:val="18"/>
                <w:lang w:bidi="ar"/>
              </w:rPr>
            </w:pPr>
          </w:p>
        </w:tc>
        <w:tc>
          <w:tcPr>
            <w:tcW w:w="1570" w:type="dxa"/>
            <w:vMerge w:val="continue"/>
            <w:tcBorders>
              <w:left w:val="single" w:color="auto" w:sz="4" w:space="0"/>
              <w:right w:val="single" w:color="auto" w:sz="4" w:space="0"/>
            </w:tcBorders>
            <w:noWrap w:val="0"/>
            <w:tcMar>
              <w:top w:w="0" w:type="dxa"/>
              <w:left w:w="0" w:type="dxa"/>
              <w:bottom w:w="0" w:type="dxa"/>
              <w:right w:w="0" w:type="dxa"/>
            </w:tcMar>
            <w:vAlign w:val="center"/>
          </w:tcPr>
          <w:p w14:paraId="06214DBC">
            <w:pPr>
              <w:spacing w:line="260" w:lineRule="exact"/>
              <w:jc w:val="center"/>
              <w:rPr>
                <w:rFonts w:hint="eastAsia" w:ascii="宋体" w:hAnsi="宋体" w:eastAsia="宋体" w:cs="宋体"/>
                <w:sz w:val="18"/>
                <w:szCs w:val="18"/>
              </w:rPr>
            </w:pPr>
          </w:p>
        </w:tc>
        <w:tc>
          <w:tcPr>
            <w:tcW w:w="80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E199D72">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较轻</w:t>
            </w:r>
          </w:p>
        </w:tc>
        <w:tc>
          <w:tcPr>
            <w:tcW w:w="353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40901DE0">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43754C04">
            <w:pPr>
              <w:spacing w:line="260" w:lineRule="exact"/>
              <w:rPr>
                <w:rStyle w:val="21"/>
                <w:rFonts w:hint="eastAsia" w:ascii="宋体" w:hAnsi="宋体" w:eastAsia="宋体" w:cs="宋体"/>
                <w:sz w:val="18"/>
                <w:szCs w:val="18"/>
                <w:lang w:bidi="ar"/>
              </w:rPr>
            </w:pPr>
          </w:p>
        </w:tc>
        <w:tc>
          <w:tcPr>
            <w:tcW w:w="261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442F886D">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7EF32CC1">
            <w:pPr>
              <w:spacing w:line="260" w:lineRule="exact"/>
              <w:rPr>
                <w:rStyle w:val="21"/>
                <w:rFonts w:hint="eastAsia" w:ascii="宋体" w:hAnsi="宋体" w:eastAsia="宋体" w:cs="宋体"/>
                <w:sz w:val="18"/>
                <w:szCs w:val="18"/>
                <w:lang w:bidi="ar"/>
              </w:rPr>
            </w:pPr>
          </w:p>
        </w:tc>
        <w:tc>
          <w:tcPr>
            <w:tcW w:w="1135" w:type="dxa"/>
            <w:vMerge w:val="continue"/>
            <w:tcBorders>
              <w:left w:val="single" w:color="auto" w:sz="4" w:space="0"/>
              <w:right w:val="single" w:color="auto" w:sz="4" w:space="0"/>
            </w:tcBorders>
            <w:noWrap w:val="0"/>
            <w:tcMar>
              <w:top w:w="0" w:type="dxa"/>
              <w:left w:w="0" w:type="dxa"/>
              <w:bottom w:w="0" w:type="dxa"/>
              <w:right w:w="0" w:type="dxa"/>
            </w:tcMar>
            <w:vAlign w:val="center"/>
          </w:tcPr>
          <w:p w14:paraId="7D63F307">
            <w:pPr>
              <w:spacing w:line="260" w:lineRule="exact"/>
              <w:jc w:val="center"/>
              <w:rPr>
                <w:rStyle w:val="21"/>
                <w:rFonts w:hint="eastAsia" w:ascii="宋体" w:hAnsi="宋体" w:eastAsia="宋体" w:cs="宋体"/>
                <w:sz w:val="18"/>
                <w:szCs w:val="18"/>
                <w:lang w:bidi="ar"/>
              </w:rPr>
            </w:pPr>
          </w:p>
        </w:tc>
      </w:tr>
      <w:tr w14:paraId="3F0FD1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47" w:type="dxa"/>
            <w:vMerge w:val="continue"/>
            <w:tcBorders>
              <w:left w:val="single" w:color="auto" w:sz="4" w:space="0"/>
              <w:right w:val="single" w:color="auto" w:sz="4" w:space="0"/>
            </w:tcBorders>
            <w:noWrap w:val="0"/>
            <w:tcMar>
              <w:top w:w="0" w:type="dxa"/>
              <w:left w:w="0" w:type="dxa"/>
              <w:bottom w:w="0" w:type="dxa"/>
              <w:right w:w="0" w:type="dxa"/>
            </w:tcMar>
            <w:vAlign w:val="center"/>
          </w:tcPr>
          <w:p w14:paraId="151BF067">
            <w:pPr>
              <w:spacing w:line="260" w:lineRule="exact"/>
              <w:jc w:val="center"/>
              <w:rPr>
                <w:rFonts w:hint="eastAsia" w:ascii="宋体" w:hAnsi="宋体" w:eastAsia="宋体" w:cs="宋体"/>
                <w:sz w:val="18"/>
                <w:szCs w:val="18"/>
              </w:rPr>
            </w:pPr>
          </w:p>
        </w:tc>
        <w:tc>
          <w:tcPr>
            <w:tcW w:w="1282" w:type="dxa"/>
            <w:vMerge w:val="continue"/>
            <w:tcBorders>
              <w:left w:val="single" w:color="auto" w:sz="4" w:space="0"/>
              <w:right w:val="single" w:color="auto" w:sz="4" w:space="0"/>
            </w:tcBorders>
            <w:noWrap w:val="0"/>
            <w:tcMar>
              <w:top w:w="0" w:type="dxa"/>
              <w:left w:w="0" w:type="dxa"/>
              <w:bottom w:w="0" w:type="dxa"/>
              <w:right w:w="0" w:type="dxa"/>
            </w:tcMar>
            <w:vAlign w:val="center"/>
          </w:tcPr>
          <w:p w14:paraId="689C1227">
            <w:pPr>
              <w:widowControl/>
              <w:spacing w:line="260" w:lineRule="exact"/>
              <w:textAlignment w:val="center"/>
              <w:rPr>
                <w:rFonts w:hint="eastAsia" w:ascii="宋体" w:hAnsi="宋体" w:eastAsia="宋体" w:cs="宋体"/>
                <w:kern w:val="0"/>
                <w:sz w:val="18"/>
                <w:szCs w:val="18"/>
                <w:lang w:bidi="ar"/>
              </w:rPr>
            </w:pPr>
          </w:p>
        </w:tc>
        <w:tc>
          <w:tcPr>
            <w:tcW w:w="3448" w:type="dxa"/>
            <w:vMerge w:val="continue"/>
            <w:tcBorders>
              <w:left w:val="single" w:color="auto" w:sz="4" w:space="0"/>
              <w:right w:val="single" w:color="auto" w:sz="4" w:space="0"/>
            </w:tcBorders>
            <w:noWrap w:val="0"/>
            <w:tcMar>
              <w:top w:w="0" w:type="dxa"/>
              <w:left w:w="0" w:type="dxa"/>
              <w:bottom w:w="0" w:type="dxa"/>
              <w:right w:w="0" w:type="dxa"/>
            </w:tcMar>
            <w:vAlign w:val="center"/>
          </w:tcPr>
          <w:p w14:paraId="0D69283F">
            <w:pPr>
              <w:widowControl/>
              <w:spacing w:line="260" w:lineRule="exact"/>
              <w:ind w:firstLine="360" w:firstLineChars="200"/>
              <w:textAlignment w:val="center"/>
              <w:rPr>
                <w:rFonts w:hint="eastAsia" w:ascii="宋体" w:hAnsi="宋体" w:eastAsia="宋体" w:cs="宋体"/>
                <w:kern w:val="0"/>
                <w:sz w:val="18"/>
                <w:szCs w:val="18"/>
                <w:lang w:bidi="ar"/>
              </w:rPr>
            </w:pPr>
          </w:p>
        </w:tc>
        <w:tc>
          <w:tcPr>
            <w:tcW w:w="1570" w:type="dxa"/>
            <w:vMerge w:val="continue"/>
            <w:tcBorders>
              <w:left w:val="single" w:color="auto" w:sz="4" w:space="0"/>
              <w:right w:val="single" w:color="auto" w:sz="4" w:space="0"/>
            </w:tcBorders>
            <w:noWrap w:val="0"/>
            <w:tcMar>
              <w:top w:w="0" w:type="dxa"/>
              <w:left w:w="0" w:type="dxa"/>
              <w:bottom w:w="0" w:type="dxa"/>
              <w:right w:w="0" w:type="dxa"/>
            </w:tcMar>
            <w:vAlign w:val="center"/>
          </w:tcPr>
          <w:p w14:paraId="18747A96">
            <w:pPr>
              <w:spacing w:line="260" w:lineRule="exact"/>
              <w:jc w:val="center"/>
              <w:rPr>
                <w:rFonts w:hint="eastAsia" w:ascii="宋体" w:hAnsi="宋体" w:eastAsia="宋体" w:cs="宋体"/>
                <w:sz w:val="18"/>
                <w:szCs w:val="18"/>
              </w:rPr>
            </w:pPr>
          </w:p>
        </w:tc>
        <w:tc>
          <w:tcPr>
            <w:tcW w:w="80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E4294F6">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一般</w:t>
            </w:r>
          </w:p>
        </w:tc>
        <w:tc>
          <w:tcPr>
            <w:tcW w:w="353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FEBAAE0">
            <w:pPr>
              <w:spacing w:line="260" w:lineRule="exact"/>
              <w:rPr>
                <w:rFonts w:hint="eastAsia" w:ascii="宋体" w:hAnsi="宋体" w:eastAsia="宋体" w:cs="宋体"/>
                <w:color w:val="000000"/>
                <w:sz w:val="18"/>
                <w:szCs w:val="18"/>
                <w:lang w:bidi="ar"/>
              </w:rPr>
            </w:pPr>
            <w:r>
              <w:rPr>
                <w:rStyle w:val="21"/>
                <w:rFonts w:hint="eastAsia" w:ascii="宋体" w:hAnsi="宋体" w:eastAsia="宋体" w:cs="宋体"/>
                <w:sz w:val="18"/>
                <w:szCs w:val="18"/>
                <w:lang w:bidi="ar"/>
              </w:rPr>
              <w:t>影响较小且在规定期限内改正的</w:t>
            </w:r>
          </w:p>
        </w:tc>
        <w:tc>
          <w:tcPr>
            <w:tcW w:w="261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62119F9">
            <w:pPr>
              <w:spacing w:line="260" w:lineRule="exact"/>
              <w:rPr>
                <w:rFonts w:hint="eastAsia" w:ascii="宋体" w:hAnsi="宋体" w:eastAsia="宋体" w:cs="宋体"/>
                <w:color w:val="000000"/>
                <w:sz w:val="18"/>
                <w:szCs w:val="18"/>
                <w:lang w:bidi="ar"/>
              </w:rPr>
            </w:pPr>
            <w:r>
              <w:rPr>
                <w:rStyle w:val="21"/>
                <w:rFonts w:hint="eastAsia" w:ascii="宋体" w:hAnsi="宋体" w:eastAsia="宋体" w:cs="宋体"/>
                <w:sz w:val="18"/>
                <w:szCs w:val="18"/>
                <w:lang w:bidi="ar"/>
              </w:rPr>
              <w:t>处</w:t>
            </w:r>
            <w:r>
              <w:rPr>
                <w:rStyle w:val="21"/>
                <w:rFonts w:hint="eastAsia" w:ascii="宋体" w:hAnsi="宋体" w:eastAsia="宋体" w:cs="宋体"/>
                <w:sz w:val="18"/>
                <w:szCs w:val="18"/>
                <w:lang w:val="en-US" w:eastAsia="zh-CN" w:bidi="ar"/>
              </w:rPr>
              <w:t>3</w:t>
            </w:r>
            <w:r>
              <w:rPr>
                <w:rStyle w:val="21"/>
                <w:rFonts w:hint="eastAsia" w:ascii="宋体" w:hAnsi="宋体" w:eastAsia="宋体" w:cs="宋体"/>
                <w:sz w:val="18"/>
                <w:szCs w:val="18"/>
                <w:lang w:bidi="ar"/>
              </w:rPr>
              <w:t>万元以上</w:t>
            </w:r>
            <w:r>
              <w:rPr>
                <w:rStyle w:val="21"/>
                <w:rFonts w:hint="eastAsia" w:ascii="宋体" w:hAnsi="宋体" w:eastAsia="宋体" w:cs="宋体"/>
                <w:sz w:val="18"/>
                <w:szCs w:val="18"/>
                <w:lang w:val="en-US" w:eastAsia="zh-CN" w:bidi="ar"/>
              </w:rPr>
              <w:t>5</w:t>
            </w:r>
            <w:r>
              <w:rPr>
                <w:rStyle w:val="21"/>
                <w:rFonts w:hint="eastAsia" w:ascii="宋体" w:hAnsi="宋体" w:eastAsia="宋体" w:cs="宋体"/>
                <w:sz w:val="18"/>
                <w:szCs w:val="18"/>
                <w:lang w:bidi="ar"/>
              </w:rPr>
              <w:t>万元以下的罚款</w:t>
            </w:r>
          </w:p>
        </w:tc>
        <w:tc>
          <w:tcPr>
            <w:tcW w:w="1135" w:type="dxa"/>
            <w:vMerge w:val="continue"/>
            <w:tcBorders>
              <w:left w:val="single" w:color="auto" w:sz="4" w:space="0"/>
              <w:right w:val="single" w:color="auto" w:sz="4" w:space="0"/>
            </w:tcBorders>
            <w:noWrap w:val="0"/>
            <w:tcMar>
              <w:top w:w="0" w:type="dxa"/>
              <w:left w:w="0" w:type="dxa"/>
              <w:bottom w:w="0" w:type="dxa"/>
              <w:right w:w="0" w:type="dxa"/>
            </w:tcMar>
            <w:vAlign w:val="center"/>
          </w:tcPr>
          <w:p w14:paraId="03740F57">
            <w:pPr>
              <w:spacing w:line="260" w:lineRule="exact"/>
              <w:jc w:val="center"/>
              <w:rPr>
                <w:rStyle w:val="21"/>
                <w:rFonts w:hint="eastAsia" w:ascii="宋体" w:hAnsi="宋体" w:eastAsia="宋体" w:cs="宋体"/>
                <w:sz w:val="18"/>
                <w:szCs w:val="18"/>
                <w:lang w:bidi="ar"/>
              </w:rPr>
            </w:pPr>
          </w:p>
        </w:tc>
      </w:tr>
      <w:tr w14:paraId="411EF5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47" w:type="dxa"/>
            <w:vMerge w:val="continue"/>
            <w:tcBorders>
              <w:left w:val="single" w:color="auto" w:sz="4" w:space="0"/>
              <w:right w:val="single" w:color="auto" w:sz="4" w:space="0"/>
            </w:tcBorders>
            <w:noWrap w:val="0"/>
            <w:tcMar>
              <w:top w:w="0" w:type="dxa"/>
              <w:left w:w="0" w:type="dxa"/>
              <w:bottom w:w="0" w:type="dxa"/>
              <w:right w:w="0" w:type="dxa"/>
            </w:tcMar>
            <w:vAlign w:val="center"/>
          </w:tcPr>
          <w:p w14:paraId="7F68E362">
            <w:pPr>
              <w:spacing w:line="260" w:lineRule="exact"/>
              <w:jc w:val="center"/>
              <w:rPr>
                <w:rFonts w:hint="eastAsia" w:ascii="宋体" w:hAnsi="宋体" w:eastAsia="宋体" w:cs="宋体"/>
                <w:sz w:val="18"/>
                <w:szCs w:val="18"/>
              </w:rPr>
            </w:pPr>
          </w:p>
        </w:tc>
        <w:tc>
          <w:tcPr>
            <w:tcW w:w="1282" w:type="dxa"/>
            <w:vMerge w:val="continue"/>
            <w:tcBorders>
              <w:left w:val="single" w:color="auto" w:sz="4" w:space="0"/>
              <w:right w:val="single" w:color="auto" w:sz="4" w:space="0"/>
            </w:tcBorders>
            <w:noWrap w:val="0"/>
            <w:tcMar>
              <w:top w:w="0" w:type="dxa"/>
              <w:left w:w="0" w:type="dxa"/>
              <w:bottom w:w="0" w:type="dxa"/>
              <w:right w:w="0" w:type="dxa"/>
            </w:tcMar>
            <w:vAlign w:val="center"/>
          </w:tcPr>
          <w:p w14:paraId="771EE1B5">
            <w:pPr>
              <w:widowControl/>
              <w:spacing w:line="260" w:lineRule="exact"/>
              <w:textAlignment w:val="center"/>
              <w:rPr>
                <w:rFonts w:hint="eastAsia" w:ascii="宋体" w:hAnsi="宋体" w:eastAsia="宋体" w:cs="宋体"/>
                <w:kern w:val="0"/>
                <w:sz w:val="18"/>
                <w:szCs w:val="18"/>
                <w:lang w:bidi="ar"/>
              </w:rPr>
            </w:pPr>
          </w:p>
        </w:tc>
        <w:tc>
          <w:tcPr>
            <w:tcW w:w="3448" w:type="dxa"/>
            <w:vMerge w:val="continue"/>
            <w:tcBorders>
              <w:left w:val="single" w:color="auto" w:sz="4" w:space="0"/>
              <w:right w:val="single" w:color="auto" w:sz="4" w:space="0"/>
            </w:tcBorders>
            <w:noWrap w:val="0"/>
            <w:tcMar>
              <w:top w:w="0" w:type="dxa"/>
              <w:left w:w="0" w:type="dxa"/>
              <w:bottom w:w="0" w:type="dxa"/>
              <w:right w:w="0" w:type="dxa"/>
            </w:tcMar>
            <w:vAlign w:val="center"/>
          </w:tcPr>
          <w:p w14:paraId="48AB67BD">
            <w:pPr>
              <w:widowControl/>
              <w:spacing w:line="260" w:lineRule="exact"/>
              <w:ind w:firstLine="360" w:firstLineChars="200"/>
              <w:textAlignment w:val="center"/>
              <w:rPr>
                <w:rFonts w:hint="eastAsia" w:ascii="宋体" w:hAnsi="宋体" w:eastAsia="宋体" w:cs="宋体"/>
                <w:kern w:val="0"/>
                <w:sz w:val="18"/>
                <w:szCs w:val="18"/>
                <w:lang w:bidi="ar"/>
              </w:rPr>
            </w:pPr>
          </w:p>
        </w:tc>
        <w:tc>
          <w:tcPr>
            <w:tcW w:w="1570" w:type="dxa"/>
            <w:vMerge w:val="continue"/>
            <w:tcBorders>
              <w:left w:val="single" w:color="auto" w:sz="4" w:space="0"/>
              <w:right w:val="single" w:color="auto" w:sz="4" w:space="0"/>
            </w:tcBorders>
            <w:noWrap w:val="0"/>
            <w:tcMar>
              <w:top w:w="0" w:type="dxa"/>
              <w:left w:w="0" w:type="dxa"/>
              <w:bottom w:w="0" w:type="dxa"/>
              <w:right w:w="0" w:type="dxa"/>
            </w:tcMar>
            <w:vAlign w:val="center"/>
          </w:tcPr>
          <w:p w14:paraId="5BD41574">
            <w:pPr>
              <w:spacing w:line="260" w:lineRule="exact"/>
              <w:jc w:val="center"/>
              <w:rPr>
                <w:rFonts w:hint="eastAsia" w:ascii="宋体" w:hAnsi="宋体" w:eastAsia="宋体" w:cs="宋体"/>
                <w:sz w:val="18"/>
                <w:szCs w:val="18"/>
              </w:rPr>
            </w:pPr>
          </w:p>
        </w:tc>
        <w:tc>
          <w:tcPr>
            <w:tcW w:w="80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32DB6ED">
            <w:pPr>
              <w:spacing w:line="260" w:lineRule="exact"/>
              <w:jc w:val="center"/>
              <w:rPr>
                <w:rFonts w:hint="eastAsia" w:ascii="宋体" w:hAnsi="宋体" w:eastAsia="宋体" w:cs="宋体"/>
                <w:sz w:val="18"/>
                <w:szCs w:val="18"/>
                <w:lang w:eastAsia="zh-CN"/>
              </w:rPr>
            </w:pPr>
            <w:r>
              <w:rPr>
                <w:rFonts w:hint="eastAsia" w:ascii="宋体" w:hAnsi="宋体" w:eastAsia="宋体" w:cs="宋体"/>
                <w:sz w:val="18"/>
                <w:szCs w:val="18"/>
                <w:lang w:eastAsia="zh-CN"/>
              </w:rPr>
              <w:t>较重</w:t>
            </w:r>
          </w:p>
        </w:tc>
        <w:tc>
          <w:tcPr>
            <w:tcW w:w="353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9DE6006">
            <w:pPr>
              <w:spacing w:line="260" w:lineRule="exact"/>
              <w:rPr>
                <w:rFonts w:hint="eastAsia" w:ascii="宋体" w:hAnsi="宋体" w:eastAsia="宋体" w:cs="宋体"/>
                <w:color w:val="000000"/>
                <w:sz w:val="18"/>
                <w:szCs w:val="18"/>
                <w:lang w:bidi="ar"/>
              </w:rPr>
            </w:pPr>
            <w:r>
              <w:rPr>
                <w:rStyle w:val="21"/>
                <w:rFonts w:hint="eastAsia" w:ascii="宋体" w:hAnsi="宋体" w:eastAsia="宋体" w:cs="宋体"/>
                <w:sz w:val="18"/>
                <w:szCs w:val="18"/>
                <w:lang w:bidi="ar"/>
              </w:rPr>
              <w:t>影响严重且在规定期限内改正的，或影响较小但未在规定期限内改正的</w:t>
            </w:r>
          </w:p>
        </w:tc>
        <w:tc>
          <w:tcPr>
            <w:tcW w:w="261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428085A">
            <w:pPr>
              <w:spacing w:line="260" w:lineRule="exact"/>
              <w:rPr>
                <w:rFonts w:hint="eastAsia" w:ascii="宋体" w:hAnsi="宋体" w:eastAsia="宋体" w:cs="宋体"/>
                <w:color w:val="000000"/>
                <w:sz w:val="18"/>
                <w:szCs w:val="18"/>
                <w:lang w:bidi="ar"/>
              </w:rPr>
            </w:pPr>
            <w:r>
              <w:rPr>
                <w:rStyle w:val="21"/>
                <w:rFonts w:hint="eastAsia" w:ascii="宋体" w:hAnsi="宋体" w:eastAsia="宋体" w:cs="宋体"/>
                <w:sz w:val="18"/>
                <w:szCs w:val="18"/>
                <w:lang w:bidi="ar"/>
              </w:rPr>
              <w:t>处</w:t>
            </w:r>
            <w:r>
              <w:rPr>
                <w:rStyle w:val="21"/>
                <w:rFonts w:hint="eastAsia" w:ascii="宋体" w:hAnsi="宋体" w:eastAsia="宋体" w:cs="宋体"/>
                <w:sz w:val="18"/>
                <w:szCs w:val="18"/>
                <w:lang w:val="en-US" w:eastAsia="zh-CN" w:bidi="ar"/>
              </w:rPr>
              <w:t>5</w:t>
            </w:r>
            <w:r>
              <w:rPr>
                <w:rStyle w:val="21"/>
                <w:rFonts w:hint="eastAsia" w:ascii="宋体" w:hAnsi="宋体" w:eastAsia="宋体" w:cs="宋体"/>
                <w:sz w:val="18"/>
                <w:szCs w:val="18"/>
                <w:lang w:bidi="ar"/>
              </w:rPr>
              <w:t>万元以上</w:t>
            </w:r>
            <w:r>
              <w:rPr>
                <w:rStyle w:val="21"/>
                <w:rFonts w:hint="eastAsia" w:ascii="宋体" w:hAnsi="宋体" w:eastAsia="宋体" w:cs="宋体"/>
                <w:sz w:val="18"/>
                <w:szCs w:val="18"/>
                <w:lang w:val="en-US" w:eastAsia="zh-CN" w:bidi="ar"/>
              </w:rPr>
              <w:t>7</w:t>
            </w:r>
            <w:r>
              <w:rPr>
                <w:rStyle w:val="21"/>
                <w:rFonts w:hint="eastAsia" w:ascii="宋体" w:hAnsi="宋体" w:eastAsia="宋体" w:cs="宋体"/>
                <w:sz w:val="18"/>
                <w:szCs w:val="18"/>
                <w:lang w:bidi="ar"/>
              </w:rPr>
              <w:t>万元以下的罚款</w:t>
            </w:r>
          </w:p>
        </w:tc>
        <w:tc>
          <w:tcPr>
            <w:tcW w:w="1135" w:type="dxa"/>
            <w:vMerge w:val="continue"/>
            <w:tcBorders>
              <w:left w:val="single" w:color="auto" w:sz="4" w:space="0"/>
              <w:right w:val="single" w:color="auto" w:sz="4" w:space="0"/>
            </w:tcBorders>
            <w:noWrap w:val="0"/>
            <w:tcMar>
              <w:top w:w="0" w:type="dxa"/>
              <w:left w:w="0" w:type="dxa"/>
              <w:bottom w:w="0" w:type="dxa"/>
              <w:right w:w="0" w:type="dxa"/>
            </w:tcMar>
            <w:vAlign w:val="center"/>
          </w:tcPr>
          <w:p w14:paraId="5A9FBCC7">
            <w:pPr>
              <w:spacing w:line="260" w:lineRule="exact"/>
              <w:jc w:val="center"/>
              <w:rPr>
                <w:rStyle w:val="21"/>
                <w:rFonts w:hint="eastAsia" w:ascii="宋体" w:hAnsi="宋体" w:eastAsia="宋体" w:cs="宋体"/>
                <w:sz w:val="18"/>
                <w:szCs w:val="18"/>
                <w:lang w:bidi="ar"/>
              </w:rPr>
            </w:pPr>
          </w:p>
        </w:tc>
      </w:tr>
      <w:tr w14:paraId="1F5F1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47" w:type="dxa"/>
            <w:vMerge w:val="continue"/>
            <w:tcBorders>
              <w:left w:val="single" w:color="auto" w:sz="4" w:space="0"/>
              <w:right w:val="single" w:color="auto" w:sz="4" w:space="0"/>
            </w:tcBorders>
            <w:noWrap w:val="0"/>
            <w:tcMar>
              <w:top w:w="0" w:type="dxa"/>
              <w:left w:w="0" w:type="dxa"/>
              <w:bottom w:w="0" w:type="dxa"/>
              <w:right w:w="0" w:type="dxa"/>
            </w:tcMar>
            <w:vAlign w:val="center"/>
          </w:tcPr>
          <w:p w14:paraId="5426B11C">
            <w:pPr>
              <w:spacing w:line="260" w:lineRule="exact"/>
              <w:jc w:val="center"/>
              <w:rPr>
                <w:rFonts w:hint="eastAsia" w:ascii="宋体" w:hAnsi="宋体" w:eastAsia="宋体" w:cs="宋体"/>
                <w:sz w:val="18"/>
                <w:szCs w:val="18"/>
              </w:rPr>
            </w:pPr>
          </w:p>
        </w:tc>
        <w:tc>
          <w:tcPr>
            <w:tcW w:w="1282" w:type="dxa"/>
            <w:vMerge w:val="continue"/>
            <w:tcBorders>
              <w:left w:val="single" w:color="auto" w:sz="4" w:space="0"/>
              <w:right w:val="single" w:color="auto" w:sz="4" w:space="0"/>
            </w:tcBorders>
            <w:noWrap w:val="0"/>
            <w:tcMar>
              <w:top w:w="0" w:type="dxa"/>
              <w:left w:w="0" w:type="dxa"/>
              <w:bottom w:w="0" w:type="dxa"/>
              <w:right w:w="0" w:type="dxa"/>
            </w:tcMar>
            <w:vAlign w:val="center"/>
          </w:tcPr>
          <w:p w14:paraId="71CF48BA">
            <w:pPr>
              <w:widowControl/>
              <w:spacing w:line="260" w:lineRule="exact"/>
              <w:textAlignment w:val="center"/>
              <w:rPr>
                <w:rFonts w:hint="eastAsia" w:ascii="宋体" w:hAnsi="宋体" w:eastAsia="宋体" w:cs="宋体"/>
                <w:kern w:val="0"/>
                <w:sz w:val="18"/>
                <w:szCs w:val="18"/>
                <w:lang w:bidi="ar"/>
              </w:rPr>
            </w:pPr>
          </w:p>
        </w:tc>
        <w:tc>
          <w:tcPr>
            <w:tcW w:w="3448" w:type="dxa"/>
            <w:vMerge w:val="continue"/>
            <w:tcBorders>
              <w:left w:val="single" w:color="auto" w:sz="4" w:space="0"/>
              <w:right w:val="single" w:color="auto" w:sz="4" w:space="0"/>
            </w:tcBorders>
            <w:noWrap w:val="0"/>
            <w:tcMar>
              <w:top w:w="0" w:type="dxa"/>
              <w:left w:w="0" w:type="dxa"/>
              <w:bottom w:w="0" w:type="dxa"/>
              <w:right w:w="0" w:type="dxa"/>
            </w:tcMar>
            <w:vAlign w:val="center"/>
          </w:tcPr>
          <w:p w14:paraId="4D0D6AD5">
            <w:pPr>
              <w:widowControl/>
              <w:spacing w:line="260" w:lineRule="exact"/>
              <w:ind w:firstLine="360" w:firstLineChars="200"/>
              <w:textAlignment w:val="center"/>
              <w:rPr>
                <w:rFonts w:hint="eastAsia" w:ascii="宋体" w:hAnsi="宋体" w:eastAsia="宋体" w:cs="宋体"/>
                <w:kern w:val="0"/>
                <w:sz w:val="18"/>
                <w:szCs w:val="18"/>
                <w:lang w:bidi="ar"/>
              </w:rPr>
            </w:pPr>
          </w:p>
        </w:tc>
        <w:tc>
          <w:tcPr>
            <w:tcW w:w="1570" w:type="dxa"/>
            <w:vMerge w:val="continue"/>
            <w:tcBorders>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C96CD35">
            <w:pPr>
              <w:spacing w:line="260" w:lineRule="exact"/>
              <w:jc w:val="center"/>
              <w:rPr>
                <w:rFonts w:hint="eastAsia" w:ascii="宋体" w:hAnsi="宋体" w:eastAsia="宋体" w:cs="宋体"/>
                <w:sz w:val="18"/>
                <w:szCs w:val="18"/>
              </w:rPr>
            </w:pPr>
          </w:p>
        </w:tc>
        <w:tc>
          <w:tcPr>
            <w:tcW w:w="80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48D2D0D">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严重</w:t>
            </w:r>
          </w:p>
        </w:tc>
        <w:tc>
          <w:tcPr>
            <w:tcW w:w="353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8DE13FE">
            <w:pPr>
              <w:spacing w:line="260" w:lineRule="exact"/>
              <w:rPr>
                <w:rFonts w:hint="eastAsia" w:ascii="宋体" w:hAnsi="宋体" w:eastAsia="宋体" w:cs="宋体"/>
                <w:color w:val="000000"/>
                <w:sz w:val="18"/>
                <w:szCs w:val="18"/>
                <w:lang w:bidi="ar"/>
              </w:rPr>
            </w:pPr>
            <w:r>
              <w:rPr>
                <w:rStyle w:val="21"/>
                <w:rFonts w:hint="eastAsia" w:ascii="宋体" w:hAnsi="宋体" w:eastAsia="宋体" w:cs="宋体"/>
                <w:sz w:val="18"/>
                <w:szCs w:val="18"/>
                <w:lang w:bidi="ar"/>
              </w:rPr>
              <w:t>影响严重且未在规定期限内改正、拒不改正或难以改正的</w:t>
            </w:r>
          </w:p>
        </w:tc>
        <w:tc>
          <w:tcPr>
            <w:tcW w:w="261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0B6F701">
            <w:pPr>
              <w:spacing w:line="260" w:lineRule="exact"/>
              <w:rPr>
                <w:rFonts w:hint="eastAsia" w:ascii="宋体" w:hAnsi="宋体" w:eastAsia="宋体" w:cs="宋体"/>
                <w:color w:val="000000"/>
                <w:sz w:val="18"/>
                <w:szCs w:val="18"/>
                <w:lang w:bidi="ar"/>
              </w:rPr>
            </w:pPr>
            <w:r>
              <w:rPr>
                <w:rStyle w:val="21"/>
                <w:rFonts w:hint="eastAsia" w:ascii="宋体" w:hAnsi="宋体" w:eastAsia="宋体" w:cs="宋体"/>
                <w:sz w:val="18"/>
                <w:szCs w:val="18"/>
                <w:lang w:bidi="ar"/>
              </w:rPr>
              <w:t>处</w:t>
            </w:r>
            <w:r>
              <w:rPr>
                <w:rStyle w:val="21"/>
                <w:rFonts w:hint="eastAsia" w:ascii="宋体" w:hAnsi="宋体" w:eastAsia="宋体" w:cs="宋体"/>
                <w:sz w:val="18"/>
                <w:szCs w:val="18"/>
                <w:lang w:val="en-US" w:eastAsia="zh-CN" w:bidi="ar"/>
              </w:rPr>
              <w:t>7</w:t>
            </w:r>
            <w:r>
              <w:rPr>
                <w:rStyle w:val="21"/>
                <w:rFonts w:hint="eastAsia" w:ascii="宋体" w:hAnsi="宋体" w:eastAsia="宋体" w:cs="宋体"/>
                <w:sz w:val="18"/>
                <w:szCs w:val="18"/>
                <w:lang w:bidi="ar"/>
              </w:rPr>
              <w:t>万元以上</w:t>
            </w:r>
            <w:r>
              <w:rPr>
                <w:rStyle w:val="21"/>
                <w:rFonts w:hint="eastAsia" w:ascii="宋体" w:hAnsi="宋体" w:eastAsia="宋体" w:cs="宋体"/>
                <w:sz w:val="18"/>
                <w:szCs w:val="18"/>
                <w:lang w:val="en-US" w:eastAsia="zh-CN" w:bidi="ar"/>
              </w:rPr>
              <w:t>10</w:t>
            </w:r>
            <w:r>
              <w:rPr>
                <w:rStyle w:val="21"/>
                <w:rFonts w:hint="eastAsia" w:ascii="宋体" w:hAnsi="宋体" w:eastAsia="宋体" w:cs="宋体"/>
                <w:sz w:val="18"/>
                <w:szCs w:val="18"/>
                <w:lang w:bidi="ar"/>
              </w:rPr>
              <w:t>万元以下的罚款</w:t>
            </w:r>
          </w:p>
        </w:tc>
        <w:tc>
          <w:tcPr>
            <w:tcW w:w="1135" w:type="dxa"/>
            <w:vMerge w:val="continue"/>
            <w:tcBorders>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8443E1B">
            <w:pPr>
              <w:spacing w:line="260" w:lineRule="exact"/>
              <w:jc w:val="center"/>
              <w:rPr>
                <w:rStyle w:val="21"/>
                <w:rFonts w:hint="eastAsia" w:ascii="宋体" w:hAnsi="宋体" w:eastAsia="宋体" w:cs="宋体"/>
                <w:sz w:val="18"/>
                <w:szCs w:val="18"/>
                <w:lang w:bidi="ar"/>
              </w:rPr>
            </w:pPr>
          </w:p>
        </w:tc>
      </w:tr>
      <w:tr w14:paraId="652927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7" w:type="dxa"/>
            <w:vMerge w:val="continue"/>
            <w:tcBorders>
              <w:left w:val="single" w:color="auto" w:sz="4" w:space="0"/>
              <w:right w:val="single" w:color="auto" w:sz="4" w:space="0"/>
            </w:tcBorders>
            <w:noWrap w:val="0"/>
            <w:tcMar>
              <w:top w:w="0" w:type="dxa"/>
              <w:left w:w="0" w:type="dxa"/>
              <w:bottom w:w="0" w:type="dxa"/>
              <w:right w:w="0" w:type="dxa"/>
            </w:tcMar>
            <w:vAlign w:val="center"/>
          </w:tcPr>
          <w:p w14:paraId="65878FF2">
            <w:pPr>
              <w:spacing w:line="260" w:lineRule="exact"/>
              <w:jc w:val="center"/>
              <w:rPr>
                <w:rFonts w:hint="eastAsia" w:ascii="宋体" w:hAnsi="宋体" w:eastAsia="宋体" w:cs="宋体"/>
                <w:sz w:val="18"/>
                <w:szCs w:val="18"/>
              </w:rPr>
            </w:pPr>
          </w:p>
        </w:tc>
        <w:tc>
          <w:tcPr>
            <w:tcW w:w="1282" w:type="dxa"/>
            <w:vMerge w:val="continue"/>
            <w:tcBorders>
              <w:left w:val="single" w:color="auto" w:sz="4" w:space="0"/>
              <w:right w:val="single" w:color="auto" w:sz="4" w:space="0"/>
            </w:tcBorders>
            <w:noWrap w:val="0"/>
            <w:tcMar>
              <w:top w:w="0" w:type="dxa"/>
              <w:left w:w="0" w:type="dxa"/>
              <w:bottom w:w="0" w:type="dxa"/>
              <w:right w:w="0" w:type="dxa"/>
            </w:tcMar>
            <w:vAlign w:val="center"/>
          </w:tcPr>
          <w:p w14:paraId="75174ECE">
            <w:pPr>
              <w:widowControl/>
              <w:spacing w:line="260" w:lineRule="exact"/>
              <w:textAlignment w:val="center"/>
              <w:rPr>
                <w:rFonts w:hint="eastAsia" w:ascii="宋体" w:hAnsi="宋体" w:eastAsia="宋体" w:cs="宋体"/>
                <w:kern w:val="0"/>
                <w:sz w:val="18"/>
                <w:szCs w:val="18"/>
                <w:lang w:bidi="ar"/>
              </w:rPr>
            </w:pPr>
          </w:p>
        </w:tc>
        <w:tc>
          <w:tcPr>
            <w:tcW w:w="3448" w:type="dxa"/>
            <w:vMerge w:val="continue"/>
            <w:tcBorders>
              <w:left w:val="single" w:color="auto" w:sz="4" w:space="0"/>
              <w:right w:val="single" w:color="auto" w:sz="4" w:space="0"/>
            </w:tcBorders>
            <w:noWrap w:val="0"/>
            <w:tcMar>
              <w:top w:w="0" w:type="dxa"/>
              <w:left w:w="0" w:type="dxa"/>
              <w:bottom w:w="0" w:type="dxa"/>
              <w:right w:w="0" w:type="dxa"/>
            </w:tcMar>
            <w:vAlign w:val="center"/>
          </w:tcPr>
          <w:p w14:paraId="640E0B3E">
            <w:pPr>
              <w:widowControl/>
              <w:spacing w:line="260" w:lineRule="exact"/>
              <w:ind w:firstLine="360" w:firstLineChars="200"/>
              <w:textAlignment w:val="center"/>
              <w:rPr>
                <w:rFonts w:hint="eastAsia" w:ascii="宋体" w:hAnsi="宋体" w:eastAsia="宋体" w:cs="宋体"/>
                <w:kern w:val="0"/>
                <w:sz w:val="18"/>
                <w:szCs w:val="18"/>
                <w:lang w:bidi="ar"/>
              </w:rPr>
            </w:pPr>
          </w:p>
        </w:tc>
        <w:tc>
          <w:tcPr>
            <w:tcW w:w="1570" w:type="dxa"/>
            <w:vMerge w:val="restart"/>
            <w:tcBorders>
              <w:left w:val="single" w:color="auto" w:sz="4" w:space="0"/>
              <w:right w:val="single" w:color="auto" w:sz="4" w:space="0"/>
            </w:tcBorders>
            <w:noWrap w:val="0"/>
            <w:tcMar>
              <w:top w:w="0" w:type="dxa"/>
              <w:left w:w="0" w:type="dxa"/>
              <w:bottom w:w="0" w:type="dxa"/>
              <w:right w:w="0" w:type="dxa"/>
            </w:tcMar>
            <w:vAlign w:val="center"/>
          </w:tcPr>
          <w:p w14:paraId="33EC0330">
            <w:pPr>
              <w:spacing w:line="260" w:lineRule="exact"/>
              <w:jc w:val="left"/>
              <w:rPr>
                <w:rFonts w:hint="eastAsia" w:ascii="宋体" w:hAnsi="宋体" w:eastAsia="宋体" w:cs="宋体"/>
                <w:sz w:val="18"/>
                <w:szCs w:val="18"/>
                <w:lang w:val="en-US" w:eastAsia="zh-CN"/>
              </w:rPr>
            </w:pPr>
            <w:r>
              <w:rPr>
                <w:rFonts w:hint="eastAsia" w:ascii="宋体" w:hAnsi="宋体" w:eastAsia="宋体" w:cs="宋体"/>
                <w:color w:val="000000"/>
                <w:kern w:val="0"/>
                <w:sz w:val="18"/>
                <w:szCs w:val="18"/>
                <w:lang w:bidi="ar"/>
              </w:rPr>
              <w:t>堆放垃圾、粪便等废弃物、污染物</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val="en-US" w:eastAsia="zh-CN" w:bidi="ar"/>
              </w:rPr>
              <w:t>且</w:t>
            </w:r>
            <w:r>
              <w:rPr>
                <w:rFonts w:hint="eastAsia" w:ascii="宋体" w:hAnsi="宋体" w:eastAsia="宋体" w:cs="宋体"/>
                <w:color w:val="000000"/>
                <w:kern w:val="0"/>
                <w:sz w:val="18"/>
                <w:szCs w:val="18"/>
                <w:lang w:bidi="ar"/>
              </w:rPr>
              <w:t>逾期未改正的</w:t>
            </w:r>
          </w:p>
        </w:tc>
        <w:tc>
          <w:tcPr>
            <w:tcW w:w="80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E707AE2">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轻微</w:t>
            </w:r>
          </w:p>
        </w:tc>
        <w:tc>
          <w:tcPr>
            <w:tcW w:w="353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0E438568">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5D5B4D36">
            <w:pPr>
              <w:spacing w:line="260" w:lineRule="exact"/>
              <w:rPr>
                <w:rStyle w:val="21"/>
                <w:rFonts w:hint="eastAsia" w:ascii="宋体" w:hAnsi="宋体" w:eastAsia="宋体" w:cs="宋体"/>
                <w:sz w:val="18"/>
                <w:szCs w:val="18"/>
                <w:lang w:bidi="ar"/>
              </w:rPr>
            </w:pPr>
          </w:p>
        </w:tc>
        <w:tc>
          <w:tcPr>
            <w:tcW w:w="261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7FF516A9">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319850CE">
            <w:pPr>
              <w:spacing w:line="260" w:lineRule="exact"/>
              <w:rPr>
                <w:rStyle w:val="21"/>
                <w:rFonts w:hint="eastAsia" w:ascii="宋体" w:hAnsi="宋体" w:eastAsia="宋体" w:cs="宋体"/>
                <w:sz w:val="18"/>
                <w:szCs w:val="18"/>
                <w:lang w:bidi="ar"/>
              </w:rPr>
            </w:pPr>
          </w:p>
        </w:tc>
        <w:tc>
          <w:tcPr>
            <w:tcW w:w="1135" w:type="dxa"/>
            <w:vMerge w:val="restart"/>
            <w:tcBorders>
              <w:top w:val="single" w:color="auto" w:sz="4" w:space="0"/>
              <w:left w:val="single" w:color="auto" w:sz="4" w:space="0"/>
              <w:right w:val="single" w:color="auto" w:sz="4" w:space="0"/>
            </w:tcBorders>
            <w:noWrap w:val="0"/>
            <w:tcMar>
              <w:top w:w="0" w:type="dxa"/>
              <w:left w:w="0" w:type="dxa"/>
              <w:bottom w:w="0" w:type="dxa"/>
              <w:right w:w="0" w:type="dxa"/>
            </w:tcMar>
            <w:vAlign w:val="center"/>
          </w:tcPr>
          <w:p w14:paraId="3585EF6A">
            <w:pPr>
              <w:spacing w:line="260" w:lineRule="exact"/>
              <w:jc w:val="center"/>
              <w:rPr>
                <w:rStyle w:val="21"/>
                <w:rFonts w:hint="eastAsia" w:ascii="宋体" w:hAnsi="宋体" w:eastAsia="宋体" w:cs="宋体"/>
                <w:sz w:val="18"/>
                <w:szCs w:val="18"/>
                <w:lang w:bidi="ar"/>
              </w:rPr>
            </w:pPr>
          </w:p>
        </w:tc>
      </w:tr>
      <w:tr w14:paraId="1F7AE9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7" w:type="dxa"/>
            <w:vMerge w:val="continue"/>
            <w:tcBorders>
              <w:left w:val="single" w:color="auto" w:sz="4" w:space="0"/>
              <w:right w:val="single" w:color="auto" w:sz="4" w:space="0"/>
            </w:tcBorders>
            <w:noWrap w:val="0"/>
            <w:tcMar>
              <w:top w:w="0" w:type="dxa"/>
              <w:left w:w="0" w:type="dxa"/>
              <w:bottom w:w="0" w:type="dxa"/>
              <w:right w:w="0" w:type="dxa"/>
            </w:tcMar>
            <w:vAlign w:val="center"/>
          </w:tcPr>
          <w:p w14:paraId="2487CC51">
            <w:pPr>
              <w:spacing w:line="260" w:lineRule="exact"/>
              <w:jc w:val="center"/>
              <w:rPr>
                <w:rFonts w:hint="eastAsia" w:ascii="宋体" w:hAnsi="宋体" w:eastAsia="宋体" w:cs="宋体"/>
                <w:sz w:val="18"/>
                <w:szCs w:val="18"/>
              </w:rPr>
            </w:pPr>
          </w:p>
        </w:tc>
        <w:tc>
          <w:tcPr>
            <w:tcW w:w="1282" w:type="dxa"/>
            <w:vMerge w:val="continue"/>
            <w:tcBorders>
              <w:left w:val="single" w:color="auto" w:sz="4" w:space="0"/>
              <w:right w:val="single" w:color="auto" w:sz="4" w:space="0"/>
            </w:tcBorders>
            <w:noWrap w:val="0"/>
            <w:tcMar>
              <w:top w:w="0" w:type="dxa"/>
              <w:left w:w="0" w:type="dxa"/>
              <w:bottom w:w="0" w:type="dxa"/>
              <w:right w:w="0" w:type="dxa"/>
            </w:tcMar>
            <w:vAlign w:val="center"/>
          </w:tcPr>
          <w:p w14:paraId="5F4472D1">
            <w:pPr>
              <w:widowControl/>
              <w:spacing w:line="260" w:lineRule="exact"/>
              <w:textAlignment w:val="center"/>
              <w:rPr>
                <w:rFonts w:hint="eastAsia" w:ascii="宋体" w:hAnsi="宋体" w:eastAsia="宋体" w:cs="宋体"/>
                <w:kern w:val="0"/>
                <w:sz w:val="18"/>
                <w:szCs w:val="18"/>
                <w:lang w:bidi="ar"/>
              </w:rPr>
            </w:pPr>
          </w:p>
        </w:tc>
        <w:tc>
          <w:tcPr>
            <w:tcW w:w="3448" w:type="dxa"/>
            <w:vMerge w:val="continue"/>
            <w:tcBorders>
              <w:left w:val="single" w:color="auto" w:sz="4" w:space="0"/>
              <w:right w:val="single" w:color="auto" w:sz="4" w:space="0"/>
            </w:tcBorders>
            <w:noWrap w:val="0"/>
            <w:tcMar>
              <w:top w:w="0" w:type="dxa"/>
              <w:left w:w="0" w:type="dxa"/>
              <w:bottom w:w="0" w:type="dxa"/>
              <w:right w:w="0" w:type="dxa"/>
            </w:tcMar>
            <w:vAlign w:val="center"/>
          </w:tcPr>
          <w:p w14:paraId="3E88DF1C">
            <w:pPr>
              <w:widowControl/>
              <w:spacing w:line="260" w:lineRule="exact"/>
              <w:ind w:firstLine="360" w:firstLineChars="200"/>
              <w:textAlignment w:val="center"/>
              <w:rPr>
                <w:rFonts w:hint="eastAsia" w:ascii="宋体" w:hAnsi="宋体" w:eastAsia="宋体" w:cs="宋体"/>
                <w:kern w:val="0"/>
                <w:sz w:val="18"/>
                <w:szCs w:val="18"/>
                <w:lang w:bidi="ar"/>
              </w:rPr>
            </w:pPr>
          </w:p>
        </w:tc>
        <w:tc>
          <w:tcPr>
            <w:tcW w:w="1570" w:type="dxa"/>
            <w:vMerge w:val="continue"/>
            <w:tcBorders>
              <w:left w:val="single" w:color="auto" w:sz="4" w:space="0"/>
              <w:right w:val="single" w:color="auto" w:sz="4" w:space="0"/>
            </w:tcBorders>
            <w:noWrap w:val="0"/>
            <w:tcMar>
              <w:top w:w="0" w:type="dxa"/>
              <w:left w:w="0" w:type="dxa"/>
              <w:bottom w:w="0" w:type="dxa"/>
              <w:right w:w="0" w:type="dxa"/>
            </w:tcMar>
            <w:vAlign w:val="center"/>
          </w:tcPr>
          <w:p w14:paraId="050C2713">
            <w:pPr>
              <w:spacing w:line="260" w:lineRule="exact"/>
              <w:jc w:val="center"/>
              <w:rPr>
                <w:rFonts w:hint="eastAsia" w:ascii="宋体" w:hAnsi="宋体" w:eastAsia="宋体" w:cs="宋体"/>
                <w:sz w:val="18"/>
                <w:szCs w:val="18"/>
              </w:rPr>
            </w:pPr>
          </w:p>
        </w:tc>
        <w:tc>
          <w:tcPr>
            <w:tcW w:w="80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446F70C">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较轻</w:t>
            </w:r>
          </w:p>
        </w:tc>
        <w:tc>
          <w:tcPr>
            <w:tcW w:w="353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5D036D69">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2A4C4569">
            <w:pPr>
              <w:spacing w:line="260" w:lineRule="exact"/>
              <w:rPr>
                <w:rStyle w:val="21"/>
                <w:rFonts w:hint="eastAsia" w:ascii="宋体" w:hAnsi="宋体" w:eastAsia="宋体" w:cs="宋体"/>
                <w:sz w:val="18"/>
                <w:szCs w:val="18"/>
                <w:lang w:bidi="ar"/>
              </w:rPr>
            </w:pPr>
          </w:p>
        </w:tc>
        <w:tc>
          <w:tcPr>
            <w:tcW w:w="261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20454FA5">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3F675EA1">
            <w:pPr>
              <w:spacing w:line="260" w:lineRule="exact"/>
              <w:rPr>
                <w:rStyle w:val="21"/>
                <w:rFonts w:hint="eastAsia" w:ascii="宋体" w:hAnsi="宋体" w:eastAsia="宋体" w:cs="宋体"/>
                <w:sz w:val="18"/>
                <w:szCs w:val="18"/>
                <w:lang w:bidi="ar"/>
              </w:rPr>
            </w:pPr>
          </w:p>
        </w:tc>
        <w:tc>
          <w:tcPr>
            <w:tcW w:w="1135" w:type="dxa"/>
            <w:vMerge w:val="continue"/>
            <w:tcBorders>
              <w:left w:val="single" w:color="auto" w:sz="4" w:space="0"/>
              <w:right w:val="single" w:color="auto" w:sz="4" w:space="0"/>
            </w:tcBorders>
            <w:noWrap w:val="0"/>
            <w:tcMar>
              <w:top w:w="0" w:type="dxa"/>
              <w:left w:w="0" w:type="dxa"/>
              <w:bottom w:w="0" w:type="dxa"/>
              <w:right w:w="0" w:type="dxa"/>
            </w:tcMar>
            <w:vAlign w:val="center"/>
          </w:tcPr>
          <w:p w14:paraId="67905063">
            <w:pPr>
              <w:spacing w:line="260" w:lineRule="exact"/>
              <w:jc w:val="center"/>
              <w:rPr>
                <w:rStyle w:val="21"/>
                <w:rFonts w:hint="eastAsia" w:ascii="宋体" w:hAnsi="宋体" w:eastAsia="宋体" w:cs="宋体"/>
                <w:sz w:val="18"/>
                <w:szCs w:val="18"/>
                <w:lang w:bidi="ar"/>
              </w:rPr>
            </w:pPr>
          </w:p>
        </w:tc>
      </w:tr>
      <w:tr w14:paraId="76921A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7" w:type="dxa"/>
            <w:vMerge w:val="continue"/>
            <w:tcBorders>
              <w:left w:val="single" w:color="auto" w:sz="4" w:space="0"/>
              <w:right w:val="single" w:color="auto" w:sz="4" w:space="0"/>
            </w:tcBorders>
            <w:noWrap w:val="0"/>
            <w:tcMar>
              <w:top w:w="0" w:type="dxa"/>
              <w:left w:w="0" w:type="dxa"/>
              <w:bottom w:w="0" w:type="dxa"/>
              <w:right w:w="0" w:type="dxa"/>
            </w:tcMar>
            <w:vAlign w:val="center"/>
          </w:tcPr>
          <w:p w14:paraId="5F93BC5F">
            <w:pPr>
              <w:spacing w:line="260" w:lineRule="exact"/>
              <w:jc w:val="center"/>
              <w:rPr>
                <w:rFonts w:hint="eastAsia" w:ascii="宋体" w:hAnsi="宋体" w:eastAsia="宋体" w:cs="宋体"/>
                <w:sz w:val="18"/>
                <w:szCs w:val="18"/>
              </w:rPr>
            </w:pPr>
          </w:p>
        </w:tc>
        <w:tc>
          <w:tcPr>
            <w:tcW w:w="1282" w:type="dxa"/>
            <w:vMerge w:val="continue"/>
            <w:tcBorders>
              <w:left w:val="single" w:color="auto" w:sz="4" w:space="0"/>
              <w:right w:val="single" w:color="auto" w:sz="4" w:space="0"/>
            </w:tcBorders>
            <w:noWrap w:val="0"/>
            <w:tcMar>
              <w:top w:w="0" w:type="dxa"/>
              <w:left w:w="0" w:type="dxa"/>
              <w:bottom w:w="0" w:type="dxa"/>
              <w:right w:w="0" w:type="dxa"/>
            </w:tcMar>
            <w:vAlign w:val="center"/>
          </w:tcPr>
          <w:p w14:paraId="2DA444B4">
            <w:pPr>
              <w:widowControl/>
              <w:spacing w:line="260" w:lineRule="exact"/>
              <w:textAlignment w:val="center"/>
              <w:rPr>
                <w:rFonts w:hint="eastAsia" w:ascii="宋体" w:hAnsi="宋体" w:eastAsia="宋体" w:cs="宋体"/>
                <w:kern w:val="0"/>
                <w:sz w:val="18"/>
                <w:szCs w:val="18"/>
                <w:lang w:bidi="ar"/>
              </w:rPr>
            </w:pPr>
          </w:p>
        </w:tc>
        <w:tc>
          <w:tcPr>
            <w:tcW w:w="3448" w:type="dxa"/>
            <w:vMerge w:val="continue"/>
            <w:tcBorders>
              <w:left w:val="single" w:color="auto" w:sz="4" w:space="0"/>
              <w:right w:val="single" w:color="auto" w:sz="4" w:space="0"/>
            </w:tcBorders>
            <w:noWrap w:val="0"/>
            <w:tcMar>
              <w:top w:w="0" w:type="dxa"/>
              <w:left w:w="0" w:type="dxa"/>
              <w:bottom w:w="0" w:type="dxa"/>
              <w:right w:w="0" w:type="dxa"/>
            </w:tcMar>
            <w:vAlign w:val="center"/>
          </w:tcPr>
          <w:p w14:paraId="6102E843">
            <w:pPr>
              <w:widowControl/>
              <w:spacing w:line="260" w:lineRule="exact"/>
              <w:ind w:firstLine="360" w:firstLineChars="200"/>
              <w:textAlignment w:val="center"/>
              <w:rPr>
                <w:rFonts w:hint="eastAsia" w:ascii="宋体" w:hAnsi="宋体" w:eastAsia="宋体" w:cs="宋体"/>
                <w:kern w:val="0"/>
                <w:sz w:val="18"/>
                <w:szCs w:val="18"/>
                <w:lang w:bidi="ar"/>
              </w:rPr>
            </w:pPr>
          </w:p>
        </w:tc>
        <w:tc>
          <w:tcPr>
            <w:tcW w:w="1570" w:type="dxa"/>
            <w:vMerge w:val="continue"/>
            <w:tcBorders>
              <w:left w:val="single" w:color="auto" w:sz="4" w:space="0"/>
              <w:right w:val="single" w:color="auto" w:sz="4" w:space="0"/>
            </w:tcBorders>
            <w:noWrap w:val="0"/>
            <w:tcMar>
              <w:top w:w="0" w:type="dxa"/>
              <w:left w:w="0" w:type="dxa"/>
              <w:bottom w:w="0" w:type="dxa"/>
              <w:right w:w="0" w:type="dxa"/>
            </w:tcMar>
            <w:vAlign w:val="center"/>
          </w:tcPr>
          <w:p w14:paraId="0D695211">
            <w:pPr>
              <w:spacing w:line="260" w:lineRule="exact"/>
              <w:jc w:val="center"/>
              <w:rPr>
                <w:rFonts w:hint="eastAsia" w:ascii="宋体" w:hAnsi="宋体" w:eastAsia="宋体" w:cs="宋体"/>
                <w:sz w:val="18"/>
                <w:szCs w:val="18"/>
              </w:rPr>
            </w:pPr>
          </w:p>
        </w:tc>
        <w:tc>
          <w:tcPr>
            <w:tcW w:w="80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5E30D63">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一般</w:t>
            </w:r>
          </w:p>
        </w:tc>
        <w:tc>
          <w:tcPr>
            <w:tcW w:w="353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4C993F48">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1104BABA">
            <w:pPr>
              <w:spacing w:line="260" w:lineRule="exact"/>
              <w:rPr>
                <w:rStyle w:val="21"/>
                <w:rFonts w:hint="eastAsia" w:ascii="宋体" w:hAnsi="宋体" w:eastAsia="宋体" w:cs="宋体"/>
                <w:sz w:val="18"/>
                <w:szCs w:val="18"/>
                <w:lang w:bidi="ar"/>
              </w:rPr>
            </w:pPr>
          </w:p>
        </w:tc>
        <w:tc>
          <w:tcPr>
            <w:tcW w:w="261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48F46D9B">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5B5600CE">
            <w:pPr>
              <w:spacing w:line="260" w:lineRule="exact"/>
              <w:rPr>
                <w:rStyle w:val="21"/>
                <w:rFonts w:hint="eastAsia" w:ascii="宋体" w:hAnsi="宋体" w:eastAsia="宋体" w:cs="宋体"/>
                <w:sz w:val="18"/>
                <w:szCs w:val="18"/>
                <w:lang w:bidi="ar"/>
              </w:rPr>
            </w:pPr>
          </w:p>
        </w:tc>
        <w:tc>
          <w:tcPr>
            <w:tcW w:w="1135" w:type="dxa"/>
            <w:vMerge w:val="continue"/>
            <w:tcBorders>
              <w:left w:val="single" w:color="auto" w:sz="4" w:space="0"/>
              <w:right w:val="single" w:color="auto" w:sz="4" w:space="0"/>
            </w:tcBorders>
            <w:noWrap w:val="0"/>
            <w:tcMar>
              <w:top w:w="0" w:type="dxa"/>
              <w:left w:w="0" w:type="dxa"/>
              <w:bottom w:w="0" w:type="dxa"/>
              <w:right w:w="0" w:type="dxa"/>
            </w:tcMar>
            <w:vAlign w:val="center"/>
          </w:tcPr>
          <w:p w14:paraId="6A76AB30">
            <w:pPr>
              <w:spacing w:line="260" w:lineRule="exact"/>
              <w:jc w:val="center"/>
              <w:rPr>
                <w:rStyle w:val="21"/>
                <w:rFonts w:hint="eastAsia" w:ascii="宋体" w:hAnsi="宋体" w:eastAsia="宋体" w:cs="宋体"/>
                <w:sz w:val="18"/>
                <w:szCs w:val="18"/>
                <w:lang w:bidi="ar"/>
              </w:rPr>
            </w:pPr>
          </w:p>
        </w:tc>
      </w:tr>
      <w:tr w14:paraId="1FB570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47" w:type="dxa"/>
            <w:vMerge w:val="continue"/>
            <w:tcBorders>
              <w:left w:val="single" w:color="auto" w:sz="4" w:space="0"/>
              <w:right w:val="single" w:color="auto" w:sz="4" w:space="0"/>
            </w:tcBorders>
            <w:noWrap w:val="0"/>
            <w:tcMar>
              <w:top w:w="0" w:type="dxa"/>
              <w:left w:w="0" w:type="dxa"/>
              <w:bottom w:w="0" w:type="dxa"/>
              <w:right w:w="0" w:type="dxa"/>
            </w:tcMar>
            <w:vAlign w:val="center"/>
          </w:tcPr>
          <w:p w14:paraId="06E3AD82">
            <w:pPr>
              <w:spacing w:line="260" w:lineRule="exact"/>
              <w:jc w:val="center"/>
              <w:rPr>
                <w:rFonts w:hint="eastAsia" w:ascii="宋体" w:hAnsi="宋体" w:eastAsia="宋体" w:cs="宋体"/>
                <w:sz w:val="18"/>
                <w:szCs w:val="18"/>
              </w:rPr>
            </w:pPr>
          </w:p>
        </w:tc>
        <w:tc>
          <w:tcPr>
            <w:tcW w:w="1282" w:type="dxa"/>
            <w:vMerge w:val="continue"/>
            <w:tcBorders>
              <w:left w:val="single" w:color="auto" w:sz="4" w:space="0"/>
              <w:right w:val="single" w:color="auto" w:sz="4" w:space="0"/>
            </w:tcBorders>
            <w:noWrap w:val="0"/>
            <w:tcMar>
              <w:top w:w="0" w:type="dxa"/>
              <w:left w:w="0" w:type="dxa"/>
              <w:bottom w:w="0" w:type="dxa"/>
              <w:right w:w="0" w:type="dxa"/>
            </w:tcMar>
            <w:vAlign w:val="center"/>
          </w:tcPr>
          <w:p w14:paraId="7E6170D8">
            <w:pPr>
              <w:widowControl/>
              <w:spacing w:line="260" w:lineRule="exact"/>
              <w:textAlignment w:val="center"/>
              <w:rPr>
                <w:rFonts w:hint="eastAsia" w:ascii="宋体" w:hAnsi="宋体" w:eastAsia="宋体" w:cs="宋体"/>
                <w:kern w:val="0"/>
                <w:sz w:val="18"/>
                <w:szCs w:val="18"/>
                <w:lang w:bidi="ar"/>
              </w:rPr>
            </w:pPr>
          </w:p>
        </w:tc>
        <w:tc>
          <w:tcPr>
            <w:tcW w:w="3448" w:type="dxa"/>
            <w:vMerge w:val="continue"/>
            <w:tcBorders>
              <w:left w:val="single" w:color="auto" w:sz="4" w:space="0"/>
              <w:right w:val="single" w:color="auto" w:sz="4" w:space="0"/>
            </w:tcBorders>
            <w:noWrap w:val="0"/>
            <w:tcMar>
              <w:top w:w="0" w:type="dxa"/>
              <w:left w:w="0" w:type="dxa"/>
              <w:bottom w:w="0" w:type="dxa"/>
              <w:right w:w="0" w:type="dxa"/>
            </w:tcMar>
            <w:vAlign w:val="center"/>
          </w:tcPr>
          <w:p w14:paraId="768E7B0C">
            <w:pPr>
              <w:widowControl/>
              <w:spacing w:line="260" w:lineRule="exact"/>
              <w:ind w:firstLine="360" w:firstLineChars="200"/>
              <w:textAlignment w:val="center"/>
              <w:rPr>
                <w:rFonts w:hint="eastAsia" w:ascii="宋体" w:hAnsi="宋体" w:eastAsia="宋体" w:cs="宋体"/>
                <w:kern w:val="0"/>
                <w:sz w:val="18"/>
                <w:szCs w:val="18"/>
                <w:lang w:bidi="ar"/>
              </w:rPr>
            </w:pPr>
          </w:p>
        </w:tc>
        <w:tc>
          <w:tcPr>
            <w:tcW w:w="1570" w:type="dxa"/>
            <w:vMerge w:val="continue"/>
            <w:tcBorders>
              <w:left w:val="single" w:color="auto" w:sz="4" w:space="0"/>
              <w:right w:val="single" w:color="auto" w:sz="4" w:space="0"/>
            </w:tcBorders>
            <w:noWrap w:val="0"/>
            <w:tcMar>
              <w:top w:w="0" w:type="dxa"/>
              <w:left w:w="0" w:type="dxa"/>
              <w:bottom w:w="0" w:type="dxa"/>
              <w:right w:w="0" w:type="dxa"/>
            </w:tcMar>
            <w:vAlign w:val="center"/>
          </w:tcPr>
          <w:p w14:paraId="70853B50">
            <w:pPr>
              <w:spacing w:line="260" w:lineRule="exact"/>
              <w:jc w:val="center"/>
              <w:rPr>
                <w:rFonts w:hint="eastAsia" w:ascii="宋体" w:hAnsi="宋体" w:eastAsia="宋体" w:cs="宋体"/>
                <w:sz w:val="18"/>
                <w:szCs w:val="18"/>
              </w:rPr>
            </w:pPr>
          </w:p>
        </w:tc>
        <w:tc>
          <w:tcPr>
            <w:tcW w:w="80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571CC4F">
            <w:pPr>
              <w:spacing w:line="260" w:lineRule="exact"/>
              <w:jc w:val="center"/>
              <w:rPr>
                <w:rFonts w:hint="eastAsia" w:ascii="宋体" w:hAnsi="宋体" w:eastAsia="宋体" w:cs="宋体"/>
                <w:sz w:val="18"/>
                <w:szCs w:val="18"/>
                <w:lang w:eastAsia="zh-CN"/>
              </w:rPr>
            </w:pPr>
            <w:r>
              <w:rPr>
                <w:rFonts w:hint="eastAsia" w:ascii="宋体" w:hAnsi="宋体" w:eastAsia="宋体" w:cs="宋体"/>
                <w:sz w:val="18"/>
                <w:szCs w:val="18"/>
                <w:lang w:eastAsia="zh-CN"/>
              </w:rPr>
              <w:t>较重</w:t>
            </w:r>
          </w:p>
        </w:tc>
        <w:tc>
          <w:tcPr>
            <w:tcW w:w="353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4402050">
            <w:pPr>
              <w:spacing w:line="260" w:lineRule="exact"/>
              <w:rPr>
                <w:rFonts w:hint="eastAsia" w:ascii="宋体" w:hAnsi="宋体" w:eastAsia="宋体" w:cs="宋体"/>
                <w:color w:val="000000"/>
                <w:sz w:val="18"/>
                <w:szCs w:val="18"/>
                <w:lang w:bidi="ar"/>
              </w:rPr>
            </w:pPr>
            <w:r>
              <w:rPr>
                <w:rStyle w:val="21"/>
                <w:rFonts w:hint="eastAsia" w:ascii="宋体" w:hAnsi="宋体" w:eastAsia="宋体" w:cs="宋体"/>
                <w:sz w:val="18"/>
                <w:szCs w:val="18"/>
                <w:lang w:bidi="ar"/>
              </w:rPr>
              <w:t>影响较小且未在规定期限内改正的</w:t>
            </w:r>
          </w:p>
        </w:tc>
        <w:tc>
          <w:tcPr>
            <w:tcW w:w="261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8479E41">
            <w:pPr>
              <w:spacing w:line="260" w:lineRule="exact"/>
              <w:rPr>
                <w:rFonts w:hint="eastAsia" w:ascii="宋体" w:hAnsi="宋体" w:eastAsia="宋体" w:cs="宋体"/>
                <w:color w:val="000000"/>
                <w:sz w:val="18"/>
                <w:szCs w:val="18"/>
                <w:lang w:bidi="ar"/>
              </w:rPr>
            </w:pPr>
            <w:r>
              <w:rPr>
                <w:rStyle w:val="21"/>
                <w:rFonts w:hint="eastAsia" w:ascii="宋体" w:hAnsi="宋体" w:eastAsia="宋体" w:cs="宋体"/>
                <w:sz w:val="18"/>
                <w:szCs w:val="18"/>
                <w:lang w:bidi="ar"/>
              </w:rPr>
              <w:t>处</w:t>
            </w:r>
            <w:r>
              <w:rPr>
                <w:rStyle w:val="21"/>
                <w:rFonts w:hint="eastAsia" w:ascii="宋体" w:hAnsi="宋体" w:eastAsia="宋体" w:cs="宋体"/>
                <w:sz w:val="18"/>
                <w:szCs w:val="18"/>
                <w:lang w:val="en-US" w:eastAsia="zh-CN" w:bidi="ar"/>
              </w:rPr>
              <w:t>1</w:t>
            </w:r>
            <w:r>
              <w:rPr>
                <w:rStyle w:val="21"/>
                <w:rFonts w:hint="eastAsia" w:ascii="宋体" w:hAnsi="宋体" w:eastAsia="宋体" w:cs="宋体"/>
                <w:sz w:val="18"/>
                <w:szCs w:val="18"/>
                <w:lang w:bidi="ar"/>
              </w:rPr>
              <w:t>万元以上</w:t>
            </w:r>
            <w:r>
              <w:rPr>
                <w:rStyle w:val="21"/>
                <w:rFonts w:hint="eastAsia" w:ascii="宋体" w:hAnsi="宋体" w:eastAsia="宋体" w:cs="宋体"/>
                <w:sz w:val="18"/>
                <w:szCs w:val="18"/>
                <w:lang w:val="en-US" w:eastAsia="zh-CN" w:bidi="ar"/>
              </w:rPr>
              <w:t>2</w:t>
            </w:r>
            <w:r>
              <w:rPr>
                <w:rStyle w:val="21"/>
                <w:rFonts w:hint="eastAsia" w:ascii="宋体" w:hAnsi="宋体" w:eastAsia="宋体" w:cs="宋体"/>
                <w:sz w:val="18"/>
                <w:szCs w:val="18"/>
                <w:lang w:bidi="ar"/>
              </w:rPr>
              <w:t>万元以下的罚款</w:t>
            </w:r>
          </w:p>
        </w:tc>
        <w:tc>
          <w:tcPr>
            <w:tcW w:w="1135" w:type="dxa"/>
            <w:vMerge w:val="continue"/>
            <w:tcBorders>
              <w:left w:val="single" w:color="auto" w:sz="4" w:space="0"/>
              <w:right w:val="single" w:color="auto" w:sz="4" w:space="0"/>
            </w:tcBorders>
            <w:noWrap w:val="0"/>
            <w:tcMar>
              <w:top w:w="0" w:type="dxa"/>
              <w:left w:w="0" w:type="dxa"/>
              <w:bottom w:w="0" w:type="dxa"/>
              <w:right w:w="0" w:type="dxa"/>
            </w:tcMar>
            <w:vAlign w:val="center"/>
          </w:tcPr>
          <w:p w14:paraId="7214CB3B">
            <w:pPr>
              <w:spacing w:line="260" w:lineRule="exact"/>
              <w:jc w:val="center"/>
              <w:rPr>
                <w:rStyle w:val="21"/>
                <w:rFonts w:hint="eastAsia" w:ascii="宋体" w:hAnsi="宋体" w:eastAsia="宋体" w:cs="宋体"/>
                <w:sz w:val="18"/>
                <w:szCs w:val="18"/>
                <w:lang w:bidi="ar"/>
              </w:rPr>
            </w:pPr>
          </w:p>
        </w:tc>
      </w:tr>
      <w:tr w14:paraId="00D87A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47" w:type="dxa"/>
            <w:vMerge w:val="continue"/>
            <w:tcBorders>
              <w:left w:val="single" w:color="auto" w:sz="4" w:space="0"/>
              <w:right w:val="single" w:color="auto" w:sz="4" w:space="0"/>
            </w:tcBorders>
            <w:noWrap w:val="0"/>
            <w:tcMar>
              <w:top w:w="0" w:type="dxa"/>
              <w:left w:w="0" w:type="dxa"/>
              <w:bottom w:w="0" w:type="dxa"/>
              <w:right w:w="0" w:type="dxa"/>
            </w:tcMar>
            <w:vAlign w:val="center"/>
          </w:tcPr>
          <w:p w14:paraId="338051A2">
            <w:pPr>
              <w:spacing w:line="260" w:lineRule="exact"/>
              <w:jc w:val="center"/>
              <w:rPr>
                <w:rFonts w:hint="eastAsia" w:ascii="宋体" w:hAnsi="宋体" w:eastAsia="宋体" w:cs="宋体"/>
                <w:sz w:val="18"/>
                <w:szCs w:val="18"/>
              </w:rPr>
            </w:pPr>
          </w:p>
        </w:tc>
        <w:tc>
          <w:tcPr>
            <w:tcW w:w="1282" w:type="dxa"/>
            <w:vMerge w:val="continue"/>
            <w:tcBorders>
              <w:left w:val="single" w:color="auto" w:sz="4" w:space="0"/>
              <w:right w:val="single" w:color="auto" w:sz="4" w:space="0"/>
            </w:tcBorders>
            <w:noWrap w:val="0"/>
            <w:tcMar>
              <w:top w:w="0" w:type="dxa"/>
              <w:left w:w="0" w:type="dxa"/>
              <w:bottom w:w="0" w:type="dxa"/>
              <w:right w:w="0" w:type="dxa"/>
            </w:tcMar>
            <w:vAlign w:val="center"/>
          </w:tcPr>
          <w:p w14:paraId="28F647EA">
            <w:pPr>
              <w:widowControl/>
              <w:spacing w:line="260" w:lineRule="exact"/>
              <w:textAlignment w:val="center"/>
              <w:rPr>
                <w:rFonts w:hint="eastAsia" w:ascii="宋体" w:hAnsi="宋体" w:eastAsia="宋体" w:cs="宋体"/>
                <w:kern w:val="0"/>
                <w:sz w:val="18"/>
                <w:szCs w:val="18"/>
                <w:lang w:bidi="ar"/>
              </w:rPr>
            </w:pPr>
          </w:p>
        </w:tc>
        <w:tc>
          <w:tcPr>
            <w:tcW w:w="3448" w:type="dxa"/>
            <w:vMerge w:val="continue"/>
            <w:tcBorders>
              <w:left w:val="single" w:color="auto" w:sz="4" w:space="0"/>
              <w:right w:val="single" w:color="auto" w:sz="4" w:space="0"/>
            </w:tcBorders>
            <w:noWrap w:val="0"/>
            <w:tcMar>
              <w:top w:w="0" w:type="dxa"/>
              <w:left w:w="0" w:type="dxa"/>
              <w:bottom w:w="0" w:type="dxa"/>
              <w:right w:w="0" w:type="dxa"/>
            </w:tcMar>
            <w:vAlign w:val="center"/>
          </w:tcPr>
          <w:p w14:paraId="5746A1C1">
            <w:pPr>
              <w:widowControl/>
              <w:spacing w:line="260" w:lineRule="exact"/>
              <w:ind w:firstLine="360" w:firstLineChars="200"/>
              <w:textAlignment w:val="center"/>
              <w:rPr>
                <w:rFonts w:hint="eastAsia" w:ascii="宋体" w:hAnsi="宋体" w:eastAsia="宋体" w:cs="宋体"/>
                <w:kern w:val="0"/>
                <w:sz w:val="18"/>
                <w:szCs w:val="18"/>
                <w:lang w:bidi="ar"/>
              </w:rPr>
            </w:pPr>
          </w:p>
        </w:tc>
        <w:tc>
          <w:tcPr>
            <w:tcW w:w="1570" w:type="dxa"/>
            <w:vMerge w:val="continue"/>
            <w:tcBorders>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6BD79E5">
            <w:pPr>
              <w:spacing w:line="260" w:lineRule="exact"/>
              <w:jc w:val="center"/>
              <w:rPr>
                <w:rFonts w:hint="eastAsia" w:ascii="宋体" w:hAnsi="宋体" w:eastAsia="宋体" w:cs="宋体"/>
                <w:sz w:val="18"/>
                <w:szCs w:val="18"/>
              </w:rPr>
            </w:pPr>
          </w:p>
        </w:tc>
        <w:tc>
          <w:tcPr>
            <w:tcW w:w="80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C9880B6">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严重</w:t>
            </w:r>
          </w:p>
        </w:tc>
        <w:tc>
          <w:tcPr>
            <w:tcW w:w="353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BD0ECC3">
            <w:pPr>
              <w:spacing w:line="260" w:lineRule="exact"/>
              <w:rPr>
                <w:rFonts w:hint="eastAsia" w:ascii="宋体" w:hAnsi="宋体" w:eastAsia="宋体" w:cs="宋体"/>
                <w:color w:val="000000"/>
                <w:sz w:val="18"/>
                <w:szCs w:val="18"/>
                <w:lang w:bidi="ar"/>
              </w:rPr>
            </w:pPr>
            <w:r>
              <w:rPr>
                <w:rStyle w:val="21"/>
                <w:rFonts w:hint="eastAsia" w:ascii="宋体" w:hAnsi="宋体" w:eastAsia="宋体" w:cs="宋体"/>
                <w:sz w:val="18"/>
                <w:szCs w:val="18"/>
                <w:lang w:bidi="ar"/>
              </w:rPr>
              <w:t>影响严重且未在规定期限内改正、拒不改正或难以改正的</w:t>
            </w:r>
          </w:p>
        </w:tc>
        <w:tc>
          <w:tcPr>
            <w:tcW w:w="261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B6788F7">
            <w:pPr>
              <w:spacing w:line="260" w:lineRule="exact"/>
              <w:rPr>
                <w:rFonts w:hint="eastAsia" w:ascii="宋体" w:hAnsi="宋体" w:eastAsia="宋体" w:cs="宋体"/>
                <w:color w:val="000000"/>
                <w:sz w:val="18"/>
                <w:szCs w:val="18"/>
                <w:lang w:bidi="ar"/>
              </w:rPr>
            </w:pPr>
            <w:r>
              <w:rPr>
                <w:rStyle w:val="21"/>
                <w:rFonts w:hint="eastAsia" w:ascii="宋体" w:hAnsi="宋体" w:eastAsia="宋体" w:cs="宋体"/>
                <w:sz w:val="18"/>
                <w:szCs w:val="18"/>
                <w:lang w:bidi="ar"/>
              </w:rPr>
              <w:t>处</w:t>
            </w:r>
            <w:r>
              <w:rPr>
                <w:rStyle w:val="21"/>
                <w:rFonts w:hint="eastAsia" w:ascii="宋体" w:hAnsi="宋体" w:eastAsia="宋体" w:cs="宋体"/>
                <w:sz w:val="18"/>
                <w:szCs w:val="18"/>
                <w:lang w:val="en-US" w:eastAsia="zh-CN" w:bidi="ar"/>
              </w:rPr>
              <w:t>2</w:t>
            </w:r>
            <w:r>
              <w:rPr>
                <w:rStyle w:val="21"/>
                <w:rFonts w:hint="eastAsia" w:ascii="宋体" w:hAnsi="宋体" w:eastAsia="宋体" w:cs="宋体"/>
                <w:sz w:val="18"/>
                <w:szCs w:val="18"/>
                <w:lang w:bidi="ar"/>
              </w:rPr>
              <w:t>万元以上</w:t>
            </w:r>
            <w:r>
              <w:rPr>
                <w:rStyle w:val="21"/>
                <w:rFonts w:hint="eastAsia" w:ascii="宋体" w:hAnsi="宋体" w:eastAsia="宋体" w:cs="宋体"/>
                <w:sz w:val="18"/>
                <w:szCs w:val="18"/>
                <w:lang w:val="en-US" w:eastAsia="zh-CN" w:bidi="ar"/>
              </w:rPr>
              <w:t>3</w:t>
            </w:r>
            <w:r>
              <w:rPr>
                <w:rStyle w:val="21"/>
                <w:rFonts w:hint="eastAsia" w:ascii="宋体" w:hAnsi="宋体" w:eastAsia="宋体" w:cs="宋体"/>
                <w:sz w:val="18"/>
                <w:szCs w:val="18"/>
                <w:lang w:bidi="ar"/>
              </w:rPr>
              <w:t>万元以下的罚款</w:t>
            </w:r>
          </w:p>
        </w:tc>
        <w:tc>
          <w:tcPr>
            <w:tcW w:w="1135" w:type="dxa"/>
            <w:vMerge w:val="continue"/>
            <w:tcBorders>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51DB1CB">
            <w:pPr>
              <w:spacing w:line="260" w:lineRule="exact"/>
              <w:jc w:val="center"/>
              <w:rPr>
                <w:rStyle w:val="21"/>
                <w:rFonts w:hint="eastAsia" w:ascii="宋体" w:hAnsi="宋体" w:eastAsia="宋体" w:cs="宋体"/>
                <w:sz w:val="18"/>
                <w:szCs w:val="18"/>
                <w:lang w:bidi="ar"/>
              </w:rPr>
            </w:pPr>
          </w:p>
        </w:tc>
      </w:tr>
      <w:tr w14:paraId="0DA4AC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47" w:type="dxa"/>
            <w:vMerge w:val="restart"/>
            <w:tcBorders>
              <w:left w:val="single" w:color="auto" w:sz="4" w:space="0"/>
              <w:right w:val="single" w:color="auto" w:sz="4" w:space="0"/>
            </w:tcBorders>
            <w:noWrap w:val="0"/>
            <w:tcMar>
              <w:top w:w="0" w:type="dxa"/>
              <w:left w:w="0" w:type="dxa"/>
              <w:bottom w:w="0" w:type="dxa"/>
              <w:right w:w="0" w:type="dxa"/>
            </w:tcMar>
            <w:vAlign w:val="center"/>
          </w:tcPr>
          <w:p w14:paraId="38DA3D44">
            <w:pPr>
              <w:spacing w:line="260" w:lineRule="exact"/>
              <w:jc w:val="center"/>
              <w:rPr>
                <w:rFonts w:hint="default" w:ascii="宋体" w:hAnsi="宋体" w:eastAsia="宋体" w:cs="宋体"/>
                <w:sz w:val="18"/>
                <w:szCs w:val="18"/>
                <w:lang w:val="en-US"/>
              </w:rPr>
            </w:pPr>
            <w:r>
              <w:rPr>
                <w:rFonts w:hint="eastAsia" w:ascii="宋体" w:hAnsi="宋体" w:eastAsia="宋体" w:cs="宋体"/>
                <w:sz w:val="18"/>
                <w:szCs w:val="18"/>
                <w:lang w:val="en-US" w:eastAsia="zh-CN"/>
              </w:rPr>
              <w:t>56</w:t>
            </w:r>
          </w:p>
        </w:tc>
        <w:tc>
          <w:tcPr>
            <w:tcW w:w="1282" w:type="dxa"/>
            <w:vMerge w:val="restart"/>
            <w:tcBorders>
              <w:left w:val="single" w:color="auto" w:sz="4" w:space="0"/>
              <w:right w:val="single" w:color="auto" w:sz="4" w:space="0"/>
            </w:tcBorders>
            <w:noWrap w:val="0"/>
            <w:tcMar>
              <w:top w:w="0" w:type="dxa"/>
              <w:left w:w="0" w:type="dxa"/>
              <w:bottom w:w="0" w:type="dxa"/>
              <w:right w:w="0" w:type="dxa"/>
            </w:tcMar>
            <w:vAlign w:val="center"/>
          </w:tcPr>
          <w:p w14:paraId="36AB6EA0">
            <w:pPr>
              <w:widowControl/>
              <w:spacing w:line="260" w:lineRule="exact"/>
              <w:textAlignment w:val="center"/>
              <w:rPr>
                <w:rFonts w:hint="eastAsia" w:ascii="宋体" w:hAnsi="宋体" w:eastAsia="宋体" w:cs="宋体"/>
                <w:kern w:val="0"/>
                <w:sz w:val="18"/>
                <w:szCs w:val="18"/>
                <w:lang w:bidi="ar"/>
              </w:rPr>
            </w:pPr>
            <w:r>
              <w:rPr>
                <w:rFonts w:hint="eastAsia" w:ascii="宋体" w:hAnsi="宋体" w:eastAsia="宋体" w:cs="宋体"/>
                <w:color w:val="000000"/>
                <w:kern w:val="0"/>
                <w:sz w:val="18"/>
                <w:szCs w:val="18"/>
                <w:lang w:bidi="ar"/>
              </w:rPr>
              <w:t>对在农村饮用水水源保护范围和农村供水设施保护范围内从事取土、采砂、打桩等作业等行为的行政处罚</w:t>
            </w:r>
          </w:p>
        </w:tc>
        <w:tc>
          <w:tcPr>
            <w:tcW w:w="3448" w:type="dxa"/>
            <w:vMerge w:val="restart"/>
            <w:tcBorders>
              <w:left w:val="single" w:color="auto" w:sz="4" w:space="0"/>
              <w:right w:val="single" w:color="auto" w:sz="4" w:space="0"/>
            </w:tcBorders>
            <w:noWrap w:val="0"/>
            <w:tcMar>
              <w:top w:w="0" w:type="dxa"/>
              <w:left w:w="0" w:type="dxa"/>
              <w:bottom w:w="0" w:type="dxa"/>
              <w:right w:w="0" w:type="dxa"/>
            </w:tcMar>
            <w:vAlign w:val="center"/>
          </w:tcPr>
          <w:p w14:paraId="38E0F296">
            <w:pPr>
              <w:widowControl/>
              <w:spacing w:line="260" w:lineRule="exact"/>
              <w:ind w:firstLine="360" w:firstLineChars="200"/>
              <w:textAlignment w:val="center"/>
              <w:rPr>
                <w:rFonts w:hint="eastAsia" w:ascii="宋体" w:hAnsi="宋体" w:eastAsia="宋体" w:cs="宋体"/>
                <w:kern w:val="0"/>
                <w:sz w:val="18"/>
                <w:szCs w:val="18"/>
                <w:lang w:bidi="ar"/>
              </w:rPr>
            </w:pPr>
          </w:p>
        </w:tc>
        <w:tc>
          <w:tcPr>
            <w:tcW w:w="1570" w:type="dxa"/>
            <w:vMerge w:val="restart"/>
            <w:tcBorders>
              <w:left w:val="single" w:color="auto" w:sz="4" w:space="0"/>
              <w:right w:val="single" w:color="auto" w:sz="4" w:space="0"/>
            </w:tcBorders>
            <w:noWrap w:val="0"/>
            <w:tcMar>
              <w:top w:w="0" w:type="dxa"/>
              <w:left w:w="0" w:type="dxa"/>
              <w:bottom w:w="0" w:type="dxa"/>
              <w:right w:w="0" w:type="dxa"/>
            </w:tcMar>
            <w:vAlign w:val="center"/>
          </w:tcPr>
          <w:p w14:paraId="5DE98C5C">
            <w:pPr>
              <w:spacing w:line="260" w:lineRule="exact"/>
              <w:jc w:val="both"/>
              <w:rPr>
                <w:rFonts w:hint="eastAsia" w:ascii="宋体" w:hAnsi="宋体" w:eastAsia="宋体" w:cs="宋体"/>
                <w:sz w:val="18"/>
                <w:szCs w:val="18"/>
                <w:lang w:val="en-US" w:eastAsia="zh-CN"/>
              </w:rPr>
            </w:pPr>
            <w:r>
              <w:rPr>
                <w:rFonts w:hint="eastAsia" w:ascii="宋体" w:hAnsi="宋体" w:eastAsia="宋体" w:cs="宋体"/>
                <w:color w:val="000000"/>
                <w:kern w:val="0"/>
                <w:sz w:val="18"/>
                <w:szCs w:val="18"/>
                <w:lang w:bidi="ar"/>
              </w:rPr>
              <w:t>从事畜禽养殖</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val="en-US" w:eastAsia="zh-CN" w:bidi="ar"/>
              </w:rPr>
              <w:t>且</w:t>
            </w:r>
            <w:r>
              <w:rPr>
                <w:rFonts w:hint="eastAsia" w:ascii="宋体" w:hAnsi="宋体" w:eastAsia="宋体" w:cs="宋体"/>
                <w:color w:val="000000"/>
                <w:kern w:val="0"/>
                <w:sz w:val="18"/>
                <w:szCs w:val="18"/>
                <w:lang w:bidi="ar"/>
              </w:rPr>
              <w:t>逾期未改正的</w:t>
            </w:r>
          </w:p>
        </w:tc>
        <w:tc>
          <w:tcPr>
            <w:tcW w:w="80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C7DE1DE">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轻微</w:t>
            </w:r>
          </w:p>
        </w:tc>
        <w:tc>
          <w:tcPr>
            <w:tcW w:w="353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0B36EAF8">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29206661">
            <w:pPr>
              <w:spacing w:line="260" w:lineRule="exact"/>
              <w:rPr>
                <w:rStyle w:val="21"/>
                <w:rFonts w:hint="eastAsia" w:ascii="宋体" w:hAnsi="宋体" w:eastAsia="宋体" w:cs="宋体"/>
                <w:sz w:val="18"/>
                <w:szCs w:val="18"/>
                <w:lang w:bidi="ar"/>
              </w:rPr>
            </w:pPr>
          </w:p>
        </w:tc>
        <w:tc>
          <w:tcPr>
            <w:tcW w:w="261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256C8600">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07ADE4A8">
            <w:pPr>
              <w:spacing w:line="260" w:lineRule="exact"/>
              <w:rPr>
                <w:rStyle w:val="21"/>
                <w:rFonts w:hint="eastAsia" w:ascii="宋体" w:hAnsi="宋体" w:eastAsia="宋体" w:cs="宋体"/>
                <w:sz w:val="18"/>
                <w:szCs w:val="18"/>
                <w:lang w:bidi="ar"/>
              </w:rPr>
            </w:pPr>
          </w:p>
        </w:tc>
        <w:tc>
          <w:tcPr>
            <w:tcW w:w="1135" w:type="dxa"/>
            <w:vMerge w:val="restart"/>
            <w:tcBorders>
              <w:top w:val="single" w:color="auto" w:sz="4" w:space="0"/>
              <w:left w:val="single" w:color="auto" w:sz="4" w:space="0"/>
              <w:right w:val="single" w:color="auto" w:sz="4" w:space="0"/>
            </w:tcBorders>
            <w:noWrap w:val="0"/>
            <w:tcMar>
              <w:top w:w="0" w:type="dxa"/>
              <w:left w:w="0" w:type="dxa"/>
              <w:bottom w:w="0" w:type="dxa"/>
              <w:right w:w="0" w:type="dxa"/>
            </w:tcMar>
            <w:vAlign w:val="center"/>
          </w:tcPr>
          <w:p w14:paraId="31C11208">
            <w:pPr>
              <w:spacing w:line="260" w:lineRule="exact"/>
              <w:jc w:val="center"/>
              <w:rPr>
                <w:rStyle w:val="21"/>
                <w:rFonts w:hint="eastAsia" w:ascii="宋体" w:hAnsi="宋体" w:eastAsia="宋体" w:cs="宋体"/>
                <w:sz w:val="18"/>
                <w:szCs w:val="18"/>
                <w:lang w:bidi="ar"/>
              </w:rPr>
            </w:pPr>
          </w:p>
        </w:tc>
      </w:tr>
      <w:tr w14:paraId="78146F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47" w:type="dxa"/>
            <w:vMerge w:val="continue"/>
            <w:tcBorders>
              <w:left w:val="single" w:color="auto" w:sz="4" w:space="0"/>
              <w:right w:val="single" w:color="auto" w:sz="4" w:space="0"/>
            </w:tcBorders>
            <w:noWrap w:val="0"/>
            <w:tcMar>
              <w:top w:w="0" w:type="dxa"/>
              <w:left w:w="0" w:type="dxa"/>
              <w:bottom w:w="0" w:type="dxa"/>
              <w:right w:w="0" w:type="dxa"/>
            </w:tcMar>
            <w:vAlign w:val="center"/>
          </w:tcPr>
          <w:p w14:paraId="4080257B">
            <w:pPr>
              <w:spacing w:line="260" w:lineRule="exact"/>
              <w:jc w:val="center"/>
              <w:rPr>
                <w:rFonts w:hint="eastAsia" w:ascii="宋体" w:hAnsi="宋体" w:eastAsia="宋体" w:cs="宋体"/>
                <w:sz w:val="18"/>
                <w:szCs w:val="18"/>
              </w:rPr>
            </w:pPr>
          </w:p>
        </w:tc>
        <w:tc>
          <w:tcPr>
            <w:tcW w:w="1282" w:type="dxa"/>
            <w:vMerge w:val="continue"/>
            <w:tcBorders>
              <w:left w:val="single" w:color="auto" w:sz="4" w:space="0"/>
              <w:right w:val="single" w:color="auto" w:sz="4" w:space="0"/>
            </w:tcBorders>
            <w:noWrap w:val="0"/>
            <w:tcMar>
              <w:top w:w="0" w:type="dxa"/>
              <w:left w:w="0" w:type="dxa"/>
              <w:bottom w:w="0" w:type="dxa"/>
              <w:right w:w="0" w:type="dxa"/>
            </w:tcMar>
            <w:vAlign w:val="center"/>
          </w:tcPr>
          <w:p w14:paraId="64A93DEA">
            <w:pPr>
              <w:widowControl/>
              <w:spacing w:line="260" w:lineRule="exact"/>
              <w:textAlignment w:val="center"/>
              <w:rPr>
                <w:rFonts w:hint="eastAsia" w:ascii="宋体" w:hAnsi="宋体" w:eastAsia="宋体" w:cs="宋体"/>
                <w:kern w:val="0"/>
                <w:sz w:val="18"/>
                <w:szCs w:val="18"/>
                <w:lang w:bidi="ar"/>
              </w:rPr>
            </w:pPr>
          </w:p>
        </w:tc>
        <w:tc>
          <w:tcPr>
            <w:tcW w:w="3448" w:type="dxa"/>
            <w:vMerge w:val="continue"/>
            <w:tcBorders>
              <w:left w:val="single" w:color="auto" w:sz="4" w:space="0"/>
              <w:right w:val="single" w:color="auto" w:sz="4" w:space="0"/>
            </w:tcBorders>
            <w:noWrap w:val="0"/>
            <w:tcMar>
              <w:top w:w="0" w:type="dxa"/>
              <w:left w:w="0" w:type="dxa"/>
              <w:bottom w:w="0" w:type="dxa"/>
              <w:right w:w="0" w:type="dxa"/>
            </w:tcMar>
            <w:vAlign w:val="center"/>
          </w:tcPr>
          <w:p w14:paraId="254DC73E">
            <w:pPr>
              <w:widowControl/>
              <w:spacing w:line="260" w:lineRule="exact"/>
              <w:ind w:firstLine="360" w:firstLineChars="200"/>
              <w:textAlignment w:val="center"/>
              <w:rPr>
                <w:rFonts w:hint="eastAsia" w:ascii="宋体" w:hAnsi="宋体" w:eastAsia="宋体" w:cs="宋体"/>
                <w:kern w:val="0"/>
                <w:sz w:val="18"/>
                <w:szCs w:val="18"/>
                <w:lang w:bidi="ar"/>
              </w:rPr>
            </w:pPr>
          </w:p>
        </w:tc>
        <w:tc>
          <w:tcPr>
            <w:tcW w:w="1570" w:type="dxa"/>
            <w:vMerge w:val="continue"/>
            <w:tcBorders>
              <w:left w:val="single" w:color="auto" w:sz="4" w:space="0"/>
              <w:right w:val="single" w:color="auto" w:sz="4" w:space="0"/>
            </w:tcBorders>
            <w:noWrap w:val="0"/>
            <w:tcMar>
              <w:top w:w="0" w:type="dxa"/>
              <w:left w:w="0" w:type="dxa"/>
              <w:bottom w:w="0" w:type="dxa"/>
              <w:right w:w="0" w:type="dxa"/>
            </w:tcMar>
            <w:vAlign w:val="center"/>
          </w:tcPr>
          <w:p w14:paraId="23E86B95">
            <w:pPr>
              <w:spacing w:line="260" w:lineRule="exact"/>
              <w:jc w:val="center"/>
              <w:rPr>
                <w:rFonts w:hint="eastAsia" w:ascii="宋体" w:hAnsi="宋体" w:eastAsia="宋体" w:cs="宋体"/>
                <w:sz w:val="18"/>
                <w:szCs w:val="18"/>
              </w:rPr>
            </w:pPr>
          </w:p>
        </w:tc>
        <w:tc>
          <w:tcPr>
            <w:tcW w:w="80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F8AEFFE">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较轻</w:t>
            </w:r>
          </w:p>
        </w:tc>
        <w:tc>
          <w:tcPr>
            <w:tcW w:w="353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66154D71">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3E8B2A27">
            <w:pPr>
              <w:spacing w:line="260" w:lineRule="exact"/>
              <w:rPr>
                <w:rStyle w:val="21"/>
                <w:rFonts w:hint="eastAsia" w:ascii="宋体" w:hAnsi="宋体" w:eastAsia="宋体" w:cs="宋体"/>
                <w:sz w:val="18"/>
                <w:szCs w:val="18"/>
                <w:lang w:bidi="ar"/>
              </w:rPr>
            </w:pPr>
          </w:p>
        </w:tc>
        <w:tc>
          <w:tcPr>
            <w:tcW w:w="261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6EEFE2CA">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0B6BD4E4">
            <w:pPr>
              <w:spacing w:line="260" w:lineRule="exact"/>
              <w:rPr>
                <w:rStyle w:val="21"/>
                <w:rFonts w:hint="eastAsia" w:ascii="宋体" w:hAnsi="宋体" w:eastAsia="宋体" w:cs="宋体"/>
                <w:sz w:val="18"/>
                <w:szCs w:val="18"/>
                <w:lang w:bidi="ar"/>
              </w:rPr>
            </w:pPr>
          </w:p>
        </w:tc>
        <w:tc>
          <w:tcPr>
            <w:tcW w:w="1135" w:type="dxa"/>
            <w:vMerge w:val="continue"/>
            <w:tcBorders>
              <w:left w:val="single" w:color="auto" w:sz="4" w:space="0"/>
              <w:right w:val="single" w:color="auto" w:sz="4" w:space="0"/>
            </w:tcBorders>
            <w:noWrap w:val="0"/>
            <w:tcMar>
              <w:top w:w="0" w:type="dxa"/>
              <w:left w:w="0" w:type="dxa"/>
              <w:bottom w:w="0" w:type="dxa"/>
              <w:right w:w="0" w:type="dxa"/>
            </w:tcMar>
            <w:vAlign w:val="center"/>
          </w:tcPr>
          <w:p w14:paraId="305CDD00">
            <w:pPr>
              <w:spacing w:line="260" w:lineRule="exact"/>
              <w:jc w:val="center"/>
              <w:rPr>
                <w:rStyle w:val="21"/>
                <w:rFonts w:hint="eastAsia" w:ascii="宋体" w:hAnsi="宋体" w:eastAsia="宋体" w:cs="宋体"/>
                <w:sz w:val="18"/>
                <w:szCs w:val="18"/>
                <w:lang w:bidi="ar"/>
              </w:rPr>
            </w:pPr>
          </w:p>
        </w:tc>
      </w:tr>
      <w:tr w14:paraId="582704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47" w:type="dxa"/>
            <w:vMerge w:val="continue"/>
            <w:tcBorders>
              <w:left w:val="single" w:color="auto" w:sz="4" w:space="0"/>
              <w:right w:val="single" w:color="auto" w:sz="4" w:space="0"/>
            </w:tcBorders>
            <w:noWrap w:val="0"/>
            <w:tcMar>
              <w:top w:w="0" w:type="dxa"/>
              <w:left w:w="0" w:type="dxa"/>
              <w:bottom w:w="0" w:type="dxa"/>
              <w:right w:w="0" w:type="dxa"/>
            </w:tcMar>
            <w:vAlign w:val="center"/>
          </w:tcPr>
          <w:p w14:paraId="0B723C6F">
            <w:pPr>
              <w:spacing w:line="260" w:lineRule="exact"/>
              <w:jc w:val="center"/>
              <w:rPr>
                <w:rFonts w:hint="eastAsia" w:ascii="宋体" w:hAnsi="宋体" w:eastAsia="宋体" w:cs="宋体"/>
                <w:sz w:val="18"/>
                <w:szCs w:val="18"/>
              </w:rPr>
            </w:pPr>
          </w:p>
        </w:tc>
        <w:tc>
          <w:tcPr>
            <w:tcW w:w="1282" w:type="dxa"/>
            <w:vMerge w:val="continue"/>
            <w:tcBorders>
              <w:left w:val="single" w:color="auto" w:sz="4" w:space="0"/>
              <w:right w:val="single" w:color="auto" w:sz="4" w:space="0"/>
            </w:tcBorders>
            <w:noWrap w:val="0"/>
            <w:tcMar>
              <w:top w:w="0" w:type="dxa"/>
              <w:left w:w="0" w:type="dxa"/>
              <w:bottom w:w="0" w:type="dxa"/>
              <w:right w:w="0" w:type="dxa"/>
            </w:tcMar>
            <w:vAlign w:val="center"/>
          </w:tcPr>
          <w:p w14:paraId="2A6C54C7">
            <w:pPr>
              <w:widowControl/>
              <w:spacing w:line="260" w:lineRule="exact"/>
              <w:textAlignment w:val="center"/>
              <w:rPr>
                <w:rFonts w:hint="eastAsia" w:ascii="宋体" w:hAnsi="宋体" w:eastAsia="宋体" w:cs="宋体"/>
                <w:kern w:val="0"/>
                <w:sz w:val="18"/>
                <w:szCs w:val="18"/>
                <w:lang w:bidi="ar"/>
              </w:rPr>
            </w:pPr>
          </w:p>
        </w:tc>
        <w:tc>
          <w:tcPr>
            <w:tcW w:w="3448" w:type="dxa"/>
            <w:vMerge w:val="continue"/>
            <w:tcBorders>
              <w:left w:val="single" w:color="auto" w:sz="4" w:space="0"/>
              <w:right w:val="single" w:color="auto" w:sz="4" w:space="0"/>
            </w:tcBorders>
            <w:noWrap w:val="0"/>
            <w:tcMar>
              <w:top w:w="0" w:type="dxa"/>
              <w:left w:w="0" w:type="dxa"/>
              <w:bottom w:w="0" w:type="dxa"/>
              <w:right w:w="0" w:type="dxa"/>
            </w:tcMar>
            <w:vAlign w:val="center"/>
          </w:tcPr>
          <w:p w14:paraId="06E34250">
            <w:pPr>
              <w:widowControl/>
              <w:spacing w:line="260" w:lineRule="exact"/>
              <w:ind w:firstLine="360" w:firstLineChars="200"/>
              <w:textAlignment w:val="center"/>
              <w:rPr>
                <w:rFonts w:hint="eastAsia" w:ascii="宋体" w:hAnsi="宋体" w:eastAsia="宋体" w:cs="宋体"/>
                <w:kern w:val="0"/>
                <w:sz w:val="18"/>
                <w:szCs w:val="18"/>
                <w:lang w:bidi="ar"/>
              </w:rPr>
            </w:pPr>
          </w:p>
        </w:tc>
        <w:tc>
          <w:tcPr>
            <w:tcW w:w="1570" w:type="dxa"/>
            <w:vMerge w:val="continue"/>
            <w:tcBorders>
              <w:left w:val="single" w:color="auto" w:sz="4" w:space="0"/>
              <w:right w:val="single" w:color="auto" w:sz="4" w:space="0"/>
            </w:tcBorders>
            <w:noWrap w:val="0"/>
            <w:tcMar>
              <w:top w:w="0" w:type="dxa"/>
              <w:left w:w="0" w:type="dxa"/>
              <w:bottom w:w="0" w:type="dxa"/>
              <w:right w:w="0" w:type="dxa"/>
            </w:tcMar>
            <w:vAlign w:val="center"/>
          </w:tcPr>
          <w:p w14:paraId="6B8ED9D2">
            <w:pPr>
              <w:spacing w:line="260" w:lineRule="exact"/>
              <w:jc w:val="center"/>
              <w:rPr>
                <w:rFonts w:hint="eastAsia" w:ascii="宋体" w:hAnsi="宋体" w:eastAsia="宋体" w:cs="宋体"/>
                <w:sz w:val="18"/>
                <w:szCs w:val="18"/>
              </w:rPr>
            </w:pPr>
          </w:p>
        </w:tc>
        <w:tc>
          <w:tcPr>
            <w:tcW w:w="80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4D7EA9C">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一般</w:t>
            </w:r>
          </w:p>
        </w:tc>
        <w:tc>
          <w:tcPr>
            <w:tcW w:w="353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082A8D8D">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15E8749C">
            <w:pPr>
              <w:spacing w:line="260" w:lineRule="exact"/>
              <w:rPr>
                <w:rStyle w:val="21"/>
                <w:rFonts w:hint="eastAsia" w:ascii="宋体" w:hAnsi="宋体" w:eastAsia="宋体" w:cs="宋体"/>
                <w:sz w:val="18"/>
                <w:szCs w:val="18"/>
                <w:lang w:bidi="ar"/>
              </w:rPr>
            </w:pPr>
          </w:p>
        </w:tc>
        <w:tc>
          <w:tcPr>
            <w:tcW w:w="261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1FC5103E">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7FB4290A">
            <w:pPr>
              <w:spacing w:line="260" w:lineRule="exact"/>
              <w:rPr>
                <w:rStyle w:val="21"/>
                <w:rFonts w:hint="eastAsia" w:ascii="宋体" w:hAnsi="宋体" w:eastAsia="宋体" w:cs="宋体"/>
                <w:sz w:val="18"/>
                <w:szCs w:val="18"/>
                <w:lang w:bidi="ar"/>
              </w:rPr>
            </w:pPr>
          </w:p>
        </w:tc>
        <w:tc>
          <w:tcPr>
            <w:tcW w:w="1135" w:type="dxa"/>
            <w:vMerge w:val="continue"/>
            <w:tcBorders>
              <w:left w:val="single" w:color="auto" w:sz="4" w:space="0"/>
              <w:right w:val="single" w:color="auto" w:sz="4" w:space="0"/>
            </w:tcBorders>
            <w:noWrap w:val="0"/>
            <w:tcMar>
              <w:top w:w="0" w:type="dxa"/>
              <w:left w:w="0" w:type="dxa"/>
              <w:bottom w:w="0" w:type="dxa"/>
              <w:right w:w="0" w:type="dxa"/>
            </w:tcMar>
            <w:vAlign w:val="center"/>
          </w:tcPr>
          <w:p w14:paraId="262F820C">
            <w:pPr>
              <w:spacing w:line="260" w:lineRule="exact"/>
              <w:jc w:val="center"/>
              <w:rPr>
                <w:rStyle w:val="21"/>
                <w:rFonts w:hint="eastAsia" w:ascii="宋体" w:hAnsi="宋体" w:eastAsia="宋体" w:cs="宋体"/>
                <w:sz w:val="18"/>
                <w:szCs w:val="18"/>
                <w:lang w:bidi="ar"/>
              </w:rPr>
            </w:pPr>
          </w:p>
        </w:tc>
      </w:tr>
      <w:tr w14:paraId="6358F8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47" w:type="dxa"/>
            <w:vMerge w:val="continue"/>
            <w:tcBorders>
              <w:left w:val="single" w:color="auto" w:sz="4" w:space="0"/>
              <w:right w:val="single" w:color="auto" w:sz="4" w:space="0"/>
            </w:tcBorders>
            <w:noWrap w:val="0"/>
            <w:tcMar>
              <w:top w:w="0" w:type="dxa"/>
              <w:left w:w="0" w:type="dxa"/>
              <w:bottom w:w="0" w:type="dxa"/>
              <w:right w:w="0" w:type="dxa"/>
            </w:tcMar>
            <w:vAlign w:val="center"/>
          </w:tcPr>
          <w:p w14:paraId="58F7BFD7">
            <w:pPr>
              <w:spacing w:line="260" w:lineRule="exact"/>
              <w:jc w:val="center"/>
              <w:rPr>
                <w:rFonts w:hint="eastAsia" w:ascii="宋体" w:hAnsi="宋体" w:eastAsia="宋体" w:cs="宋体"/>
                <w:sz w:val="18"/>
                <w:szCs w:val="18"/>
              </w:rPr>
            </w:pPr>
          </w:p>
        </w:tc>
        <w:tc>
          <w:tcPr>
            <w:tcW w:w="1282" w:type="dxa"/>
            <w:vMerge w:val="continue"/>
            <w:tcBorders>
              <w:left w:val="single" w:color="auto" w:sz="4" w:space="0"/>
              <w:right w:val="single" w:color="auto" w:sz="4" w:space="0"/>
            </w:tcBorders>
            <w:noWrap w:val="0"/>
            <w:tcMar>
              <w:top w:w="0" w:type="dxa"/>
              <w:left w:w="0" w:type="dxa"/>
              <w:bottom w:w="0" w:type="dxa"/>
              <w:right w:w="0" w:type="dxa"/>
            </w:tcMar>
            <w:vAlign w:val="center"/>
          </w:tcPr>
          <w:p w14:paraId="0BE57E2C">
            <w:pPr>
              <w:widowControl/>
              <w:spacing w:line="260" w:lineRule="exact"/>
              <w:textAlignment w:val="center"/>
              <w:rPr>
                <w:rFonts w:hint="eastAsia" w:ascii="宋体" w:hAnsi="宋体" w:eastAsia="宋体" w:cs="宋体"/>
                <w:kern w:val="0"/>
                <w:sz w:val="18"/>
                <w:szCs w:val="18"/>
                <w:lang w:bidi="ar"/>
              </w:rPr>
            </w:pPr>
          </w:p>
        </w:tc>
        <w:tc>
          <w:tcPr>
            <w:tcW w:w="3448" w:type="dxa"/>
            <w:vMerge w:val="continue"/>
            <w:tcBorders>
              <w:left w:val="single" w:color="auto" w:sz="4" w:space="0"/>
              <w:right w:val="single" w:color="auto" w:sz="4" w:space="0"/>
            </w:tcBorders>
            <w:noWrap w:val="0"/>
            <w:tcMar>
              <w:top w:w="0" w:type="dxa"/>
              <w:left w:w="0" w:type="dxa"/>
              <w:bottom w:w="0" w:type="dxa"/>
              <w:right w:w="0" w:type="dxa"/>
            </w:tcMar>
            <w:vAlign w:val="center"/>
          </w:tcPr>
          <w:p w14:paraId="16405570">
            <w:pPr>
              <w:widowControl/>
              <w:spacing w:line="260" w:lineRule="exact"/>
              <w:ind w:firstLine="360" w:firstLineChars="200"/>
              <w:textAlignment w:val="center"/>
              <w:rPr>
                <w:rFonts w:hint="eastAsia" w:ascii="宋体" w:hAnsi="宋体" w:eastAsia="宋体" w:cs="宋体"/>
                <w:kern w:val="0"/>
                <w:sz w:val="18"/>
                <w:szCs w:val="18"/>
                <w:lang w:bidi="ar"/>
              </w:rPr>
            </w:pPr>
          </w:p>
        </w:tc>
        <w:tc>
          <w:tcPr>
            <w:tcW w:w="1570" w:type="dxa"/>
            <w:vMerge w:val="continue"/>
            <w:tcBorders>
              <w:left w:val="single" w:color="auto" w:sz="4" w:space="0"/>
              <w:right w:val="single" w:color="auto" w:sz="4" w:space="0"/>
            </w:tcBorders>
            <w:noWrap w:val="0"/>
            <w:tcMar>
              <w:top w:w="0" w:type="dxa"/>
              <w:left w:w="0" w:type="dxa"/>
              <w:bottom w:w="0" w:type="dxa"/>
              <w:right w:w="0" w:type="dxa"/>
            </w:tcMar>
            <w:vAlign w:val="center"/>
          </w:tcPr>
          <w:p w14:paraId="5A592782">
            <w:pPr>
              <w:spacing w:line="260" w:lineRule="exact"/>
              <w:jc w:val="center"/>
              <w:rPr>
                <w:rFonts w:hint="eastAsia" w:ascii="宋体" w:hAnsi="宋体" w:eastAsia="宋体" w:cs="宋体"/>
                <w:sz w:val="18"/>
                <w:szCs w:val="18"/>
              </w:rPr>
            </w:pPr>
          </w:p>
        </w:tc>
        <w:tc>
          <w:tcPr>
            <w:tcW w:w="80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764D137">
            <w:pPr>
              <w:spacing w:line="260" w:lineRule="exact"/>
              <w:jc w:val="center"/>
              <w:rPr>
                <w:rFonts w:hint="eastAsia" w:ascii="宋体" w:hAnsi="宋体" w:eastAsia="宋体" w:cs="宋体"/>
                <w:sz w:val="18"/>
                <w:szCs w:val="18"/>
                <w:lang w:eastAsia="zh-CN"/>
              </w:rPr>
            </w:pPr>
            <w:r>
              <w:rPr>
                <w:rFonts w:hint="eastAsia" w:ascii="宋体" w:hAnsi="宋体" w:eastAsia="宋体" w:cs="宋体"/>
                <w:sz w:val="18"/>
                <w:szCs w:val="18"/>
                <w:lang w:eastAsia="zh-CN"/>
              </w:rPr>
              <w:t>较重</w:t>
            </w:r>
          </w:p>
        </w:tc>
        <w:tc>
          <w:tcPr>
            <w:tcW w:w="353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DE4371A">
            <w:pPr>
              <w:spacing w:line="260" w:lineRule="exact"/>
              <w:rPr>
                <w:rFonts w:hint="eastAsia" w:ascii="宋体" w:hAnsi="宋体" w:eastAsia="宋体" w:cs="宋体"/>
                <w:color w:val="000000"/>
                <w:sz w:val="18"/>
                <w:szCs w:val="18"/>
                <w:lang w:bidi="ar"/>
              </w:rPr>
            </w:pPr>
            <w:r>
              <w:rPr>
                <w:rStyle w:val="21"/>
                <w:rFonts w:hint="eastAsia" w:ascii="宋体" w:hAnsi="宋体" w:eastAsia="宋体" w:cs="宋体"/>
                <w:sz w:val="18"/>
                <w:szCs w:val="18"/>
                <w:lang w:bidi="ar"/>
              </w:rPr>
              <w:t>影响较小且未在规定期限内改正的</w:t>
            </w:r>
          </w:p>
        </w:tc>
        <w:tc>
          <w:tcPr>
            <w:tcW w:w="261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ACB7B12">
            <w:pPr>
              <w:spacing w:line="260" w:lineRule="exact"/>
              <w:rPr>
                <w:rFonts w:hint="eastAsia" w:ascii="宋体" w:hAnsi="宋体" w:eastAsia="宋体" w:cs="宋体"/>
                <w:color w:val="000000"/>
                <w:sz w:val="18"/>
                <w:szCs w:val="18"/>
                <w:lang w:bidi="ar"/>
              </w:rPr>
            </w:pPr>
            <w:r>
              <w:rPr>
                <w:rStyle w:val="21"/>
                <w:rFonts w:hint="eastAsia" w:ascii="宋体" w:hAnsi="宋体" w:eastAsia="宋体" w:cs="宋体"/>
                <w:sz w:val="18"/>
                <w:szCs w:val="18"/>
                <w:lang w:bidi="ar"/>
              </w:rPr>
              <w:t>处</w:t>
            </w:r>
            <w:r>
              <w:rPr>
                <w:rStyle w:val="21"/>
                <w:rFonts w:hint="eastAsia" w:ascii="宋体" w:hAnsi="宋体" w:eastAsia="宋体" w:cs="宋体"/>
                <w:sz w:val="18"/>
                <w:szCs w:val="18"/>
                <w:lang w:val="en-US" w:eastAsia="zh-CN" w:bidi="ar"/>
              </w:rPr>
              <w:t>1</w:t>
            </w:r>
            <w:r>
              <w:rPr>
                <w:rStyle w:val="21"/>
                <w:rFonts w:hint="eastAsia" w:ascii="宋体" w:hAnsi="宋体" w:eastAsia="宋体" w:cs="宋体"/>
                <w:sz w:val="18"/>
                <w:szCs w:val="18"/>
                <w:lang w:bidi="ar"/>
              </w:rPr>
              <w:t>万元以上</w:t>
            </w:r>
            <w:r>
              <w:rPr>
                <w:rStyle w:val="21"/>
                <w:rFonts w:hint="eastAsia" w:ascii="宋体" w:hAnsi="宋体" w:eastAsia="宋体" w:cs="宋体"/>
                <w:sz w:val="18"/>
                <w:szCs w:val="18"/>
                <w:lang w:val="en-US" w:eastAsia="zh-CN" w:bidi="ar"/>
              </w:rPr>
              <w:t>2</w:t>
            </w:r>
            <w:r>
              <w:rPr>
                <w:rStyle w:val="21"/>
                <w:rFonts w:hint="eastAsia" w:ascii="宋体" w:hAnsi="宋体" w:eastAsia="宋体" w:cs="宋体"/>
                <w:sz w:val="18"/>
                <w:szCs w:val="18"/>
                <w:lang w:bidi="ar"/>
              </w:rPr>
              <w:t>万元以下的罚款</w:t>
            </w:r>
          </w:p>
        </w:tc>
        <w:tc>
          <w:tcPr>
            <w:tcW w:w="1135" w:type="dxa"/>
            <w:vMerge w:val="continue"/>
            <w:tcBorders>
              <w:left w:val="single" w:color="auto" w:sz="4" w:space="0"/>
              <w:right w:val="single" w:color="auto" w:sz="4" w:space="0"/>
            </w:tcBorders>
            <w:noWrap w:val="0"/>
            <w:tcMar>
              <w:top w:w="0" w:type="dxa"/>
              <w:left w:w="0" w:type="dxa"/>
              <w:bottom w:w="0" w:type="dxa"/>
              <w:right w:w="0" w:type="dxa"/>
            </w:tcMar>
            <w:vAlign w:val="center"/>
          </w:tcPr>
          <w:p w14:paraId="1A89758C">
            <w:pPr>
              <w:spacing w:line="260" w:lineRule="exact"/>
              <w:jc w:val="center"/>
              <w:rPr>
                <w:rStyle w:val="21"/>
                <w:rFonts w:hint="eastAsia" w:ascii="宋体" w:hAnsi="宋体" w:eastAsia="宋体" w:cs="宋体"/>
                <w:sz w:val="18"/>
                <w:szCs w:val="18"/>
                <w:lang w:bidi="ar"/>
              </w:rPr>
            </w:pPr>
          </w:p>
        </w:tc>
      </w:tr>
      <w:tr w14:paraId="6F55AA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47" w:type="dxa"/>
            <w:vMerge w:val="continue"/>
            <w:tcBorders>
              <w:left w:val="single" w:color="auto" w:sz="4" w:space="0"/>
              <w:right w:val="single" w:color="auto" w:sz="4" w:space="0"/>
            </w:tcBorders>
            <w:noWrap w:val="0"/>
            <w:tcMar>
              <w:top w:w="0" w:type="dxa"/>
              <w:left w:w="0" w:type="dxa"/>
              <w:bottom w:w="0" w:type="dxa"/>
              <w:right w:w="0" w:type="dxa"/>
            </w:tcMar>
            <w:vAlign w:val="center"/>
          </w:tcPr>
          <w:p w14:paraId="37182928">
            <w:pPr>
              <w:spacing w:line="260" w:lineRule="exact"/>
              <w:jc w:val="center"/>
              <w:rPr>
                <w:rFonts w:hint="eastAsia" w:ascii="宋体" w:hAnsi="宋体" w:eastAsia="宋体" w:cs="宋体"/>
                <w:sz w:val="18"/>
                <w:szCs w:val="18"/>
              </w:rPr>
            </w:pPr>
          </w:p>
        </w:tc>
        <w:tc>
          <w:tcPr>
            <w:tcW w:w="1282" w:type="dxa"/>
            <w:vMerge w:val="continue"/>
            <w:tcBorders>
              <w:left w:val="single" w:color="auto" w:sz="4" w:space="0"/>
              <w:right w:val="single" w:color="auto" w:sz="4" w:space="0"/>
            </w:tcBorders>
            <w:noWrap w:val="0"/>
            <w:tcMar>
              <w:top w:w="0" w:type="dxa"/>
              <w:left w:w="0" w:type="dxa"/>
              <w:bottom w:w="0" w:type="dxa"/>
              <w:right w:w="0" w:type="dxa"/>
            </w:tcMar>
            <w:vAlign w:val="center"/>
          </w:tcPr>
          <w:p w14:paraId="03B9B295">
            <w:pPr>
              <w:widowControl/>
              <w:spacing w:line="260" w:lineRule="exact"/>
              <w:textAlignment w:val="center"/>
              <w:rPr>
                <w:rFonts w:hint="eastAsia" w:ascii="宋体" w:hAnsi="宋体" w:eastAsia="宋体" w:cs="宋体"/>
                <w:kern w:val="0"/>
                <w:sz w:val="18"/>
                <w:szCs w:val="18"/>
                <w:lang w:bidi="ar"/>
              </w:rPr>
            </w:pPr>
          </w:p>
        </w:tc>
        <w:tc>
          <w:tcPr>
            <w:tcW w:w="3448" w:type="dxa"/>
            <w:vMerge w:val="continue"/>
            <w:tcBorders>
              <w:left w:val="single" w:color="auto" w:sz="4" w:space="0"/>
              <w:right w:val="single" w:color="auto" w:sz="4" w:space="0"/>
            </w:tcBorders>
            <w:noWrap w:val="0"/>
            <w:tcMar>
              <w:top w:w="0" w:type="dxa"/>
              <w:left w:w="0" w:type="dxa"/>
              <w:bottom w:w="0" w:type="dxa"/>
              <w:right w:w="0" w:type="dxa"/>
            </w:tcMar>
            <w:vAlign w:val="center"/>
          </w:tcPr>
          <w:p w14:paraId="62E2CB24">
            <w:pPr>
              <w:widowControl/>
              <w:spacing w:line="260" w:lineRule="exact"/>
              <w:ind w:firstLine="360" w:firstLineChars="200"/>
              <w:textAlignment w:val="center"/>
              <w:rPr>
                <w:rFonts w:hint="eastAsia" w:ascii="宋体" w:hAnsi="宋体" w:eastAsia="宋体" w:cs="宋体"/>
                <w:kern w:val="0"/>
                <w:sz w:val="18"/>
                <w:szCs w:val="18"/>
                <w:lang w:bidi="ar"/>
              </w:rPr>
            </w:pPr>
          </w:p>
        </w:tc>
        <w:tc>
          <w:tcPr>
            <w:tcW w:w="1570" w:type="dxa"/>
            <w:vMerge w:val="continue"/>
            <w:tcBorders>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55EC0C0">
            <w:pPr>
              <w:spacing w:line="260" w:lineRule="exact"/>
              <w:jc w:val="center"/>
              <w:rPr>
                <w:rFonts w:hint="eastAsia" w:ascii="宋体" w:hAnsi="宋体" w:eastAsia="宋体" w:cs="宋体"/>
                <w:sz w:val="18"/>
                <w:szCs w:val="18"/>
              </w:rPr>
            </w:pPr>
          </w:p>
        </w:tc>
        <w:tc>
          <w:tcPr>
            <w:tcW w:w="80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EBBEF1E">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严重</w:t>
            </w:r>
          </w:p>
        </w:tc>
        <w:tc>
          <w:tcPr>
            <w:tcW w:w="353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4DEFD8F">
            <w:pPr>
              <w:spacing w:line="260" w:lineRule="exact"/>
              <w:rPr>
                <w:rFonts w:hint="eastAsia" w:ascii="宋体" w:hAnsi="宋体" w:eastAsia="宋体" w:cs="宋体"/>
                <w:color w:val="000000"/>
                <w:sz w:val="18"/>
                <w:szCs w:val="18"/>
                <w:lang w:bidi="ar"/>
              </w:rPr>
            </w:pPr>
            <w:r>
              <w:rPr>
                <w:rStyle w:val="21"/>
                <w:rFonts w:hint="eastAsia" w:ascii="宋体" w:hAnsi="宋体" w:eastAsia="宋体" w:cs="宋体"/>
                <w:sz w:val="18"/>
                <w:szCs w:val="18"/>
                <w:lang w:bidi="ar"/>
              </w:rPr>
              <w:t>影响严重且未在规定期限内改正、拒不改正或难以改正的</w:t>
            </w:r>
          </w:p>
        </w:tc>
        <w:tc>
          <w:tcPr>
            <w:tcW w:w="261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F104D8A">
            <w:pPr>
              <w:spacing w:line="260" w:lineRule="exact"/>
              <w:rPr>
                <w:rFonts w:hint="eastAsia" w:ascii="宋体" w:hAnsi="宋体" w:eastAsia="宋体" w:cs="宋体"/>
                <w:color w:val="000000"/>
                <w:sz w:val="18"/>
                <w:szCs w:val="18"/>
                <w:lang w:bidi="ar"/>
              </w:rPr>
            </w:pPr>
            <w:r>
              <w:rPr>
                <w:rStyle w:val="21"/>
                <w:rFonts w:hint="eastAsia" w:ascii="宋体" w:hAnsi="宋体" w:eastAsia="宋体" w:cs="宋体"/>
                <w:sz w:val="18"/>
                <w:szCs w:val="18"/>
                <w:lang w:bidi="ar"/>
              </w:rPr>
              <w:t>处</w:t>
            </w:r>
            <w:r>
              <w:rPr>
                <w:rStyle w:val="21"/>
                <w:rFonts w:hint="eastAsia" w:ascii="宋体" w:hAnsi="宋体" w:eastAsia="宋体" w:cs="宋体"/>
                <w:sz w:val="18"/>
                <w:szCs w:val="18"/>
                <w:lang w:val="en-US" w:eastAsia="zh-CN" w:bidi="ar"/>
              </w:rPr>
              <w:t>2</w:t>
            </w:r>
            <w:r>
              <w:rPr>
                <w:rStyle w:val="21"/>
                <w:rFonts w:hint="eastAsia" w:ascii="宋体" w:hAnsi="宋体" w:eastAsia="宋体" w:cs="宋体"/>
                <w:sz w:val="18"/>
                <w:szCs w:val="18"/>
                <w:lang w:bidi="ar"/>
              </w:rPr>
              <w:t>万元以上</w:t>
            </w:r>
            <w:r>
              <w:rPr>
                <w:rStyle w:val="21"/>
                <w:rFonts w:hint="eastAsia" w:ascii="宋体" w:hAnsi="宋体" w:eastAsia="宋体" w:cs="宋体"/>
                <w:sz w:val="18"/>
                <w:szCs w:val="18"/>
                <w:lang w:val="en-US" w:eastAsia="zh-CN" w:bidi="ar"/>
              </w:rPr>
              <w:t>3</w:t>
            </w:r>
            <w:r>
              <w:rPr>
                <w:rStyle w:val="21"/>
                <w:rFonts w:hint="eastAsia" w:ascii="宋体" w:hAnsi="宋体" w:eastAsia="宋体" w:cs="宋体"/>
                <w:sz w:val="18"/>
                <w:szCs w:val="18"/>
                <w:lang w:bidi="ar"/>
              </w:rPr>
              <w:t>万元以下的罚款</w:t>
            </w:r>
          </w:p>
        </w:tc>
        <w:tc>
          <w:tcPr>
            <w:tcW w:w="1135" w:type="dxa"/>
            <w:vMerge w:val="continue"/>
            <w:tcBorders>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589630A">
            <w:pPr>
              <w:spacing w:line="260" w:lineRule="exact"/>
              <w:jc w:val="center"/>
              <w:rPr>
                <w:rStyle w:val="21"/>
                <w:rFonts w:hint="eastAsia" w:ascii="宋体" w:hAnsi="宋体" w:eastAsia="宋体" w:cs="宋体"/>
                <w:sz w:val="18"/>
                <w:szCs w:val="18"/>
                <w:lang w:bidi="ar"/>
              </w:rPr>
            </w:pPr>
          </w:p>
        </w:tc>
      </w:tr>
      <w:tr w14:paraId="01E524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47" w:type="dxa"/>
            <w:vMerge w:val="continue"/>
            <w:tcBorders>
              <w:left w:val="single" w:color="auto" w:sz="4" w:space="0"/>
              <w:right w:val="single" w:color="auto" w:sz="4" w:space="0"/>
            </w:tcBorders>
            <w:noWrap w:val="0"/>
            <w:tcMar>
              <w:top w:w="0" w:type="dxa"/>
              <w:left w:w="0" w:type="dxa"/>
              <w:bottom w:w="0" w:type="dxa"/>
              <w:right w:w="0" w:type="dxa"/>
            </w:tcMar>
            <w:vAlign w:val="center"/>
          </w:tcPr>
          <w:p w14:paraId="2644C772">
            <w:pPr>
              <w:spacing w:line="260" w:lineRule="exact"/>
              <w:jc w:val="center"/>
              <w:rPr>
                <w:rFonts w:hint="eastAsia" w:ascii="宋体" w:hAnsi="宋体" w:eastAsia="宋体" w:cs="宋体"/>
                <w:sz w:val="18"/>
                <w:szCs w:val="18"/>
              </w:rPr>
            </w:pPr>
          </w:p>
        </w:tc>
        <w:tc>
          <w:tcPr>
            <w:tcW w:w="1282" w:type="dxa"/>
            <w:vMerge w:val="continue"/>
            <w:tcBorders>
              <w:left w:val="single" w:color="auto" w:sz="4" w:space="0"/>
              <w:right w:val="single" w:color="auto" w:sz="4" w:space="0"/>
            </w:tcBorders>
            <w:noWrap w:val="0"/>
            <w:tcMar>
              <w:top w:w="0" w:type="dxa"/>
              <w:left w:w="0" w:type="dxa"/>
              <w:bottom w:w="0" w:type="dxa"/>
              <w:right w:w="0" w:type="dxa"/>
            </w:tcMar>
            <w:vAlign w:val="center"/>
          </w:tcPr>
          <w:p w14:paraId="4B1EDE0C">
            <w:pPr>
              <w:widowControl/>
              <w:spacing w:line="260" w:lineRule="exact"/>
              <w:textAlignment w:val="center"/>
              <w:rPr>
                <w:rFonts w:hint="eastAsia" w:ascii="宋体" w:hAnsi="宋体" w:eastAsia="宋体" w:cs="宋体"/>
                <w:kern w:val="0"/>
                <w:sz w:val="18"/>
                <w:szCs w:val="18"/>
                <w:lang w:bidi="ar"/>
              </w:rPr>
            </w:pPr>
          </w:p>
        </w:tc>
        <w:tc>
          <w:tcPr>
            <w:tcW w:w="3448" w:type="dxa"/>
            <w:vMerge w:val="continue"/>
            <w:tcBorders>
              <w:left w:val="single" w:color="auto" w:sz="4" w:space="0"/>
              <w:right w:val="single" w:color="auto" w:sz="4" w:space="0"/>
            </w:tcBorders>
            <w:noWrap w:val="0"/>
            <w:tcMar>
              <w:top w:w="0" w:type="dxa"/>
              <w:left w:w="0" w:type="dxa"/>
              <w:bottom w:w="0" w:type="dxa"/>
              <w:right w:w="0" w:type="dxa"/>
            </w:tcMar>
            <w:vAlign w:val="center"/>
          </w:tcPr>
          <w:p w14:paraId="355E63E1">
            <w:pPr>
              <w:widowControl/>
              <w:spacing w:line="260" w:lineRule="exact"/>
              <w:ind w:firstLine="360" w:firstLineChars="200"/>
              <w:textAlignment w:val="center"/>
              <w:rPr>
                <w:rFonts w:hint="eastAsia" w:ascii="宋体" w:hAnsi="宋体" w:eastAsia="宋体" w:cs="宋体"/>
                <w:kern w:val="0"/>
                <w:sz w:val="18"/>
                <w:szCs w:val="18"/>
                <w:lang w:bidi="ar"/>
              </w:rPr>
            </w:pPr>
          </w:p>
        </w:tc>
        <w:tc>
          <w:tcPr>
            <w:tcW w:w="1570" w:type="dxa"/>
            <w:vMerge w:val="restart"/>
            <w:tcBorders>
              <w:left w:val="single" w:color="auto" w:sz="4" w:space="0"/>
              <w:right w:val="single" w:color="auto" w:sz="4" w:space="0"/>
            </w:tcBorders>
            <w:noWrap w:val="0"/>
            <w:tcMar>
              <w:top w:w="0" w:type="dxa"/>
              <w:left w:w="0" w:type="dxa"/>
              <w:bottom w:w="0" w:type="dxa"/>
              <w:right w:w="0" w:type="dxa"/>
            </w:tcMar>
            <w:vAlign w:val="center"/>
          </w:tcPr>
          <w:p w14:paraId="7DAA26D6">
            <w:pPr>
              <w:spacing w:line="260" w:lineRule="exact"/>
              <w:jc w:val="left"/>
              <w:rPr>
                <w:rFonts w:hint="eastAsia" w:ascii="宋体" w:hAnsi="宋体" w:eastAsia="宋体" w:cs="宋体"/>
                <w:sz w:val="18"/>
                <w:szCs w:val="18"/>
                <w:lang w:val="en-US" w:eastAsia="zh-CN"/>
              </w:rPr>
            </w:pPr>
            <w:r>
              <w:rPr>
                <w:rFonts w:hint="eastAsia" w:ascii="宋体" w:hAnsi="宋体" w:eastAsia="宋体" w:cs="宋体"/>
                <w:color w:val="000000"/>
                <w:kern w:val="0"/>
                <w:sz w:val="18"/>
                <w:szCs w:val="18"/>
                <w:lang w:bidi="ar"/>
              </w:rPr>
              <w:t>擅自改造、迁移或者拆除农村集中供水设施</w:t>
            </w:r>
            <w:r>
              <w:rPr>
                <w:rFonts w:hint="eastAsia" w:ascii="宋体" w:hAnsi="宋体" w:eastAsia="宋体" w:cs="宋体"/>
                <w:color w:val="000000"/>
                <w:kern w:val="0"/>
                <w:sz w:val="18"/>
                <w:szCs w:val="18"/>
                <w:lang w:val="en-US" w:eastAsia="zh-CN" w:bidi="ar"/>
              </w:rPr>
              <w:t>的</w:t>
            </w:r>
          </w:p>
        </w:tc>
        <w:tc>
          <w:tcPr>
            <w:tcW w:w="80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EA4FD7B">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轻微</w:t>
            </w:r>
          </w:p>
        </w:tc>
        <w:tc>
          <w:tcPr>
            <w:tcW w:w="353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4956B71C">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34F17EB7">
            <w:pPr>
              <w:spacing w:line="260" w:lineRule="exact"/>
              <w:rPr>
                <w:rStyle w:val="21"/>
                <w:rFonts w:hint="eastAsia" w:ascii="宋体" w:hAnsi="宋体" w:eastAsia="宋体" w:cs="宋体"/>
                <w:sz w:val="18"/>
                <w:szCs w:val="18"/>
                <w:lang w:bidi="ar"/>
              </w:rPr>
            </w:pPr>
          </w:p>
        </w:tc>
        <w:tc>
          <w:tcPr>
            <w:tcW w:w="261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6A390D71">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068FD46D">
            <w:pPr>
              <w:spacing w:line="260" w:lineRule="exact"/>
              <w:rPr>
                <w:rStyle w:val="21"/>
                <w:rFonts w:hint="eastAsia" w:ascii="宋体" w:hAnsi="宋体" w:eastAsia="宋体" w:cs="宋体"/>
                <w:sz w:val="18"/>
                <w:szCs w:val="18"/>
                <w:lang w:bidi="ar"/>
              </w:rPr>
            </w:pPr>
          </w:p>
        </w:tc>
        <w:tc>
          <w:tcPr>
            <w:tcW w:w="1135" w:type="dxa"/>
            <w:vMerge w:val="restart"/>
            <w:tcBorders>
              <w:top w:val="single" w:color="auto" w:sz="4" w:space="0"/>
              <w:left w:val="single" w:color="auto" w:sz="4" w:space="0"/>
              <w:right w:val="single" w:color="auto" w:sz="4" w:space="0"/>
            </w:tcBorders>
            <w:noWrap w:val="0"/>
            <w:tcMar>
              <w:top w:w="0" w:type="dxa"/>
              <w:left w:w="0" w:type="dxa"/>
              <w:bottom w:w="0" w:type="dxa"/>
              <w:right w:w="0" w:type="dxa"/>
            </w:tcMar>
            <w:vAlign w:val="center"/>
          </w:tcPr>
          <w:p w14:paraId="56541303">
            <w:pPr>
              <w:spacing w:line="260" w:lineRule="exact"/>
              <w:jc w:val="center"/>
              <w:rPr>
                <w:rStyle w:val="21"/>
                <w:rFonts w:hint="eastAsia" w:ascii="宋体" w:hAnsi="宋体" w:eastAsia="宋体" w:cs="宋体"/>
                <w:sz w:val="18"/>
                <w:szCs w:val="18"/>
                <w:lang w:bidi="ar"/>
              </w:rPr>
            </w:pPr>
          </w:p>
        </w:tc>
      </w:tr>
      <w:tr w14:paraId="2C5B78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47" w:type="dxa"/>
            <w:vMerge w:val="continue"/>
            <w:tcBorders>
              <w:left w:val="single" w:color="auto" w:sz="4" w:space="0"/>
              <w:right w:val="single" w:color="auto" w:sz="4" w:space="0"/>
            </w:tcBorders>
            <w:noWrap w:val="0"/>
            <w:tcMar>
              <w:top w:w="0" w:type="dxa"/>
              <w:left w:w="0" w:type="dxa"/>
              <w:bottom w:w="0" w:type="dxa"/>
              <w:right w:w="0" w:type="dxa"/>
            </w:tcMar>
            <w:vAlign w:val="center"/>
          </w:tcPr>
          <w:p w14:paraId="51DDFAA1">
            <w:pPr>
              <w:spacing w:line="260" w:lineRule="exact"/>
              <w:jc w:val="center"/>
              <w:rPr>
                <w:rFonts w:hint="eastAsia" w:ascii="宋体" w:hAnsi="宋体" w:eastAsia="宋体" w:cs="宋体"/>
                <w:sz w:val="18"/>
                <w:szCs w:val="18"/>
              </w:rPr>
            </w:pPr>
          </w:p>
        </w:tc>
        <w:tc>
          <w:tcPr>
            <w:tcW w:w="1282" w:type="dxa"/>
            <w:vMerge w:val="continue"/>
            <w:tcBorders>
              <w:left w:val="single" w:color="auto" w:sz="4" w:space="0"/>
              <w:right w:val="single" w:color="auto" w:sz="4" w:space="0"/>
            </w:tcBorders>
            <w:noWrap w:val="0"/>
            <w:tcMar>
              <w:top w:w="0" w:type="dxa"/>
              <w:left w:w="0" w:type="dxa"/>
              <w:bottom w:w="0" w:type="dxa"/>
              <w:right w:w="0" w:type="dxa"/>
            </w:tcMar>
            <w:vAlign w:val="center"/>
          </w:tcPr>
          <w:p w14:paraId="2EC809B5">
            <w:pPr>
              <w:widowControl/>
              <w:spacing w:line="260" w:lineRule="exact"/>
              <w:textAlignment w:val="center"/>
              <w:rPr>
                <w:rFonts w:hint="eastAsia" w:ascii="宋体" w:hAnsi="宋体" w:eastAsia="宋体" w:cs="宋体"/>
                <w:kern w:val="0"/>
                <w:sz w:val="18"/>
                <w:szCs w:val="18"/>
                <w:lang w:bidi="ar"/>
              </w:rPr>
            </w:pPr>
          </w:p>
        </w:tc>
        <w:tc>
          <w:tcPr>
            <w:tcW w:w="3448" w:type="dxa"/>
            <w:vMerge w:val="continue"/>
            <w:tcBorders>
              <w:left w:val="single" w:color="auto" w:sz="4" w:space="0"/>
              <w:right w:val="single" w:color="auto" w:sz="4" w:space="0"/>
            </w:tcBorders>
            <w:noWrap w:val="0"/>
            <w:tcMar>
              <w:top w:w="0" w:type="dxa"/>
              <w:left w:w="0" w:type="dxa"/>
              <w:bottom w:w="0" w:type="dxa"/>
              <w:right w:w="0" w:type="dxa"/>
            </w:tcMar>
            <w:vAlign w:val="center"/>
          </w:tcPr>
          <w:p w14:paraId="50E1F2FD">
            <w:pPr>
              <w:widowControl/>
              <w:spacing w:line="260" w:lineRule="exact"/>
              <w:ind w:firstLine="360" w:firstLineChars="200"/>
              <w:textAlignment w:val="center"/>
              <w:rPr>
                <w:rFonts w:hint="eastAsia" w:ascii="宋体" w:hAnsi="宋体" w:eastAsia="宋体" w:cs="宋体"/>
                <w:kern w:val="0"/>
                <w:sz w:val="18"/>
                <w:szCs w:val="18"/>
                <w:lang w:bidi="ar"/>
              </w:rPr>
            </w:pPr>
          </w:p>
        </w:tc>
        <w:tc>
          <w:tcPr>
            <w:tcW w:w="1570" w:type="dxa"/>
            <w:vMerge w:val="continue"/>
            <w:tcBorders>
              <w:left w:val="single" w:color="auto" w:sz="4" w:space="0"/>
              <w:right w:val="single" w:color="auto" w:sz="4" w:space="0"/>
            </w:tcBorders>
            <w:noWrap w:val="0"/>
            <w:tcMar>
              <w:top w:w="0" w:type="dxa"/>
              <w:left w:w="0" w:type="dxa"/>
              <w:bottom w:w="0" w:type="dxa"/>
              <w:right w:w="0" w:type="dxa"/>
            </w:tcMar>
            <w:vAlign w:val="center"/>
          </w:tcPr>
          <w:p w14:paraId="1CAE2CFC">
            <w:pPr>
              <w:spacing w:line="260" w:lineRule="exact"/>
              <w:jc w:val="center"/>
              <w:rPr>
                <w:rFonts w:hint="eastAsia" w:ascii="宋体" w:hAnsi="宋体" w:eastAsia="宋体" w:cs="宋体"/>
                <w:sz w:val="18"/>
                <w:szCs w:val="18"/>
              </w:rPr>
            </w:pPr>
          </w:p>
        </w:tc>
        <w:tc>
          <w:tcPr>
            <w:tcW w:w="80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8BB5FDA">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较轻</w:t>
            </w:r>
          </w:p>
        </w:tc>
        <w:tc>
          <w:tcPr>
            <w:tcW w:w="353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21A8FED6">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1A68D73C">
            <w:pPr>
              <w:spacing w:line="260" w:lineRule="exact"/>
              <w:rPr>
                <w:rStyle w:val="21"/>
                <w:rFonts w:hint="eastAsia" w:ascii="宋体" w:hAnsi="宋体" w:eastAsia="宋体" w:cs="宋体"/>
                <w:sz w:val="18"/>
                <w:szCs w:val="18"/>
                <w:lang w:bidi="ar"/>
              </w:rPr>
            </w:pPr>
          </w:p>
        </w:tc>
        <w:tc>
          <w:tcPr>
            <w:tcW w:w="261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01D863B5">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656398DC">
            <w:pPr>
              <w:spacing w:line="260" w:lineRule="exact"/>
              <w:rPr>
                <w:rStyle w:val="21"/>
                <w:rFonts w:hint="eastAsia" w:ascii="宋体" w:hAnsi="宋体" w:eastAsia="宋体" w:cs="宋体"/>
                <w:sz w:val="18"/>
                <w:szCs w:val="18"/>
                <w:lang w:bidi="ar"/>
              </w:rPr>
            </w:pPr>
          </w:p>
        </w:tc>
        <w:tc>
          <w:tcPr>
            <w:tcW w:w="1135" w:type="dxa"/>
            <w:vMerge w:val="continue"/>
            <w:tcBorders>
              <w:left w:val="single" w:color="auto" w:sz="4" w:space="0"/>
              <w:right w:val="single" w:color="auto" w:sz="4" w:space="0"/>
            </w:tcBorders>
            <w:noWrap w:val="0"/>
            <w:tcMar>
              <w:top w:w="0" w:type="dxa"/>
              <w:left w:w="0" w:type="dxa"/>
              <w:bottom w:w="0" w:type="dxa"/>
              <w:right w:w="0" w:type="dxa"/>
            </w:tcMar>
            <w:vAlign w:val="center"/>
          </w:tcPr>
          <w:p w14:paraId="66AFA343">
            <w:pPr>
              <w:spacing w:line="260" w:lineRule="exact"/>
              <w:jc w:val="center"/>
              <w:rPr>
                <w:rStyle w:val="21"/>
                <w:rFonts w:hint="eastAsia" w:ascii="宋体" w:hAnsi="宋体" w:eastAsia="宋体" w:cs="宋体"/>
                <w:sz w:val="18"/>
                <w:szCs w:val="18"/>
                <w:lang w:bidi="ar"/>
              </w:rPr>
            </w:pPr>
          </w:p>
        </w:tc>
      </w:tr>
      <w:tr w14:paraId="2F508F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47" w:type="dxa"/>
            <w:vMerge w:val="continue"/>
            <w:tcBorders>
              <w:left w:val="single" w:color="auto" w:sz="4" w:space="0"/>
              <w:right w:val="single" w:color="auto" w:sz="4" w:space="0"/>
            </w:tcBorders>
            <w:noWrap w:val="0"/>
            <w:tcMar>
              <w:top w:w="0" w:type="dxa"/>
              <w:left w:w="0" w:type="dxa"/>
              <w:bottom w:w="0" w:type="dxa"/>
              <w:right w:w="0" w:type="dxa"/>
            </w:tcMar>
            <w:vAlign w:val="center"/>
          </w:tcPr>
          <w:p w14:paraId="2E2F220C">
            <w:pPr>
              <w:spacing w:line="260" w:lineRule="exact"/>
              <w:jc w:val="center"/>
              <w:rPr>
                <w:rFonts w:hint="eastAsia" w:ascii="宋体" w:hAnsi="宋体" w:eastAsia="宋体" w:cs="宋体"/>
                <w:sz w:val="18"/>
                <w:szCs w:val="18"/>
              </w:rPr>
            </w:pPr>
          </w:p>
        </w:tc>
        <w:tc>
          <w:tcPr>
            <w:tcW w:w="1282" w:type="dxa"/>
            <w:vMerge w:val="continue"/>
            <w:tcBorders>
              <w:left w:val="single" w:color="auto" w:sz="4" w:space="0"/>
              <w:right w:val="single" w:color="auto" w:sz="4" w:space="0"/>
            </w:tcBorders>
            <w:noWrap w:val="0"/>
            <w:tcMar>
              <w:top w:w="0" w:type="dxa"/>
              <w:left w:w="0" w:type="dxa"/>
              <w:bottom w:w="0" w:type="dxa"/>
              <w:right w:w="0" w:type="dxa"/>
            </w:tcMar>
            <w:vAlign w:val="center"/>
          </w:tcPr>
          <w:p w14:paraId="1E671E7A">
            <w:pPr>
              <w:widowControl/>
              <w:spacing w:line="260" w:lineRule="exact"/>
              <w:textAlignment w:val="center"/>
              <w:rPr>
                <w:rFonts w:hint="eastAsia" w:ascii="宋体" w:hAnsi="宋体" w:eastAsia="宋体" w:cs="宋体"/>
                <w:kern w:val="0"/>
                <w:sz w:val="18"/>
                <w:szCs w:val="18"/>
                <w:lang w:bidi="ar"/>
              </w:rPr>
            </w:pPr>
          </w:p>
        </w:tc>
        <w:tc>
          <w:tcPr>
            <w:tcW w:w="3448" w:type="dxa"/>
            <w:vMerge w:val="continue"/>
            <w:tcBorders>
              <w:left w:val="single" w:color="auto" w:sz="4" w:space="0"/>
              <w:right w:val="single" w:color="auto" w:sz="4" w:space="0"/>
            </w:tcBorders>
            <w:noWrap w:val="0"/>
            <w:tcMar>
              <w:top w:w="0" w:type="dxa"/>
              <w:left w:w="0" w:type="dxa"/>
              <w:bottom w:w="0" w:type="dxa"/>
              <w:right w:w="0" w:type="dxa"/>
            </w:tcMar>
            <w:vAlign w:val="center"/>
          </w:tcPr>
          <w:p w14:paraId="3759FFDA">
            <w:pPr>
              <w:widowControl/>
              <w:spacing w:line="260" w:lineRule="exact"/>
              <w:ind w:firstLine="360" w:firstLineChars="200"/>
              <w:textAlignment w:val="center"/>
              <w:rPr>
                <w:rFonts w:hint="eastAsia" w:ascii="宋体" w:hAnsi="宋体" w:eastAsia="宋体" w:cs="宋体"/>
                <w:kern w:val="0"/>
                <w:sz w:val="18"/>
                <w:szCs w:val="18"/>
                <w:lang w:bidi="ar"/>
              </w:rPr>
            </w:pPr>
          </w:p>
        </w:tc>
        <w:tc>
          <w:tcPr>
            <w:tcW w:w="1570" w:type="dxa"/>
            <w:vMerge w:val="continue"/>
            <w:tcBorders>
              <w:left w:val="single" w:color="auto" w:sz="4" w:space="0"/>
              <w:right w:val="single" w:color="auto" w:sz="4" w:space="0"/>
            </w:tcBorders>
            <w:noWrap w:val="0"/>
            <w:tcMar>
              <w:top w:w="0" w:type="dxa"/>
              <w:left w:w="0" w:type="dxa"/>
              <w:bottom w:w="0" w:type="dxa"/>
              <w:right w:w="0" w:type="dxa"/>
            </w:tcMar>
            <w:vAlign w:val="center"/>
          </w:tcPr>
          <w:p w14:paraId="6F934BAE">
            <w:pPr>
              <w:spacing w:line="260" w:lineRule="exact"/>
              <w:jc w:val="center"/>
              <w:rPr>
                <w:rFonts w:hint="eastAsia" w:ascii="宋体" w:hAnsi="宋体" w:eastAsia="宋体" w:cs="宋体"/>
                <w:sz w:val="18"/>
                <w:szCs w:val="18"/>
              </w:rPr>
            </w:pPr>
          </w:p>
        </w:tc>
        <w:tc>
          <w:tcPr>
            <w:tcW w:w="80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5776FD3">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一般</w:t>
            </w:r>
          </w:p>
        </w:tc>
        <w:tc>
          <w:tcPr>
            <w:tcW w:w="353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677B3255">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7BDA31F8">
            <w:pPr>
              <w:spacing w:line="260" w:lineRule="exact"/>
              <w:rPr>
                <w:rStyle w:val="21"/>
                <w:rFonts w:hint="eastAsia" w:ascii="宋体" w:hAnsi="宋体" w:eastAsia="宋体" w:cs="宋体"/>
                <w:sz w:val="18"/>
                <w:szCs w:val="18"/>
                <w:lang w:bidi="ar"/>
              </w:rPr>
            </w:pPr>
          </w:p>
        </w:tc>
        <w:tc>
          <w:tcPr>
            <w:tcW w:w="261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7D0C4B98">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7288F927">
            <w:pPr>
              <w:spacing w:line="260" w:lineRule="exact"/>
              <w:rPr>
                <w:rStyle w:val="21"/>
                <w:rFonts w:hint="eastAsia" w:ascii="宋体" w:hAnsi="宋体" w:eastAsia="宋体" w:cs="宋体"/>
                <w:sz w:val="18"/>
                <w:szCs w:val="18"/>
                <w:lang w:bidi="ar"/>
              </w:rPr>
            </w:pPr>
          </w:p>
        </w:tc>
        <w:tc>
          <w:tcPr>
            <w:tcW w:w="1135" w:type="dxa"/>
            <w:vMerge w:val="continue"/>
            <w:tcBorders>
              <w:left w:val="single" w:color="auto" w:sz="4" w:space="0"/>
              <w:right w:val="single" w:color="auto" w:sz="4" w:space="0"/>
            </w:tcBorders>
            <w:noWrap w:val="0"/>
            <w:tcMar>
              <w:top w:w="0" w:type="dxa"/>
              <w:left w:w="0" w:type="dxa"/>
              <w:bottom w:w="0" w:type="dxa"/>
              <w:right w:w="0" w:type="dxa"/>
            </w:tcMar>
            <w:vAlign w:val="center"/>
          </w:tcPr>
          <w:p w14:paraId="3B0734AB">
            <w:pPr>
              <w:spacing w:line="260" w:lineRule="exact"/>
              <w:jc w:val="center"/>
              <w:rPr>
                <w:rStyle w:val="21"/>
                <w:rFonts w:hint="eastAsia" w:ascii="宋体" w:hAnsi="宋体" w:eastAsia="宋体" w:cs="宋体"/>
                <w:sz w:val="18"/>
                <w:szCs w:val="18"/>
                <w:lang w:bidi="ar"/>
              </w:rPr>
            </w:pPr>
          </w:p>
        </w:tc>
      </w:tr>
      <w:tr w14:paraId="0FB769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47" w:type="dxa"/>
            <w:vMerge w:val="continue"/>
            <w:tcBorders>
              <w:left w:val="single" w:color="auto" w:sz="4" w:space="0"/>
              <w:right w:val="single" w:color="auto" w:sz="4" w:space="0"/>
            </w:tcBorders>
            <w:noWrap w:val="0"/>
            <w:tcMar>
              <w:top w:w="0" w:type="dxa"/>
              <w:left w:w="0" w:type="dxa"/>
              <w:bottom w:w="0" w:type="dxa"/>
              <w:right w:w="0" w:type="dxa"/>
            </w:tcMar>
            <w:vAlign w:val="center"/>
          </w:tcPr>
          <w:p w14:paraId="54804A07">
            <w:pPr>
              <w:spacing w:line="260" w:lineRule="exact"/>
              <w:jc w:val="center"/>
              <w:rPr>
                <w:rFonts w:hint="eastAsia" w:ascii="宋体" w:hAnsi="宋体" w:eastAsia="宋体" w:cs="宋体"/>
                <w:sz w:val="18"/>
                <w:szCs w:val="18"/>
              </w:rPr>
            </w:pPr>
          </w:p>
        </w:tc>
        <w:tc>
          <w:tcPr>
            <w:tcW w:w="1282" w:type="dxa"/>
            <w:vMerge w:val="continue"/>
            <w:tcBorders>
              <w:left w:val="single" w:color="auto" w:sz="4" w:space="0"/>
              <w:right w:val="single" w:color="auto" w:sz="4" w:space="0"/>
            </w:tcBorders>
            <w:noWrap w:val="0"/>
            <w:tcMar>
              <w:top w:w="0" w:type="dxa"/>
              <w:left w:w="0" w:type="dxa"/>
              <w:bottom w:w="0" w:type="dxa"/>
              <w:right w:w="0" w:type="dxa"/>
            </w:tcMar>
            <w:vAlign w:val="center"/>
          </w:tcPr>
          <w:p w14:paraId="2C15A150">
            <w:pPr>
              <w:widowControl/>
              <w:spacing w:line="260" w:lineRule="exact"/>
              <w:textAlignment w:val="center"/>
              <w:rPr>
                <w:rFonts w:hint="eastAsia" w:ascii="宋体" w:hAnsi="宋体" w:eastAsia="宋体" w:cs="宋体"/>
                <w:kern w:val="0"/>
                <w:sz w:val="18"/>
                <w:szCs w:val="18"/>
                <w:lang w:bidi="ar"/>
              </w:rPr>
            </w:pPr>
          </w:p>
        </w:tc>
        <w:tc>
          <w:tcPr>
            <w:tcW w:w="3448" w:type="dxa"/>
            <w:vMerge w:val="continue"/>
            <w:tcBorders>
              <w:left w:val="single" w:color="auto" w:sz="4" w:space="0"/>
              <w:right w:val="single" w:color="auto" w:sz="4" w:space="0"/>
            </w:tcBorders>
            <w:noWrap w:val="0"/>
            <w:tcMar>
              <w:top w:w="0" w:type="dxa"/>
              <w:left w:w="0" w:type="dxa"/>
              <w:bottom w:w="0" w:type="dxa"/>
              <w:right w:w="0" w:type="dxa"/>
            </w:tcMar>
            <w:vAlign w:val="center"/>
          </w:tcPr>
          <w:p w14:paraId="427A86FC">
            <w:pPr>
              <w:widowControl/>
              <w:spacing w:line="260" w:lineRule="exact"/>
              <w:ind w:firstLine="360" w:firstLineChars="200"/>
              <w:textAlignment w:val="center"/>
              <w:rPr>
                <w:rFonts w:hint="eastAsia" w:ascii="宋体" w:hAnsi="宋体" w:eastAsia="宋体" w:cs="宋体"/>
                <w:kern w:val="0"/>
                <w:sz w:val="18"/>
                <w:szCs w:val="18"/>
                <w:lang w:bidi="ar"/>
              </w:rPr>
            </w:pPr>
          </w:p>
        </w:tc>
        <w:tc>
          <w:tcPr>
            <w:tcW w:w="1570" w:type="dxa"/>
            <w:vMerge w:val="continue"/>
            <w:tcBorders>
              <w:left w:val="single" w:color="auto" w:sz="4" w:space="0"/>
              <w:right w:val="single" w:color="auto" w:sz="4" w:space="0"/>
            </w:tcBorders>
            <w:noWrap w:val="0"/>
            <w:tcMar>
              <w:top w:w="0" w:type="dxa"/>
              <w:left w:w="0" w:type="dxa"/>
              <w:bottom w:w="0" w:type="dxa"/>
              <w:right w:w="0" w:type="dxa"/>
            </w:tcMar>
            <w:vAlign w:val="center"/>
          </w:tcPr>
          <w:p w14:paraId="155AD500">
            <w:pPr>
              <w:spacing w:line="260" w:lineRule="exact"/>
              <w:jc w:val="center"/>
              <w:rPr>
                <w:rFonts w:hint="eastAsia" w:ascii="宋体" w:hAnsi="宋体" w:eastAsia="宋体" w:cs="宋体"/>
                <w:sz w:val="18"/>
                <w:szCs w:val="18"/>
              </w:rPr>
            </w:pPr>
          </w:p>
        </w:tc>
        <w:tc>
          <w:tcPr>
            <w:tcW w:w="80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1C3E553">
            <w:pPr>
              <w:spacing w:line="260" w:lineRule="exact"/>
              <w:jc w:val="center"/>
              <w:rPr>
                <w:rFonts w:hint="eastAsia" w:ascii="宋体" w:hAnsi="宋体" w:eastAsia="宋体" w:cs="宋体"/>
                <w:sz w:val="18"/>
                <w:szCs w:val="18"/>
                <w:lang w:eastAsia="zh-CN"/>
              </w:rPr>
            </w:pPr>
            <w:r>
              <w:rPr>
                <w:rFonts w:hint="eastAsia" w:ascii="宋体" w:hAnsi="宋体" w:eastAsia="宋体" w:cs="宋体"/>
                <w:sz w:val="18"/>
                <w:szCs w:val="18"/>
                <w:lang w:eastAsia="zh-CN"/>
              </w:rPr>
              <w:t>较重</w:t>
            </w:r>
          </w:p>
        </w:tc>
        <w:tc>
          <w:tcPr>
            <w:tcW w:w="353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DD0D4D1">
            <w:pPr>
              <w:spacing w:line="260" w:lineRule="exact"/>
              <w:rPr>
                <w:rFonts w:hint="eastAsia" w:ascii="宋体" w:hAnsi="宋体" w:eastAsia="宋体" w:cs="宋体"/>
                <w:color w:val="000000"/>
                <w:sz w:val="18"/>
                <w:szCs w:val="18"/>
                <w:lang w:bidi="ar"/>
              </w:rPr>
            </w:pPr>
            <w:r>
              <w:rPr>
                <w:rStyle w:val="21"/>
                <w:rFonts w:hint="eastAsia" w:ascii="宋体" w:hAnsi="宋体" w:eastAsia="宋体" w:cs="宋体"/>
                <w:sz w:val="18"/>
                <w:szCs w:val="18"/>
                <w:lang w:bidi="ar"/>
              </w:rPr>
              <w:t>限期改正的</w:t>
            </w:r>
          </w:p>
        </w:tc>
        <w:tc>
          <w:tcPr>
            <w:tcW w:w="261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6FE3898">
            <w:pPr>
              <w:spacing w:line="260" w:lineRule="exact"/>
              <w:rPr>
                <w:rFonts w:hint="eastAsia" w:ascii="宋体" w:hAnsi="宋体" w:eastAsia="宋体" w:cs="宋体"/>
                <w:color w:val="000000"/>
                <w:sz w:val="18"/>
                <w:szCs w:val="18"/>
                <w:lang w:bidi="ar"/>
              </w:rPr>
            </w:pPr>
            <w:r>
              <w:rPr>
                <w:rStyle w:val="21"/>
                <w:rFonts w:hint="eastAsia" w:ascii="宋体" w:hAnsi="宋体" w:eastAsia="宋体" w:cs="宋体"/>
                <w:sz w:val="18"/>
                <w:szCs w:val="18"/>
                <w:lang w:bidi="ar"/>
              </w:rPr>
              <w:t>处</w:t>
            </w:r>
            <w:r>
              <w:rPr>
                <w:rStyle w:val="21"/>
                <w:rFonts w:hint="eastAsia" w:ascii="宋体" w:hAnsi="宋体" w:eastAsia="宋体" w:cs="宋体"/>
                <w:sz w:val="18"/>
                <w:szCs w:val="18"/>
                <w:lang w:val="en-US" w:eastAsia="zh-CN" w:bidi="ar"/>
              </w:rPr>
              <w:t>2</w:t>
            </w:r>
            <w:r>
              <w:rPr>
                <w:rStyle w:val="21"/>
                <w:rFonts w:hint="eastAsia" w:ascii="宋体" w:hAnsi="宋体" w:eastAsia="宋体" w:cs="宋体"/>
                <w:sz w:val="18"/>
                <w:szCs w:val="18"/>
                <w:lang w:bidi="ar"/>
              </w:rPr>
              <w:t>千元以上</w:t>
            </w:r>
            <w:r>
              <w:rPr>
                <w:rStyle w:val="21"/>
                <w:rFonts w:hint="eastAsia" w:ascii="宋体" w:hAnsi="宋体" w:eastAsia="宋体" w:cs="宋体"/>
                <w:sz w:val="18"/>
                <w:szCs w:val="18"/>
                <w:lang w:val="en-US" w:eastAsia="zh-CN" w:bidi="ar"/>
              </w:rPr>
              <w:t>3</w:t>
            </w:r>
            <w:r>
              <w:rPr>
                <w:rStyle w:val="21"/>
                <w:rFonts w:hint="eastAsia" w:ascii="宋体" w:hAnsi="宋体" w:eastAsia="宋体" w:cs="宋体"/>
                <w:sz w:val="18"/>
                <w:szCs w:val="18"/>
                <w:lang w:bidi="ar"/>
              </w:rPr>
              <w:t>千元以下的罚款；造成损失的，依法予以赔偿</w:t>
            </w:r>
          </w:p>
        </w:tc>
        <w:tc>
          <w:tcPr>
            <w:tcW w:w="1135" w:type="dxa"/>
            <w:vMerge w:val="continue"/>
            <w:tcBorders>
              <w:left w:val="single" w:color="auto" w:sz="4" w:space="0"/>
              <w:right w:val="single" w:color="auto" w:sz="4" w:space="0"/>
            </w:tcBorders>
            <w:noWrap w:val="0"/>
            <w:tcMar>
              <w:top w:w="0" w:type="dxa"/>
              <w:left w:w="0" w:type="dxa"/>
              <w:bottom w:w="0" w:type="dxa"/>
              <w:right w:w="0" w:type="dxa"/>
            </w:tcMar>
            <w:vAlign w:val="center"/>
          </w:tcPr>
          <w:p w14:paraId="3EEE818F">
            <w:pPr>
              <w:spacing w:line="260" w:lineRule="exact"/>
              <w:jc w:val="center"/>
              <w:rPr>
                <w:rStyle w:val="21"/>
                <w:rFonts w:hint="eastAsia" w:ascii="宋体" w:hAnsi="宋体" w:eastAsia="宋体" w:cs="宋体"/>
                <w:sz w:val="18"/>
                <w:szCs w:val="18"/>
                <w:lang w:bidi="ar"/>
              </w:rPr>
            </w:pPr>
          </w:p>
        </w:tc>
      </w:tr>
      <w:tr w14:paraId="25CE80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47" w:type="dxa"/>
            <w:vMerge w:val="continue"/>
            <w:tcBorders>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12E6B6A">
            <w:pPr>
              <w:spacing w:line="260" w:lineRule="exact"/>
              <w:jc w:val="center"/>
              <w:rPr>
                <w:rFonts w:hint="eastAsia" w:ascii="宋体" w:hAnsi="宋体" w:eastAsia="宋体" w:cs="宋体"/>
                <w:sz w:val="18"/>
                <w:szCs w:val="18"/>
              </w:rPr>
            </w:pPr>
          </w:p>
        </w:tc>
        <w:tc>
          <w:tcPr>
            <w:tcW w:w="1282" w:type="dxa"/>
            <w:vMerge w:val="continue"/>
            <w:tcBorders>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03007E2">
            <w:pPr>
              <w:widowControl/>
              <w:spacing w:line="260" w:lineRule="exact"/>
              <w:textAlignment w:val="center"/>
              <w:rPr>
                <w:rFonts w:hint="eastAsia" w:ascii="宋体" w:hAnsi="宋体" w:eastAsia="宋体" w:cs="宋体"/>
                <w:kern w:val="0"/>
                <w:sz w:val="18"/>
                <w:szCs w:val="18"/>
                <w:lang w:bidi="ar"/>
              </w:rPr>
            </w:pPr>
          </w:p>
        </w:tc>
        <w:tc>
          <w:tcPr>
            <w:tcW w:w="3448" w:type="dxa"/>
            <w:vMerge w:val="continue"/>
            <w:tcBorders>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6A916FC">
            <w:pPr>
              <w:widowControl/>
              <w:spacing w:line="260" w:lineRule="exact"/>
              <w:ind w:firstLine="360" w:firstLineChars="200"/>
              <w:textAlignment w:val="center"/>
              <w:rPr>
                <w:rFonts w:hint="eastAsia" w:ascii="宋体" w:hAnsi="宋体" w:eastAsia="宋体" w:cs="宋体"/>
                <w:kern w:val="0"/>
                <w:sz w:val="18"/>
                <w:szCs w:val="18"/>
                <w:lang w:bidi="ar"/>
              </w:rPr>
            </w:pPr>
          </w:p>
        </w:tc>
        <w:tc>
          <w:tcPr>
            <w:tcW w:w="1570" w:type="dxa"/>
            <w:vMerge w:val="continue"/>
            <w:tcBorders>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FC0D7CD">
            <w:pPr>
              <w:spacing w:line="260" w:lineRule="exact"/>
              <w:jc w:val="center"/>
              <w:rPr>
                <w:rFonts w:hint="eastAsia" w:ascii="宋体" w:hAnsi="宋体" w:eastAsia="宋体" w:cs="宋体"/>
                <w:sz w:val="18"/>
                <w:szCs w:val="18"/>
              </w:rPr>
            </w:pPr>
          </w:p>
        </w:tc>
        <w:tc>
          <w:tcPr>
            <w:tcW w:w="80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959CD53">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严重</w:t>
            </w:r>
          </w:p>
        </w:tc>
        <w:tc>
          <w:tcPr>
            <w:tcW w:w="353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184C80D">
            <w:pPr>
              <w:spacing w:line="260" w:lineRule="exact"/>
              <w:rPr>
                <w:rFonts w:hint="eastAsia" w:ascii="宋体" w:hAnsi="宋体" w:eastAsia="宋体" w:cs="宋体"/>
                <w:color w:val="000000"/>
                <w:sz w:val="18"/>
                <w:szCs w:val="18"/>
                <w:lang w:bidi="ar"/>
              </w:rPr>
            </w:pPr>
            <w:r>
              <w:rPr>
                <w:rStyle w:val="21"/>
                <w:rFonts w:hint="eastAsia" w:ascii="宋体" w:hAnsi="宋体" w:eastAsia="宋体" w:cs="宋体"/>
                <w:sz w:val="18"/>
                <w:szCs w:val="18"/>
                <w:lang w:bidi="ar"/>
              </w:rPr>
              <w:t>未限期改正的</w:t>
            </w:r>
          </w:p>
        </w:tc>
        <w:tc>
          <w:tcPr>
            <w:tcW w:w="261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1CF8B6C">
            <w:pPr>
              <w:spacing w:line="260" w:lineRule="exact"/>
              <w:rPr>
                <w:rFonts w:hint="eastAsia" w:ascii="宋体" w:hAnsi="宋体" w:eastAsia="宋体" w:cs="宋体"/>
                <w:color w:val="000000"/>
                <w:sz w:val="18"/>
                <w:szCs w:val="18"/>
                <w:lang w:bidi="ar"/>
              </w:rPr>
            </w:pPr>
            <w:r>
              <w:rPr>
                <w:rStyle w:val="21"/>
                <w:rFonts w:hint="eastAsia" w:ascii="宋体" w:hAnsi="宋体" w:eastAsia="宋体" w:cs="宋体"/>
                <w:sz w:val="18"/>
                <w:szCs w:val="18"/>
                <w:lang w:bidi="ar"/>
              </w:rPr>
              <w:t>处</w:t>
            </w:r>
            <w:r>
              <w:rPr>
                <w:rStyle w:val="21"/>
                <w:rFonts w:hint="eastAsia" w:ascii="宋体" w:hAnsi="宋体" w:eastAsia="宋体" w:cs="宋体"/>
                <w:sz w:val="18"/>
                <w:szCs w:val="18"/>
                <w:lang w:val="en-US" w:eastAsia="zh-CN" w:bidi="ar"/>
              </w:rPr>
              <w:t>3</w:t>
            </w:r>
            <w:r>
              <w:rPr>
                <w:rStyle w:val="21"/>
                <w:rFonts w:hint="eastAsia" w:ascii="宋体" w:hAnsi="宋体" w:eastAsia="宋体" w:cs="宋体"/>
                <w:sz w:val="18"/>
                <w:szCs w:val="18"/>
                <w:lang w:bidi="ar"/>
              </w:rPr>
              <w:t>千元以上</w:t>
            </w:r>
            <w:r>
              <w:rPr>
                <w:rStyle w:val="21"/>
                <w:rFonts w:hint="eastAsia" w:ascii="宋体" w:hAnsi="宋体" w:eastAsia="宋体" w:cs="宋体"/>
                <w:sz w:val="18"/>
                <w:szCs w:val="18"/>
                <w:lang w:val="en-US" w:eastAsia="zh-CN" w:bidi="ar"/>
              </w:rPr>
              <w:t>5</w:t>
            </w:r>
            <w:r>
              <w:rPr>
                <w:rStyle w:val="21"/>
                <w:rFonts w:hint="eastAsia" w:ascii="宋体" w:hAnsi="宋体" w:eastAsia="宋体" w:cs="宋体"/>
                <w:sz w:val="18"/>
                <w:szCs w:val="18"/>
                <w:lang w:bidi="ar"/>
              </w:rPr>
              <w:t>千元以下的罚款；造成损失的，依法予以赔偿</w:t>
            </w:r>
          </w:p>
        </w:tc>
        <w:tc>
          <w:tcPr>
            <w:tcW w:w="1135" w:type="dxa"/>
            <w:vMerge w:val="continue"/>
            <w:tcBorders>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70BC2EA">
            <w:pPr>
              <w:spacing w:line="260" w:lineRule="exact"/>
              <w:jc w:val="center"/>
              <w:rPr>
                <w:rStyle w:val="21"/>
                <w:rFonts w:hint="eastAsia" w:ascii="宋体" w:hAnsi="宋体" w:eastAsia="宋体" w:cs="宋体"/>
                <w:sz w:val="18"/>
                <w:szCs w:val="18"/>
                <w:lang w:bidi="ar"/>
              </w:rPr>
            </w:pPr>
          </w:p>
        </w:tc>
      </w:tr>
      <w:tr w14:paraId="4CE9E7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47" w:type="dxa"/>
            <w:vMerge w:val="restart"/>
            <w:tcBorders>
              <w:left w:val="single" w:color="auto" w:sz="4" w:space="0"/>
              <w:right w:val="single" w:color="auto" w:sz="4" w:space="0"/>
            </w:tcBorders>
            <w:noWrap w:val="0"/>
            <w:tcMar>
              <w:top w:w="0" w:type="dxa"/>
              <w:left w:w="0" w:type="dxa"/>
              <w:bottom w:w="0" w:type="dxa"/>
              <w:right w:w="0" w:type="dxa"/>
            </w:tcMar>
            <w:vAlign w:val="center"/>
          </w:tcPr>
          <w:p w14:paraId="55C3B33E">
            <w:pPr>
              <w:widowControl/>
              <w:spacing w:line="260" w:lineRule="exact"/>
              <w:jc w:val="center"/>
              <w:textAlignment w:val="center"/>
              <w:rPr>
                <w:rFonts w:hint="default" w:ascii="宋体" w:hAnsi="宋体" w:eastAsia="宋体" w:cs="宋体"/>
                <w:sz w:val="18"/>
                <w:szCs w:val="18"/>
                <w:lang w:val="en-US" w:eastAsia="zh-CN"/>
              </w:rPr>
            </w:pPr>
            <w:r>
              <w:rPr>
                <w:rFonts w:hint="eastAsia" w:ascii="宋体" w:hAnsi="宋体" w:eastAsia="宋体" w:cs="宋体"/>
                <w:sz w:val="18"/>
                <w:szCs w:val="18"/>
                <w:lang w:val="en-US" w:eastAsia="zh-CN"/>
              </w:rPr>
              <w:t>57</w:t>
            </w:r>
          </w:p>
        </w:tc>
        <w:tc>
          <w:tcPr>
            <w:tcW w:w="1282" w:type="dxa"/>
            <w:vMerge w:val="restart"/>
            <w:tcBorders>
              <w:left w:val="single" w:color="auto" w:sz="4" w:space="0"/>
              <w:right w:val="single" w:color="auto" w:sz="4" w:space="0"/>
            </w:tcBorders>
            <w:noWrap w:val="0"/>
            <w:tcMar>
              <w:top w:w="0" w:type="dxa"/>
              <w:left w:w="0" w:type="dxa"/>
              <w:bottom w:w="0" w:type="dxa"/>
              <w:right w:w="0" w:type="dxa"/>
            </w:tcMar>
            <w:vAlign w:val="center"/>
          </w:tcPr>
          <w:p w14:paraId="4AC7A50D">
            <w:pPr>
              <w:widowControl/>
              <w:spacing w:line="260" w:lineRule="exact"/>
              <w:jc w:val="left"/>
              <w:textAlignment w:val="center"/>
              <w:rPr>
                <w:rFonts w:hint="eastAsia" w:ascii="宋体" w:hAnsi="宋体" w:eastAsia="宋体" w:cs="宋体"/>
                <w:kern w:val="0"/>
                <w:sz w:val="18"/>
                <w:szCs w:val="18"/>
                <w:lang w:bidi="ar"/>
              </w:rPr>
            </w:pPr>
            <w:r>
              <w:rPr>
                <w:rFonts w:hint="eastAsia" w:ascii="宋体" w:hAnsi="宋体" w:eastAsia="宋体" w:cs="宋体"/>
                <w:color w:val="000000"/>
                <w:kern w:val="0"/>
                <w:sz w:val="18"/>
                <w:szCs w:val="18"/>
                <w:lang w:bidi="ar"/>
              </w:rPr>
              <w:t>对设计供水能力在</w:t>
            </w:r>
            <w:r>
              <w:rPr>
                <w:rFonts w:hint="eastAsia" w:ascii="宋体" w:hAnsi="宋体" w:eastAsia="宋体" w:cs="宋体"/>
                <w:color w:val="000000"/>
                <w:kern w:val="0"/>
                <w:sz w:val="18"/>
                <w:szCs w:val="18"/>
                <w:lang w:eastAsia="zh-CN" w:bidi="ar"/>
              </w:rPr>
              <w:t>日</w:t>
            </w:r>
            <w:r>
              <w:rPr>
                <w:rFonts w:hint="eastAsia" w:ascii="宋体" w:hAnsi="宋体" w:eastAsia="宋体" w:cs="宋体"/>
                <w:color w:val="000000"/>
                <w:kern w:val="0"/>
                <w:sz w:val="18"/>
                <w:szCs w:val="18"/>
                <w:lang w:bidi="ar"/>
              </w:rPr>
              <w:t>供水量一千立方米以上或者一万人以上的集中供水设施，供水单位未设立专门水质化验室并配备相应的检验人员和检测设备，未对原水、出厂水、管网末梢水进行水质指标检测行为的行政处罚</w:t>
            </w:r>
          </w:p>
        </w:tc>
        <w:tc>
          <w:tcPr>
            <w:tcW w:w="3448" w:type="dxa"/>
            <w:vMerge w:val="restart"/>
            <w:tcBorders>
              <w:top w:val="single" w:color="auto" w:sz="4" w:space="0"/>
              <w:left w:val="single" w:color="auto" w:sz="4" w:space="0"/>
              <w:right w:val="single" w:color="auto" w:sz="4" w:space="0"/>
            </w:tcBorders>
            <w:noWrap w:val="0"/>
            <w:tcMar>
              <w:top w:w="0" w:type="dxa"/>
              <w:left w:w="0" w:type="dxa"/>
              <w:bottom w:w="0" w:type="dxa"/>
              <w:right w:w="0" w:type="dxa"/>
            </w:tcMar>
            <w:vAlign w:val="center"/>
          </w:tcPr>
          <w:p w14:paraId="2785D199">
            <w:pPr>
              <w:widowControl/>
              <w:spacing w:line="260" w:lineRule="exact"/>
              <w:jc w:val="left"/>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《河北省农村供水用水管理办法》第十六条第二款 设计供水能力在</w:t>
            </w:r>
            <w:r>
              <w:rPr>
                <w:rFonts w:hint="eastAsia" w:ascii="宋体" w:hAnsi="宋体" w:eastAsia="宋体" w:cs="宋体"/>
                <w:color w:val="000000"/>
                <w:kern w:val="0"/>
                <w:sz w:val="18"/>
                <w:szCs w:val="18"/>
                <w:lang w:eastAsia="zh-CN" w:bidi="ar"/>
              </w:rPr>
              <w:t>日</w:t>
            </w:r>
            <w:r>
              <w:rPr>
                <w:rFonts w:hint="eastAsia" w:ascii="宋体" w:hAnsi="宋体" w:eastAsia="宋体" w:cs="宋体"/>
                <w:color w:val="000000"/>
                <w:kern w:val="0"/>
                <w:sz w:val="18"/>
                <w:szCs w:val="18"/>
                <w:lang w:bidi="ar"/>
              </w:rPr>
              <w:t>供水量一千立方米以上或者一万人以上的集中供水设施，供水单位应当设立专门水质化验室，配备相应的检验人员和检测设备，对原水、出厂水、管网末梢水进行水质指标检测。</w:t>
            </w:r>
          </w:p>
          <w:p w14:paraId="32F67EF2">
            <w:pPr>
              <w:widowControl/>
              <w:spacing w:line="260" w:lineRule="exact"/>
              <w:jc w:val="left"/>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《河北省农村供水用水管理办法》第二十五条第三项 供水单位违反本办法规定的，按照下列规定处理：</w:t>
            </w:r>
          </w:p>
          <w:p w14:paraId="63791AA6">
            <w:pPr>
              <w:widowControl/>
              <w:spacing w:line="260" w:lineRule="exact"/>
              <w:jc w:val="left"/>
              <w:textAlignment w:val="center"/>
              <w:rPr>
                <w:rFonts w:hint="eastAsia" w:ascii="宋体" w:hAnsi="宋体" w:eastAsia="宋体" w:cs="宋体"/>
                <w:kern w:val="0"/>
                <w:sz w:val="18"/>
                <w:szCs w:val="18"/>
                <w:lang w:bidi="ar"/>
              </w:rPr>
            </w:pPr>
            <w:r>
              <w:rPr>
                <w:rFonts w:hint="eastAsia" w:ascii="宋体" w:hAnsi="宋体" w:eastAsia="宋体" w:cs="宋体"/>
                <w:color w:val="000000"/>
                <w:kern w:val="0"/>
                <w:sz w:val="18"/>
                <w:szCs w:val="18"/>
                <w:lang w:bidi="ar"/>
              </w:rPr>
              <w:t>（三）违反本办法第十六条第二款规定的，由县级人民政府水行政主管部门责令限期改正；逾期未改正的，处二万元以上五万元以下的罚款。</w:t>
            </w:r>
          </w:p>
        </w:tc>
        <w:tc>
          <w:tcPr>
            <w:tcW w:w="1570" w:type="dxa"/>
            <w:vMerge w:val="restart"/>
            <w:tcBorders>
              <w:top w:val="single" w:color="auto" w:sz="4" w:space="0"/>
              <w:left w:val="single" w:color="auto" w:sz="4" w:space="0"/>
              <w:right w:val="single" w:color="auto" w:sz="4" w:space="0"/>
            </w:tcBorders>
            <w:noWrap w:val="0"/>
            <w:tcMar>
              <w:top w:w="0" w:type="dxa"/>
              <w:left w:w="0" w:type="dxa"/>
              <w:bottom w:w="0" w:type="dxa"/>
              <w:right w:w="0" w:type="dxa"/>
            </w:tcMar>
            <w:vAlign w:val="center"/>
          </w:tcPr>
          <w:p w14:paraId="7443C402">
            <w:pPr>
              <w:spacing w:line="260" w:lineRule="exact"/>
              <w:jc w:val="both"/>
              <w:rPr>
                <w:rFonts w:hint="eastAsia" w:ascii="宋体" w:hAnsi="宋体" w:eastAsia="宋体" w:cs="宋体"/>
                <w:sz w:val="18"/>
                <w:szCs w:val="18"/>
                <w:lang w:val="en-US" w:eastAsia="zh-CN"/>
              </w:rPr>
            </w:pPr>
            <w:r>
              <w:rPr>
                <w:rFonts w:hint="eastAsia" w:ascii="宋体" w:hAnsi="宋体" w:eastAsia="宋体" w:cs="宋体"/>
                <w:color w:val="000000"/>
                <w:kern w:val="0"/>
                <w:sz w:val="18"/>
                <w:szCs w:val="18"/>
                <w:lang w:bidi="ar"/>
              </w:rPr>
              <w:t>设计供水能力在</w:t>
            </w:r>
            <w:r>
              <w:rPr>
                <w:rFonts w:hint="eastAsia" w:ascii="宋体" w:hAnsi="宋体" w:eastAsia="宋体" w:cs="宋体"/>
                <w:color w:val="000000"/>
                <w:kern w:val="0"/>
                <w:sz w:val="18"/>
                <w:szCs w:val="18"/>
                <w:lang w:eastAsia="zh-CN" w:bidi="ar"/>
              </w:rPr>
              <w:t>日</w:t>
            </w:r>
            <w:r>
              <w:rPr>
                <w:rFonts w:hint="eastAsia" w:ascii="宋体" w:hAnsi="宋体" w:eastAsia="宋体" w:cs="宋体"/>
                <w:color w:val="000000"/>
                <w:kern w:val="0"/>
                <w:sz w:val="18"/>
                <w:szCs w:val="18"/>
                <w:lang w:bidi="ar"/>
              </w:rPr>
              <w:t>供水量一千立方米以上或者一万人以上的集中供水设施，供水单位未设立专门水质化验室并配备相应的检验人员和检测设备，未对原水、出厂水、管网末梢水进行水质指标检测</w:t>
            </w:r>
            <w:r>
              <w:rPr>
                <w:rFonts w:hint="eastAsia" w:ascii="宋体" w:hAnsi="宋体" w:eastAsia="宋体" w:cs="宋体"/>
                <w:color w:val="000000"/>
                <w:kern w:val="0"/>
                <w:sz w:val="18"/>
                <w:szCs w:val="18"/>
                <w:lang w:eastAsia="zh-CN" w:bidi="ar"/>
              </w:rPr>
              <w:t>，</w:t>
            </w:r>
            <w:r>
              <w:rPr>
                <w:rFonts w:hint="eastAsia" w:ascii="宋体" w:hAnsi="宋体" w:eastAsia="宋体" w:cs="宋体"/>
                <w:color w:val="000000"/>
                <w:kern w:val="0"/>
                <w:sz w:val="18"/>
                <w:szCs w:val="18"/>
                <w:lang w:val="en-US" w:eastAsia="zh-CN" w:bidi="ar"/>
              </w:rPr>
              <w:t>且逾期未改正的</w:t>
            </w:r>
          </w:p>
        </w:tc>
        <w:tc>
          <w:tcPr>
            <w:tcW w:w="80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0A2D438">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轻微</w:t>
            </w:r>
          </w:p>
        </w:tc>
        <w:tc>
          <w:tcPr>
            <w:tcW w:w="353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2A878885">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764B8A43">
            <w:pPr>
              <w:spacing w:line="260" w:lineRule="exact"/>
              <w:rPr>
                <w:rFonts w:hint="eastAsia" w:ascii="宋体" w:hAnsi="宋体" w:eastAsia="宋体" w:cs="宋体"/>
                <w:color w:val="000000"/>
                <w:kern w:val="0"/>
                <w:sz w:val="18"/>
                <w:szCs w:val="18"/>
                <w:lang w:bidi="ar"/>
              </w:rPr>
            </w:pPr>
          </w:p>
        </w:tc>
        <w:tc>
          <w:tcPr>
            <w:tcW w:w="261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7A326D44">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19E3876F">
            <w:pPr>
              <w:spacing w:line="260" w:lineRule="exact"/>
              <w:rPr>
                <w:rFonts w:hint="eastAsia" w:ascii="宋体" w:hAnsi="宋体" w:eastAsia="宋体" w:cs="宋体"/>
                <w:color w:val="000000"/>
                <w:kern w:val="0"/>
                <w:sz w:val="18"/>
                <w:szCs w:val="18"/>
                <w:lang w:bidi="ar"/>
              </w:rPr>
            </w:pPr>
          </w:p>
        </w:tc>
        <w:tc>
          <w:tcPr>
            <w:tcW w:w="1135" w:type="dxa"/>
            <w:vMerge w:val="restart"/>
            <w:tcBorders>
              <w:top w:val="single" w:color="auto" w:sz="4" w:space="0"/>
              <w:left w:val="single" w:color="auto" w:sz="4" w:space="0"/>
              <w:right w:val="single" w:color="auto" w:sz="4" w:space="0"/>
            </w:tcBorders>
            <w:noWrap w:val="0"/>
            <w:tcMar>
              <w:top w:w="0" w:type="dxa"/>
              <w:left w:w="0" w:type="dxa"/>
              <w:bottom w:w="0" w:type="dxa"/>
              <w:right w:w="0" w:type="dxa"/>
            </w:tcMar>
            <w:vAlign w:val="center"/>
          </w:tcPr>
          <w:p w14:paraId="62C81CB1">
            <w:pPr>
              <w:widowControl/>
              <w:spacing w:line="260" w:lineRule="exact"/>
              <w:jc w:val="center"/>
              <w:textAlignment w:val="center"/>
              <w:rPr>
                <w:rFonts w:hint="eastAsia" w:ascii="宋体" w:hAnsi="宋体" w:eastAsia="宋体" w:cs="宋体"/>
                <w:color w:val="000000"/>
                <w:kern w:val="0"/>
                <w:sz w:val="18"/>
                <w:szCs w:val="18"/>
                <w:lang w:bidi="ar"/>
              </w:rPr>
            </w:pPr>
          </w:p>
        </w:tc>
      </w:tr>
      <w:tr w14:paraId="533B4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47" w:type="dxa"/>
            <w:vMerge w:val="continue"/>
            <w:tcBorders>
              <w:left w:val="single" w:color="auto" w:sz="4" w:space="0"/>
              <w:right w:val="single" w:color="auto" w:sz="4" w:space="0"/>
            </w:tcBorders>
            <w:noWrap w:val="0"/>
            <w:tcMar>
              <w:top w:w="0" w:type="dxa"/>
              <w:left w:w="0" w:type="dxa"/>
              <w:bottom w:w="0" w:type="dxa"/>
              <w:right w:w="0" w:type="dxa"/>
            </w:tcMar>
            <w:vAlign w:val="center"/>
          </w:tcPr>
          <w:p w14:paraId="5E28B2B2">
            <w:pPr>
              <w:spacing w:line="260" w:lineRule="exact"/>
              <w:jc w:val="center"/>
              <w:rPr>
                <w:rFonts w:hint="eastAsia" w:ascii="宋体" w:hAnsi="宋体" w:eastAsia="宋体" w:cs="宋体"/>
                <w:sz w:val="18"/>
                <w:szCs w:val="18"/>
              </w:rPr>
            </w:pPr>
          </w:p>
        </w:tc>
        <w:tc>
          <w:tcPr>
            <w:tcW w:w="1282" w:type="dxa"/>
            <w:vMerge w:val="continue"/>
            <w:tcBorders>
              <w:left w:val="single" w:color="auto" w:sz="4" w:space="0"/>
              <w:right w:val="single" w:color="auto" w:sz="4" w:space="0"/>
            </w:tcBorders>
            <w:noWrap w:val="0"/>
            <w:tcMar>
              <w:top w:w="0" w:type="dxa"/>
              <w:left w:w="0" w:type="dxa"/>
              <w:bottom w:w="0" w:type="dxa"/>
              <w:right w:w="0" w:type="dxa"/>
            </w:tcMar>
            <w:vAlign w:val="center"/>
          </w:tcPr>
          <w:p w14:paraId="74F1D75E">
            <w:pPr>
              <w:widowControl/>
              <w:spacing w:line="260" w:lineRule="exact"/>
              <w:textAlignment w:val="center"/>
              <w:rPr>
                <w:rFonts w:hint="eastAsia" w:ascii="宋体" w:hAnsi="宋体" w:eastAsia="宋体" w:cs="宋体"/>
                <w:kern w:val="0"/>
                <w:sz w:val="18"/>
                <w:szCs w:val="18"/>
                <w:lang w:bidi="ar"/>
              </w:rPr>
            </w:pPr>
          </w:p>
        </w:tc>
        <w:tc>
          <w:tcPr>
            <w:tcW w:w="3448" w:type="dxa"/>
            <w:vMerge w:val="continue"/>
            <w:tcBorders>
              <w:left w:val="single" w:color="auto" w:sz="4" w:space="0"/>
              <w:right w:val="single" w:color="auto" w:sz="4" w:space="0"/>
            </w:tcBorders>
            <w:noWrap w:val="0"/>
            <w:tcMar>
              <w:top w:w="0" w:type="dxa"/>
              <w:left w:w="0" w:type="dxa"/>
              <w:bottom w:w="0" w:type="dxa"/>
              <w:right w:w="0" w:type="dxa"/>
            </w:tcMar>
            <w:vAlign w:val="center"/>
          </w:tcPr>
          <w:p w14:paraId="4D439522">
            <w:pPr>
              <w:widowControl/>
              <w:spacing w:line="260" w:lineRule="exact"/>
              <w:ind w:firstLine="360" w:firstLineChars="200"/>
              <w:textAlignment w:val="center"/>
              <w:rPr>
                <w:rFonts w:hint="eastAsia" w:ascii="宋体" w:hAnsi="宋体" w:eastAsia="宋体" w:cs="宋体"/>
                <w:kern w:val="0"/>
                <w:sz w:val="18"/>
                <w:szCs w:val="18"/>
                <w:lang w:bidi="ar"/>
              </w:rPr>
            </w:pPr>
          </w:p>
        </w:tc>
        <w:tc>
          <w:tcPr>
            <w:tcW w:w="1570" w:type="dxa"/>
            <w:vMerge w:val="continue"/>
            <w:tcBorders>
              <w:left w:val="single" w:color="auto" w:sz="4" w:space="0"/>
              <w:right w:val="single" w:color="auto" w:sz="4" w:space="0"/>
            </w:tcBorders>
            <w:noWrap w:val="0"/>
            <w:tcMar>
              <w:top w:w="0" w:type="dxa"/>
              <w:left w:w="0" w:type="dxa"/>
              <w:bottom w:w="0" w:type="dxa"/>
              <w:right w:w="0" w:type="dxa"/>
            </w:tcMar>
            <w:vAlign w:val="center"/>
          </w:tcPr>
          <w:p w14:paraId="3E22CC46">
            <w:pPr>
              <w:spacing w:line="260" w:lineRule="exact"/>
              <w:jc w:val="center"/>
              <w:rPr>
                <w:rFonts w:hint="eastAsia" w:ascii="宋体" w:hAnsi="宋体" w:eastAsia="宋体" w:cs="宋体"/>
                <w:sz w:val="18"/>
                <w:szCs w:val="18"/>
              </w:rPr>
            </w:pPr>
          </w:p>
        </w:tc>
        <w:tc>
          <w:tcPr>
            <w:tcW w:w="80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A911983">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较轻</w:t>
            </w:r>
          </w:p>
        </w:tc>
        <w:tc>
          <w:tcPr>
            <w:tcW w:w="353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2C45E9E0">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2866C710">
            <w:pPr>
              <w:spacing w:line="260" w:lineRule="exact"/>
              <w:rPr>
                <w:rFonts w:hint="eastAsia" w:ascii="宋体" w:hAnsi="宋体" w:eastAsia="宋体" w:cs="宋体"/>
                <w:color w:val="000000"/>
                <w:kern w:val="0"/>
                <w:sz w:val="18"/>
                <w:szCs w:val="18"/>
                <w:lang w:bidi="ar"/>
              </w:rPr>
            </w:pPr>
          </w:p>
        </w:tc>
        <w:tc>
          <w:tcPr>
            <w:tcW w:w="261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26F27159">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575ACC45">
            <w:pPr>
              <w:spacing w:line="260" w:lineRule="exact"/>
              <w:rPr>
                <w:rFonts w:hint="eastAsia" w:ascii="宋体" w:hAnsi="宋体" w:eastAsia="宋体" w:cs="宋体"/>
                <w:color w:val="000000"/>
                <w:kern w:val="0"/>
                <w:sz w:val="18"/>
                <w:szCs w:val="18"/>
                <w:lang w:bidi="ar"/>
              </w:rPr>
            </w:pPr>
          </w:p>
        </w:tc>
        <w:tc>
          <w:tcPr>
            <w:tcW w:w="1135" w:type="dxa"/>
            <w:vMerge w:val="continue"/>
            <w:tcBorders>
              <w:left w:val="single" w:color="auto" w:sz="4" w:space="0"/>
              <w:right w:val="single" w:color="auto" w:sz="4" w:space="0"/>
            </w:tcBorders>
            <w:noWrap w:val="0"/>
            <w:tcMar>
              <w:top w:w="0" w:type="dxa"/>
              <w:left w:w="0" w:type="dxa"/>
              <w:bottom w:w="0" w:type="dxa"/>
              <w:right w:w="0" w:type="dxa"/>
            </w:tcMar>
            <w:vAlign w:val="center"/>
          </w:tcPr>
          <w:p w14:paraId="1649C4A2">
            <w:pPr>
              <w:widowControl/>
              <w:spacing w:line="260" w:lineRule="exact"/>
              <w:jc w:val="center"/>
              <w:textAlignment w:val="center"/>
              <w:rPr>
                <w:rFonts w:hint="eastAsia" w:ascii="宋体" w:hAnsi="宋体" w:eastAsia="宋体" w:cs="宋体"/>
                <w:color w:val="000000"/>
                <w:kern w:val="0"/>
                <w:sz w:val="18"/>
                <w:szCs w:val="18"/>
                <w:lang w:bidi="ar"/>
              </w:rPr>
            </w:pPr>
          </w:p>
        </w:tc>
      </w:tr>
      <w:tr w14:paraId="0C6742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47" w:type="dxa"/>
            <w:vMerge w:val="continue"/>
            <w:tcBorders>
              <w:left w:val="single" w:color="auto" w:sz="4" w:space="0"/>
              <w:right w:val="single" w:color="auto" w:sz="4" w:space="0"/>
            </w:tcBorders>
            <w:noWrap w:val="0"/>
            <w:tcMar>
              <w:top w:w="0" w:type="dxa"/>
              <w:left w:w="0" w:type="dxa"/>
              <w:bottom w:w="0" w:type="dxa"/>
              <w:right w:w="0" w:type="dxa"/>
            </w:tcMar>
            <w:vAlign w:val="center"/>
          </w:tcPr>
          <w:p w14:paraId="4EAE2671">
            <w:pPr>
              <w:spacing w:line="260" w:lineRule="exact"/>
              <w:jc w:val="center"/>
              <w:rPr>
                <w:rFonts w:hint="eastAsia" w:ascii="宋体" w:hAnsi="宋体" w:eastAsia="宋体" w:cs="宋体"/>
                <w:sz w:val="18"/>
                <w:szCs w:val="18"/>
              </w:rPr>
            </w:pPr>
          </w:p>
        </w:tc>
        <w:tc>
          <w:tcPr>
            <w:tcW w:w="1282" w:type="dxa"/>
            <w:vMerge w:val="continue"/>
            <w:tcBorders>
              <w:left w:val="single" w:color="auto" w:sz="4" w:space="0"/>
              <w:right w:val="single" w:color="auto" w:sz="4" w:space="0"/>
            </w:tcBorders>
            <w:noWrap w:val="0"/>
            <w:tcMar>
              <w:top w:w="0" w:type="dxa"/>
              <w:left w:w="0" w:type="dxa"/>
              <w:bottom w:w="0" w:type="dxa"/>
              <w:right w:w="0" w:type="dxa"/>
            </w:tcMar>
            <w:vAlign w:val="center"/>
          </w:tcPr>
          <w:p w14:paraId="3CAB0D86">
            <w:pPr>
              <w:widowControl/>
              <w:spacing w:line="260" w:lineRule="exact"/>
              <w:textAlignment w:val="center"/>
              <w:rPr>
                <w:rFonts w:hint="eastAsia" w:ascii="宋体" w:hAnsi="宋体" w:eastAsia="宋体" w:cs="宋体"/>
                <w:kern w:val="0"/>
                <w:sz w:val="18"/>
                <w:szCs w:val="18"/>
                <w:lang w:bidi="ar"/>
              </w:rPr>
            </w:pPr>
          </w:p>
        </w:tc>
        <w:tc>
          <w:tcPr>
            <w:tcW w:w="3448" w:type="dxa"/>
            <w:vMerge w:val="continue"/>
            <w:tcBorders>
              <w:left w:val="single" w:color="auto" w:sz="4" w:space="0"/>
              <w:right w:val="single" w:color="auto" w:sz="4" w:space="0"/>
            </w:tcBorders>
            <w:noWrap w:val="0"/>
            <w:tcMar>
              <w:top w:w="0" w:type="dxa"/>
              <w:left w:w="0" w:type="dxa"/>
              <w:bottom w:w="0" w:type="dxa"/>
              <w:right w:w="0" w:type="dxa"/>
            </w:tcMar>
            <w:vAlign w:val="center"/>
          </w:tcPr>
          <w:p w14:paraId="1912B975">
            <w:pPr>
              <w:widowControl/>
              <w:spacing w:line="260" w:lineRule="exact"/>
              <w:ind w:firstLine="360" w:firstLineChars="200"/>
              <w:textAlignment w:val="center"/>
              <w:rPr>
                <w:rFonts w:hint="eastAsia" w:ascii="宋体" w:hAnsi="宋体" w:eastAsia="宋体" w:cs="宋体"/>
                <w:kern w:val="0"/>
                <w:sz w:val="18"/>
                <w:szCs w:val="18"/>
                <w:lang w:bidi="ar"/>
              </w:rPr>
            </w:pPr>
          </w:p>
        </w:tc>
        <w:tc>
          <w:tcPr>
            <w:tcW w:w="1570" w:type="dxa"/>
            <w:vMerge w:val="continue"/>
            <w:tcBorders>
              <w:left w:val="single" w:color="auto" w:sz="4" w:space="0"/>
              <w:right w:val="single" w:color="auto" w:sz="4" w:space="0"/>
            </w:tcBorders>
            <w:noWrap w:val="0"/>
            <w:tcMar>
              <w:top w:w="0" w:type="dxa"/>
              <w:left w:w="0" w:type="dxa"/>
              <w:bottom w:w="0" w:type="dxa"/>
              <w:right w:w="0" w:type="dxa"/>
            </w:tcMar>
            <w:vAlign w:val="center"/>
          </w:tcPr>
          <w:p w14:paraId="0D8DEE1C">
            <w:pPr>
              <w:spacing w:line="260" w:lineRule="exact"/>
              <w:jc w:val="center"/>
              <w:rPr>
                <w:rFonts w:hint="eastAsia" w:ascii="宋体" w:hAnsi="宋体" w:eastAsia="宋体" w:cs="宋体"/>
                <w:sz w:val="18"/>
                <w:szCs w:val="18"/>
              </w:rPr>
            </w:pPr>
          </w:p>
        </w:tc>
        <w:tc>
          <w:tcPr>
            <w:tcW w:w="80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CB47CE2">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一般</w:t>
            </w:r>
          </w:p>
        </w:tc>
        <w:tc>
          <w:tcPr>
            <w:tcW w:w="353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E6FDEE5">
            <w:pPr>
              <w:spacing w:line="260" w:lineRule="exact"/>
              <w:rPr>
                <w:rFonts w:hint="eastAsia" w:ascii="宋体" w:hAnsi="宋体" w:eastAsia="宋体" w:cs="宋体"/>
                <w:color w:val="000000"/>
                <w:sz w:val="18"/>
                <w:szCs w:val="18"/>
                <w:lang w:bidi="ar"/>
              </w:rPr>
            </w:pPr>
            <w:r>
              <w:rPr>
                <w:rStyle w:val="21"/>
                <w:rFonts w:hint="eastAsia" w:ascii="宋体" w:hAnsi="宋体" w:eastAsia="宋体" w:cs="宋体"/>
                <w:sz w:val="18"/>
                <w:szCs w:val="18"/>
                <w:lang w:bidi="ar"/>
              </w:rPr>
              <w:t>设计供水能力在</w:t>
            </w:r>
            <w:r>
              <w:rPr>
                <w:rStyle w:val="21"/>
                <w:rFonts w:hint="eastAsia" w:ascii="宋体" w:hAnsi="宋体" w:eastAsia="宋体" w:cs="宋体"/>
                <w:sz w:val="18"/>
                <w:szCs w:val="18"/>
                <w:lang w:eastAsia="zh-CN" w:bidi="ar"/>
              </w:rPr>
              <w:t>日</w:t>
            </w:r>
            <w:r>
              <w:rPr>
                <w:rStyle w:val="21"/>
                <w:rFonts w:hint="eastAsia" w:ascii="宋体" w:hAnsi="宋体" w:eastAsia="宋体" w:cs="宋体"/>
                <w:sz w:val="18"/>
                <w:szCs w:val="18"/>
                <w:lang w:bidi="ar"/>
              </w:rPr>
              <w:t>供水量</w:t>
            </w:r>
            <w:r>
              <w:rPr>
                <w:rStyle w:val="21"/>
                <w:rFonts w:hint="eastAsia" w:ascii="宋体" w:hAnsi="宋体" w:eastAsia="宋体" w:cs="宋体"/>
                <w:sz w:val="18"/>
                <w:szCs w:val="18"/>
                <w:lang w:val="en-US" w:eastAsia="zh-CN" w:bidi="ar"/>
              </w:rPr>
              <w:t>1</w:t>
            </w:r>
            <w:r>
              <w:rPr>
                <w:rStyle w:val="21"/>
                <w:rFonts w:hint="eastAsia" w:ascii="宋体" w:hAnsi="宋体" w:eastAsia="宋体" w:cs="宋体"/>
                <w:sz w:val="18"/>
                <w:szCs w:val="18"/>
                <w:lang w:bidi="ar"/>
              </w:rPr>
              <w:t>千立方米以上或者</w:t>
            </w:r>
            <w:r>
              <w:rPr>
                <w:rStyle w:val="21"/>
                <w:rFonts w:hint="eastAsia" w:ascii="宋体" w:hAnsi="宋体" w:eastAsia="宋体" w:cs="宋体"/>
                <w:sz w:val="18"/>
                <w:szCs w:val="18"/>
                <w:lang w:val="en-US" w:eastAsia="zh-CN" w:bidi="ar"/>
              </w:rPr>
              <w:t>1</w:t>
            </w:r>
            <w:r>
              <w:rPr>
                <w:rStyle w:val="21"/>
                <w:rFonts w:hint="eastAsia" w:ascii="宋体" w:hAnsi="宋体" w:eastAsia="宋体" w:cs="宋体"/>
                <w:sz w:val="18"/>
                <w:szCs w:val="18"/>
                <w:lang w:bidi="ar"/>
              </w:rPr>
              <w:t>万人以上的集中供水设施，供水单位已设立专门水质化验室并配备相应的检验人员和检测设备，但未对原水、出厂水、管网末梢水进行水质指标检测的，逾期未改正的</w:t>
            </w:r>
          </w:p>
        </w:tc>
        <w:tc>
          <w:tcPr>
            <w:tcW w:w="261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0EC51E2">
            <w:pPr>
              <w:spacing w:line="260" w:lineRule="exact"/>
              <w:rPr>
                <w:rFonts w:hint="eastAsia" w:ascii="宋体" w:hAnsi="宋体" w:eastAsia="宋体" w:cs="宋体"/>
                <w:color w:val="000000"/>
                <w:sz w:val="18"/>
                <w:szCs w:val="18"/>
                <w:lang w:bidi="ar"/>
              </w:rPr>
            </w:pPr>
            <w:r>
              <w:rPr>
                <w:rStyle w:val="21"/>
                <w:rFonts w:hint="eastAsia" w:ascii="宋体" w:hAnsi="宋体" w:eastAsia="宋体" w:cs="宋体"/>
                <w:sz w:val="18"/>
                <w:szCs w:val="18"/>
                <w:lang w:bidi="ar"/>
              </w:rPr>
              <w:t>处</w:t>
            </w:r>
            <w:r>
              <w:rPr>
                <w:rStyle w:val="21"/>
                <w:rFonts w:hint="eastAsia" w:ascii="宋体" w:hAnsi="宋体" w:eastAsia="宋体" w:cs="宋体"/>
                <w:sz w:val="18"/>
                <w:szCs w:val="18"/>
                <w:lang w:val="en-US" w:eastAsia="zh-CN" w:bidi="ar"/>
              </w:rPr>
              <w:t>2</w:t>
            </w:r>
            <w:r>
              <w:rPr>
                <w:rStyle w:val="21"/>
                <w:rFonts w:hint="eastAsia" w:ascii="宋体" w:hAnsi="宋体" w:eastAsia="宋体" w:cs="宋体"/>
                <w:sz w:val="18"/>
                <w:szCs w:val="18"/>
                <w:lang w:bidi="ar"/>
              </w:rPr>
              <w:t>万元以上</w:t>
            </w:r>
            <w:r>
              <w:rPr>
                <w:rStyle w:val="21"/>
                <w:rFonts w:hint="eastAsia" w:ascii="宋体" w:hAnsi="宋体" w:eastAsia="宋体" w:cs="宋体"/>
                <w:sz w:val="18"/>
                <w:szCs w:val="18"/>
                <w:lang w:val="en-US" w:eastAsia="zh-CN" w:bidi="ar"/>
              </w:rPr>
              <w:t>3</w:t>
            </w:r>
            <w:r>
              <w:rPr>
                <w:rStyle w:val="21"/>
                <w:rFonts w:hint="eastAsia" w:ascii="宋体" w:hAnsi="宋体" w:eastAsia="宋体" w:cs="宋体"/>
                <w:sz w:val="18"/>
                <w:szCs w:val="18"/>
                <w:lang w:bidi="ar"/>
              </w:rPr>
              <w:t>万元以下的罚款</w:t>
            </w:r>
          </w:p>
        </w:tc>
        <w:tc>
          <w:tcPr>
            <w:tcW w:w="1135" w:type="dxa"/>
            <w:vMerge w:val="continue"/>
            <w:tcBorders>
              <w:left w:val="single" w:color="auto" w:sz="4" w:space="0"/>
              <w:right w:val="single" w:color="auto" w:sz="4" w:space="0"/>
            </w:tcBorders>
            <w:noWrap w:val="0"/>
            <w:tcMar>
              <w:top w:w="0" w:type="dxa"/>
              <w:left w:w="0" w:type="dxa"/>
              <w:bottom w:w="0" w:type="dxa"/>
              <w:right w:w="0" w:type="dxa"/>
            </w:tcMar>
            <w:vAlign w:val="center"/>
          </w:tcPr>
          <w:p w14:paraId="4FA46C6E">
            <w:pPr>
              <w:spacing w:line="260" w:lineRule="exact"/>
              <w:jc w:val="center"/>
              <w:rPr>
                <w:rStyle w:val="21"/>
                <w:rFonts w:hint="eastAsia" w:ascii="宋体" w:hAnsi="宋体" w:eastAsia="宋体" w:cs="宋体"/>
                <w:sz w:val="18"/>
                <w:szCs w:val="18"/>
                <w:lang w:bidi="ar"/>
              </w:rPr>
            </w:pPr>
          </w:p>
        </w:tc>
      </w:tr>
      <w:tr w14:paraId="7C582D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47" w:type="dxa"/>
            <w:vMerge w:val="continue"/>
            <w:tcBorders>
              <w:left w:val="single" w:color="auto" w:sz="4" w:space="0"/>
              <w:right w:val="single" w:color="auto" w:sz="4" w:space="0"/>
            </w:tcBorders>
            <w:noWrap w:val="0"/>
            <w:tcMar>
              <w:top w:w="0" w:type="dxa"/>
              <w:left w:w="0" w:type="dxa"/>
              <w:bottom w:w="0" w:type="dxa"/>
              <w:right w:w="0" w:type="dxa"/>
            </w:tcMar>
            <w:vAlign w:val="center"/>
          </w:tcPr>
          <w:p w14:paraId="1782F936">
            <w:pPr>
              <w:spacing w:line="260" w:lineRule="exact"/>
              <w:jc w:val="center"/>
              <w:rPr>
                <w:rFonts w:hint="eastAsia" w:ascii="宋体" w:hAnsi="宋体" w:eastAsia="宋体" w:cs="宋体"/>
                <w:sz w:val="18"/>
                <w:szCs w:val="18"/>
              </w:rPr>
            </w:pPr>
          </w:p>
        </w:tc>
        <w:tc>
          <w:tcPr>
            <w:tcW w:w="1282" w:type="dxa"/>
            <w:vMerge w:val="continue"/>
            <w:tcBorders>
              <w:left w:val="single" w:color="auto" w:sz="4" w:space="0"/>
              <w:right w:val="single" w:color="auto" w:sz="4" w:space="0"/>
            </w:tcBorders>
            <w:noWrap w:val="0"/>
            <w:tcMar>
              <w:top w:w="0" w:type="dxa"/>
              <w:left w:w="0" w:type="dxa"/>
              <w:bottom w:w="0" w:type="dxa"/>
              <w:right w:w="0" w:type="dxa"/>
            </w:tcMar>
            <w:vAlign w:val="center"/>
          </w:tcPr>
          <w:p w14:paraId="675CDDDF">
            <w:pPr>
              <w:widowControl/>
              <w:spacing w:line="260" w:lineRule="exact"/>
              <w:textAlignment w:val="center"/>
              <w:rPr>
                <w:rFonts w:hint="eastAsia" w:ascii="宋体" w:hAnsi="宋体" w:eastAsia="宋体" w:cs="宋体"/>
                <w:kern w:val="0"/>
                <w:sz w:val="18"/>
                <w:szCs w:val="18"/>
                <w:lang w:bidi="ar"/>
              </w:rPr>
            </w:pPr>
          </w:p>
        </w:tc>
        <w:tc>
          <w:tcPr>
            <w:tcW w:w="3448" w:type="dxa"/>
            <w:vMerge w:val="continue"/>
            <w:tcBorders>
              <w:left w:val="single" w:color="auto" w:sz="4" w:space="0"/>
              <w:right w:val="single" w:color="auto" w:sz="4" w:space="0"/>
            </w:tcBorders>
            <w:noWrap w:val="0"/>
            <w:tcMar>
              <w:top w:w="0" w:type="dxa"/>
              <w:left w:w="0" w:type="dxa"/>
              <w:bottom w:w="0" w:type="dxa"/>
              <w:right w:w="0" w:type="dxa"/>
            </w:tcMar>
            <w:vAlign w:val="center"/>
          </w:tcPr>
          <w:p w14:paraId="6B1B7552">
            <w:pPr>
              <w:widowControl/>
              <w:spacing w:line="260" w:lineRule="exact"/>
              <w:ind w:firstLine="360" w:firstLineChars="200"/>
              <w:textAlignment w:val="center"/>
              <w:rPr>
                <w:rFonts w:hint="eastAsia" w:ascii="宋体" w:hAnsi="宋体" w:eastAsia="宋体" w:cs="宋体"/>
                <w:kern w:val="0"/>
                <w:sz w:val="18"/>
                <w:szCs w:val="18"/>
                <w:lang w:bidi="ar"/>
              </w:rPr>
            </w:pPr>
          </w:p>
        </w:tc>
        <w:tc>
          <w:tcPr>
            <w:tcW w:w="1570" w:type="dxa"/>
            <w:vMerge w:val="continue"/>
            <w:tcBorders>
              <w:left w:val="single" w:color="auto" w:sz="4" w:space="0"/>
              <w:right w:val="single" w:color="auto" w:sz="4" w:space="0"/>
            </w:tcBorders>
            <w:noWrap w:val="0"/>
            <w:tcMar>
              <w:top w:w="0" w:type="dxa"/>
              <w:left w:w="0" w:type="dxa"/>
              <w:bottom w:w="0" w:type="dxa"/>
              <w:right w:w="0" w:type="dxa"/>
            </w:tcMar>
            <w:vAlign w:val="center"/>
          </w:tcPr>
          <w:p w14:paraId="74AEBEF4">
            <w:pPr>
              <w:spacing w:line="260" w:lineRule="exact"/>
              <w:jc w:val="center"/>
              <w:rPr>
                <w:rFonts w:hint="eastAsia" w:ascii="宋体" w:hAnsi="宋体" w:eastAsia="宋体" w:cs="宋体"/>
                <w:sz w:val="18"/>
                <w:szCs w:val="18"/>
              </w:rPr>
            </w:pPr>
          </w:p>
        </w:tc>
        <w:tc>
          <w:tcPr>
            <w:tcW w:w="80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0936AC0">
            <w:pPr>
              <w:spacing w:line="260" w:lineRule="exact"/>
              <w:jc w:val="center"/>
              <w:rPr>
                <w:rFonts w:hint="eastAsia" w:ascii="宋体" w:hAnsi="宋体" w:eastAsia="宋体" w:cs="宋体"/>
                <w:sz w:val="18"/>
                <w:szCs w:val="18"/>
                <w:lang w:eastAsia="zh-CN"/>
              </w:rPr>
            </w:pPr>
            <w:r>
              <w:rPr>
                <w:rFonts w:hint="eastAsia" w:ascii="宋体" w:hAnsi="宋体" w:eastAsia="宋体" w:cs="宋体"/>
                <w:sz w:val="18"/>
                <w:szCs w:val="18"/>
                <w:lang w:eastAsia="zh-CN"/>
              </w:rPr>
              <w:t>较重</w:t>
            </w:r>
          </w:p>
        </w:tc>
        <w:tc>
          <w:tcPr>
            <w:tcW w:w="353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E4DA94A">
            <w:pPr>
              <w:spacing w:line="260" w:lineRule="exact"/>
              <w:rPr>
                <w:rFonts w:hint="eastAsia" w:ascii="宋体" w:hAnsi="宋体" w:eastAsia="宋体" w:cs="宋体"/>
                <w:color w:val="000000"/>
                <w:sz w:val="18"/>
                <w:szCs w:val="18"/>
                <w:lang w:bidi="ar"/>
              </w:rPr>
            </w:pPr>
            <w:r>
              <w:rPr>
                <w:rStyle w:val="21"/>
                <w:rFonts w:hint="eastAsia" w:ascii="宋体" w:hAnsi="宋体" w:eastAsia="宋体" w:cs="宋体"/>
                <w:sz w:val="18"/>
                <w:szCs w:val="18"/>
                <w:lang w:bidi="ar"/>
              </w:rPr>
              <w:t>设计供水能力在</w:t>
            </w:r>
            <w:r>
              <w:rPr>
                <w:rStyle w:val="21"/>
                <w:rFonts w:hint="eastAsia" w:ascii="宋体" w:hAnsi="宋体" w:eastAsia="宋体" w:cs="宋体"/>
                <w:sz w:val="18"/>
                <w:szCs w:val="18"/>
                <w:lang w:eastAsia="zh-CN" w:bidi="ar"/>
              </w:rPr>
              <w:t>日</w:t>
            </w:r>
            <w:r>
              <w:rPr>
                <w:rStyle w:val="21"/>
                <w:rFonts w:hint="eastAsia" w:ascii="宋体" w:hAnsi="宋体" w:eastAsia="宋体" w:cs="宋体"/>
                <w:sz w:val="18"/>
                <w:szCs w:val="18"/>
                <w:lang w:bidi="ar"/>
              </w:rPr>
              <w:t>供水量</w:t>
            </w:r>
            <w:r>
              <w:rPr>
                <w:rStyle w:val="21"/>
                <w:rFonts w:hint="eastAsia" w:ascii="宋体" w:hAnsi="宋体" w:eastAsia="宋体" w:cs="宋体"/>
                <w:sz w:val="18"/>
                <w:szCs w:val="18"/>
                <w:lang w:val="en-US" w:eastAsia="zh-CN" w:bidi="ar"/>
              </w:rPr>
              <w:t>1</w:t>
            </w:r>
            <w:r>
              <w:rPr>
                <w:rStyle w:val="21"/>
                <w:rFonts w:hint="eastAsia" w:ascii="宋体" w:hAnsi="宋体" w:eastAsia="宋体" w:cs="宋体"/>
                <w:sz w:val="18"/>
                <w:szCs w:val="18"/>
                <w:lang w:bidi="ar"/>
              </w:rPr>
              <w:t>千立方米以上或者</w:t>
            </w:r>
            <w:r>
              <w:rPr>
                <w:rStyle w:val="21"/>
                <w:rFonts w:hint="eastAsia" w:ascii="宋体" w:hAnsi="宋体" w:eastAsia="宋体" w:cs="宋体"/>
                <w:sz w:val="18"/>
                <w:szCs w:val="18"/>
                <w:lang w:val="en-US" w:eastAsia="zh-CN" w:bidi="ar"/>
              </w:rPr>
              <w:t>1</w:t>
            </w:r>
            <w:r>
              <w:rPr>
                <w:rStyle w:val="21"/>
                <w:rFonts w:hint="eastAsia" w:ascii="宋体" w:hAnsi="宋体" w:eastAsia="宋体" w:cs="宋体"/>
                <w:sz w:val="18"/>
                <w:szCs w:val="18"/>
                <w:lang w:bidi="ar"/>
              </w:rPr>
              <w:t>万人以上的集中供水设施，供水单位已设立专门水质化验室但未配备相应的检验人员和检测设备的，逾期未改正的</w:t>
            </w:r>
          </w:p>
        </w:tc>
        <w:tc>
          <w:tcPr>
            <w:tcW w:w="261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37CE7A1">
            <w:pPr>
              <w:spacing w:line="260" w:lineRule="exact"/>
              <w:rPr>
                <w:rFonts w:hint="eastAsia" w:ascii="宋体" w:hAnsi="宋体" w:eastAsia="宋体" w:cs="宋体"/>
                <w:color w:val="000000"/>
                <w:sz w:val="18"/>
                <w:szCs w:val="18"/>
                <w:lang w:bidi="ar"/>
              </w:rPr>
            </w:pPr>
            <w:r>
              <w:rPr>
                <w:rStyle w:val="21"/>
                <w:rFonts w:hint="eastAsia" w:ascii="宋体" w:hAnsi="宋体" w:eastAsia="宋体" w:cs="宋体"/>
                <w:sz w:val="18"/>
                <w:szCs w:val="18"/>
                <w:lang w:bidi="ar"/>
              </w:rPr>
              <w:t>处</w:t>
            </w:r>
            <w:r>
              <w:rPr>
                <w:rStyle w:val="21"/>
                <w:rFonts w:hint="eastAsia" w:ascii="宋体" w:hAnsi="宋体" w:eastAsia="宋体" w:cs="宋体"/>
                <w:sz w:val="18"/>
                <w:szCs w:val="18"/>
                <w:lang w:val="en-US" w:eastAsia="zh-CN" w:bidi="ar"/>
              </w:rPr>
              <w:t>3</w:t>
            </w:r>
            <w:r>
              <w:rPr>
                <w:rStyle w:val="21"/>
                <w:rFonts w:hint="eastAsia" w:ascii="宋体" w:hAnsi="宋体" w:eastAsia="宋体" w:cs="宋体"/>
                <w:sz w:val="18"/>
                <w:szCs w:val="18"/>
                <w:lang w:bidi="ar"/>
              </w:rPr>
              <w:t>万元以上</w:t>
            </w:r>
            <w:r>
              <w:rPr>
                <w:rStyle w:val="21"/>
                <w:rFonts w:hint="eastAsia" w:ascii="宋体" w:hAnsi="宋体" w:eastAsia="宋体" w:cs="宋体"/>
                <w:sz w:val="18"/>
                <w:szCs w:val="18"/>
                <w:lang w:val="en-US" w:eastAsia="zh-CN" w:bidi="ar"/>
              </w:rPr>
              <w:t>4</w:t>
            </w:r>
            <w:r>
              <w:rPr>
                <w:rStyle w:val="21"/>
                <w:rFonts w:hint="eastAsia" w:ascii="宋体" w:hAnsi="宋体" w:eastAsia="宋体" w:cs="宋体"/>
                <w:sz w:val="18"/>
                <w:szCs w:val="18"/>
                <w:lang w:bidi="ar"/>
              </w:rPr>
              <w:t>万元以下的罚款</w:t>
            </w:r>
          </w:p>
        </w:tc>
        <w:tc>
          <w:tcPr>
            <w:tcW w:w="1135" w:type="dxa"/>
            <w:vMerge w:val="continue"/>
            <w:tcBorders>
              <w:left w:val="single" w:color="auto" w:sz="4" w:space="0"/>
              <w:right w:val="single" w:color="auto" w:sz="4" w:space="0"/>
            </w:tcBorders>
            <w:noWrap w:val="0"/>
            <w:tcMar>
              <w:top w:w="0" w:type="dxa"/>
              <w:left w:w="0" w:type="dxa"/>
              <w:bottom w:w="0" w:type="dxa"/>
              <w:right w:w="0" w:type="dxa"/>
            </w:tcMar>
            <w:vAlign w:val="center"/>
          </w:tcPr>
          <w:p w14:paraId="3B450D2A">
            <w:pPr>
              <w:spacing w:line="260" w:lineRule="exact"/>
              <w:jc w:val="center"/>
              <w:rPr>
                <w:rStyle w:val="21"/>
                <w:rFonts w:hint="eastAsia" w:ascii="宋体" w:hAnsi="宋体" w:eastAsia="宋体" w:cs="宋体"/>
                <w:sz w:val="18"/>
                <w:szCs w:val="18"/>
                <w:lang w:bidi="ar"/>
              </w:rPr>
            </w:pPr>
          </w:p>
        </w:tc>
      </w:tr>
      <w:tr w14:paraId="02EE1E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47" w:type="dxa"/>
            <w:vMerge w:val="continue"/>
            <w:tcBorders>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4CEF5D1">
            <w:pPr>
              <w:spacing w:line="260" w:lineRule="exact"/>
              <w:jc w:val="center"/>
              <w:rPr>
                <w:rFonts w:hint="eastAsia" w:ascii="宋体" w:hAnsi="宋体" w:eastAsia="宋体" w:cs="宋体"/>
                <w:sz w:val="18"/>
                <w:szCs w:val="18"/>
              </w:rPr>
            </w:pPr>
          </w:p>
        </w:tc>
        <w:tc>
          <w:tcPr>
            <w:tcW w:w="1282" w:type="dxa"/>
            <w:vMerge w:val="continue"/>
            <w:tcBorders>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31E604A">
            <w:pPr>
              <w:widowControl/>
              <w:spacing w:line="260" w:lineRule="exact"/>
              <w:textAlignment w:val="center"/>
              <w:rPr>
                <w:rFonts w:hint="eastAsia" w:ascii="宋体" w:hAnsi="宋体" w:eastAsia="宋体" w:cs="宋体"/>
                <w:kern w:val="0"/>
                <w:sz w:val="18"/>
                <w:szCs w:val="18"/>
                <w:lang w:bidi="ar"/>
              </w:rPr>
            </w:pPr>
          </w:p>
        </w:tc>
        <w:tc>
          <w:tcPr>
            <w:tcW w:w="3448" w:type="dxa"/>
            <w:vMerge w:val="continue"/>
            <w:tcBorders>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8604AEA">
            <w:pPr>
              <w:widowControl/>
              <w:spacing w:line="260" w:lineRule="exact"/>
              <w:ind w:firstLine="360" w:firstLineChars="200"/>
              <w:textAlignment w:val="center"/>
              <w:rPr>
                <w:rFonts w:hint="eastAsia" w:ascii="宋体" w:hAnsi="宋体" w:eastAsia="宋体" w:cs="宋体"/>
                <w:kern w:val="0"/>
                <w:sz w:val="18"/>
                <w:szCs w:val="18"/>
                <w:lang w:bidi="ar"/>
              </w:rPr>
            </w:pPr>
          </w:p>
        </w:tc>
        <w:tc>
          <w:tcPr>
            <w:tcW w:w="1570" w:type="dxa"/>
            <w:vMerge w:val="continue"/>
            <w:tcBorders>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7370F41">
            <w:pPr>
              <w:spacing w:line="260" w:lineRule="exact"/>
              <w:jc w:val="center"/>
              <w:rPr>
                <w:rFonts w:hint="eastAsia" w:ascii="宋体" w:hAnsi="宋体" w:eastAsia="宋体" w:cs="宋体"/>
                <w:sz w:val="18"/>
                <w:szCs w:val="18"/>
              </w:rPr>
            </w:pPr>
          </w:p>
        </w:tc>
        <w:tc>
          <w:tcPr>
            <w:tcW w:w="80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A283835">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严重</w:t>
            </w:r>
          </w:p>
        </w:tc>
        <w:tc>
          <w:tcPr>
            <w:tcW w:w="353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CBE7846">
            <w:pPr>
              <w:spacing w:line="260" w:lineRule="exact"/>
              <w:rPr>
                <w:rFonts w:hint="eastAsia" w:ascii="宋体" w:hAnsi="宋体" w:eastAsia="宋体" w:cs="宋体"/>
                <w:color w:val="000000"/>
                <w:sz w:val="18"/>
                <w:szCs w:val="18"/>
                <w:lang w:bidi="ar"/>
              </w:rPr>
            </w:pPr>
            <w:r>
              <w:rPr>
                <w:rStyle w:val="21"/>
                <w:rFonts w:hint="eastAsia" w:ascii="宋体" w:hAnsi="宋体" w:eastAsia="宋体" w:cs="宋体"/>
                <w:sz w:val="18"/>
                <w:szCs w:val="18"/>
                <w:lang w:bidi="ar"/>
              </w:rPr>
              <w:t>设计供水能力在</w:t>
            </w:r>
            <w:r>
              <w:rPr>
                <w:rStyle w:val="21"/>
                <w:rFonts w:hint="eastAsia" w:ascii="宋体" w:hAnsi="宋体" w:eastAsia="宋体" w:cs="宋体"/>
                <w:sz w:val="18"/>
                <w:szCs w:val="18"/>
                <w:lang w:eastAsia="zh-CN" w:bidi="ar"/>
              </w:rPr>
              <w:t>日</w:t>
            </w:r>
            <w:r>
              <w:rPr>
                <w:rStyle w:val="21"/>
                <w:rFonts w:hint="eastAsia" w:ascii="宋体" w:hAnsi="宋体" w:eastAsia="宋体" w:cs="宋体"/>
                <w:sz w:val="18"/>
                <w:szCs w:val="18"/>
                <w:lang w:bidi="ar"/>
              </w:rPr>
              <w:t>供水量</w:t>
            </w:r>
            <w:r>
              <w:rPr>
                <w:rStyle w:val="21"/>
                <w:rFonts w:hint="eastAsia" w:ascii="宋体" w:hAnsi="宋体" w:eastAsia="宋体" w:cs="宋体"/>
                <w:sz w:val="18"/>
                <w:szCs w:val="18"/>
                <w:lang w:val="en-US" w:eastAsia="zh-CN" w:bidi="ar"/>
              </w:rPr>
              <w:t>1</w:t>
            </w:r>
            <w:r>
              <w:rPr>
                <w:rStyle w:val="21"/>
                <w:rFonts w:hint="eastAsia" w:ascii="宋体" w:hAnsi="宋体" w:eastAsia="宋体" w:cs="宋体"/>
                <w:sz w:val="18"/>
                <w:szCs w:val="18"/>
                <w:lang w:bidi="ar"/>
              </w:rPr>
              <w:t>千立方米以上或者</w:t>
            </w:r>
            <w:r>
              <w:rPr>
                <w:rStyle w:val="21"/>
                <w:rFonts w:hint="eastAsia" w:ascii="宋体" w:hAnsi="宋体" w:eastAsia="宋体" w:cs="宋体"/>
                <w:sz w:val="18"/>
                <w:szCs w:val="18"/>
                <w:lang w:val="en-US" w:eastAsia="zh-CN" w:bidi="ar"/>
              </w:rPr>
              <w:t>1</w:t>
            </w:r>
            <w:r>
              <w:rPr>
                <w:rStyle w:val="21"/>
                <w:rFonts w:hint="eastAsia" w:ascii="宋体" w:hAnsi="宋体" w:eastAsia="宋体" w:cs="宋体"/>
                <w:sz w:val="18"/>
                <w:szCs w:val="18"/>
                <w:lang w:bidi="ar"/>
              </w:rPr>
              <w:t>万人以上的集中供水设施，供水单位未设立专门水质化验室的，逾期未改正的</w:t>
            </w:r>
          </w:p>
        </w:tc>
        <w:tc>
          <w:tcPr>
            <w:tcW w:w="261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A9E0349">
            <w:pPr>
              <w:spacing w:line="260" w:lineRule="exact"/>
              <w:rPr>
                <w:rFonts w:hint="eastAsia" w:ascii="宋体" w:hAnsi="宋体" w:eastAsia="宋体" w:cs="宋体"/>
                <w:color w:val="000000"/>
                <w:sz w:val="18"/>
                <w:szCs w:val="18"/>
                <w:lang w:bidi="ar"/>
              </w:rPr>
            </w:pPr>
            <w:r>
              <w:rPr>
                <w:rStyle w:val="21"/>
                <w:rFonts w:hint="eastAsia" w:ascii="宋体" w:hAnsi="宋体" w:eastAsia="宋体" w:cs="宋体"/>
                <w:sz w:val="18"/>
                <w:szCs w:val="18"/>
                <w:lang w:bidi="ar"/>
              </w:rPr>
              <w:t>处</w:t>
            </w:r>
            <w:r>
              <w:rPr>
                <w:rStyle w:val="21"/>
                <w:rFonts w:hint="eastAsia" w:ascii="宋体" w:hAnsi="宋体" w:eastAsia="宋体" w:cs="宋体"/>
                <w:sz w:val="18"/>
                <w:szCs w:val="18"/>
                <w:lang w:val="en-US" w:eastAsia="zh-CN" w:bidi="ar"/>
              </w:rPr>
              <w:t>4</w:t>
            </w:r>
            <w:r>
              <w:rPr>
                <w:rStyle w:val="21"/>
                <w:rFonts w:hint="eastAsia" w:ascii="宋体" w:hAnsi="宋体" w:eastAsia="宋体" w:cs="宋体"/>
                <w:sz w:val="18"/>
                <w:szCs w:val="18"/>
                <w:lang w:bidi="ar"/>
              </w:rPr>
              <w:t>万元以上</w:t>
            </w:r>
            <w:r>
              <w:rPr>
                <w:rStyle w:val="21"/>
                <w:rFonts w:hint="eastAsia" w:ascii="宋体" w:hAnsi="宋体" w:eastAsia="宋体" w:cs="宋体"/>
                <w:sz w:val="18"/>
                <w:szCs w:val="18"/>
                <w:lang w:val="en-US" w:eastAsia="zh-CN" w:bidi="ar"/>
              </w:rPr>
              <w:t>5</w:t>
            </w:r>
            <w:r>
              <w:rPr>
                <w:rStyle w:val="21"/>
                <w:rFonts w:hint="eastAsia" w:ascii="宋体" w:hAnsi="宋体" w:eastAsia="宋体" w:cs="宋体"/>
                <w:sz w:val="18"/>
                <w:szCs w:val="18"/>
                <w:lang w:bidi="ar"/>
              </w:rPr>
              <w:t>万元以下的罚款</w:t>
            </w:r>
          </w:p>
        </w:tc>
        <w:tc>
          <w:tcPr>
            <w:tcW w:w="1135" w:type="dxa"/>
            <w:vMerge w:val="continue"/>
            <w:tcBorders>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50E5F9E">
            <w:pPr>
              <w:spacing w:line="260" w:lineRule="exact"/>
              <w:jc w:val="center"/>
              <w:rPr>
                <w:rStyle w:val="21"/>
                <w:rFonts w:hint="eastAsia" w:ascii="宋体" w:hAnsi="宋体" w:eastAsia="宋体" w:cs="宋体"/>
                <w:sz w:val="18"/>
                <w:szCs w:val="18"/>
                <w:lang w:bidi="ar"/>
              </w:rPr>
            </w:pPr>
          </w:p>
        </w:tc>
      </w:tr>
      <w:tr w14:paraId="21EB6C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47" w:type="dxa"/>
            <w:vMerge w:val="restart"/>
            <w:tcBorders>
              <w:left w:val="single" w:color="auto" w:sz="4" w:space="0"/>
              <w:right w:val="single" w:color="auto" w:sz="4" w:space="0"/>
            </w:tcBorders>
            <w:noWrap w:val="0"/>
            <w:tcMar>
              <w:top w:w="0" w:type="dxa"/>
              <w:left w:w="0" w:type="dxa"/>
              <w:bottom w:w="0" w:type="dxa"/>
              <w:right w:w="0" w:type="dxa"/>
            </w:tcMar>
            <w:vAlign w:val="center"/>
          </w:tcPr>
          <w:p w14:paraId="228582F1">
            <w:pPr>
              <w:widowControl/>
              <w:spacing w:line="260" w:lineRule="exact"/>
              <w:jc w:val="center"/>
              <w:textAlignment w:val="center"/>
              <w:rPr>
                <w:rFonts w:hint="eastAsia" w:ascii="宋体" w:hAnsi="宋体" w:eastAsia="宋体" w:cs="宋体"/>
                <w:sz w:val="18"/>
                <w:szCs w:val="18"/>
                <w:lang w:eastAsia="zh-CN"/>
              </w:rPr>
            </w:pPr>
            <w:r>
              <w:rPr>
                <w:rFonts w:hint="eastAsia" w:ascii="宋体" w:hAnsi="宋体" w:eastAsia="宋体" w:cs="宋体"/>
                <w:color w:val="000000"/>
                <w:sz w:val="18"/>
                <w:szCs w:val="18"/>
              </w:rPr>
              <w:t>5</w:t>
            </w:r>
            <w:r>
              <w:rPr>
                <w:rFonts w:hint="eastAsia" w:ascii="宋体" w:hAnsi="宋体" w:eastAsia="宋体" w:cs="宋体"/>
                <w:color w:val="000000"/>
                <w:sz w:val="18"/>
                <w:szCs w:val="18"/>
                <w:lang w:val="en-US" w:eastAsia="zh-CN"/>
              </w:rPr>
              <w:t>8</w:t>
            </w:r>
          </w:p>
        </w:tc>
        <w:tc>
          <w:tcPr>
            <w:tcW w:w="1282" w:type="dxa"/>
            <w:vMerge w:val="restart"/>
            <w:tcBorders>
              <w:left w:val="single" w:color="auto" w:sz="4" w:space="0"/>
              <w:right w:val="single" w:color="auto" w:sz="4" w:space="0"/>
            </w:tcBorders>
            <w:noWrap w:val="0"/>
            <w:tcMar>
              <w:top w:w="0" w:type="dxa"/>
              <w:left w:w="0" w:type="dxa"/>
              <w:bottom w:w="0" w:type="dxa"/>
              <w:right w:w="0" w:type="dxa"/>
            </w:tcMar>
            <w:vAlign w:val="center"/>
          </w:tcPr>
          <w:p w14:paraId="506E21D1">
            <w:pPr>
              <w:widowControl/>
              <w:spacing w:line="260" w:lineRule="exact"/>
              <w:jc w:val="left"/>
              <w:textAlignment w:val="center"/>
              <w:rPr>
                <w:rFonts w:hint="eastAsia" w:ascii="宋体" w:hAnsi="宋体" w:eastAsia="宋体" w:cs="宋体"/>
                <w:kern w:val="0"/>
                <w:sz w:val="18"/>
                <w:szCs w:val="18"/>
                <w:lang w:bidi="ar"/>
              </w:rPr>
            </w:pPr>
            <w:r>
              <w:rPr>
                <w:rFonts w:hint="eastAsia" w:ascii="宋体" w:hAnsi="宋体" w:eastAsia="宋体" w:cs="宋体"/>
                <w:color w:val="000000"/>
                <w:kern w:val="0"/>
                <w:sz w:val="18"/>
                <w:szCs w:val="18"/>
                <w:lang w:bidi="ar"/>
              </w:rPr>
              <w:t>对供水单位未定期检修供水设施和制定供水突发事件应急预案，擅自停止供水行为的行政处罚</w:t>
            </w:r>
          </w:p>
        </w:tc>
        <w:tc>
          <w:tcPr>
            <w:tcW w:w="3448" w:type="dxa"/>
            <w:vMerge w:val="restart"/>
            <w:tcBorders>
              <w:top w:val="single" w:color="auto" w:sz="4" w:space="0"/>
              <w:left w:val="single" w:color="auto" w:sz="4" w:space="0"/>
              <w:right w:val="single" w:color="auto" w:sz="4" w:space="0"/>
            </w:tcBorders>
            <w:noWrap w:val="0"/>
            <w:tcMar>
              <w:top w:w="0" w:type="dxa"/>
              <w:left w:w="0" w:type="dxa"/>
              <w:bottom w:w="0" w:type="dxa"/>
              <w:right w:w="0" w:type="dxa"/>
            </w:tcMar>
            <w:vAlign w:val="center"/>
          </w:tcPr>
          <w:p w14:paraId="2448C514">
            <w:pPr>
              <w:widowControl/>
              <w:spacing w:line="260" w:lineRule="exact"/>
              <w:jc w:val="left"/>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《河北省农村供水用水管理办法》第十七条第一款 供水单位应当定期检修供水设施和制定供水突发事件应急预案，不得擅自停止供水。</w:t>
            </w:r>
          </w:p>
          <w:p w14:paraId="252E6142">
            <w:pPr>
              <w:widowControl/>
              <w:spacing w:line="260" w:lineRule="exact"/>
              <w:jc w:val="left"/>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《河北省农村供水用水管理办法》第二十五条第四项 供水单位违反本办法规定的，按照下列规定处理：</w:t>
            </w:r>
          </w:p>
          <w:p w14:paraId="76D731F1">
            <w:pPr>
              <w:widowControl/>
              <w:spacing w:line="260" w:lineRule="exact"/>
              <w:jc w:val="left"/>
              <w:textAlignment w:val="center"/>
              <w:rPr>
                <w:rFonts w:hint="eastAsia" w:ascii="宋体" w:hAnsi="宋体" w:eastAsia="宋体" w:cs="宋体"/>
                <w:kern w:val="0"/>
                <w:sz w:val="18"/>
                <w:szCs w:val="18"/>
                <w:lang w:bidi="ar"/>
              </w:rPr>
            </w:pPr>
            <w:r>
              <w:rPr>
                <w:rFonts w:hint="eastAsia" w:ascii="宋体" w:hAnsi="宋体" w:eastAsia="宋体" w:cs="宋体"/>
                <w:color w:val="000000"/>
                <w:kern w:val="0"/>
                <w:sz w:val="18"/>
                <w:szCs w:val="18"/>
                <w:lang w:bidi="ar"/>
              </w:rPr>
              <w:t>（四）违反本办法第十七条第一款规定的，由县级人民政府水行政主管部门责令限期改正，并处五千元以上一万元以下的罚款。</w:t>
            </w:r>
          </w:p>
        </w:tc>
        <w:tc>
          <w:tcPr>
            <w:tcW w:w="1570" w:type="dxa"/>
            <w:vMerge w:val="restart"/>
            <w:tcBorders>
              <w:top w:val="single" w:color="auto" w:sz="4" w:space="0"/>
              <w:left w:val="single" w:color="auto" w:sz="4" w:space="0"/>
              <w:right w:val="single" w:color="auto" w:sz="4" w:space="0"/>
            </w:tcBorders>
            <w:noWrap w:val="0"/>
            <w:tcMar>
              <w:top w:w="0" w:type="dxa"/>
              <w:left w:w="0" w:type="dxa"/>
              <w:bottom w:w="0" w:type="dxa"/>
              <w:right w:w="0" w:type="dxa"/>
            </w:tcMar>
            <w:vAlign w:val="center"/>
          </w:tcPr>
          <w:p w14:paraId="78509C6D">
            <w:pPr>
              <w:spacing w:line="260" w:lineRule="exact"/>
              <w:jc w:val="both"/>
              <w:rPr>
                <w:rFonts w:hint="eastAsia" w:ascii="宋体" w:hAnsi="宋体" w:eastAsia="宋体" w:cs="宋体"/>
                <w:sz w:val="18"/>
                <w:szCs w:val="18"/>
              </w:rPr>
            </w:pPr>
            <w:r>
              <w:rPr>
                <w:rFonts w:hint="eastAsia" w:ascii="宋体" w:hAnsi="宋体" w:eastAsia="宋体" w:cs="宋体"/>
                <w:color w:val="000000"/>
                <w:kern w:val="0"/>
                <w:sz w:val="18"/>
                <w:szCs w:val="18"/>
                <w:lang w:bidi="ar"/>
              </w:rPr>
              <w:t>对供水单位未定期检修供水设施和制定供水突发事件应急预案，擅自停止供水行为的</w:t>
            </w:r>
          </w:p>
        </w:tc>
        <w:tc>
          <w:tcPr>
            <w:tcW w:w="80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8CAE544">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轻微</w:t>
            </w:r>
          </w:p>
        </w:tc>
        <w:tc>
          <w:tcPr>
            <w:tcW w:w="353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00A3D0FC">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6CF6A178">
            <w:pPr>
              <w:spacing w:line="260" w:lineRule="exact"/>
              <w:rPr>
                <w:rFonts w:hint="eastAsia" w:ascii="宋体" w:hAnsi="宋体" w:eastAsia="宋体" w:cs="宋体"/>
                <w:color w:val="000000"/>
                <w:kern w:val="0"/>
                <w:sz w:val="18"/>
                <w:szCs w:val="18"/>
                <w:lang w:bidi="ar"/>
              </w:rPr>
            </w:pPr>
          </w:p>
        </w:tc>
        <w:tc>
          <w:tcPr>
            <w:tcW w:w="261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5231F94A">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0007A888">
            <w:pPr>
              <w:spacing w:line="260" w:lineRule="exact"/>
              <w:rPr>
                <w:rFonts w:hint="eastAsia" w:ascii="宋体" w:hAnsi="宋体" w:eastAsia="宋体" w:cs="宋体"/>
                <w:color w:val="000000"/>
                <w:kern w:val="0"/>
                <w:sz w:val="18"/>
                <w:szCs w:val="18"/>
                <w:lang w:bidi="ar"/>
              </w:rPr>
            </w:pPr>
          </w:p>
        </w:tc>
        <w:tc>
          <w:tcPr>
            <w:tcW w:w="1135" w:type="dxa"/>
            <w:vMerge w:val="restart"/>
            <w:tcBorders>
              <w:top w:val="single" w:color="auto" w:sz="4" w:space="0"/>
              <w:left w:val="single" w:color="auto" w:sz="4" w:space="0"/>
              <w:right w:val="single" w:color="auto" w:sz="4" w:space="0"/>
            </w:tcBorders>
            <w:noWrap w:val="0"/>
            <w:tcMar>
              <w:top w:w="0" w:type="dxa"/>
              <w:left w:w="0" w:type="dxa"/>
              <w:bottom w:w="0" w:type="dxa"/>
              <w:right w:w="0" w:type="dxa"/>
            </w:tcMar>
            <w:vAlign w:val="center"/>
          </w:tcPr>
          <w:p w14:paraId="51172671">
            <w:pPr>
              <w:widowControl/>
              <w:spacing w:line="260" w:lineRule="exact"/>
              <w:jc w:val="center"/>
              <w:textAlignment w:val="center"/>
              <w:rPr>
                <w:rFonts w:hint="eastAsia" w:ascii="宋体" w:hAnsi="宋体" w:eastAsia="宋体" w:cs="宋体"/>
                <w:color w:val="000000"/>
                <w:kern w:val="0"/>
                <w:sz w:val="18"/>
                <w:szCs w:val="18"/>
                <w:lang w:bidi="ar"/>
              </w:rPr>
            </w:pPr>
          </w:p>
        </w:tc>
      </w:tr>
      <w:tr w14:paraId="48DC9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47" w:type="dxa"/>
            <w:vMerge w:val="continue"/>
            <w:tcBorders>
              <w:left w:val="single" w:color="auto" w:sz="4" w:space="0"/>
              <w:right w:val="single" w:color="auto" w:sz="4" w:space="0"/>
            </w:tcBorders>
            <w:noWrap w:val="0"/>
            <w:tcMar>
              <w:top w:w="0" w:type="dxa"/>
              <w:left w:w="0" w:type="dxa"/>
              <w:bottom w:w="0" w:type="dxa"/>
              <w:right w:w="0" w:type="dxa"/>
            </w:tcMar>
            <w:vAlign w:val="center"/>
          </w:tcPr>
          <w:p w14:paraId="7B98EF9A">
            <w:pPr>
              <w:spacing w:line="260" w:lineRule="exact"/>
              <w:jc w:val="center"/>
              <w:rPr>
                <w:rFonts w:hint="eastAsia" w:ascii="宋体" w:hAnsi="宋体" w:eastAsia="宋体" w:cs="宋体"/>
                <w:sz w:val="18"/>
                <w:szCs w:val="18"/>
              </w:rPr>
            </w:pPr>
          </w:p>
        </w:tc>
        <w:tc>
          <w:tcPr>
            <w:tcW w:w="1282" w:type="dxa"/>
            <w:vMerge w:val="continue"/>
            <w:tcBorders>
              <w:left w:val="single" w:color="auto" w:sz="4" w:space="0"/>
              <w:right w:val="single" w:color="auto" w:sz="4" w:space="0"/>
            </w:tcBorders>
            <w:noWrap w:val="0"/>
            <w:tcMar>
              <w:top w:w="0" w:type="dxa"/>
              <w:left w:w="0" w:type="dxa"/>
              <w:bottom w:w="0" w:type="dxa"/>
              <w:right w:w="0" w:type="dxa"/>
            </w:tcMar>
            <w:vAlign w:val="center"/>
          </w:tcPr>
          <w:p w14:paraId="39DFF9C4">
            <w:pPr>
              <w:widowControl/>
              <w:spacing w:line="260" w:lineRule="exact"/>
              <w:textAlignment w:val="center"/>
              <w:rPr>
                <w:rFonts w:hint="eastAsia" w:ascii="宋体" w:hAnsi="宋体" w:eastAsia="宋体" w:cs="宋体"/>
                <w:kern w:val="0"/>
                <w:sz w:val="18"/>
                <w:szCs w:val="18"/>
                <w:lang w:bidi="ar"/>
              </w:rPr>
            </w:pPr>
          </w:p>
        </w:tc>
        <w:tc>
          <w:tcPr>
            <w:tcW w:w="3448" w:type="dxa"/>
            <w:vMerge w:val="continue"/>
            <w:tcBorders>
              <w:left w:val="single" w:color="auto" w:sz="4" w:space="0"/>
              <w:right w:val="single" w:color="auto" w:sz="4" w:space="0"/>
            </w:tcBorders>
            <w:noWrap w:val="0"/>
            <w:tcMar>
              <w:top w:w="0" w:type="dxa"/>
              <w:left w:w="0" w:type="dxa"/>
              <w:bottom w:w="0" w:type="dxa"/>
              <w:right w:w="0" w:type="dxa"/>
            </w:tcMar>
            <w:vAlign w:val="center"/>
          </w:tcPr>
          <w:p w14:paraId="279EB135">
            <w:pPr>
              <w:widowControl/>
              <w:spacing w:line="260" w:lineRule="exact"/>
              <w:ind w:firstLine="360" w:firstLineChars="200"/>
              <w:textAlignment w:val="center"/>
              <w:rPr>
                <w:rFonts w:hint="eastAsia" w:ascii="宋体" w:hAnsi="宋体" w:eastAsia="宋体" w:cs="宋体"/>
                <w:kern w:val="0"/>
                <w:sz w:val="18"/>
                <w:szCs w:val="18"/>
                <w:lang w:bidi="ar"/>
              </w:rPr>
            </w:pPr>
          </w:p>
        </w:tc>
        <w:tc>
          <w:tcPr>
            <w:tcW w:w="1570" w:type="dxa"/>
            <w:vMerge w:val="continue"/>
            <w:tcBorders>
              <w:left w:val="single" w:color="auto" w:sz="4" w:space="0"/>
              <w:right w:val="single" w:color="auto" w:sz="4" w:space="0"/>
            </w:tcBorders>
            <w:noWrap w:val="0"/>
            <w:tcMar>
              <w:top w:w="0" w:type="dxa"/>
              <w:left w:w="0" w:type="dxa"/>
              <w:bottom w:w="0" w:type="dxa"/>
              <w:right w:w="0" w:type="dxa"/>
            </w:tcMar>
            <w:vAlign w:val="center"/>
          </w:tcPr>
          <w:p w14:paraId="33822647">
            <w:pPr>
              <w:spacing w:line="260" w:lineRule="exact"/>
              <w:jc w:val="center"/>
              <w:rPr>
                <w:rFonts w:hint="eastAsia" w:ascii="宋体" w:hAnsi="宋体" w:eastAsia="宋体" w:cs="宋体"/>
                <w:sz w:val="18"/>
                <w:szCs w:val="18"/>
              </w:rPr>
            </w:pPr>
          </w:p>
        </w:tc>
        <w:tc>
          <w:tcPr>
            <w:tcW w:w="80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677D80D">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较轻</w:t>
            </w:r>
          </w:p>
        </w:tc>
        <w:tc>
          <w:tcPr>
            <w:tcW w:w="353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57790232">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4C3D9646">
            <w:pPr>
              <w:spacing w:line="260" w:lineRule="exact"/>
              <w:rPr>
                <w:rFonts w:hint="eastAsia" w:ascii="宋体" w:hAnsi="宋体" w:eastAsia="宋体" w:cs="宋体"/>
                <w:color w:val="000000"/>
                <w:kern w:val="0"/>
                <w:sz w:val="18"/>
                <w:szCs w:val="18"/>
                <w:lang w:bidi="ar"/>
              </w:rPr>
            </w:pPr>
          </w:p>
        </w:tc>
        <w:tc>
          <w:tcPr>
            <w:tcW w:w="261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5DB4BE31">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199E9CC8">
            <w:pPr>
              <w:spacing w:line="260" w:lineRule="exact"/>
              <w:rPr>
                <w:rFonts w:hint="eastAsia" w:ascii="宋体" w:hAnsi="宋体" w:eastAsia="宋体" w:cs="宋体"/>
                <w:color w:val="000000"/>
                <w:kern w:val="0"/>
                <w:sz w:val="18"/>
                <w:szCs w:val="18"/>
                <w:lang w:bidi="ar"/>
              </w:rPr>
            </w:pPr>
          </w:p>
        </w:tc>
        <w:tc>
          <w:tcPr>
            <w:tcW w:w="1135" w:type="dxa"/>
            <w:vMerge w:val="continue"/>
            <w:tcBorders>
              <w:left w:val="single" w:color="auto" w:sz="4" w:space="0"/>
              <w:right w:val="single" w:color="auto" w:sz="4" w:space="0"/>
            </w:tcBorders>
            <w:noWrap w:val="0"/>
            <w:tcMar>
              <w:top w:w="0" w:type="dxa"/>
              <w:left w:w="0" w:type="dxa"/>
              <w:bottom w:w="0" w:type="dxa"/>
              <w:right w:w="0" w:type="dxa"/>
            </w:tcMar>
            <w:vAlign w:val="center"/>
          </w:tcPr>
          <w:p w14:paraId="3B2FB7D5">
            <w:pPr>
              <w:widowControl/>
              <w:spacing w:line="260" w:lineRule="exact"/>
              <w:jc w:val="center"/>
              <w:textAlignment w:val="center"/>
              <w:rPr>
                <w:rFonts w:hint="eastAsia" w:ascii="宋体" w:hAnsi="宋体" w:eastAsia="宋体" w:cs="宋体"/>
                <w:color w:val="000000"/>
                <w:kern w:val="0"/>
                <w:sz w:val="18"/>
                <w:szCs w:val="18"/>
                <w:lang w:bidi="ar"/>
              </w:rPr>
            </w:pPr>
          </w:p>
        </w:tc>
      </w:tr>
      <w:tr w14:paraId="1C8408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47" w:type="dxa"/>
            <w:vMerge w:val="continue"/>
            <w:tcBorders>
              <w:left w:val="single" w:color="auto" w:sz="4" w:space="0"/>
              <w:right w:val="single" w:color="auto" w:sz="4" w:space="0"/>
            </w:tcBorders>
            <w:noWrap w:val="0"/>
            <w:tcMar>
              <w:top w:w="0" w:type="dxa"/>
              <w:left w:w="0" w:type="dxa"/>
              <w:bottom w:w="0" w:type="dxa"/>
              <w:right w:w="0" w:type="dxa"/>
            </w:tcMar>
            <w:vAlign w:val="center"/>
          </w:tcPr>
          <w:p w14:paraId="0C9F8A28">
            <w:pPr>
              <w:spacing w:line="260" w:lineRule="exact"/>
              <w:jc w:val="center"/>
              <w:rPr>
                <w:rFonts w:hint="eastAsia" w:ascii="宋体" w:hAnsi="宋体" w:eastAsia="宋体" w:cs="宋体"/>
                <w:sz w:val="18"/>
                <w:szCs w:val="18"/>
              </w:rPr>
            </w:pPr>
          </w:p>
        </w:tc>
        <w:tc>
          <w:tcPr>
            <w:tcW w:w="1282" w:type="dxa"/>
            <w:vMerge w:val="continue"/>
            <w:tcBorders>
              <w:left w:val="single" w:color="auto" w:sz="4" w:space="0"/>
              <w:right w:val="single" w:color="auto" w:sz="4" w:space="0"/>
            </w:tcBorders>
            <w:noWrap w:val="0"/>
            <w:tcMar>
              <w:top w:w="0" w:type="dxa"/>
              <w:left w:w="0" w:type="dxa"/>
              <w:bottom w:w="0" w:type="dxa"/>
              <w:right w:w="0" w:type="dxa"/>
            </w:tcMar>
            <w:vAlign w:val="center"/>
          </w:tcPr>
          <w:p w14:paraId="49495FFC">
            <w:pPr>
              <w:widowControl/>
              <w:spacing w:line="260" w:lineRule="exact"/>
              <w:textAlignment w:val="center"/>
              <w:rPr>
                <w:rFonts w:hint="eastAsia" w:ascii="宋体" w:hAnsi="宋体" w:eastAsia="宋体" w:cs="宋体"/>
                <w:kern w:val="0"/>
                <w:sz w:val="18"/>
                <w:szCs w:val="18"/>
                <w:lang w:bidi="ar"/>
              </w:rPr>
            </w:pPr>
          </w:p>
        </w:tc>
        <w:tc>
          <w:tcPr>
            <w:tcW w:w="3448" w:type="dxa"/>
            <w:vMerge w:val="continue"/>
            <w:tcBorders>
              <w:left w:val="single" w:color="auto" w:sz="4" w:space="0"/>
              <w:right w:val="single" w:color="auto" w:sz="4" w:space="0"/>
            </w:tcBorders>
            <w:noWrap w:val="0"/>
            <w:tcMar>
              <w:top w:w="0" w:type="dxa"/>
              <w:left w:w="0" w:type="dxa"/>
              <w:bottom w:w="0" w:type="dxa"/>
              <w:right w:w="0" w:type="dxa"/>
            </w:tcMar>
            <w:vAlign w:val="center"/>
          </w:tcPr>
          <w:p w14:paraId="7EC45107">
            <w:pPr>
              <w:widowControl/>
              <w:spacing w:line="260" w:lineRule="exact"/>
              <w:ind w:firstLine="360" w:firstLineChars="200"/>
              <w:textAlignment w:val="center"/>
              <w:rPr>
                <w:rFonts w:hint="eastAsia" w:ascii="宋体" w:hAnsi="宋体" w:eastAsia="宋体" w:cs="宋体"/>
                <w:kern w:val="0"/>
                <w:sz w:val="18"/>
                <w:szCs w:val="18"/>
                <w:lang w:bidi="ar"/>
              </w:rPr>
            </w:pPr>
          </w:p>
        </w:tc>
        <w:tc>
          <w:tcPr>
            <w:tcW w:w="1570" w:type="dxa"/>
            <w:vMerge w:val="continue"/>
            <w:tcBorders>
              <w:left w:val="single" w:color="auto" w:sz="4" w:space="0"/>
              <w:right w:val="single" w:color="auto" w:sz="4" w:space="0"/>
            </w:tcBorders>
            <w:noWrap w:val="0"/>
            <w:tcMar>
              <w:top w:w="0" w:type="dxa"/>
              <w:left w:w="0" w:type="dxa"/>
              <w:bottom w:w="0" w:type="dxa"/>
              <w:right w:w="0" w:type="dxa"/>
            </w:tcMar>
            <w:vAlign w:val="center"/>
          </w:tcPr>
          <w:p w14:paraId="34CACA4C">
            <w:pPr>
              <w:spacing w:line="260" w:lineRule="exact"/>
              <w:jc w:val="center"/>
              <w:rPr>
                <w:rFonts w:hint="eastAsia" w:ascii="宋体" w:hAnsi="宋体" w:eastAsia="宋体" w:cs="宋体"/>
                <w:sz w:val="18"/>
                <w:szCs w:val="18"/>
              </w:rPr>
            </w:pPr>
          </w:p>
        </w:tc>
        <w:tc>
          <w:tcPr>
            <w:tcW w:w="80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BCA4859">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一般</w:t>
            </w:r>
          </w:p>
        </w:tc>
        <w:tc>
          <w:tcPr>
            <w:tcW w:w="353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158AE422">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617EF0F9">
            <w:pPr>
              <w:spacing w:line="260" w:lineRule="exact"/>
              <w:rPr>
                <w:rFonts w:hint="eastAsia" w:ascii="宋体" w:hAnsi="宋体" w:eastAsia="宋体" w:cs="宋体"/>
                <w:color w:val="000000"/>
                <w:kern w:val="0"/>
                <w:sz w:val="18"/>
                <w:szCs w:val="18"/>
                <w:lang w:bidi="ar"/>
              </w:rPr>
            </w:pPr>
          </w:p>
        </w:tc>
        <w:tc>
          <w:tcPr>
            <w:tcW w:w="261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602E51A9">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321E6F25">
            <w:pPr>
              <w:spacing w:line="260" w:lineRule="exact"/>
              <w:rPr>
                <w:rFonts w:hint="eastAsia" w:ascii="宋体" w:hAnsi="宋体" w:eastAsia="宋体" w:cs="宋体"/>
                <w:color w:val="000000"/>
                <w:kern w:val="0"/>
                <w:sz w:val="18"/>
                <w:szCs w:val="18"/>
                <w:lang w:bidi="ar"/>
              </w:rPr>
            </w:pPr>
          </w:p>
        </w:tc>
        <w:tc>
          <w:tcPr>
            <w:tcW w:w="1135" w:type="dxa"/>
            <w:vMerge w:val="continue"/>
            <w:tcBorders>
              <w:left w:val="single" w:color="auto" w:sz="4" w:space="0"/>
              <w:right w:val="single" w:color="auto" w:sz="4" w:space="0"/>
            </w:tcBorders>
            <w:noWrap w:val="0"/>
            <w:tcMar>
              <w:top w:w="0" w:type="dxa"/>
              <w:left w:w="0" w:type="dxa"/>
              <w:bottom w:w="0" w:type="dxa"/>
              <w:right w:w="0" w:type="dxa"/>
            </w:tcMar>
            <w:vAlign w:val="center"/>
          </w:tcPr>
          <w:p w14:paraId="08712344">
            <w:pPr>
              <w:widowControl/>
              <w:spacing w:line="260" w:lineRule="exact"/>
              <w:jc w:val="center"/>
              <w:textAlignment w:val="center"/>
              <w:rPr>
                <w:rFonts w:hint="eastAsia" w:ascii="宋体" w:hAnsi="宋体" w:eastAsia="宋体" w:cs="宋体"/>
                <w:color w:val="000000"/>
                <w:kern w:val="0"/>
                <w:sz w:val="18"/>
                <w:szCs w:val="18"/>
                <w:lang w:bidi="ar"/>
              </w:rPr>
            </w:pPr>
          </w:p>
        </w:tc>
      </w:tr>
      <w:tr w14:paraId="70CDB8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47" w:type="dxa"/>
            <w:vMerge w:val="continue"/>
            <w:tcBorders>
              <w:left w:val="single" w:color="auto" w:sz="4" w:space="0"/>
              <w:right w:val="single" w:color="auto" w:sz="4" w:space="0"/>
            </w:tcBorders>
            <w:noWrap w:val="0"/>
            <w:tcMar>
              <w:top w:w="0" w:type="dxa"/>
              <w:left w:w="0" w:type="dxa"/>
              <w:bottom w:w="0" w:type="dxa"/>
              <w:right w:w="0" w:type="dxa"/>
            </w:tcMar>
            <w:vAlign w:val="center"/>
          </w:tcPr>
          <w:p w14:paraId="087B7B6A">
            <w:pPr>
              <w:spacing w:line="260" w:lineRule="exact"/>
              <w:jc w:val="center"/>
              <w:rPr>
                <w:rFonts w:hint="eastAsia" w:ascii="宋体" w:hAnsi="宋体" w:eastAsia="宋体" w:cs="宋体"/>
                <w:sz w:val="18"/>
                <w:szCs w:val="18"/>
              </w:rPr>
            </w:pPr>
          </w:p>
        </w:tc>
        <w:tc>
          <w:tcPr>
            <w:tcW w:w="1282" w:type="dxa"/>
            <w:vMerge w:val="continue"/>
            <w:tcBorders>
              <w:left w:val="single" w:color="auto" w:sz="4" w:space="0"/>
              <w:right w:val="single" w:color="auto" w:sz="4" w:space="0"/>
            </w:tcBorders>
            <w:noWrap w:val="0"/>
            <w:tcMar>
              <w:top w:w="0" w:type="dxa"/>
              <w:left w:w="0" w:type="dxa"/>
              <w:bottom w:w="0" w:type="dxa"/>
              <w:right w:w="0" w:type="dxa"/>
            </w:tcMar>
            <w:vAlign w:val="center"/>
          </w:tcPr>
          <w:p w14:paraId="10DDF721">
            <w:pPr>
              <w:widowControl/>
              <w:spacing w:line="260" w:lineRule="exact"/>
              <w:textAlignment w:val="center"/>
              <w:rPr>
                <w:rFonts w:hint="eastAsia" w:ascii="宋体" w:hAnsi="宋体" w:eastAsia="宋体" w:cs="宋体"/>
                <w:kern w:val="0"/>
                <w:sz w:val="18"/>
                <w:szCs w:val="18"/>
                <w:lang w:bidi="ar"/>
              </w:rPr>
            </w:pPr>
          </w:p>
        </w:tc>
        <w:tc>
          <w:tcPr>
            <w:tcW w:w="3448" w:type="dxa"/>
            <w:vMerge w:val="continue"/>
            <w:tcBorders>
              <w:left w:val="single" w:color="auto" w:sz="4" w:space="0"/>
              <w:right w:val="single" w:color="auto" w:sz="4" w:space="0"/>
            </w:tcBorders>
            <w:noWrap w:val="0"/>
            <w:tcMar>
              <w:top w:w="0" w:type="dxa"/>
              <w:left w:w="0" w:type="dxa"/>
              <w:bottom w:w="0" w:type="dxa"/>
              <w:right w:w="0" w:type="dxa"/>
            </w:tcMar>
            <w:vAlign w:val="center"/>
          </w:tcPr>
          <w:p w14:paraId="67B816F4">
            <w:pPr>
              <w:widowControl/>
              <w:spacing w:line="260" w:lineRule="exact"/>
              <w:ind w:firstLine="360" w:firstLineChars="200"/>
              <w:textAlignment w:val="center"/>
              <w:rPr>
                <w:rFonts w:hint="eastAsia" w:ascii="宋体" w:hAnsi="宋体" w:eastAsia="宋体" w:cs="宋体"/>
                <w:kern w:val="0"/>
                <w:sz w:val="18"/>
                <w:szCs w:val="18"/>
                <w:lang w:bidi="ar"/>
              </w:rPr>
            </w:pPr>
          </w:p>
        </w:tc>
        <w:tc>
          <w:tcPr>
            <w:tcW w:w="1570" w:type="dxa"/>
            <w:vMerge w:val="continue"/>
            <w:tcBorders>
              <w:left w:val="single" w:color="auto" w:sz="4" w:space="0"/>
              <w:right w:val="single" w:color="auto" w:sz="4" w:space="0"/>
            </w:tcBorders>
            <w:noWrap w:val="0"/>
            <w:tcMar>
              <w:top w:w="0" w:type="dxa"/>
              <w:left w:w="0" w:type="dxa"/>
              <w:bottom w:w="0" w:type="dxa"/>
              <w:right w:w="0" w:type="dxa"/>
            </w:tcMar>
            <w:vAlign w:val="center"/>
          </w:tcPr>
          <w:p w14:paraId="0515C6A2">
            <w:pPr>
              <w:spacing w:line="260" w:lineRule="exact"/>
              <w:jc w:val="center"/>
              <w:rPr>
                <w:rFonts w:hint="eastAsia" w:ascii="宋体" w:hAnsi="宋体" w:eastAsia="宋体" w:cs="宋体"/>
                <w:sz w:val="18"/>
                <w:szCs w:val="18"/>
              </w:rPr>
            </w:pPr>
          </w:p>
        </w:tc>
        <w:tc>
          <w:tcPr>
            <w:tcW w:w="80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7EB36C8">
            <w:pPr>
              <w:spacing w:line="260" w:lineRule="exact"/>
              <w:jc w:val="center"/>
              <w:rPr>
                <w:rFonts w:hint="eastAsia" w:ascii="宋体" w:hAnsi="宋体" w:eastAsia="宋体" w:cs="宋体"/>
                <w:sz w:val="18"/>
                <w:szCs w:val="18"/>
                <w:lang w:eastAsia="zh-CN"/>
              </w:rPr>
            </w:pPr>
            <w:r>
              <w:rPr>
                <w:rFonts w:hint="eastAsia" w:ascii="宋体" w:hAnsi="宋体" w:eastAsia="宋体" w:cs="宋体"/>
                <w:sz w:val="18"/>
                <w:szCs w:val="18"/>
                <w:lang w:eastAsia="zh-CN"/>
              </w:rPr>
              <w:t>较重</w:t>
            </w:r>
          </w:p>
        </w:tc>
        <w:tc>
          <w:tcPr>
            <w:tcW w:w="353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8828E7B">
            <w:pPr>
              <w:spacing w:line="260" w:lineRule="exact"/>
              <w:rPr>
                <w:rFonts w:hint="eastAsia" w:ascii="宋体" w:hAnsi="宋体" w:eastAsia="宋体" w:cs="宋体"/>
                <w:color w:val="000000"/>
                <w:sz w:val="18"/>
                <w:szCs w:val="18"/>
                <w:lang w:bidi="ar"/>
              </w:rPr>
            </w:pPr>
            <w:r>
              <w:rPr>
                <w:rStyle w:val="21"/>
                <w:rFonts w:hint="eastAsia" w:ascii="宋体" w:hAnsi="宋体" w:eastAsia="宋体" w:cs="宋体"/>
                <w:sz w:val="18"/>
                <w:szCs w:val="18"/>
                <w:lang w:bidi="ar"/>
              </w:rPr>
              <w:t>在限期内改正的</w:t>
            </w:r>
          </w:p>
        </w:tc>
        <w:tc>
          <w:tcPr>
            <w:tcW w:w="261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FBFACCB">
            <w:pPr>
              <w:spacing w:line="260" w:lineRule="exact"/>
              <w:rPr>
                <w:rFonts w:hint="eastAsia" w:ascii="宋体" w:hAnsi="宋体" w:eastAsia="宋体" w:cs="宋体"/>
                <w:color w:val="000000"/>
                <w:sz w:val="18"/>
                <w:szCs w:val="18"/>
                <w:lang w:bidi="ar"/>
              </w:rPr>
            </w:pPr>
            <w:r>
              <w:rPr>
                <w:rStyle w:val="21"/>
                <w:rFonts w:hint="eastAsia" w:ascii="宋体" w:hAnsi="宋体" w:eastAsia="宋体" w:cs="宋体"/>
                <w:sz w:val="18"/>
                <w:szCs w:val="18"/>
                <w:lang w:bidi="ar"/>
              </w:rPr>
              <w:t>处</w:t>
            </w:r>
            <w:r>
              <w:rPr>
                <w:rStyle w:val="21"/>
                <w:rFonts w:hint="eastAsia" w:ascii="宋体" w:hAnsi="宋体" w:eastAsia="宋体" w:cs="宋体"/>
                <w:sz w:val="18"/>
                <w:szCs w:val="18"/>
                <w:lang w:val="en-US" w:eastAsia="zh-CN" w:bidi="ar"/>
              </w:rPr>
              <w:t>5</w:t>
            </w:r>
            <w:r>
              <w:rPr>
                <w:rStyle w:val="21"/>
                <w:rFonts w:hint="eastAsia" w:ascii="宋体" w:hAnsi="宋体" w:eastAsia="宋体" w:cs="宋体"/>
                <w:sz w:val="18"/>
                <w:szCs w:val="18"/>
                <w:lang w:bidi="ar"/>
              </w:rPr>
              <w:t>千元以上</w:t>
            </w:r>
            <w:r>
              <w:rPr>
                <w:rStyle w:val="21"/>
                <w:rFonts w:hint="eastAsia" w:ascii="宋体" w:hAnsi="宋体" w:eastAsia="宋体" w:cs="宋体"/>
                <w:sz w:val="18"/>
                <w:szCs w:val="18"/>
                <w:lang w:val="en-US" w:eastAsia="zh-CN" w:bidi="ar"/>
              </w:rPr>
              <w:t>8</w:t>
            </w:r>
            <w:r>
              <w:rPr>
                <w:rStyle w:val="21"/>
                <w:rFonts w:hint="eastAsia" w:ascii="宋体" w:hAnsi="宋体" w:eastAsia="宋体" w:cs="宋体"/>
                <w:sz w:val="18"/>
                <w:szCs w:val="18"/>
                <w:lang w:bidi="ar"/>
              </w:rPr>
              <w:t>千元以下的罚款</w:t>
            </w:r>
          </w:p>
        </w:tc>
        <w:tc>
          <w:tcPr>
            <w:tcW w:w="1135" w:type="dxa"/>
            <w:vMerge w:val="continue"/>
            <w:tcBorders>
              <w:left w:val="single" w:color="auto" w:sz="4" w:space="0"/>
              <w:right w:val="single" w:color="auto" w:sz="4" w:space="0"/>
            </w:tcBorders>
            <w:noWrap w:val="0"/>
            <w:tcMar>
              <w:top w:w="0" w:type="dxa"/>
              <w:left w:w="0" w:type="dxa"/>
              <w:bottom w:w="0" w:type="dxa"/>
              <w:right w:w="0" w:type="dxa"/>
            </w:tcMar>
            <w:vAlign w:val="center"/>
          </w:tcPr>
          <w:p w14:paraId="0C93672D">
            <w:pPr>
              <w:spacing w:line="260" w:lineRule="exact"/>
              <w:jc w:val="center"/>
              <w:rPr>
                <w:rStyle w:val="21"/>
                <w:rFonts w:hint="eastAsia" w:ascii="宋体" w:hAnsi="宋体" w:eastAsia="宋体" w:cs="宋体"/>
                <w:sz w:val="18"/>
                <w:szCs w:val="18"/>
                <w:lang w:bidi="ar"/>
              </w:rPr>
            </w:pPr>
          </w:p>
        </w:tc>
      </w:tr>
      <w:tr w14:paraId="5AF1CD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47" w:type="dxa"/>
            <w:vMerge w:val="continue"/>
            <w:tcBorders>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4ECD9AA">
            <w:pPr>
              <w:spacing w:line="260" w:lineRule="exact"/>
              <w:jc w:val="center"/>
              <w:rPr>
                <w:rFonts w:hint="eastAsia" w:ascii="宋体" w:hAnsi="宋体" w:eastAsia="宋体" w:cs="宋体"/>
                <w:sz w:val="18"/>
                <w:szCs w:val="18"/>
              </w:rPr>
            </w:pPr>
          </w:p>
        </w:tc>
        <w:tc>
          <w:tcPr>
            <w:tcW w:w="1282" w:type="dxa"/>
            <w:vMerge w:val="continue"/>
            <w:tcBorders>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593A5BF">
            <w:pPr>
              <w:widowControl/>
              <w:spacing w:line="260" w:lineRule="exact"/>
              <w:textAlignment w:val="center"/>
              <w:rPr>
                <w:rFonts w:hint="eastAsia" w:ascii="宋体" w:hAnsi="宋体" w:eastAsia="宋体" w:cs="宋体"/>
                <w:kern w:val="0"/>
                <w:sz w:val="18"/>
                <w:szCs w:val="18"/>
                <w:lang w:bidi="ar"/>
              </w:rPr>
            </w:pPr>
          </w:p>
        </w:tc>
        <w:tc>
          <w:tcPr>
            <w:tcW w:w="3448" w:type="dxa"/>
            <w:vMerge w:val="continue"/>
            <w:tcBorders>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2F55D5E">
            <w:pPr>
              <w:widowControl/>
              <w:spacing w:line="260" w:lineRule="exact"/>
              <w:ind w:firstLine="360" w:firstLineChars="200"/>
              <w:textAlignment w:val="center"/>
              <w:rPr>
                <w:rFonts w:hint="eastAsia" w:ascii="宋体" w:hAnsi="宋体" w:eastAsia="宋体" w:cs="宋体"/>
                <w:kern w:val="0"/>
                <w:sz w:val="18"/>
                <w:szCs w:val="18"/>
                <w:lang w:bidi="ar"/>
              </w:rPr>
            </w:pPr>
          </w:p>
        </w:tc>
        <w:tc>
          <w:tcPr>
            <w:tcW w:w="1570" w:type="dxa"/>
            <w:vMerge w:val="continue"/>
            <w:tcBorders>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FA02200">
            <w:pPr>
              <w:spacing w:line="260" w:lineRule="exact"/>
              <w:jc w:val="center"/>
              <w:rPr>
                <w:rFonts w:hint="eastAsia" w:ascii="宋体" w:hAnsi="宋体" w:eastAsia="宋体" w:cs="宋体"/>
                <w:sz w:val="18"/>
                <w:szCs w:val="18"/>
              </w:rPr>
            </w:pPr>
          </w:p>
        </w:tc>
        <w:tc>
          <w:tcPr>
            <w:tcW w:w="80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BF3A39A">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严重</w:t>
            </w:r>
          </w:p>
        </w:tc>
        <w:tc>
          <w:tcPr>
            <w:tcW w:w="353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85AFA2F">
            <w:pPr>
              <w:spacing w:line="260" w:lineRule="exact"/>
              <w:rPr>
                <w:rFonts w:hint="eastAsia" w:ascii="宋体" w:hAnsi="宋体" w:eastAsia="宋体" w:cs="宋体"/>
                <w:color w:val="000000"/>
                <w:sz w:val="18"/>
                <w:szCs w:val="18"/>
                <w:lang w:bidi="ar"/>
              </w:rPr>
            </w:pPr>
            <w:r>
              <w:rPr>
                <w:rStyle w:val="21"/>
                <w:rFonts w:hint="eastAsia" w:ascii="宋体" w:hAnsi="宋体" w:eastAsia="宋体" w:cs="宋体"/>
                <w:sz w:val="18"/>
                <w:szCs w:val="18"/>
                <w:lang w:bidi="ar"/>
              </w:rPr>
              <w:t>未在限期内改正的</w:t>
            </w:r>
          </w:p>
        </w:tc>
        <w:tc>
          <w:tcPr>
            <w:tcW w:w="261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41D3DAD">
            <w:pPr>
              <w:spacing w:line="260" w:lineRule="exact"/>
              <w:rPr>
                <w:rFonts w:hint="eastAsia" w:ascii="宋体" w:hAnsi="宋体" w:eastAsia="宋体" w:cs="宋体"/>
                <w:color w:val="000000"/>
                <w:sz w:val="18"/>
                <w:szCs w:val="18"/>
                <w:lang w:bidi="ar"/>
              </w:rPr>
            </w:pPr>
            <w:r>
              <w:rPr>
                <w:rStyle w:val="21"/>
                <w:rFonts w:hint="eastAsia" w:ascii="宋体" w:hAnsi="宋体" w:eastAsia="宋体" w:cs="宋体"/>
                <w:sz w:val="18"/>
                <w:szCs w:val="18"/>
                <w:lang w:bidi="ar"/>
              </w:rPr>
              <w:t>处</w:t>
            </w:r>
            <w:r>
              <w:rPr>
                <w:rStyle w:val="21"/>
                <w:rFonts w:hint="eastAsia" w:ascii="宋体" w:hAnsi="宋体" w:eastAsia="宋体" w:cs="宋体"/>
                <w:sz w:val="18"/>
                <w:szCs w:val="18"/>
                <w:lang w:val="en-US" w:eastAsia="zh-CN" w:bidi="ar"/>
              </w:rPr>
              <w:t>8</w:t>
            </w:r>
            <w:r>
              <w:rPr>
                <w:rStyle w:val="21"/>
                <w:rFonts w:hint="eastAsia" w:ascii="宋体" w:hAnsi="宋体" w:eastAsia="宋体" w:cs="宋体"/>
                <w:sz w:val="18"/>
                <w:szCs w:val="18"/>
                <w:lang w:bidi="ar"/>
              </w:rPr>
              <w:t>千元以上</w:t>
            </w:r>
            <w:r>
              <w:rPr>
                <w:rStyle w:val="21"/>
                <w:rFonts w:hint="eastAsia" w:ascii="宋体" w:hAnsi="宋体" w:eastAsia="宋体" w:cs="宋体"/>
                <w:sz w:val="18"/>
                <w:szCs w:val="18"/>
                <w:lang w:val="en-US" w:eastAsia="zh-CN" w:bidi="ar"/>
              </w:rPr>
              <w:t>1</w:t>
            </w:r>
            <w:r>
              <w:rPr>
                <w:rStyle w:val="21"/>
                <w:rFonts w:hint="eastAsia" w:ascii="宋体" w:hAnsi="宋体" w:eastAsia="宋体" w:cs="宋体"/>
                <w:sz w:val="18"/>
                <w:szCs w:val="18"/>
                <w:lang w:bidi="ar"/>
              </w:rPr>
              <w:t>万元以下的罚款</w:t>
            </w:r>
          </w:p>
        </w:tc>
        <w:tc>
          <w:tcPr>
            <w:tcW w:w="1135" w:type="dxa"/>
            <w:vMerge w:val="continue"/>
            <w:tcBorders>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61D2C81">
            <w:pPr>
              <w:spacing w:line="260" w:lineRule="exact"/>
              <w:jc w:val="center"/>
              <w:rPr>
                <w:rStyle w:val="21"/>
                <w:rFonts w:hint="eastAsia" w:ascii="宋体" w:hAnsi="宋体" w:eastAsia="宋体" w:cs="宋体"/>
                <w:sz w:val="18"/>
                <w:szCs w:val="18"/>
                <w:lang w:bidi="ar"/>
              </w:rPr>
            </w:pPr>
          </w:p>
        </w:tc>
      </w:tr>
      <w:tr w14:paraId="3DDB72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47" w:type="dxa"/>
            <w:vMerge w:val="restart"/>
            <w:tcBorders>
              <w:left w:val="single" w:color="auto" w:sz="4" w:space="0"/>
              <w:right w:val="single" w:color="auto" w:sz="4" w:space="0"/>
            </w:tcBorders>
            <w:noWrap w:val="0"/>
            <w:tcMar>
              <w:top w:w="0" w:type="dxa"/>
              <w:left w:w="0" w:type="dxa"/>
              <w:bottom w:w="0" w:type="dxa"/>
              <w:right w:w="0" w:type="dxa"/>
            </w:tcMar>
            <w:vAlign w:val="center"/>
          </w:tcPr>
          <w:p w14:paraId="4C29014A">
            <w:pPr>
              <w:widowControl/>
              <w:spacing w:line="260" w:lineRule="exact"/>
              <w:jc w:val="center"/>
              <w:textAlignment w:val="center"/>
              <w:rPr>
                <w:rFonts w:hint="default" w:ascii="宋体" w:hAnsi="宋体" w:eastAsia="宋体" w:cs="宋体"/>
                <w:sz w:val="18"/>
                <w:szCs w:val="18"/>
                <w:lang w:val="en-US" w:eastAsia="zh-CN"/>
              </w:rPr>
            </w:pPr>
            <w:r>
              <w:rPr>
                <w:rFonts w:hint="eastAsia" w:ascii="宋体" w:hAnsi="宋体" w:eastAsia="宋体" w:cs="宋体"/>
                <w:color w:val="000000"/>
                <w:sz w:val="18"/>
                <w:szCs w:val="18"/>
                <w:lang w:val="en-US" w:eastAsia="zh-CN"/>
              </w:rPr>
              <w:t>59</w:t>
            </w:r>
          </w:p>
        </w:tc>
        <w:tc>
          <w:tcPr>
            <w:tcW w:w="1282" w:type="dxa"/>
            <w:vMerge w:val="restart"/>
            <w:tcBorders>
              <w:left w:val="single" w:color="auto" w:sz="4" w:space="0"/>
              <w:right w:val="single" w:color="auto" w:sz="4" w:space="0"/>
            </w:tcBorders>
            <w:noWrap w:val="0"/>
            <w:tcMar>
              <w:top w:w="0" w:type="dxa"/>
              <w:left w:w="0" w:type="dxa"/>
              <w:bottom w:w="0" w:type="dxa"/>
              <w:right w:w="0" w:type="dxa"/>
            </w:tcMar>
            <w:vAlign w:val="center"/>
          </w:tcPr>
          <w:p w14:paraId="6805E2EC">
            <w:pPr>
              <w:widowControl/>
              <w:spacing w:line="260" w:lineRule="exact"/>
              <w:jc w:val="left"/>
              <w:textAlignment w:val="center"/>
              <w:rPr>
                <w:rFonts w:hint="eastAsia" w:ascii="宋体" w:hAnsi="宋体" w:eastAsia="宋体" w:cs="宋体"/>
                <w:kern w:val="0"/>
                <w:sz w:val="18"/>
                <w:szCs w:val="18"/>
                <w:lang w:bidi="ar"/>
              </w:rPr>
            </w:pPr>
            <w:r>
              <w:rPr>
                <w:rFonts w:hint="eastAsia" w:ascii="宋体" w:hAnsi="宋体" w:eastAsia="宋体" w:cs="宋体"/>
                <w:color w:val="000000"/>
                <w:kern w:val="0"/>
                <w:sz w:val="18"/>
                <w:szCs w:val="18"/>
                <w:lang w:bidi="ar"/>
              </w:rPr>
              <w:t>对改变农村用水性质行为的行政处罚</w:t>
            </w:r>
          </w:p>
        </w:tc>
        <w:tc>
          <w:tcPr>
            <w:tcW w:w="3448" w:type="dxa"/>
            <w:vMerge w:val="restart"/>
            <w:tcBorders>
              <w:top w:val="single" w:color="auto" w:sz="4" w:space="0"/>
              <w:left w:val="single" w:color="auto" w:sz="4" w:space="0"/>
              <w:right w:val="single" w:color="auto" w:sz="4" w:space="0"/>
            </w:tcBorders>
            <w:noWrap w:val="0"/>
            <w:tcMar>
              <w:top w:w="0" w:type="dxa"/>
              <w:left w:w="0" w:type="dxa"/>
              <w:bottom w:w="0" w:type="dxa"/>
              <w:right w:w="0" w:type="dxa"/>
            </w:tcMar>
            <w:vAlign w:val="center"/>
          </w:tcPr>
          <w:p w14:paraId="5B25EC9C">
            <w:pPr>
              <w:widowControl/>
              <w:spacing w:line="260" w:lineRule="exact"/>
              <w:jc w:val="left"/>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《河北省农村供水用水管理办法》第二十二条 用户应当履行下列义务：</w:t>
            </w:r>
          </w:p>
          <w:p w14:paraId="4CB9B2B1">
            <w:pPr>
              <w:widowControl/>
              <w:spacing w:line="260" w:lineRule="exact"/>
              <w:jc w:val="left"/>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（二）不得改变用水性质；</w:t>
            </w:r>
          </w:p>
          <w:p w14:paraId="2E81FCDD">
            <w:pPr>
              <w:widowControl/>
              <w:spacing w:line="260" w:lineRule="exact"/>
              <w:jc w:val="left"/>
              <w:textAlignment w:val="center"/>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《河北省农村供水用水管理办法》第二十六条 用户违反本办法第二十二条规定的，由县级人民政府水行政主管部门按照下列规定处理；造成损失的，依法予以赔偿：</w:t>
            </w:r>
          </w:p>
          <w:p w14:paraId="7DE42559">
            <w:pPr>
              <w:widowControl/>
              <w:spacing w:line="260" w:lineRule="exact"/>
              <w:jc w:val="left"/>
              <w:textAlignment w:val="center"/>
              <w:rPr>
                <w:rFonts w:hint="eastAsia" w:ascii="宋体" w:hAnsi="宋体" w:eastAsia="宋体" w:cs="宋体"/>
                <w:kern w:val="0"/>
                <w:sz w:val="18"/>
                <w:szCs w:val="18"/>
                <w:lang w:bidi="ar"/>
              </w:rPr>
            </w:pPr>
            <w:r>
              <w:rPr>
                <w:rFonts w:hint="eastAsia" w:ascii="宋体" w:hAnsi="宋体" w:eastAsia="宋体" w:cs="宋体"/>
                <w:color w:val="000000"/>
                <w:kern w:val="0"/>
                <w:sz w:val="18"/>
                <w:szCs w:val="18"/>
                <w:lang w:bidi="ar"/>
              </w:rPr>
              <w:t>（一）违反第二项、第四项规定的，责令限期改正，并按照用水量对相关用户以及其他责任人处每立方米十元的罚款，最高不超过十万元；</w:t>
            </w:r>
          </w:p>
        </w:tc>
        <w:tc>
          <w:tcPr>
            <w:tcW w:w="1570" w:type="dxa"/>
            <w:vMerge w:val="restart"/>
            <w:tcBorders>
              <w:top w:val="single" w:color="auto" w:sz="4" w:space="0"/>
              <w:left w:val="single" w:color="auto" w:sz="4" w:space="0"/>
              <w:right w:val="single" w:color="auto" w:sz="4" w:space="0"/>
            </w:tcBorders>
            <w:noWrap w:val="0"/>
            <w:tcMar>
              <w:top w:w="0" w:type="dxa"/>
              <w:left w:w="0" w:type="dxa"/>
              <w:bottom w:w="0" w:type="dxa"/>
              <w:right w:w="0" w:type="dxa"/>
            </w:tcMar>
            <w:vAlign w:val="center"/>
          </w:tcPr>
          <w:p w14:paraId="7394D645">
            <w:pPr>
              <w:spacing w:line="260" w:lineRule="exact"/>
              <w:jc w:val="left"/>
              <w:rPr>
                <w:rFonts w:hint="eastAsia" w:ascii="宋体" w:hAnsi="宋体" w:eastAsia="宋体" w:cs="宋体"/>
                <w:sz w:val="18"/>
                <w:szCs w:val="18"/>
              </w:rPr>
            </w:pPr>
            <w:r>
              <w:rPr>
                <w:rFonts w:hint="eastAsia" w:ascii="宋体" w:hAnsi="宋体" w:eastAsia="宋体" w:cs="宋体"/>
                <w:color w:val="000000"/>
                <w:kern w:val="0"/>
                <w:sz w:val="18"/>
                <w:szCs w:val="18"/>
                <w:lang w:bidi="ar"/>
              </w:rPr>
              <w:t>改变用水性质的</w:t>
            </w:r>
          </w:p>
        </w:tc>
        <w:tc>
          <w:tcPr>
            <w:tcW w:w="80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E7D5F80">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轻微</w:t>
            </w:r>
          </w:p>
        </w:tc>
        <w:tc>
          <w:tcPr>
            <w:tcW w:w="353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0E90FF2A">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63C5B24A">
            <w:pPr>
              <w:spacing w:line="260" w:lineRule="exact"/>
              <w:rPr>
                <w:rFonts w:hint="eastAsia" w:ascii="宋体" w:hAnsi="宋体" w:eastAsia="宋体" w:cs="宋体"/>
                <w:color w:val="000000"/>
                <w:kern w:val="0"/>
                <w:sz w:val="18"/>
                <w:szCs w:val="18"/>
                <w:lang w:bidi="ar"/>
              </w:rPr>
            </w:pPr>
          </w:p>
        </w:tc>
        <w:tc>
          <w:tcPr>
            <w:tcW w:w="261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7EC188B6">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4A2EBD01">
            <w:pPr>
              <w:spacing w:line="260" w:lineRule="exact"/>
              <w:rPr>
                <w:rFonts w:hint="eastAsia" w:ascii="宋体" w:hAnsi="宋体" w:eastAsia="宋体" w:cs="宋体"/>
                <w:color w:val="000000"/>
                <w:kern w:val="0"/>
                <w:sz w:val="18"/>
                <w:szCs w:val="18"/>
                <w:lang w:bidi="ar"/>
              </w:rPr>
            </w:pPr>
          </w:p>
        </w:tc>
        <w:tc>
          <w:tcPr>
            <w:tcW w:w="1135" w:type="dxa"/>
            <w:vMerge w:val="restart"/>
            <w:tcBorders>
              <w:top w:val="single" w:color="auto" w:sz="4" w:space="0"/>
              <w:left w:val="single" w:color="auto" w:sz="4" w:space="0"/>
              <w:right w:val="single" w:color="auto" w:sz="4" w:space="0"/>
            </w:tcBorders>
            <w:noWrap w:val="0"/>
            <w:tcMar>
              <w:top w:w="0" w:type="dxa"/>
              <w:left w:w="0" w:type="dxa"/>
              <w:bottom w:w="0" w:type="dxa"/>
              <w:right w:w="0" w:type="dxa"/>
            </w:tcMar>
            <w:vAlign w:val="center"/>
          </w:tcPr>
          <w:p w14:paraId="3744EF8F">
            <w:pPr>
              <w:widowControl/>
              <w:spacing w:line="260" w:lineRule="exact"/>
              <w:jc w:val="center"/>
              <w:textAlignment w:val="center"/>
              <w:rPr>
                <w:rFonts w:hint="eastAsia" w:ascii="宋体" w:hAnsi="宋体" w:eastAsia="宋体" w:cs="宋体"/>
                <w:color w:val="000000"/>
                <w:kern w:val="0"/>
                <w:sz w:val="18"/>
                <w:szCs w:val="18"/>
                <w:lang w:bidi="ar"/>
              </w:rPr>
            </w:pPr>
          </w:p>
        </w:tc>
      </w:tr>
      <w:tr w14:paraId="415F6C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47" w:type="dxa"/>
            <w:vMerge w:val="continue"/>
            <w:tcBorders>
              <w:left w:val="single" w:color="auto" w:sz="4" w:space="0"/>
              <w:right w:val="single" w:color="auto" w:sz="4" w:space="0"/>
            </w:tcBorders>
            <w:noWrap w:val="0"/>
            <w:tcMar>
              <w:top w:w="0" w:type="dxa"/>
              <w:left w:w="0" w:type="dxa"/>
              <w:bottom w:w="0" w:type="dxa"/>
              <w:right w:w="0" w:type="dxa"/>
            </w:tcMar>
            <w:vAlign w:val="center"/>
          </w:tcPr>
          <w:p w14:paraId="241D081B">
            <w:pPr>
              <w:spacing w:line="260" w:lineRule="exact"/>
              <w:jc w:val="center"/>
              <w:rPr>
                <w:rFonts w:hint="eastAsia" w:ascii="宋体" w:hAnsi="宋体" w:eastAsia="宋体" w:cs="宋体"/>
                <w:sz w:val="18"/>
                <w:szCs w:val="18"/>
              </w:rPr>
            </w:pPr>
          </w:p>
        </w:tc>
        <w:tc>
          <w:tcPr>
            <w:tcW w:w="1282" w:type="dxa"/>
            <w:vMerge w:val="continue"/>
            <w:tcBorders>
              <w:left w:val="single" w:color="auto" w:sz="4" w:space="0"/>
              <w:right w:val="single" w:color="auto" w:sz="4" w:space="0"/>
            </w:tcBorders>
            <w:noWrap w:val="0"/>
            <w:tcMar>
              <w:top w:w="0" w:type="dxa"/>
              <w:left w:w="0" w:type="dxa"/>
              <w:bottom w:w="0" w:type="dxa"/>
              <w:right w:w="0" w:type="dxa"/>
            </w:tcMar>
            <w:vAlign w:val="center"/>
          </w:tcPr>
          <w:p w14:paraId="541619EA">
            <w:pPr>
              <w:widowControl/>
              <w:spacing w:line="260" w:lineRule="exact"/>
              <w:textAlignment w:val="center"/>
              <w:rPr>
                <w:rFonts w:hint="eastAsia" w:ascii="宋体" w:hAnsi="宋体" w:eastAsia="宋体" w:cs="宋体"/>
                <w:kern w:val="0"/>
                <w:sz w:val="18"/>
                <w:szCs w:val="18"/>
                <w:lang w:bidi="ar"/>
              </w:rPr>
            </w:pPr>
          </w:p>
        </w:tc>
        <w:tc>
          <w:tcPr>
            <w:tcW w:w="3448" w:type="dxa"/>
            <w:vMerge w:val="continue"/>
            <w:tcBorders>
              <w:left w:val="single" w:color="auto" w:sz="4" w:space="0"/>
              <w:right w:val="single" w:color="auto" w:sz="4" w:space="0"/>
            </w:tcBorders>
            <w:noWrap w:val="0"/>
            <w:tcMar>
              <w:top w:w="0" w:type="dxa"/>
              <w:left w:w="0" w:type="dxa"/>
              <w:bottom w:w="0" w:type="dxa"/>
              <w:right w:w="0" w:type="dxa"/>
            </w:tcMar>
            <w:vAlign w:val="center"/>
          </w:tcPr>
          <w:p w14:paraId="37E6319E">
            <w:pPr>
              <w:widowControl/>
              <w:spacing w:line="260" w:lineRule="exact"/>
              <w:ind w:firstLine="360" w:firstLineChars="200"/>
              <w:textAlignment w:val="center"/>
              <w:rPr>
                <w:rFonts w:hint="eastAsia" w:ascii="宋体" w:hAnsi="宋体" w:eastAsia="宋体" w:cs="宋体"/>
                <w:kern w:val="0"/>
                <w:sz w:val="18"/>
                <w:szCs w:val="18"/>
                <w:lang w:bidi="ar"/>
              </w:rPr>
            </w:pPr>
          </w:p>
        </w:tc>
        <w:tc>
          <w:tcPr>
            <w:tcW w:w="1570" w:type="dxa"/>
            <w:vMerge w:val="continue"/>
            <w:tcBorders>
              <w:left w:val="single" w:color="auto" w:sz="4" w:space="0"/>
              <w:right w:val="single" w:color="auto" w:sz="4" w:space="0"/>
            </w:tcBorders>
            <w:noWrap w:val="0"/>
            <w:tcMar>
              <w:top w:w="0" w:type="dxa"/>
              <w:left w:w="0" w:type="dxa"/>
              <w:bottom w:w="0" w:type="dxa"/>
              <w:right w:w="0" w:type="dxa"/>
            </w:tcMar>
            <w:vAlign w:val="center"/>
          </w:tcPr>
          <w:p w14:paraId="7505A4CC">
            <w:pPr>
              <w:spacing w:line="260" w:lineRule="exact"/>
              <w:jc w:val="center"/>
              <w:rPr>
                <w:rFonts w:hint="eastAsia" w:ascii="宋体" w:hAnsi="宋体" w:eastAsia="宋体" w:cs="宋体"/>
                <w:sz w:val="18"/>
                <w:szCs w:val="18"/>
              </w:rPr>
            </w:pPr>
          </w:p>
        </w:tc>
        <w:tc>
          <w:tcPr>
            <w:tcW w:w="80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6DDFF9E">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较轻</w:t>
            </w:r>
          </w:p>
        </w:tc>
        <w:tc>
          <w:tcPr>
            <w:tcW w:w="353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56D20EBF">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45FAC42C">
            <w:pPr>
              <w:spacing w:line="260" w:lineRule="exact"/>
              <w:rPr>
                <w:rFonts w:hint="eastAsia" w:ascii="宋体" w:hAnsi="宋体" w:eastAsia="宋体" w:cs="宋体"/>
                <w:color w:val="000000"/>
                <w:kern w:val="0"/>
                <w:sz w:val="18"/>
                <w:szCs w:val="18"/>
                <w:lang w:bidi="ar"/>
              </w:rPr>
            </w:pPr>
          </w:p>
        </w:tc>
        <w:tc>
          <w:tcPr>
            <w:tcW w:w="261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794C4424">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65A6E075">
            <w:pPr>
              <w:spacing w:line="260" w:lineRule="exact"/>
              <w:rPr>
                <w:rFonts w:hint="eastAsia" w:ascii="宋体" w:hAnsi="宋体" w:eastAsia="宋体" w:cs="宋体"/>
                <w:color w:val="000000"/>
                <w:kern w:val="0"/>
                <w:sz w:val="18"/>
                <w:szCs w:val="18"/>
                <w:lang w:bidi="ar"/>
              </w:rPr>
            </w:pPr>
          </w:p>
        </w:tc>
        <w:tc>
          <w:tcPr>
            <w:tcW w:w="1135" w:type="dxa"/>
            <w:vMerge w:val="continue"/>
            <w:tcBorders>
              <w:left w:val="single" w:color="auto" w:sz="4" w:space="0"/>
              <w:right w:val="single" w:color="auto" w:sz="4" w:space="0"/>
            </w:tcBorders>
            <w:noWrap w:val="0"/>
            <w:tcMar>
              <w:top w:w="0" w:type="dxa"/>
              <w:left w:w="0" w:type="dxa"/>
              <w:bottom w:w="0" w:type="dxa"/>
              <w:right w:w="0" w:type="dxa"/>
            </w:tcMar>
            <w:vAlign w:val="center"/>
          </w:tcPr>
          <w:p w14:paraId="3FA5A79E">
            <w:pPr>
              <w:widowControl/>
              <w:spacing w:line="260" w:lineRule="exact"/>
              <w:jc w:val="center"/>
              <w:textAlignment w:val="center"/>
              <w:rPr>
                <w:rFonts w:hint="eastAsia" w:ascii="宋体" w:hAnsi="宋体" w:eastAsia="宋体" w:cs="宋体"/>
                <w:color w:val="000000"/>
                <w:kern w:val="0"/>
                <w:sz w:val="18"/>
                <w:szCs w:val="18"/>
                <w:lang w:bidi="ar"/>
              </w:rPr>
            </w:pPr>
          </w:p>
        </w:tc>
      </w:tr>
      <w:tr w14:paraId="7FF8D1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47" w:type="dxa"/>
            <w:vMerge w:val="continue"/>
            <w:tcBorders>
              <w:left w:val="single" w:color="auto" w:sz="4" w:space="0"/>
              <w:right w:val="single" w:color="auto" w:sz="4" w:space="0"/>
            </w:tcBorders>
            <w:noWrap w:val="0"/>
            <w:tcMar>
              <w:top w:w="0" w:type="dxa"/>
              <w:left w:w="0" w:type="dxa"/>
              <w:bottom w:w="0" w:type="dxa"/>
              <w:right w:w="0" w:type="dxa"/>
            </w:tcMar>
            <w:vAlign w:val="center"/>
          </w:tcPr>
          <w:p w14:paraId="5AB21C2D">
            <w:pPr>
              <w:spacing w:line="260" w:lineRule="exact"/>
              <w:jc w:val="center"/>
              <w:rPr>
                <w:rFonts w:hint="eastAsia" w:ascii="宋体" w:hAnsi="宋体" w:eastAsia="宋体" w:cs="宋体"/>
                <w:sz w:val="18"/>
                <w:szCs w:val="18"/>
              </w:rPr>
            </w:pPr>
          </w:p>
        </w:tc>
        <w:tc>
          <w:tcPr>
            <w:tcW w:w="1282" w:type="dxa"/>
            <w:vMerge w:val="continue"/>
            <w:tcBorders>
              <w:left w:val="single" w:color="auto" w:sz="4" w:space="0"/>
              <w:right w:val="single" w:color="auto" w:sz="4" w:space="0"/>
            </w:tcBorders>
            <w:noWrap w:val="0"/>
            <w:tcMar>
              <w:top w:w="0" w:type="dxa"/>
              <w:left w:w="0" w:type="dxa"/>
              <w:bottom w:w="0" w:type="dxa"/>
              <w:right w:w="0" w:type="dxa"/>
            </w:tcMar>
            <w:vAlign w:val="center"/>
          </w:tcPr>
          <w:p w14:paraId="1E2A4310">
            <w:pPr>
              <w:widowControl/>
              <w:spacing w:line="260" w:lineRule="exact"/>
              <w:textAlignment w:val="center"/>
              <w:rPr>
                <w:rFonts w:hint="eastAsia" w:ascii="宋体" w:hAnsi="宋体" w:eastAsia="宋体" w:cs="宋体"/>
                <w:kern w:val="0"/>
                <w:sz w:val="18"/>
                <w:szCs w:val="18"/>
                <w:lang w:bidi="ar"/>
              </w:rPr>
            </w:pPr>
          </w:p>
        </w:tc>
        <w:tc>
          <w:tcPr>
            <w:tcW w:w="3448" w:type="dxa"/>
            <w:vMerge w:val="continue"/>
            <w:tcBorders>
              <w:left w:val="single" w:color="auto" w:sz="4" w:space="0"/>
              <w:right w:val="single" w:color="auto" w:sz="4" w:space="0"/>
            </w:tcBorders>
            <w:noWrap w:val="0"/>
            <w:tcMar>
              <w:top w:w="0" w:type="dxa"/>
              <w:left w:w="0" w:type="dxa"/>
              <w:bottom w:w="0" w:type="dxa"/>
              <w:right w:w="0" w:type="dxa"/>
            </w:tcMar>
            <w:vAlign w:val="center"/>
          </w:tcPr>
          <w:p w14:paraId="6C419F4A">
            <w:pPr>
              <w:widowControl/>
              <w:spacing w:line="260" w:lineRule="exact"/>
              <w:ind w:firstLine="360" w:firstLineChars="200"/>
              <w:textAlignment w:val="center"/>
              <w:rPr>
                <w:rFonts w:hint="eastAsia" w:ascii="宋体" w:hAnsi="宋体" w:eastAsia="宋体" w:cs="宋体"/>
                <w:kern w:val="0"/>
                <w:sz w:val="18"/>
                <w:szCs w:val="18"/>
                <w:lang w:bidi="ar"/>
              </w:rPr>
            </w:pPr>
          </w:p>
        </w:tc>
        <w:tc>
          <w:tcPr>
            <w:tcW w:w="1570" w:type="dxa"/>
            <w:vMerge w:val="continue"/>
            <w:tcBorders>
              <w:left w:val="single" w:color="auto" w:sz="4" w:space="0"/>
              <w:right w:val="single" w:color="auto" w:sz="4" w:space="0"/>
            </w:tcBorders>
            <w:noWrap w:val="0"/>
            <w:tcMar>
              <w:top w:w="0" w:type="dxa"/>
              <w:left w:w="0" w:type="dxa"/>
              <w:bottom w:w="0" w:type="dxa"/>
              <w:right w:w="0" w:type="dxa"/>
            </w:tcMar>
            <w:vAlign w:val="center"/>
          </w:tcPr>
          <w:p w14:paraId="2529CC8B">
            <w:pPr>
              <w:spacing w:line="260" w:lineRule="exact"/>
              <w:jc w:val="center"/>
              <w:rPr>
                <w:rFonts w:hint="eastAsia" w:ascii="宋体" w:hAnsi="宋体" w:eastAsia="宋体" w:cs="宋体"/>
                <w:sz w:val="18"/>
                <w:szCs w:val="18"/>
              </w:rPr>
            </w:pPr>
          </w:p>
        </w:tc>
        <w:tc>
          <w:tcPr>
            <w:tcW w:w="80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D965837">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一般</w:t>
            </w:r>
          </w:p>
        </w:tc>
        <w:tc>
          <w:tcPr>
            <w:tcW w:w="353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1BA814E4">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68179BF6">
            <w:pPr>
              <w:spacing w:line="260" w:lineRule="exact"/>
              <w:rPr>
                <w:rFonts w:hint="eastAsia" w:ascii="宋体" w:hAnsi="宋体" w:eastAsia="宋体" w:cs="宋体"/>
                <w:color w:val="000000"/>
                <w:kern w:val="0"/>
                <w:sz w:val="18"/>
                <w:szCs w:val="18"/>
                <w:lang w:bidi="ar"/>
              </w:rPr>
            </w:pPr>
          </w:p>
        </w:tc>
        <w:tc>
          <w:tcPr>
            <w:tcW w:w="261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3A5F2373">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75DBB136">
            <w:pPr>
              <w:spacing w:line="260" w:lineRule="exact"/>
              <w:rPr>
                <w:rFonts w:hint="eastAsia" w:ascii="宋体" w:hAnsi="宋体" w:eastAsia="宋体" w:cs="宋体"/>
                <w:color w:val="000000"/>
                <w:kern w:val="0"/>
                <w:sz w:val="18"/>
                <w:szCs w:val="18"/>
                <w:lang w:bidi="ar"/>
              </w:rPr>
            </w:pPr>
          </w:p>
        </w:tc>
        <w:tc>
          <w:tcPr>
            <w:tcW w:w="1135" w:type="dxa"/>
            <w:vMerge w:val="continue"/>
            <w:tcBorders>
              <w:left w:val="single" w:color="auto" w:sz="4" w:space="0"/>
              <w:right w:val="single" w:color="auto" w:sz="4" w:space="0"/>
            </w:tcBorders>
            <w:noWrap w:val="0"/>
            <w:tcMar>
              <w:top w:w="0" w:type="dxa"/>
              <w:left w:w="0" w:type="dxa"/>
              <w:bottom w:w="0" w:type="dxa"/>
              <w:right w:w="0" w:type="dxa"/>
            </w:tcMar>
            <w:vAlign w:val="center"/>
          </w:tcPr>
          <w:p w14:paraId="64C8D9C5">
            <w:pPr>
              <w:widowControl/>
              <w:spacing w:line="260" w:lineRule="exact"/>
              <w:jc w:val="center"/>
              <w:textAlignment w:val="center"/>
              <w:rPr>
                <w:rFonts w:hint="eastAsia" w:ascii="宋体" w:hAnsi="宋体" w:eastAsia="宋体" w:cs="宋体"/>
                <w:color w:val="000000"/>
                <w:kern w:val="0"/>
                <w:sz w:val="18"/>
                <w:szCs w:val="18"/>
                <w:lang w:bidi="ar"/>
              </w:rPr>
            </w:pPr>
          </w:p>
        </w:tc>
      </w:tr>
      <w:tr w14:paraId="42F75D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47" w:type="dxa"/>
            <w:vMerge w:val="continue"/>
            <w:tcBorders>
              <w:left w:val="single" w:color="auto" w:sz="4" w:space="0"/>
              <w:right w:val="single" w:color="auto" w:sz="4" w:space="0"/>
            </w:tcBorders>
            <w:noWrap w:val="0"/>
            <w:tcMar>
              <w:top w:w="0" w:type="dxa"/>
              <w:left w:w="0" w:type="dxa"/>
              <w:bottom w:w="0" w:type="dxa"/>
              <w:right w:w="0" w:type="dxa"/>
            </w:tcMar>
            <w:vAlign w:val="center"/>
          </w:tcPr>
          <w:p w14:paraId="6516A5DC">
            <w:pPr>
              <w:spacing w:line="260" w:lineRule="exact"/>
              <w:jc w:val="center"/>
              <w:rPr>
                <w:rFonts w:hint="eastAsia" w:ascii="宋体" w:hAnsi="宋体" w:eastAsia="宋体" w:cs="宋体"/>
                <w:sz w:val="18"/>
                <w:szCs w:val="18"/>
              </w:rPr>
            </w:pPr>
          </w:p>
        </w:tc>
        <w:tc>
          <w:tcPr>
            <w:tcW w:w="1282" w:type="dxa"/>
            <w:vMerge w:val="continue"/>
            <w:tcBorders>
              <w:left w:val="single" w:color="auto" w:sz="4" w:space="0"/>
              <w:right w:val="single" w:color="auto" w:sz="4" w:space="0"/>
            </w:tcBorders>
            <w:noWrap w:val="0"/>
            <w:tcMar>
              <w:top w:w="0" w:type="dxa"/>
              <w:left w:w="0" w:type="dxa"/>
              <w:bottom w:w="0" w:type="dxa"/>
              <w:right w:w="0" w:type="dxa"/>
            </w:tcMar>
            <w:vAlign w:val="center"/>
          </w:tcPr>
          <w:p w14:paraId="7ADDD63A">
            <w:pPr>
              <w:widowControl/>
              <w:spacing w:line="260" w:lineRule="exact"/>
              <w:textAlignment w:val="center"/>
              <w:rPr>
                <w:rFonts w:hint="eastAsia" w:ascii="宋体" w:hAnsi="宋体" w:eastAsia="宋体" w:cs="宋体"/>
                <w:kern w:val="0"/>
                <w:sz w:val="18"/>
                <w:szCs w:val="18"/>
                <w:lang w:bidi="ar"/>
              </w:rPr>
            </w:pPr>
          </w:p>
        </w:tc>
        <w:tc>
          <w:tcPr>
            <w:tcW w:w="3448" w:type="dxa"/>
            <w:vMerge w:val="continue"/>
            <w:tcBorders>
              <w:left w:val="single" w:color="auto" w:sz="4" w:space="0"/>
              <w:right w:val="single" w:color="auto" w:sz="4" w:space="0"/>
            </w:tcBorders>
            <w:noWrap w:val="0"/>
            <w:tcMar>
              <w:top w:w="0" w:type="dxa"/>
              <w:left w:w="0" w:type="dxa"/>
              <w:bottom w:w="0" w:type="dxa"/>
              <w:right w:w="0" w:type="dxa"/>
            </w:tcMar>
            <w:vAlign w:val="center"/>
          </w:tcPr>
          <w:p w14:paraId="3540CC0D">
            <w:pPr>
              <w:widowControl/>
              <w:spacing w:line="260" w:lineRule="exact"/>
              <w:ind w:firstLine="360" w:firstLineChars="200"/>
              <w:textAlignment w:val="center"/>
              <w:rPr>
                <w:rFonts w:hint="eastAsia" w:ascii="宋体" w:hAnsi="宋体" w:eastAsia="宋体" w:cs="宋体"/>
                <w:kern w:val="0"/>
                <w:sz w:val="18"/>
                <w:szCs w:val="18"/>
                <w:lang w:bidi="ar"/>
              </w:rPr>
            </w:pPr>
          </w:p>
        </w:tc>
        <w:tc>
          <w:tcPr>
            <w:tcW w:w="1570" w:type="dxa"/>
            <w:vMerge w:val="continue"/>
            <w:tcBorders>
              <w:left w:val="single" w:color="auto" w:sz="4" w:space="0"/>
              <w:right w:val="single" w:color="auto" w:sz="4" w:space="0"/>
            </w:tcBorders>
            <w:noWrap w:val="0"/>
            <w:tcMar>
              <w:top w:w="0" w:type="dxa"/>
              <w:left w:w="0" w:type="dxa"/>
              <w:bottom w:w="0" w:type="dxa"/>
              <w:right w:w="0" w:type="dxa"/>
            </w:tcMar>
            <w:vAlign w:val="center"/>
          </w:tcPr>
          <w:p w14:paraId="5A047556">
            <w:pPr>
              <w:spacing w:line="260" w:lineRule="exact"/>
              <w:jc w:val="center"/>
              <w:rPr>
                <w:rFonts w:hint="eastAsia" w:ascii="宋体" w:hAnsi="宋体" w:eastAsia="宋体" w:cs="宋体"/>
                <w:sz w:val="18"/>
                <w:szCs w:val="18"/>
              </w:rPr>
            </w:pPr>
          </w:p>
        </w:tc>
        <w:tc>
          <w:tcPr>
            <w:tcW w:w="80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46A8966">
            <w:pPr>
              <w:spacing w:line="260" w:lineRule="exact"/>
              <w:jc w:val="center"/>
              <w:rPr>
                <w:rFonts w:hint="eastAsia" w:ascii="宋体" w:hAnsi="宋体" w:eastAsia="宋体" w:cs="宋体"/>
                <w:sz w:val="18"/>
                <w:szCs w:val="18"/>
                <w:lang w:eastAsia="zh-CN"/>
              </w:rPr>
            </w:pPr>
            <w:r>
              <w:rPr>
                <w:rFonts w:hint="eastAsia" w:ascii="宋体" w:hAnsi="宋体" w:eastAsia="宋体" w:cs="宋体"/>
                <w:sz w:val="18"/>
                <w:szCs w:val="18"/>
                <w:lang w:eastAsia="zh-CN"/>
              </w:rPr>
              <w:t>较重</w:t>
            </w:r>
          </w:p>
        </w:tc>
        <w:tc>
          <w:tcPr>
            <w:tcW w:w="353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35E6536">
            <w:pPr>
              <w:spacing w:line="260" w:lineRule="exact"/>
              <w:rPr>
                <w:rFonts w:hint="eastAsia" w:ascii="宋体" w:hAnsi="宋体" w:eastAsia="宋体" w:cs="宋体"/>
                <w:color w:val="000000"/>
                <w:sz w:val="18"/>
                <w:szCs w:val="18"/>
                <w:lang w:bidi="ar"/>
              </w:rPr>
            </w:pPr>
            <w:r>
              <w:rPr>
                <w:rStyle w:val="21"/>
                <w:rFonts w:hint="eastAsia" w:ascii="宋体" w:hAnsi="宋体" w:eastAsia="宋体" w:cs="宋体"/>
                <w:sz w:val="18"/>
                <w:szCs w:val="18"/>
                <w:lang w:bidi="ar"/>
              </w:rPr>
              <w:t>用户将生活用水用于家庭生产经营的</w:t>
            </w:r>
          </w:p>
        </w:tc>
        <w:tc>
          <w:tcPr>
            <w:tcW w:w="261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09D51F3">
            <w:pPr>
              <w:spacing w:line="260" w:lineRule="exact"/>
              <w:rPr>
                <w:rFonts w:hint="eastAsia" w:ascii="宋体" w:hAnsi="宋体" w:eastAsia="宋体" w:cs="宋体"/>
                <w:color w:val="000000"/>
                <w:sz w:val="18"/>
                <w:szCs w:val="18"/>
                <w:lang w:bidi="ar"/>
              </w:rPr>
            </w:pPr>
            <w:r>
              <w:rPr>
                <w:rStyle w:val="21"/>
                <w:rFonts w:hint="eastAsia" w:ascii="宋体" w:hAnsi="宋体" w:eastAsia="宋体" w:cs="宋体"/>
                <w:sz w:val="18"/>
                <w:szCs w:val="18"/>
                <w:lang w:bidi="ar"/>
              </w:rPr>
              <w:t>处每立方米</w:t>
            </w:r>
            <w:r>
              <w:rPr>
                <w:rStyle w:val="21"/>
                <w:rFonts w:hint="eastAsia" w:ascii="宋体" w:hAnsi="宋体" w:eastAsia="宋体" w:cs="宋体"/>
                <w:sz w:val="18"/>
                <w:szCs w:val="18"/>
                <w:lang w:val="en-US" w:eastAsia="zh-CN" w:bidi="ar"/>
              </w:rPr>
              <w:t>10</w:t>
            </w:r>
            <w:r>
              <w:rPr>
                <w:rStyle w:val="21"/>
                <w:rFonts w:hint="eastAsia" w:ascii="宋体" w:hAnsi="宋体" w:eastAsia="宋体" w:cs="宋体"/>
                <w:sz w:val="18"/>
                <w:szCs w:val="18"/>
                <w:lang w:bidi="ar"/>
              </w:rPr>
              <w:t>元的罚款，最高不超过</w:t>
            </w:r>
            <w:r>
              <w:rPr>
                <w:rStyle w:val="21"/>
                <w:rFonts w:hint="eastAsia" w:ascii="宋体" w:hAnsi="宋体" w:eastAsia="宋体" w:cs="宋体"/>
                <w:sz w:val="18"/>
                <w:szCs w:val="18"/>
                <w:lang w:val="en-US" w:eastAsia="zh-CN" w:bidi="ar"/>
              </w:rPr>
              <w:t>3</w:t>
            </w:r>
            <w:r>
              <w:rPr>
                <w:rStyle w:val="21"/>
                <w:rFonts w:hint="eastAsia" w:ascii="宋体" w:hAnsi="宋体" w:eastAsia="宋体" w:cs="宋体"/>
                <w:sz w:val="18"/>
                <w:szCs w:val="18"/>
                <w:lang w:bidi="ar"/>
              </w:rPr>
              <w:t>万元</w:t>
            </w:r>
          </w:p>
        </w:tc>
        <w:tc>
          <w:tcPr>
            <w:tcW w:w="1135" w:type="dxa"/>
            <w:vMerge w:val="continue"/>
            <w:tcBorders>
              <w:left w:val="single" w:color="auto" w:sz="4" w:space="0"/>
              <w:right w:val="single" w:color="auto" w:sz="4" w:space="0"/>
            </w:tcBorders>
            <w:noWrap w:val="0"/>
            <w:tcMar>
              <w:top w:w="0" w:type="dxa"/>
              <w:left w:w="0" w:type="dxa"/>
              <w:bottom w:w="0" w:type="dxa"/>
              <w:right w:w="0" w:type="dxa"/>
            </w:tcMar>
            <w:vAlign w:val="center"/>
          </w:tcPr>
          <w:p w14:paraId="7618D228">
            <w:pPr>
              <w:spacing w:line="260" w:lineRule="exact"/>
              <w:jc w:val="center"/>
              <w:rPr>
                <w:rStyle w:val="21"/>
                <w:rFonts w:hint="eastAsia" w:ascii="宋体" w:hAnsi="宋体" w:eastAsia="宋体" w:cs="宋体"/>
                <w:sz w:val="18"/>
                <w:szCs w:val="18"/>
                <w:lang w:bidi="ar"/>
              </w:rPr>
            </w:pPr>
          </w:p>
        </w:tc>
      </w:tr>
      <w:tr w14:paraId="0BA79A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547" w:type="dxa"/>
            <w:vMerge w:val="continue"/>
            <w:tcBorders>
              <w:left w:val="single" w:color="auto" w:sz="4" w:space="0"/>
              <w:right w:val="single" w:color="auto" w:sz="4" w:space="0"/>
            </w:tcBorders>
            <w:noWrap w:val="0"/>
            <w:tcMar>
              <w:top w:w="0" w:type="dxa"/>
              <w:left w:w="0" w:type="dxa"/>
              <w:bottom w:w="0" w:type="dxa"/>
              <w:right w:w="0" w:type="dxa"/>
            </w:tcMar>
            <w:vAlign w:val="center"/>
          </w:tcPr>
          <w:p w14:paraId="7CF790F7">
            <w:pPr>
              <w:spacing w:line="260" w:lineRule="exact"/>
              <w:jc w:val="center"/>
              <w:rPr>
                <w:rFonts w:hint="eastAsia" w:ascii="宋体" w:hAnsi="宋体" w:eastAsia="宋体" w:cs="宋体"/>
                <w:sz w:val="18"/>
                <w:szCs w:val="18"/>
              </w:rPr>
            </w:pPr>
          </w:p>
        </w:tc>
        <w:tc>
          <w:tcPr>
            <w:tcW w:w="1282" w:type="dxa"/>
            <w:vMerge w:val="continue"/>
            <w:tcBorders>
              <w:left w:val="single" w:color="auto" w:sz="4" w:space="0"/>
              <w:right w:val="single" w:color="auto" w:sz="4" w:space="0"/>
            </w:tcBorders>
            <w:noWrap w:val="0"/>
            <w:tcMar>
              <w:top w:w="0" w:type="dxa"/>
              <w:left w:w="0" w:type="dxa"/>
              <w:bottom w:w="0" w:type="dxa"/>
              <w:right w:w="0" w:type="dxa"/>
            </w:tcMar>
            <w:vAlign w:val="center"/>
          </w:tcPr>
          <w:p w14:paraId="117D3186">
            <w:pPr>
              <w:widowControl/>
              <w:spacing w:line="260" w:lineRule="exact"/>
              <w:textAlignment w:val="center"/>
              <w:rPr>
                <w:rFonts w:hint="eastAsia" w:ascii="宋体" w:hAnsi="宋体" w:eastAsia="宋体" w:cs="宋体"/>
                <w:kern w:val="0"/>
                <w:sz w:val="18"/>
                <w:szCs w:val="18"/>
                <w:lang w:bidi="ar"/>
              </w:rPr>
            </w:pPr>
          </w:p>
        </w:tc>
        <w:tc>
          <w:tcPr>
            <w:tcW w:w="3448" w:type="dxa"/>
            <w:vMerge w:val="continue"/>
            <w:tcBorders>
              <w:left w:val="single" w:color="auto" w:sz="4" w:space="0"/>
              <w:right w:val="single" w:color="auto" w:sz="4" w:space="0"/>
            </w:tcBorders>
            <w:noWrap w:val="0"/>
            <w:tcMar>
              <w:top w:w="0" w:type="dxa"/>
              <w:left w:w="0" w:type="dxa"/>
              <w:bottom w:w="0" w:type="dxa"/>
              <w:right w:w="0" w:type="dxa"/>
            </w:tcMar>
            <w:vAlign w:val="center"/>
          </w:tcPr>
          <w:p w14:paraId="42BB2FC9">
            <w:pPr>
              <w:widowControl/>
              <w:spacing w:line="260" w:lineRule="exact"/>
              <w:ind w:firstLine="360" w:firstLineChars="200"/>
              <w:textAlignment w:val="center"/>
              <w:rPr>
                <w:rFonts w:hint="eastAsia" w:ascii="宋体" w:hAnsi="宋体" w:eastAsia="宋体" w:cs="宋体"/>
                <w:kern w:val="0"/>
                <w:sz w:val="18"/>
                <w:szCs w:val="18"/>
                <w:lang w:bidi="ar"/>
              </w:rPr>
            </w:pPr>
          </w:p>
        </w:tc>
        <w:tc>
          <w:tcPr>
            <w:tcW w:w="1570" w:type="dxa"/>
            <w:vMerge w:val="continue"/>
            <w:tcBorders>
              <w:left w:val="single" w:color="auto" w:sz="4" w:space="0"/>
              <w:right w:val="single" w:color="auto" w:sz="4" w:space="0"/>
            </w:tcBorders>
            <w:noWrap w:val="0"/>
            <w:tcMar>
              <w:top w:w="0" w:type="dxa"/>
              <w:left w:w="0" w:type="dxa"/>
              <w:bottom w:w="0" w:type="dxa"/>
              <w:right w:w="0" w:type="dxa"/>
            </w:tcMar>
            <w:vAlign w:val="center"/>
          </w:tcPr>
          <w:p w14:paraId="3CF47C57">
            <w:pPr>
              <w:spacing w:line="260" w:lineRule="exact"/>
              <w:jc w:val="center"/>
              <w:rPr>
                <w:rFonts w:hint="eastAsia" w:ascii="宋体" w:hAnsi="宋体" w:eastAsia="宋体" w:cs="宋体"/>
                <w:sz w:val="18"/>
                <w:szCs w:val="18"/>
              </w:rPr>
            </w:pPr>
          </w:p>
        </w:tc>
        <w:tc>
          <w:tcPr>
            <w:tcW w:w="80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DF16027">
            <w:pPr>
              <w:spacing w:line="260" w:lineRule="exact"/>
              <w:jc w:val="center"/>
              <w:rPr>
                <w:rFonts w:hint="eastAsia" w:ascii="宋体" w:hAnsi="宋体" w:eastAsia="宋体" w:cs="宋体"/>
                <w:sz w:val="18"/>
                <w:szCs w:val="18"/>
              </w:rPr>
            </w:pPr>
            <w:r>
              <w:rPr>
                <w:rFonts w:hint="eastAsia" w:ascii="宋体" w:hAnsi="宋体" w:eastAsia="宋体" w:cs="宋体"/>
                <w:sz w:val="18"/>
                <w:szCs w:val="18"/>
              </w:rPr>
              <w:t>严重</w:t>
            </w:r>
          </w:p>
        </w:tc>
        <w:tc>
          <w:tcPr>
            <w:tcW w:w="353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81DFE05">
            <w:pPr>
              <w:spacing w:line="260" w:lineRule="exact"/>
              <w:rPr>
                <w:rFonts w:hint="eastAsia" w:ascii="宋体" w:hAnsi="宋体" w:eastAsia="宋体" w:cs="宋体"/>
                <w:color w:val="000000"/>
                <w:sz w:val="18"/>
                <w:szCs w:val="18"/>
                <w:lang w:bidi="ar"/>
              </w:rPr>
            </w:pPr>
            <w:r>
              <w:rPr>
                <w:rStyle w:val="21"/>
                <w:rFonts w:hint="eastAsia" w:ascii="宋体" w:hAnsi="宋体" w:eastAsia="宋体" w:cs="宋体"/>
                <w:sz w:val="18"/>
                <w:szCs w:val="18"/>
                <w:lang w:bidi="ar"/>
              </w:rPr>
              <w:t>用户将生活用水用于企业、农村集体经济组织、农村合作经济组织生产经营的</w:t>
            </w:r>
          </w:p>
        </w:tc>
        <w:tc>
          <w:tcPr>
            <w:tcW w:w="261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B9A9C7C">
            <w:pPr>
              <w:spacing w:line="260" w:lineRule="exact"/>
              <w:rPr>
                <w:rFonts w:hint="eastAsia" w:ascii="宋体" w:hAnsi="宋体" w:eastAsia="宋体" w:cs="宋体"/>
                <w:color w:val="000000"/>
                <w:sz w:val="18"/>
                <w:szCs w:val="18"/>
                <w:lang w:bidi="ar"/>
              </w:rPr>
            </w:pPr>
            <w:r>
              <w:rPr>
                <w:rStyle w:val="21"/>
                <w:rFonts w:hint="eastAsia" w:ascii="宋体" w:hAnsi="宋体" w:eastAsia="宋体" w:cs="宋体"/>
                <w:sz w:val="18"/>
                <w:szCs w:val="18"/>
                <w:lang w:bidi="ar"/>
              </w:rPr>
              <w:t>处每立方米</w:t>
            </w:r>
            <w:r>
              <w:rPr>
                <w:rStyle w:val="21"/>
                <w:rFonts w:hint="eastAsia" w:ascii="宋体" w:hAnsi="宋体" w:eastAsia="宋体" w:cs="宋体"/>
                <w:sz w:val="18"/>
                <w:szCs w:val="18"/>
                <w:lang w:val="en-US" w:eastAsia="zh-CN" w:bidi="ar"/>
              </w:rPr>
              <w:t>10</w:t>
            </w:r>
            <w:r>
              <w:rPr>
                <w:rStyle w:val="21"/>
                <w:rFonts w:hint="eastAsia" w:ascii="宋体" w:hAnsi="宋体" w:eastAsia="宋体" w:cs="宋体"/>
                <w:sz w:val="18"/>
                <w:szCs w:val="18"/>
                <w:lang w:bidi="ar"/>
              </w:rPr>
              <w:t>元的罚款，最高不超过</w:t>
            </w:r>
            <w:r>
              <w:rPr>
                <w:rStyle w:val="21"/>
                <w:rFonts w:hint="eastAsia" w:ascii="宋体" w:hAnsi="宋体" w:eastAsia="宋体" w:cs="宋体"/>
                <w:sz w:val="18"/>
                <w:szCs w:val="18"/>
                <w:lang w:val="en-US" w:eastAsia="zh-CN" w:bidi="ar"/>
              </w:rPr>
              <w:t>10</w:t>
            </w:r>
            <w:r>
              <w:rPr>
                <w:rStyle w:val="21"/>
                <w:rFonts w:hint="eastAsia" w:ascii="宋体" w:hAnsi="宋体" w:eastAsia="宋体" w:cs="宋体"/>
                <w:sz w:val="18"/>
                <w:szCs w:val="18"/>
                <w:lang w:bidi="ar"/>
              </w:rPr>
              <w:t>万元</w:t>
            </w:r>
          </w:p>
        </w:tc>
        <w:tc>
          <w:tcPr>
            <w:tcW w:w="1135" w:type="dxa"/>
            <w:vMerge w:val="continue"/>
            <w:tcBorders>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66C9E6D">
            <w:pPr>
              <w:spacing w:line="260" w:lineRule="exact"/>
              <w:jc w:val="center"/>
              <w:rPr>
                <w:rStyle w:val="21"/>
                <w:rFonts w:hint="eastAsia" w:ascii="宋体" w:hAnsi="宋体" w:eastAsia="宋体" w:cs="宋体"/>
                <w:sz w:val="18"/>
                <w:szCs w:val="18"/>
                <w:lang w:bidi="ar"/>
              </w:rPr>
            </w:pPr>
          </w:p>
        </w:tc>
      </w:tr>
    </w:tbl>
    <w:p w14:paraId="08C3DDAB">
      <w:pPr>
        <w:spacing w:line="600" w:lineRule="exact"/>
        <w:jc w:val="center"/>
        <w:rPr>
          <w:rFonts w:hint="eastAsia" w:ascii="黑体" w:hAnsi="黑体" w:eastAsia="黑体" w:cs="黑体"/>
          <w:sz w:val="32"/>
          <w:szCs w:val="32"/>
          <w:lang w:val="en-US" w:eastAsia="zh-CN"/>
        </w:rPr>
      </w:pPr>
      <w:r>
        <w:rPr>
          <w:rFonts w:ascii="黑体" w:hAnsi="黑体" w:eastAsia="黑体" w:cs="黑体"/>
          <w:sz w:val="32"/>
          <w:szCs w:val="32"/>
        </w:rPr>
        <w:br w:type="page"/>
      </w:r>
      <w:r>
        <w:rPr>
          <w:rFonts w:hint="eastAsia" w:ascii="黑体" w:hAnsi="黑体" w:eastAsia="黑体" w:cs="黑体"/>
          <w:sz w:val="32"/>
          <w:szCs w:val="32"/>
          <w:lang w:val="en-US" w:eastAsia="zh-CN"/>
        </w:rPr>
        <w:t>第八部分  工程质量、安全生产、招投标等类</w:t>
      </w:r>
    </w:p>
    <w:tbl>
      <w:tblPr>
        <w:tblStyle w:val="14"/>
        <w:tblW w:w="533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486"/>
        <w:gridCol w:w="1291"/>
        <w:gridCol w:w="6742"/>
        <w:gridCol w:w="1527"/>
        <w:gridCol w:w="542"/>
        <w:gridCol w:w="1747"/>
        <w:gridCol w:w="2717"/>
        <w:gridCol w:w="492"/>
      </w:tblGrid>
      <w:tr w14:paraId="28AA57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tblHeader/>
          <w:jc w:val="center"/>
        </w:trPr>
        <w:tc>
          <w:tcPr>
            <w:tcW w:w="156" w:type="pct"/>
            <w:noWrap w:val="0"/>
            <w:tcMar>
              <w:top w:w="0" w:type="dxa"/>
              <w:left w:w="0" w:type="dxa"/>
              <w:bottom w:w="0" w:type="dxa"/>
              <w:right w:w="0" w:type="dxa"/>
            </w:tcMar>
            <w:vAlign w:val="center"/>
          </w:tcPr>
          <w:p w14:paraId="117A2D4A">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黑体" w:hAnsi="黑体" w:eastAsia="黑体" w:cs="黑体"/>
                <w:sz w:val="18"/>
                <w:szCs w:val="18"/>
                <w:vertAlign w:val="baseline"/>
                <w:lang w:val="en-US" w:eastAsia="zh-CN"/>
              </w:rPr>
            </w:pPr>
            <w:r>
              <w:rPr>
                <w:rFonts w:hint="eastAsia" w:ascii="黑体" w:hAnsi="黑体" w:eastAsia="黑体" w:cs="黑体"/>
                <w:sz w:val="18"/>
                <w:szCs w:val="18"/>
                <w:vertAlign w:val="baseline"/>
                <w:lang w:val="en-US" w:eastAsia="zh-CN"/>
              </w:rPr>
              <w:t>序号</w:t>
            </w:r>
          </w:p>
        </w:tc>
        <w:tc>
          <w:tcPr>
            <w:tcW w:w="415" w:type="pct"/>
            <w:noWrap w:val="0"/>
            <w:tcMar>
              <w:top w:w="0" w:type="dxa"/>
              <w:left w:w="0" w:type="dxa"/>
              <w:bottom w:w="0" w:type="dxa"/>
              <w:right w:w="0" w:type="dxa"/>
            </w:tcMar>
            <w:vAlign w:val="center"/>
          </w:tcPr>
          <w:p w14:paraId="1BA3BF6A">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黑体" w:hAnsi="黑体" w:eastAsia="黑体" w:cs="黑体"/>
                <w:sz w:val="18"/>
                <w:szCs w:val="18"/>
                <w:vertAlign w:val="baseline"/>
                <w:lang w:val="en-US" w:eastAsia="zh-CN"/>
              </w:rPr>
            </w:pPr>
            <w:r>
              <w:rPr>
                <w:rFonts w:hint="eastAsia" w:ascii="黑体" w:hAnsi="黑体" w:eastAsia="黑体" w:cs="黑体"/>
                <w:sz w:val="18"/>
                <w:szCs w:val="18"/>
                <w:vertAlign w:val="baseline"/>
                <w:lang w:val="en-US" w:eastAsia="zh-CN"/>
              </w:rPr>
              <w:t>违法行为</w:t>
            </w:r>
          </w:p>
        </w:tc>
        <w:tc>
          <w:tcPr>
            <w:tcW w:w="2168" w:type="pct"/>
            <w:noWrap w:val="0"/>
            <w:tcMar>
              <w:top w:w="0" w:type="dxa"/>
              <w:left w:w="0" w:type="dxa"/>
              <w:bottom w:w="0" w:type="dxa"/>
              <w:right w:w="0" w:type="dxa"/>
            </w:tcMar>
            <w:vAlign w:val="center"/>
          </w:tcPr>
          <w:p w14:paraId="4869D1C5">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黑体" w:hAnsi="黑体" w:eastAsia="黑体" w:cs="黑体"/>
                <w:sz w:val="18"/>
                <w:szCs w:val="18"/>
                <w:vertAlign w:val="baseline"/>
                <w:lang w:val="en-US" w:eastAsia="zh-CN"/>
              </w:rPr>
            </w:pPr>
            <w:r>
              <w:rPr>
                <w:rFonts w:hint="eastAsia" w:ascii="黑体" w:hAnsi="黑体" w:eastAsia="黑体" w:cs="黑体"/>
                <w:sz w:val="18"/>
                <w:szCs w:val="18"/>
                <w:vertAlign w:val="baseline"/>
                <w:lang w:val="en-US" w:eastAsia="zh-CN"/>
              </w:rPr>
              <w:t>法定依据</w:t>
            </w:r>
          </w:p>
        </w:tc>
        <w:tc>
          <w:tcPr>
            <w:tcW w:w="491" w:type="pct"/>
            <w:noWrap w:val="0"/>
            <w:tcMar>
              <w:top w:w="0" w:type="dxa"/>
              <w:left w:w="0" w:type="dxa"/>
              <w:bottom w:w="0" w:type="dxa"/>
              <w:right w:w="0" w:type="dxa"/>
            </w:tcMar>
            <w:vAlign w:val="center"/>
          </w:tcPr>
          <w:p w14:paraId="1C5CE650">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黑体" w:hAnsi="黑体" w:eastAsia="黑体" w:cs="黑体"/>
                <w:sz w:val="18"/>
                <w:szCs w:val="18"/>
                <w:vertAlign w:val="baseline"/>
                <w:lang w:val="en-US" w:eastAsia="zh-CN"/>
              </w:rPr>
            </w:pPr>
            <w:r>
              <w:rPr>
                <w:rFonts w:hint="eastAsia" w:ascii="黑体" w:hAnsi="黑体" w:eastAsia="黑体" w:cs="黑体"/>
                <w:sz w:val="18"/>
                <w:szCs w:val="18"/>
                <w:vertAlign w:val="baseline"/>
                <w:lang w:val="en-US" w:eastAsia="zh-CN"/>
              </w:rPr>
              <w:t>违法情形</w:t>
            </w:r>
          </w:p>
        </w:tc>
        <w:tc>
          <w:tcPr>
            <w:tcW w:w="174" w:type="pct"/>
            <w:noWrap w:val="0"/>
            <w:tcMar>
              <w:top w:w="0" w:type="dxa"/>
              <w:left w:w="0" w:type="dxa"/>
              <w:bottom w:w="0" w:type="dxa"/>
              <w:right w:w="0" w:type="dxa"/>
            </w:tcMar>
            <w:vAlign w:val="center"/>
          </w:tcPr>
          <w:p w14:paraId="379F5D50">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黑体" w:hAnsi="黑体" w:eastAsia="黑体" w:cs="黑体"/>
                <w:sz w:val="18"/>
                <w:szCs w:val="18"/>
                <w:vertAlign w:val="baseline"/>
                <w:lang w:val="en-US" w:eastAsia="zh-CN"/>
              </w:rPr>
            </w:pPr>
            <w:r>
              <w:rPr>
                <w:rFonts w:hint="eastAsia" w:ascii="黑体" w:hAnsi="黑体" w:eastAsia="黑体" w:cs="黑体"/>
                <w:sz w:val="18"/>
                <w:szCs w:val="18"/>
                <w:vertAlign w:val="baseline"/>
                <w:lang w:val="en-US" w:eastAsia="zh-CN"/>
              </w:rPr>
              <w:t>裁量</w:t>
            </w:r>
          </w:p>
          <w:p w14:paraId="5398609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黑体" w:hAnsi="黑体" w:eastAsia="黑体" w:cs="黑体"/>
                <w:sz w:val="18"/>
                <w:szCs w:val="18"/>
                <w:vertAlign w:val="baseline"/>
                <w:lang w:val="en-US" w:eastAsia="zh-CN"/>
              </w:rPr>
            </w:pPr>
            <w:r>
              <w:rPr>
                <w:rFonts w:hint="eastAsia" w:ascii="黑体" w:hAnsi="黑体" w:eastAsia="黑体" w:cs="黑体"/>
                <w:sz w:val="18"/>
                <w:szCs w:val="18"/>
                <w:vertAlign w:val="baseline"/>
                <w:lang w:val="en-US" w:eastAsia="zh-CN"/>
              </w:rPr>
              <w:t>幅度</w:t>
            </w:r>
          </w:p>
        </w:tc>
        <w:tc>
          <w:tcPr>
            <w:tcW w:w="561" w:type="pct"/>
            <w:noWrap w:val="0"/>
            <w:tcMar>
              <w:top w:w="0" w:type="dxa"/>
              <w:left w:w="0" w:type="dxa"/>
              <w:bottom w:w="0" w:type="dxa"/>
              <w:right w:w="0" w:type="dxa"/>
            </w:tcMar>
            <w:vAlign w:val="center"/>
          </w:tcPr>
          <w:p w14:paraId="63D7687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黑体" w:hAnsi="黑体" w:eastAsia="黑体" w:cs="黑体"/>
                <w:sz w:val="18"/>
                <w:szCs w:val="18"/>
                <w:vertAlign w:val="baseline"/>
                <w:lang w:val="en-US" w:eastAsia="zh-CN"/>
              </w:rPr>
            </w:pPr>
            <w:r>
              <w:rPr>
                <w:rFonts w:hint="eastAsia" w:ascii="黑体" w:hAnsi="黑体" w:eastAsia="黑体" w:cs="黑体"/>
                <w:sz w:val="18"/>
                <w:szCs w:val="18"/>
                <w:vertAlign w:val="baseline"/>
                <w:lang w:val="en-US" w:eastAsia="zh-CN"/>
              </w:rPr>
              <w:t>适用条件</w:t>
            </w:r>
          </w:p>
        </w:tc>
        <w:tc>
          <w:tcPr>
            <w:tcW w:w="873" w:type="pct"/>
            <w:noWrap w:val="0"/>
            <w:tcMar>
              <w:top w:w="0" w:type="dxa"/>
              <w:left w:w="0" w:type="dxa"/>
              <w:bottom w:w="0" w:type="dxa"/>
              <w:right w:w="0" w:type="dxa"/>
            </w:tcMar>
            <w:vAlign w:val="center"/>
          </w:tcPr>
          <w:p w14:paraId="313B0A8D">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黑体" w:hAnsi="黑体" w:eastAsia="黑体" w:cs="黑体"/>
                <w:sz w:val="18"/>
                <w:szCs w:val="18"/>
                <w:vertAlign w:val="baseline"/>
                <w:lang w:val="en-US" w:eastAsia="zh-CN"/>
              </w:rPr>
            </w:pPr>
            <w:r>
              <w:rPr>
                <w:rFonts w:hint="eastAsia" w:ascii="黑体" w:hAnsi="黑体" w:eastAsia="黑体" w:cs="黑体"/>
                <w:sz w:val="18"/>
                <w:szCs w:val="18"/>
                <w:vertAlign w:val="baseline"/>
                <w:lang w:val="en-US" w:eastAsia="zh-CN"/>
              </w:rPr>
              <w:t>裁量基准</w:t>
            </w:r>
          </w:p>
        </w:tc>
        <w:tc>
          <w:tcPr>
            <w:tcW w:w="158" w:type="pct"/>
            <w:noWrap w:val="0"/>
            <w:tcMar>
              <w:top w:w="0" w:type="dxa"/>
              <w:left w:w="0" w:type="dxa"/>
              <w:bottom w:w="0" w:type="dxa"/>
              <w:right w:w="0" w:type="dxa"/>
            </w:tcMar>
            <w:vAlign w:val="center"/>
          </w:tcPr>
          <w:p w14:paraId="451A3CFC">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黑体" w:hAnsi="黑体" w:eastAsia="黑体" w:cs="黑体"/>
                <w:sz w:val="18"/>
                <w:szCs w:val="18"/>
                <w:vertAlign w:val="baseline"/>
                <w:lang w:val="en-US" w:eastAsia="zh-CN"/>
              </w:rPr>
            </w:pPr>
            <w:r>
              <w:rPr>
                <w:rFonts w:hint="eastAsia" w:ascii="黑体" w:hAnsi="黑体" w:eastAsia="黑体" w:cs="黑体"/>
                <w:sz w:val="18"/>
                <w:szCs w:val="18"/>
                <w:vertAlign w:val="baseline"/>
                <w:lang w:val="en-US" w:eastAsia="zh-CN"/>
              </w:rPr>
              <w:t>备注</w:t>
            </w:r>
          </w:p>
        </w:tc>
      </w:tr>
      <w:tr w14:paraId="4DA139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restart"/>
            <w:noWrap w:val="0"/>
            <w:tcMar>
              <w:top w:w="0" w:type="dxa"/>
              <w:left w:w="0" w:type="dxa"/>
              <w:bottom w:w="0" w:type="dxa"/>
              <w:right w:w="0" w:type="dxa"/>
            </w:tcMar>
            <w:vAlign w:val="center"/>
          </w:tcPr>
          <w:p w14:paraId="28E72BAB">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default" w:ascii="宋体" w:hAnsi="宋体" w:eastAsia="宋体" w:cs="宋体"/>
                <w:sz w:val="18"/>
                <w:szCs w:val="18"/>
                <w:vertAlign w:val="baseline"/>
                <w:lang w:val="en-US" w:eastAsia="zh-CN"/>
              </w:rPr>
            </w:pPr>
            <w:r>
              <w:rPr>
                <w:rFonts w:hint="eastAsia" w:ascii="宋体" w:hAnsi="宋体" w:eastAsia="宋体" w:cs="宋体"/>
                <w:sz w:val="18"/>
                <w:szCs w:val="18"/>
                <w:highlight w:val="none"/>
                <w:vertAlign w:val="baseline"/>
                <w:lang w:val="en-US" w:eastAsia="zh-CN"/>
              </w:rPr>
              <w:t>60</w:t>
            </w:r>
          </w:p>
        </w:tc>
        <w:tc>
          <w:tcPr>
            <w:tcW w:w="415" w:type="pct"/>
            <w:vMerge w:val="restart"/>
            <w:noWrap w:val="0"/>
            <w:tcMar>
              <w:top w:w="0" w:type="dxa"/>
              <w:left w:w="0" w:type="dxa"/>
              <w:bottom w:w="0" w:type="dxa"/>
              <w:right w:w="0" w:type="dxa"/>
            </w:tcMar>
            <w:vAlign w:val="center"/>
          </w:tcPr>
          <w:p w14:paraId="19C535B9">
            <w:pPr>
              <w:keepNext w:val="0"/>
              <w:keepLines w:val="0"/>
              <w:pageBreakBefore w:val="0"/>
              <w:widowControl/>
              <w:suppressLineNumbers w:val="0"/>
              <w:kinsoku/>
              <w:wordWrap/>
              <w:overflowPunct/>
              <w:topLinePunct w:val="0"/>
              <w:autoSpaceDE/>
              <w:autoSpaceDN/>
              <w:bidi w:val="0"/>
              <w:adjustRightInd/>
              <w:snapToGrid/>
              <w:spacing w:line="260" w:lineRule="exact"/>
              <w:jc w:val="both"/>
              <w:textAlignment w:val="center"/>
              <w:rPr>
                <w:rFonts w:hint="eastAsia" w:ascii="宋体" w:hAnsi="宋体" w:eastAsia="宋体" w:cs="宋体"/>
                <w:i w:val="0"/>
                <w:color w:val="000000"/>
                <w:kern w:val="0"/>
                <w:sz w:val="18"/>
                <w:szCs w:val="18"/>
                <w:u w:val="none"/>
                <w:shd w:val="clear" w:color="auto" w:fill="FFD965"/>
                <w:lang w:val="en-US" w:eastAsia="zh-CN" w:bidi="ar"/>
              </w:rPr>
            </w:pPr>
            <w:r>
              <w:rPr>
                <w:rFonts w:hint="eastAsia" w:ascii="宋体" w:hAnsi="宋体" w:eastAsia="宋体" w:cs="宋体"/>
                <w:i w:val="0"/>
                <w:color w:val="000000"/>
                <w:kern w:val="0"/>
                <w:sz w:val="18"/>
                <w:szCs w:val="18"/>
                <w:u w:val="none"/>
                <w:shd w:val="clear" w:color="auto" w:fill="auto"/>
                <w:lang w:val="en-US" w:eastAsia="zh-CN" w:bidi="ar"/>
              </w:rPr>
              <w:t>对水利领域建设单位将建设工程发包给不具有相应资质等级的勘察、设计、监理、施工单位，或者将工程肢解发包等行为的行政处罚</w:t>
            </w:r>
          </w:p>
        </w:tc>
        <w:tc>
          <w:tcPr>
            <w:tcW w:w="2168" w:type="pct"/>
            <w:vMerge w:val="restart"/>
            <w:noWrap w:val="0"/>
            <w:tcMar>
              <w:top w:w="0" w:type="dxa"/>
              <w:left w:w="0" w:type="dxa"/>
              <w:bottom w:w="0" w:type="dxa"/>
              <w:right w:w="0" w:type="dxa"/>
            </w:tcMar>
            <w:vAlign w:val="center"/>
          </w:tcPr>
          <w:p w14:paraId="11CDD0DB">
            <w:pPr>
              <w:keepNext w:val="0"/>
              <w:keepLines w:val="0"/>
              <w:pageBreakBefore w:val="0"/>
              <w:widowControl/>
              <w:suppressLineNumbers w:val="0"/>
              <w:kinsoku/>
              <w:wordWrap/>
              <w:overflowPunct/>
              <w:topLinePunct w:val="0"/>
              <w:autoSpaceDE/>
              <w:autoSpaceDN/>
              <w:bidi w:val="0"/>
              <w:adjustRightInd/>
              <w:snapToGrid/>
              <w:spacing w:line="260" w:lineRule="exact"/>
              <w:jc w:val="both"/>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《中华人民共和国建筑法》第六十五条 发包单位将工程发包给不具有相应资质条件的承包单位的，或者违反本法规定将建筑工程肢解发包的，责令改正，处以罚款。</w:t>
            </w:r>
          </w:p>
          <w:p w14:paraId="0FB3C13F">
            <w:pPr>
              <w:keepNext w:val="0"/>
              <w:keepLines w:val="0"/>
              <w:pageBreakBefore w:val="0"/>
              <w:widowControl/>
              <w:suppressLineNumbers w:val="0"/>
              <w:kinsoku/>
              <w:wordWrap/>
              <w:overflowPunct/>
              <w:topLinePunct w:val="0"/>
              <w:autoSpaceDE/>
              <w:autoSpaceDN/>
              <w:bidi w:val="0"/>
              <w:adjustRightInd/>
              <w:snapToGrid/>
              <w:spacing w:line="260" w:lineRule="exact"/>
              <w:jc w:val="both"/>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《建设工程质量管理条例》第五十四条 违反本条例规定，建设单位将建设工程发包给不具有相应资质等级的勘察、设计、施工单位或者委托给不具有相应资质等级的工程监理单位的，责令改正，处50万元以上100万元以下的罚款。</w:t>
            </w:r>
          </w:p>
          <w:p w14:paraId="6D6133B9">
            <w:pPr>
              <w:keepNext w:val="0"/>
              <w:keepLines w:val="0"/>
              <w:pageBreakBefore w:val="0"/>
              <w:widowControl/>
              <w:suppressLineNumbers w:val="0"/>
              <w:kinsoku/>
              <w:wordWrap/>
              <w:overflowPunct/>
              <w:topLinePunct w:val="0"/>
              <w:autoSpaceDE/>
              <w:autoSpaceDN/>
              <w:bidi w:val="0"/>
              <w:adjustRightInd/>
              <w:snapToGrid/>
              <w:spacing w:line="260" w:lineRule="exact"/>
              <w:jc w:val="both"/>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第五十五条 违反本条例规定，建设单位将建设工程肢解发包的，责令改正，处工程合同价款0.5%以上1%以下的罚款；对全部或者部分使用国有资金的项目，并可以暂停项目执行或者暂停资金拨付。</w:t>
            </w:r>
          </w:p>
          <w:p w14:paraId="1CEB743F">
            <w:pPr>
              <w:keepNext w:val="0"/>
              <w:keepLines w:val="0"/>
              <w:pageBreakBefore w:val="0"/>
              <w:widowControl/>
              <w:suppressLineNumbers w:val="0"/>
              <w:kinsoku/>
              <w:wordWrap/>
              <w:overflowPunct/>
              <w:topLinePunct w:val="0"/>
              <w:autoSpaceDE/>
              <w:autoSpaceDN/>
              <w:bidi w:val="0"/>
              <w:adjustRightInd/>
              <w:snapToGrid/>
              <w:spacing w:line="260" w:lineRule="exact"/>
              <w:jc w:val="both"/>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第七十三条 依照本条例规定，给予单位罚款处罚的，对单位直接负责的主管人员和其他直接责任人员处单位罚款数额百分之五以上百分之十以下的罚款。</w:t>
            </w:r>
          </w:p>
          <w:p w14:paraId="4981FE83">
            <w:pPr>
              <w:keepNext w:val="0"/>
              <w:keepLines w:val="0"/>
              <w:pageBreakBefore w:val="0"/>
              <w:widowControl/>
              <w:suppressLineNumbers w:val="0"/>
              <w:kinsoku/>
              <w:wordWrap/>
              <w:overflowPunct/>
              <w:topLinePunct w:val="0"/>
              <w:autoSpaceDE/>
              <w:autoSpaceDN/>
              <w:bidi w:val="0"/>
              <w:adjustRightInd/>
              <w:snapToGrid/>
              <w:spacing w:line="260" w:lineRule="exact"/>
              <w:jc w:val="both"/>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《建设工程勘察设计管理条例》第三十八条 违反本条例规定，发包方将建设工程勘察、设计业务发包给不具有相应资质等级的建设工程勘察、设计单位的，责令改正，处50万元以上100万元以下的罚款。</w:t>
            </w:r>
          </w:p>
          <w:p w14:paraId="45C0B891">
            <w:pPr>
              <w:keepNext w:val="0"/>
              <w:keepLines w:val="0"/>
              <w:pageBreakBefore w:val="0"/>
              <w:widowControl/>
              <w:suppressLineNumbers w:val="0"/>
              <w:kinsoku/>
              <w:wordWrap/>
              <w:overflowPunct/>
              <w:topLinePunct w:val="0"/>
              <w:autoSpaceDE/>
              <w:autoSpaceDN/>
              <w:bidi w:val="0"/>
              <w:adjustRightInd/>
              <w:snapToGrid/>
              <w:spacing w:line="260" w:lineRule="exact"/>
              <w:jc w:val="both"/>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《水利工程质量管理规定》第五十九条 违反本规定，项目法人将工程发包给不具有相应资质等级的勘察、设计、施工单位或者委托给不具有相应资质等级的监理单位的，依照《建设工程质量管理条例》第五十四条规定，由水行政主管部门或者流域管理机构依据职权责令改正，处50万元以上100万元以下的罚款。</w:t>
            </w:r>
          </w:p>
          <w:p w14:paraId="40A0C689">
            <w:pPr>
              <w:keepNext w:val="0"/>
              <w:keepLines w:val="0"/>
              <w:pageBreakBefore w:val="0"/>
              <w:widowControl/>
              <w:suppressLineNumbers w:val="0"/>
              <w:kinsoku/>
              <w:wordWrap/>
              <w:overflowPunct/>
              <w:topLinePunct w:val="0"/>
              <w:autoSpaceDE/>
              <w:autoSpaceDN/>
              <w:bidi w:val="0"/>
              <w:adjustRightInd/>
              <w:snapToGrid/>
              <w:spacing w:line="260" w:lineRule="exact"/>
              <w:jc w:val="both"/>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第七十三条第二款 依照《建设工程质量管理条例》给予单位罚款处罚的，对单位直接负责的主管人员和其他直接责任人员处单位罚款数额5%以上10%以下的罚款。</w:t>
            </w:r>
          </w:p>
          <w:p w14:paraId="43C06CAE">
            <w:pPr>
              <w:keepNext w:val="0"/>
              <w:keepLines w:val="0"/>
              <w:pageBreakBefore w:val="0"/>
              <w:widowControl/>
              <w:suppressLineNumbers w:val="0"/>
              <w:kinsoku/>
              <w:wordWrap/>
              <w:overflowPunct/>
              <w:topLinePunct w:val="0"/>
              <w:autoSpaceDE/>
              <w:autoSpaceDN/>
              <w:bidi w:val="0"/>
              <w:adjustRightInd/>
              <w:snapToGrid/>
              <w:spacing w:line="260" w:lineRule="exact"/>
              <w:jc w:val="both"/>
              <w:textAlignment w:val="center"/>
              <w:rPr>
                <w:rFonts w:hint="eastAsia" w:ascii="宋体" w:hAnsi="宋体" w:eastAsia="宋体" w:cs="宋体"/>
                <w:i w:val="0"/>
                <w:color w:val="000000"/>
                <w:kern w:val="2"/>
                <w:sz w:val="18"/>
                <w:szCs w:val="18"/>
                <w:u w:val="none"/>
                <w:lang w:val="en-US" w:eastAsia="zh-CN" w:bidi="ar-SA"/>
              </w:rPr>
            </w:pPr>
            <w:r>
              <w:rPr>
                <w:rFonts w:hint="eastAsia" w:ascii="宋体" w:hAnsi="宋体" w:eastAsia="宋体" w:cs="宋体"/>
                <w:i w:val="0"/>
                <w:color w:val="000000"/>
                <w:kern w:val="0"/>
                <w:sz w:val="18"/>
                <w:szCs w:val="18"/>
                <w:u w:val="none"/>
                <w:lang w:val="en-US" w:eastAsia="zh-CN" w:bidi="ar"/>
              </w:rPr>
              <w:t>《水利工程建设监理规定》第二十五条 项目法人将水利工程建设监理业务委托给不具有相应资质的监理单位，或者必须实行建设监理而未实行的，依照《建设工程质量管理条例》第五十四条、第五十六条处罚。</w:t>
            </w:r>
          </w:p>
        </w:tc>
        <w:tc>
          <w:tcPr>
            <w:tcW w:w="491" w:type="pct"/>
            <w:vMerge w:val="restart"/>
            <w:noWrap w:val="0"/>
            <w:tcMar>
              <w:top w:w="0" w:type="dxa"/>
              <w:left w:w="0" w:type="dxa"/>
              <w:bottom w:w="0" w:type="dxa"/>
              <w:right w:w="0" w:type="dxa"/>
            </w:tcMar>
            <w:vAlign w:val="center"/>
          </w:tcPr>
          <w:p w14:paraId="01152A4B">
            <w:pPr>
              <w:keepNext w:val="0"/>
              <w:keepLines w:val="0"/>
              <w:pageBreakBefore w:val="0"/>
              <w:widowControl/>
              <w:suppressLineNumbers w:val="0"/>
              <w:kinsoku/>
              <w:wordWrap/>
              <w:overflowPunct/>
              <w:topLinePunct w:val="0"/>
              <w:autoSpaceDE/>
              <w:autoSpaceDN/>
              <w:bidi w:val="0"/>
              <w:adjustRightInd/>
              <w:snapToGrid/>
              <w:spacing w:line="260" w:lineRule="exact"/>
              <w:jc w:val="both"/>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shd w:val="clear" w:color="auto" w:fill="auto"/>
                <w:lang w:val="en-US" w:eastAsia="zh-CN" w:bidi="ar"/>
              </w:rPr>
              <w:t>水利领域建设单位将建设工程发包给不具有相应资质等级的勘察、设计、监理、施工单位的</w:t>
            </w:r>
          </w:p>
        </w:tc>
        <w:tc>
          <w:tcPr>
            <w:tcW w:w="174" w:type="pct"/>
            <w:noWrap w:val="0"/>
            <w:tcMar>
              <w:top w:w="0" w:type="dxa"/>
              <w:left w:w="0" w:type="dxa"/>
              <w:bottom w:w="0" w:type="dxa"/>
              <w:right w:w="0" w:type="dxa"/>
            </w:tcMar>
            <w:vAlign w:val="center"/>
          </w:tcPr>
          <w:p w14:paraId="5BF0660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r>
              <w:rPr>
                <w:rFonts w:hint="eastAsia" w:ascii="宋体" w:hAnsi="宋体" w:eastAsia="宋体" w:cs="宋体"/>
                <w:sz w:val="18"/>
                <w:szCs w:val="18"/>
                <w:vertAlign w:val="baseline"/>
                <w:lang w:val="en-US" w:eastAsia="zh-CN"/>
              </w:rPr>
              <w:t>轻微</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6C73312D">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7B767836">
            <w:pPr>
              <w:spacing w:line="260" w:lineRule="exact"/>
              <w:rPr>
                <w:rFonts w:hint="eastAsia" w:ascii="宋体" w:hAnsi="宋体" w:eastAsia="宋体" w:cs="宋体"/>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070B6836">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1B5BAFD7">
            <w:pPr>
              <w:spacing w:line="260" w:lineRule="exact"/>
              <w:rPr>
                <w:rFonts w:hint="eastAsia" w:ascii="宋体" w:hAnsi="宋体" w:eastAsia="宋体" w:cs="宋体"/>
                <w:sz w:val="18"/>
                <w:szCs w:val="18"/>
                <w:vertAlign w:val="baseline"/>
              </w:rPr>
            </w:pPr>
          </w:p>
        </w:tc>
        <w:tc>
          <w:tcPr>
            <w:tcW w:w="158" w:type="pct"/>
            <w:vMerge w:val="restart"/>
            <w:noWrap w:val="0"/>
            <w:tcMar>
              <w:top w:w="0" w:type="dxa"/>
              <w:left w:w="0" w:type="dxa"/>
              <w:bottom w:w="0" w:type="dxa"/>
              <w:right w:w="0" w:type="dxa"/>
            </w:tcMar>
            <w:vAlign w:val="center"/>
          </w:tcPr>
          <w:p w14:paraId="14A20A85">
            <w:pPr>
              <w:pStyle w:val="2"/>
              <w:keepNext w:val="0"/>
              <w:keepLines w:val="0"/>
              <w:pageBreakBefore w:val="0"/>
              <w:kinsoku/>
              <w:wordWrap/>
              <w:overflowPunct/>
              <w:topLinePunct w:val="0"/>
              <w:autoSpaceDE/>
              <w:autoSpaceDN/>
              <w:bidi w:val="0"/>
              <w:adjustRightInd/>
              <w:spacing w:line="260" w:lineRule="exact"/>
              <w:jc w:val="center"/>
              <w:rPr>
                <w:rFonts w:hint="eastAsia" w:ascii="宋体" w:hAnsi="宋体" w:eastAsia="宋体" w:cs="宋体"/>
                <w:sz w:val="18"/>
                <w:szCs w:val="18"/>
                <w:vertAlign w:val="baseline"/>
                <w:lang w:val="en-US" w:eastAsia="zh-CN"/>
              </w:rPr>
            </w:pPr>
          </w:p>
        </w:tc>
      </w:tr>
      <w:tr w14:paraId="7F42D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3C4B391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rPr>
            </w:pPr>
          </w:p>
        </w:tc>
        <w:tc>
          <w:tcPr>
            <w:tcW w:w="415" w:type="pct"/>
            <w:vMerge w:val="continue"/>
            <w:noWrap w:val="0"/>
            <w:tcMar>
              <w:top w:w="0" w:type="dxa"/>
              <w:left w:w="0" w:type="dxa"/>
              <w:bottom w:w="0" w:type="dxa"/>
              <w:right w:w="0" w:type="dxa"/>
            </w:tcMar>
            <w:vAlign w:val="center"/>
          </w:tcPr>
          <w:p w14:paraId="03BD46D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rPr>
            </w:pPr>
          </w:p>
        </w:tc>
        <w:tc>
          <w:tcPr>
            <w:tcW w:w="2168" w:type="pct"/>
            <w:vMerge w:val="continue"/>
            <w:noWrap w:val="0"/>
            <w:tcMar>
              <w:top w:w="0" w:type="dxa"/>
              <w:left w:w="0" w:type="dxa"/>
              <w:bottom w:w="0" w:type="dxa"/>
              <w:right w:w="0" w:type="dxa"/>
            </w:tcMar>
            <w:vAlign w:val="center"/>
          </w:tcPr>
          <w:p w14:paraId="60C6D3E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rPr>
            </w:pPr>
          </w:p>
        </w:tc>
        <w:tc>
          <w:tcPr>
            <w:tcW w:w="491" w:type="pct"/>
            <w:vMerge w:val="continue"/>
            <w:noWrap w:val="0"/>
            <w:tcMar>
              <w:top w:w="0" w:type="dxa"/>
              <w:left w:w="0" w:type="dxa"/>
              <w:bottom w:w="0" w:type="dxa"/>
              <w:right w:w="0" w:type="dxa"/>
            </w:tcMar>
            <w:vAlign w:val="center"/>
          </w:tcPr>
          <w:p w14:paraId="263CCA5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rPr>
            </w:pPr>
          </w:p>
        </w:tc>
        <w:tc>
          <w:tcPr>
            <w:tcW w:w="174" w:type="pct"/>
            <w:noWrap w:val="0"/>
            <w:tcMar>
              <w:top w:w="0" w:type="dxa"/>
              <w:left w:w="0" w:type="dxa"/>
              <w:bottom w:w="0" w:type="dxa"/>
              <w:right w:w="0" w:type="dxa"/>
            </w:tcMar>
            <w:vAlign w:val="center"/>
          </w:tcPr>
          <w:p w14:paraId="3FA1FBF9">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r>
              <w:rPr>
                <w:rFonts w:hint="eastAsia" w:ascii="宋体" w:hAnsi="宋体" w:eastAsia="宋体" w:cs="宋体"/>
                <w:sz w:val="18"/>
                <w:szCs w:val="18"/>
                <w:vertAlign w:val="baseline"/>
                <w:lang w:val="en-US" w:eastAsia="zh-CN"/>
              </w:rPr>
              <w:t>较轻</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183D3727">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1DBB66D2">
            <w:pPr>
              <w:spacing w:line="260" w:lineRule="exact"/>
              <w:rPr>
                <w:rFonts w:hint="eastAsia" w:ascii="宋体" w:hAnsi="宋体" w:eastAsia="宋体" w:cs="宋体"/>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6F21157E">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1BC58B20">
            <w:pPr>
              <w:spacing w:line="260" w:lineRule="exact"/>
              <w:rPr>
                <w:rFonts w:hint="eastAsia" w:ascii="宋体" w:hAnsi="宋体" w:eastAsia="宋体" w:cs="宋体"/>
                <w:sz w:val="18"/>
                <w:szCs w:val="18"/>
                <w:vertAlign w:val="baseline"/>
              </w:rPr>
            </w:pPr>
          </w:p>
        </w:tc>
        <w:tc>
          <w:tcPr>
            <w:tcW w:w="158" w:type="pct"/>
            <w:vMerge w:val="continue"/>
            <w:noWrap w:val="0"/>
            <w:tcMar>
              <w:top w:w="0" w:type="dxa"/>
              <w:left w:w="0" w:type="dxa"/>
              <w:bottom w:w="0" w:type="dxa"/>
              <w:right w:w="0" w:type="dxa"/>
            </w:tcMar>
            <w:vAlign w:val="center"/>
          </w:tcPr>
          <w:p w14:paraId="1E49068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rPr>
            </w:pPr>
          </w:p>
        </w:tc>
      </w:tr>
      <w:tr w14:paraId="0B5449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313" w:hRule="atLeast"/>
          <w:jc w:val="center"/>
        </w:trPr>
        <w:tc>
          <w:tcPr>
            <w:tcW w:w="156" w:type="pct"/>
            <w:vMerge w:val="continue"/>
            <w:noWrap w:val="0"/>
            <w:tcMar>
              <w:top w:w="0" w:type="dxa"/>
              <w:left w:w="0" w:type="dxa"/>
              <w:bottom w:w="0" w:type="dxa"/>
              <w:right w:w="0" w:type="dxa"/>
            </w:tcMar>
            <w:vAlign w:val="center"/>
          </w:tcPr>
          <w:p w14:paraId="1CCD611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rPr>
            </w:pPr>
          </w:p>
        </w:tc>
        <w:tc>
          <w:tcPr>
            <w:tcW w:w="415" w:type="pct"/>
            <w:vMerge w:val="continue"/>
            <w:noWrap w:val="0"/>
            <w:tcMar>
              <w:top w:w="0" w:type="dxa"/>
              <w:left w:w="0" w:type="dxa"/>
              <w:bottom w:w="0" w:type="dxa"/>
              <w:right w:w="0" w:type="dxa"/>
            </w:tcMar>
            <w:vAlign w:val="center"/>
          </w:tcPr>
          <w:p w14:paraId="2C03D9C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rPr>
            </w:pPr>
          </w:p>
        </w:tc>
        <w:tc>
          <w:tcPr>
            <w:tcW w:w="2168" w:type="pct"/>
            <w:vMerge w:val="continue"/>
            <w:noWrap w:val="0"/>
            <w:tcMar>
              <w:top w:w="0" w:type="dxa"/>
              <w:left w:w="0" w:type="dxa"/>
              <w:bottom w:w="0" w:type="dxa"/>
              <w:right w:w="0" w:type="dxa"/>
            </w:tcMar>
            <w:vAlign w:val="center"/>
          </w:tcPr>
          <w:p w14:paraId="68EDE3F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rPr>
            </w:pPr>
          </w:p>
        </w:tc>
        <w:tc>
          <w:tcPr>
            <w:tcW w:w="491" w:type="pct"/>
            <w:vMerge w:val="continue"/>
            <w:noWrap w:val="0"/>
            <w:tcMar>
              <w:top w:w="0" w:type="dxa"/>
              <w:left w:w="0" w:type="dxa"/>
              <w:bottom w:w="0" w:type="dxa"/>
              <w:right w:w="0" w:type="dxa"/>
            </w:tcMar>
            <w:vAlign w:val="center"/>
          </w:tcPr>
          <w:p w14:paraId="6CF3E99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rPr>
            </w:pPr>
          </w:p>
        </w:tc>
        <w:tc>
          <w:tcPr>
            <w:tcW w:w="174" w:type="pct"/>
            <w:noWrap w:val="0"/>
            <w:tcMar>
              <w:top w:w="0" w:type="dxa"/>
              <w:left w:w="0" w:type="dxa"/>
              <w:bottom w:w="0" w:type="dxa"/>
              <w:right w:w="0" w:type="dxa"/>
            </w:tcMar>
            <w:vAlign w:val="center"/>
          </w:tcPr>
          <w:p w14:paraId="5BF4BA80">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r>
              <w:rPr>
                <w:rFonts w:hint="eastAsia" w:ascii="宋体" w:hAnsi="宋体" w:eastAsia="宋体" w:cs="宋体"/>
                <w:sz w:val="18"/>
                <w:szCs w:val="18"/>
                <w:vertAlign w:val="baseline"/>
                <w:lang w:val="en-US" w:eastAsia="zh-CN"/>
              </w:rPr>
              <w:t>一般</w:t>
            </w:r>
          </w:p>
        </w:tc>
        <w:tc>
          <w:tcPr>
            <w:tcW w:w="561" w:type="pct"/>
            <w:noWrap w:val="0"/>
            <w:tcMar>
              <w:top w:w="0" w:type="dxa"/>
              <w:left w:w="0" w:type="dxa"/>
              <w:bottom w:w="0" w:type="dxa"/>
              <w:right w:w="0" w:type="dxa"/>
            </w:tcMar>
            <w:vAlign w:val="center"/>
          </w:tcPr>
          <w:p w14:paraId="4508907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rPr>
              <w:t>承包或受委托单位低于规定资质等级的</w:t>
            </w:r>
          </w:p>
        </w:tc>
        <w:tc>
          <w:tcPr>
            <w:tcW w:w="873" w:type="pct"/>
            <w:noWrap w:val="0"/>
            <w:tcMar>
              <w:top w:w="0" w:type="dxa"/>
              <w:left w:w="0" w:type="dxa"/>
              <w:bottom w:w="0" w:type="dxa"/>
              <w:right w:w="0" w:type="dxa"/>
            </w:tcMar>
            <w:vAlign w:val="center"/>
          </w:tcPr>
          <w:p w14:paraId="52A20B9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rPr>
              <w:t>处50万元以上65万元以下的罚款，对单位直接负责的主管人员和其他直接责任人员处单位罚款数额</w:t>
            </w:r>
            <w:r>
              <w:rPr>
                <w:rFonts w:hint="eastAsia" w:ascii="宋体" w:hAnsi="宋体" w:eastAsia="宋体" w:cs="宋体"/>
                <w:sz w:val="18"/>
                <w:szCs w:val="18"/>
                <w:vertAlign w:val="baseline"/>
                <w:lang w:val="en-US" w:eastAsia="zh-CN"/>
              </w:rPr>
              <w:t>5%</w:t>
            </w:r>
            <w:r>
              <w:rPr>
                <w:rFonts w:hint="eastAsia" w:ascii="宋体" w:hAnsi="宋体" w:eastAsia="宋体" w:cs="宋体"/>
                <w:sz w:val="18"/>
                <w:szCs w:val="18"/>
                <w:vertAlign w:val="baseline"/>
              </w:rPr>
              <w:t>以上</w:t>
            </w:r>
            <w:r>
              <w:rPr>
                <w:rFonts w:hint="eastAsia" w:ascii="宋体" w:hAnsi="宋体" w:eastAsia="宋体" w:cs="宋体"/>
                <w:sz w:val="18"/>
                <w:szCs w:val="18"/>
                <w:vertAlign w:val="baseline"/>
                <w:lang w:val="en-US" w:eastAsia="zh-CN"/>
              </w:rPr>
              <w:t>6.5%</w:t>
            </w:r>
            <w:r>
              <w:rPr>
                <w:rFonts w:hint="eastAsia" w:ascii="宋体" w:hAnsi="宋体" w:eastAsia="宋体" w:cs="宋体"/>
                <w:sz w:val="18"/>
                <w:szCs w:val="18"/>
                <w:vertAlign w:val="baseline"/>
              </w:rPr>
              <w:t>以下的罚款</w:t>
            </w:r>
          </w:p>
        </w:tc>
        <w:tc>
          <w:tcPr>
            <w:tcW w:w="158" w:type="pct"/>
            <w:vMerge w:val="continue"/>
            <w:noWrap w:val="0"/>
            <w:tcMar>
              <w:top w:w="0" w:type="dxa"/>
              <w:left w:w="0" w:type="dxa"/>
              <w:bottom w:w="0" w:type="dxa"/>
              <w:right w:w="0" w:type="dxa"/>
            </w:tcMar>
            <w:vAlign w:val="center"/>
          </w:tcPr>
          <w:p w14:paraId="594E40D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rPr>
            </w:pPr>
          </w:p>
        </w:tc>
      </w:tr>
      <w:tr w14:paraId="581F82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313" w:hRule="atLeast"/>
          <w:jc w:val="center"/>
        </w:trPr>
        <w:tc>
          <w:tcPr>
            <w:tcW w:w="156" w:type="pct"/>
            <w:vMerge w:val="continue"/>
            <w:noWrap w:val="0"/>
            <w:tcMar>
              <w:top w:w="0" w:type="dxa"/>
              <w:left w:w="0" w:type="dxa"/>
              <w:bottom w:w="0" w:type="dxa"/>
              <w:right w:w="0" w:type="dxa"/>
            </w:tcMar>
            <w:vAlign w:val="center"/>
          </w:tcPr>
          <w:p w14:paraId="07693EAB">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rPr>
            </w:pPr>
          </w:p>
        </w:tc>
        <w:tc>
          <w:tcPr>
            <w:tcW w:w="415" w:type="pct"/>
            <w:vMerge w:val="continue"/>
            <w:noWrap w:val="0"/>
            <w:tcMar>
              <w:top w:w="0" w:type="dxa"/>
              <w:left w:w="0" w:type="dxa"/>
              <w:bottom w:w="0" w:type="dxa"/>
              <w:right w:w="0" w:type="dxa"/>
            </w:tcMar>
            <w:vAlign w:val="center"/>
          </w:tcPr>
          <w:p w14:paraId="6645380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rPr>
            </w:pPr>
          </w:p>
        </w:tc>
        <w:tc>
          <w:tcPr>
            <w:tcW w:w="2168" w:type="pct"/>
            <w:vMerge w:val="continue"/>
            <w:noWrap w:val="0"/>
            <w:tcMar>
              <w:top w:w="0" w:type="dxa"/>
              <w:left w:w="0" w:type="dxa"/>
              <w:bottom w:w="0" w:type="dxa"/>
              <w:right w:w="0" w:type="dxa"/>
            </w:tcMar>
            <w:vAlign w:val="center"/>
          </w:tcPr>
          <w:p w14:paraId="3B8967C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rPr>
            </w:pPr>
          </w:p>
        </w:tc>
        <w:tc>
          <w:tcPr>
            <w:tcW w:w="491" w:type="pct"/>
            <w:vMerge w:val="continue"/>
            <w:noWrap w:val="0"/>
            <w:tcMar>
              <w:top w:w="0" w:type="dxa"/>
              <w:left w:w="0" w:type="dxa"/>
              <w:bottom w:w="0" w:type="dxa"/>
              <w:right w:w="0" w:type="dxa"/>
            </w:tcMar>
            <w:vAlign w:val="center"/>
          </w:tcPr>
          <w:p w14:paraId="2FE9206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rPr>
            </w:pPr>
          </w:p>
        </w:tc>
        <w:tc>
          <w:tcPr>
            <w:tcW w:w="174" w:type="pct"/>
            <w:noWrap w:val="0"/>
            <w:tcMar>
              <w:top w:w="0" w:type="dxa"/>
              <w:left w:w="0" w:type="dxa"/>
              <w:bottom w:w="0" w:type="dxa"/>
              <w:right w:w="0" w:type="dxa"/>
            </w:tcMar>
            <w:vAlign w:val="center"/>
          </w:tcPr>
          <w:p w14:paraId="195E625D">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r>
              <w:rPr>
                <w:rFonts w:hint="eastAsia" w:ascii="宋体" w:hAnsi="宋体" w:eastAsia="宋体" w:cs="宋体"/>
                <w:sz w:val="18"/>
                <w:szCs w:val="18"/>
                <w:vertAlign w:val="baseline"/>
                <w:lang w:val="en-US" w:eastAsia="zh-CN"/>
              </w:rPr>
              <w:t>较重</w:t>
            </w:r>
          </w:p>
        </w:tc>
        <w:tc>
          <w:tcPr>
            <w:tcW w:w="561" w:type="pct"/>
            <w:noWrap w:val="0"/>
            <w:tcMar>
              <w:top w:w="0" w:type="dxa"/>
              <w:left w:w="0" w:type="dxa"/>
              <w:bottom w:w="0" w:type="dxa"/>
              <w:right w:w="0" w:type="dxa"/>
            </w:tcMar>
            <w:vAlign w:val="center"/>
          </w:tcPr>
          <w:p w14:paraId="065BB5F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rPr>
            </w:pPr>
            <w:r>
              <w:rPr>
                <w:rFonts w:hint="eastAsia" w:ascii="宋体" w:hAnsi="宋体" w:eastAsia="宋体" w:cs="宋体"/>
                <w:sz w:val="18"/>
                <w:szCs w:val="18"/>
                <w:vertAlign w:val="baseline"/>
              </w:rPr>
              <w:t>承包或受委托单位无资质的</w:t>
            </w:r>
          </w:p>
        </w:tc>
        <w:tc>
          <w:tcPr>
            <w:tcW w:w="873" w:type="pct"/>
            <w:noWrap w:val="0"/>
            <w:tcMar>
              <w:top w:w="0" w:type="dxa"/>
              <w:left w:w="0" w:type="dxa"/>
              <w:bottom w:w="0" w:type="dxa"/>
              <w:right w:w="0" w:type="dxa"/>
            </w:tcMar>
            <w:vAlign w:val="center"/>
          </w:tcPr>
          <w:p w14:paraId="0EE7341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rPr>
            </w:pPr>
            <w:r>
              <w:rPr>
                <w:rFonts w:hint="eastAsia" w:ascii="宋体" w:hAnsi="宋体" w:eastAsia="宋体" w:cs="宋体"/>
                <w:sz w:val="18"/>
                <w:szCs w:val="18"/>
                <w:vertAlign w:val="baseline"/>
              </w:rPr>
              <w:t>处65万元以上85万元以下的罚款，对单位直接负责的主管人员和其他直接责任人员处单位罚款数额</w:t>
            </w:r>
            <w:r>
              <w:rPr>
                <w:rFonts w:hint="eastAsia" w:ascii="宋体" w:hAnsi="宋体" w:eastAsia="宋体" w:cs="宋体"/>
                <w:sz w:val="18"/>
                <w:szCs w:val="18"/>
                <w:vertAlign w:val="baseline"/>
                <w:lang w:val="en-US" w:eastAsia="zh-CN"/>
              </w:rPr>
              <w:t>6.5%</w:t>
            </w:r>
            <w:r>
              <w:rPr>
                <w:rFonts w:hint="eastAsia" w:ascii="宋体" w:hAnsi="宋体" w:eastAsia="宋体" w:cs="宋体"/>
                <w:sz w:val="18"/>
                <w:szCs w:val="18"/>
                <w:vertAlign w:val="baseline"/>
              </w:rPr>
              <w:t>以上</w:t>
            </w:r>
            <w:r>
              <w:rPr>
                <w:rFonts w:hint="eastAsia" w:ascii="宋体" w:hAnsi="宋体" w:eastAsia="宋体" w:cs="宋体"/>
                <w:sz w:val="18"/>
                <w:szCs w:val="18"/>
                <w:vertAlign w:val="baseline"/>
                <w:lang w:val="en-US" w:eastAsia="zh-CN"/>
              </w:rPr>
              <w:t>8.5%</w:t>
            </w:r>
            <w:r>
              <w:rPr>
                <w:rFonts w:hint="eastAsia" w:ascii="宋体" w:hAnsi="宋体" w:eastAsia="宋体" w:cs="宋体"/>
                <w:sz w:val="18"/>
                <w:szCs w:val="18"/>
                <w:vertAlign w:val="baseline"/>
              </w:rPr>
              <w:t>以下的罚款</w:t>
            </w:r>
          </w:p>
        </w:tc>
        <w:tc>
          <w:tcPr>
            <w:tcW w:w="158" w:type="pct"/>
            <w:vMerge w:val="continue"/>
            <w:noWrap w:val="0"/>
            <w:tcMar>
              <w:top w:w="0" w:type="dxa"/>
              <w:left w:w="0" w:type="dxa"/>
              <w:bottom w:w="0" w:type="dxa"/>
              <w:right w:w="0" w:type="dxa"/>
            </w:tcMar>
            <w:vAlign w:val="center"/>
          </w:tcPr>
          <w:p w14:paraId="6ADD7975">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rPr>
            </w:pPr>
          </w:p>
        </w:tc>
      </w:tr>
      <w:tr w14:paraId="500AE5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458" w:hRule="atLeast"/>
          <w:jc w:val="center"/>
        </w:trPr>
        <w:tc>
          <w:tcPr>
            <w:tcW w:w="156" w:type="pct"/>
            <w:vMerge w:val="continue"/>
            <w:noWrap w:val="0"/>
            <w:tcMar>
              <w:top w:w="0" w:type="dxa"/>
              <w:left w:w="0" w:type="dxa"/>
              <w:bottom w:w="0" w:type="dxa"/>
              <w:right w:w="0" w:type="dxa"/>
            </w:tcMar>
            <w:vAlign w:val="center"/>
          </w:tcPr>
          <w:p w14:paraId="125735A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rPr>
            </w:pPr>
          </w:p>
        </w:tc>
        <w:tc>
          <w:tcPr>
            <w:tcW w:w="415" w:type="pct"/>
            <w:vMerge w:val="continue"/>
            <w:noWrap w:val="0"/>
            <w:tcMar>
              <w:top w:w="0" w:type="dxa"/>
              <w:left w:w="0" w:type="dxa"/>
              <w:bottom w:w="0" w:type="dxa"/>
              <w:right w:w="0" w:type="dxa"/>
            </w:tcMar>
            <w:vAlign w:val="center"/>
          </w:tcPr>
          <w:p w14:paraId="61D5C69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rPr>
            </w:pPr>
          </w:p>
        </w:tc>
        <w:tc>
          <w:tcPr>
            <w:tcW w:w="2168" w:type="pct"/>
            <w:vMerge w:val="continue"/>
            <w:noWrap w:val="0"/>
            <w:tcMar>
              <w:top w:w="0" w:type="dxa"/>
              <w:left w:w="0" w:type="dxa"/>
              <w:bottom w:w="0" w:type="dxa"/>
              <w:right w:w="0" w:type="dxa"/>
            </w:tcMar>
            <w:vAlign w:val="center"/>
          </w:tcPr>
          <w:p w14:paraId="6C1F05F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rPr>
            </w:pPr>
          </w:p>
        </w:tc>
        <w:tc>
          <w:tcPr>
            <w:tcW w:w="491" w:type="pct"/>
            <w:vMerge w:val="continue"/>
            <w:noWrap w:val="0"/>
            <w:tcMar>
              <w:top w:w="0" w:type="dxa"/>
              <w:left w:w="0" w:type="dxa"/>
              <w:bottom w:w="0" w:type="dxa"/>
              <w:right w:w="0" w:type="dxa"/>
            </w:tcMar>
            <w:vAlign w:val="center"/>
          </w:tcPr>
          <w:p w14:paraId="7260405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rPr>
            </w:pPr>
          </w:p>
        </w:tc>
        <w:tc>
          <w:tcPr>
            <w:tcW w:w="174" w:type="pct"/>
            <w:noWrap w:val="0"/>
            <w:tcMar>
              <w:top w:w="0" w:type="dxa"/>
              <w:left w:w="0" w:type="dxa"/>
              <w:bottom w:w="0" w:type="dxa"/>
              <w:right w:w="0" w:type="dxa"/>
            </w:tcMar>
            <w:vAlign w:val="center"/>
          </w:tcPr>
          <w:p w14:paraId="1BC189C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r>
              <w:rPr>
                <w:rFonts w:hint="eastAsia" w:ascii="宋体" w:hAnsi="宋体" w:eastAsia="宋体" w:cs="宋体"/>
                <w:sz w:val="18"/>
                <w:szCs w:val="18"/>
                <w:vertAlign w:val="baseline"/>
                <w:lang w:val="en-US" w:eastAsia="zh-CN"/>
              </w:rPr>
              <w:t>严重</w:t>
            </w:r>
          </w:p>
        </w:tc>
        <w:tc>
          <w:tcPr>
            <w:tcW w:w="561" w:type="pct"/>
            <w:noWrap w:val="0"/>
            <w:tcMar>
              <w:top w:w="0" w:type="dxa"/>
              <w:left w:w="0" w:type="dxa"/>
              <w:bottom w:w="0" w:type="dxa"/>
              <w:right w:w="0" w:type="dxa"/>
            </w:tcMar>
            <w:vAlign w:val="center"/>
          </w:tcPr>
          <w:p w14:paraId="65C82D3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rPr>
            </w:pPr>
            <w:r>
              <w:rPr>
                <w:rFonts w:hint="eastAsia" w:ascii="宋体" w:hAnsi="宋体" w:eastAsia="宋体" w:cs="宋体"/>
                <w:sz w:val="18"/>
                <w:szCs w:val="18"/>
                <w:vertAlign w:val="baseline"/>
              </w:rPr>
              <w:t>发生质量安全事故的；2年内2次及以上同类型违法的；造成严重社会影响的</w:t>
            </w:r>
          </w:p>
        </w:tc>
        <w:tc>
          <w:tcPr>
            <w:tcW w:w="873" w:type="pct"/>
            <w:noWrap w:val="0"/>
            <w:tcMar>
              <w:top w:w="0" w:type="dxa"/>
              <w:left w:w="0" w:type="dxa"/>
              <w:bottom w:w="0" w:type="dxa"/>
              <w:right w:w="0" w:type="dxa"/>
            </w:tcMar>
            <w:vAlign w:val="center"/>
          </w:tcPr>
          <w:p w14:paraId="63EA141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rPr>
            </w:pPr>
            <w:r>
              <w:rPr>
                <w:rFonts w:hint="eastAsia" w:ascii="宋体" w:hAnsi="宋体" w:eastAsia="宋体" w:cs="宋体"/>
                <w:sz w:val="18"/>
                <w:szCs w:val="18"/>
                <w:vertAlign w:val="baseline"/>
              </w:rPr>
              <w:t>处85万元以上100万元以下的罚款，对单位直接负责的主管人员和其他直接责任人员处单位罚款数额</w:t>
            </w:r>
            <w:r>
              <w:rPr>
                <w:rFonts w:hint="eastAsia" w:ascii="宋体" w:hAnsi="宋体" w:eastAsia="宋体" w:cs="宋体"/>
                <w:sz w:val="18"/>
                <w:szCs w:val="18"/>
                <w:vertAlign w:val="baseline"/>
                <w:lang w:val="en-US" w:eastAsia="zh-CN"/>
              </w:rPr>
              <w:t>8.5%</w:t>
            </w:r>
            <w:r>
              <w:rPr>
                <w:rFonts w:hint="eastAsia" w:ascii="宋体" w:hAnsi="宋体" w:eastAsia="宋体" w:cs="宋体"/>
                <w:sz w:val="18"/>
                <w:szCs w:val="18"/>
                <w:vertAlign w:val="baseline"/>
              </w:rPr>
              <w:t>以上</w:t>
            </w:r>
            <w:r>
              <w:rPr>
                <w:rFonts w:hint="eastAsia" w:ascii="宋体" w:hAnsi="宋体" w:eastAsia="宋体" w:cs="宋体"/>
                <w:sz w:val="18"/>
                <w:szCs w:val="18"/>
                <w:vertAlign w:val="baseline"/>
                <w:lang w:val="en-US" w:eastAsia="zh-CN"/>
              </w:rPr>
              <w:t>10%</w:t>
            </w:r>
            <w:r>
              <w:rPr>
                <w:rFonts w:hint="eastAsia" w:ascii="宋体" w:hAnsi="宋体" w:eastAsia="宋体" w:cs="宋体"/>
                <w:sz w:val="18"/>
                <w:szCs w:val="18"/>
                <w:vertAlign w:val="baseline"/>
              </w:rPr>
              <w:t>以下的罚款</w:t>
            </w:r>
          </w:p>
        </w:tc>
        <w:tc>
          <w:tcPr>
            <w:tcW w:w="158" w:type="pct"/>
            <w:vMerge w:val="continue"/>
            <w:noWrap w:val="0"/>
            <w:tcMar>
              <w:top w:w="0" w:type="dxa"/>
              <w:left w:w="0" w:type="dxa"/>
              <w:bottom w:w="0" w:type="dxa"/>
              <w:right w:w="0" w:type="dxa"/>
            </w:tcMar>
            <w:vAlign w:val="center"/>
          </w:tcPr>
          <w:p w14:paraId="6380275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rPr>
            </w:pPr>
          </w:p>
        </w:tc>
      </w:tr>
      <w:tr w14:paraId="2AD5EF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5FEABD5A">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rPr>
            </w:pPr>
          </w:p>
        </w:tc>
        <w:tc>
          <w:tcPr>
            <w:tcW w:w="415" w:type="pct"/>
            <w:vMerge w:val="continue"/>
            <w:noWrap w:val="0"/>
            <w:tcMar>
              <w:top w:w="0" w:type="dxa"/>
              <w:left w:w="0" w:type="dxa"/>
              <w:bottom w:w="0" w:type="dxa"/>
              <w:right w:w="0" w:type="dxa"/>
            </w:tcMar>
            <w:vAlign w:val="center"/>
          </w:tcPr>
          <w:p w14:paraId="7794E40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rPr>
            </w:pPr>
          </w:p>
        </w:tc>
        <w:tc>
          <w:tcPr>
            <w:tcW w:w="2168" w:type="pct"/>
            <w:vMerge w:val="continue"/>
            <w:noWrap w:val="0"/>
            <w:tcMar>
              <w:top w:w="0" w:type="dxa"/>
              <w:left w:w="0" w:type="dxa"/>
              <w:bottom w:w="0" w:type="dxa"/>
              <w:right w:w="0" w:type="dxa"/>
            </w:tcMar>
            <w:vAlign w:val="center"/>
          </w:tcPr>
          <w:p w14:paraId="298B4D9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rPr>
            </w:pPr>
          </w:p>
        </w:tc>
        <w:tc>
          <w:tcPr>
            <w:tcW w:w="491" w:type="pct"/>
            <w:vMerge w:val="restart"/>
            <w:noWrap w:val="0"/>
            <w:tcMar>
              <w:top w:w="0" w:type="dxa"/>
              <w:left w:w="0" w:type="dxa"/>
              <w:bottom w:w="0" w:type="dxa"/>
              <w:right w:w="0" w:type="dxa"/>
            </w:tcMar>
            <w:vAlign w:val="center"/>
          </w:tcPr>
          <w:p w14:paraId="139C1F77">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rPr>
            </w:pPr>
            <w:r>
              <w:rPr>
                <w:rFonts w:hint="eastAsia" w:ascii="宋体" w:hAnsi="宋体" w:eastAsia="宋体" w:cs="宋体"/>
                <w:i w:val="0"/>
                <w:color w:val="000000"/>
                <w:kern w:val="0"/>
                <w:sz w:val="18"/>
                <w:szCs w:val="18"/>
                <w:u w:val="none"/>
                <w:shd w:val="clear" w:color="auto" w:fill="auto"/>
                <w:lang w:val="en-US" w:eastAsia="zh-CN" w:bidi="ar"/>
              </w:rPr>
              <w:t>水利领域建设单位将工程肢解发包的</w:t>
            </w:r>
          </w:p>
        </w:tc>
        <w:tc>
          <w:tcPr>
            <w:tcW w:w="174" w:type="pct"/>
            <w:noWrap w:val="0"/>
            <w:tcMar>
              <w:top w:w="0" w:type="dxa"/>
              <w:left w:w="0" w:type="dxa"/>
              <w:bottom w:w="0" w:type="dxa"/>
              <w:right w:w="0" w:type="dxa"/>
            </w:tcMar>
            <w:vAlign w:val="center"/>
          </w:tcPr>
          <w:p w14:paraId="2721A89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轻微</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19662D90">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2913303C">
            <w:pPr>
              <w:spacing w:line="260" w:lineRule="exact"/>
              <w:rPr>
                <w:rFonts w:hint="eastAsia" w:ascii="宋体" w:hAnsi="宋体" w:eastAsia="宋体" w:cs="宋体"/>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52A0ADB6">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6B00F3A8">
            <w:pPr>
              <w:spacing w:line="260" w:lineRule="exact"/>
              <w:rPr>
                <w:rFonts w:hint="eastAsia" w:ascii="宋体" w:hAnsi="宋体" w:eastAsia="宋体" w:cs="宋体"/>
                <w:sz w:val="18"/>
                <w:szCs w:val="18"/>
                <w:vertAlign w:val="baseline"/>
              </w:rPr>
            </w:pPr>
          </w:p>
        </w:tc>
        <w:tc>
          <w:tcPr>
            <w:tcW w:w="158" w:type="pct"/>
            <w:vMerge w:val="restart"/>
            <w:noWrap w:val="0"/>
            <w:tcMar>
              <w:top w:w="0" w:type="dxa"/>
              <w:left w:w="0" w:type="dxa"/>
              <w:bottom w:w="0" w:type="dxa"/>
              <w:right w:w="0" w:type="dxa"/>
            </w:tcMar>
            <w:vAlign w:val="center"/>
          </w:tcPr>
          <w:p w14:paraId="3DBFB98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p>
        </w:tc>
      </w:tr>
      <w:tr w14:paraId="0C5808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4633567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rPr>
            </w:pPr>
          </w:p>
        </w:tc>
        <w:tc>
          <w:tcPr>
            <w:tcW w:w="415" w:type="pct"/>
            <w:vMerge w:val="continue"/>
            <w:noWrap w:val="0"/>
            <w:tcMar>
              <w:top w:w="0" w:type="dxa"/>
              <w:left w:w="0" w:type="dxa"/>
              <w:bottom w:w="0" w:type="dxa"/>
              <w:right w:w="0" w:type="dxa"/>
            </w:tcMar>
            <w:vAlign w:val="center"/>
          </w:tcPr>
          <w:p w14:paraId="6DF3433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rPr>
            </w:pPr>
          </w:p>
        </w:tc>
        <w:tc>
          <w:tcPr>
            <w:tcW w:w="2168" w:type="pct"/>
            <w:vMerge w:val="continue"/>
            <w:noWrap w:val="0"/>
            <w:tcMar>
              <w:top w:w="0" w:type="dxa"/>
              <w:left w:w="0" w:type="dxa"/>
              <w:bottom w:w="0" w:type="dxa"/>
              <w:right w:w="0" w:type="dxa"/>
            </w:tcMar>
            <w:vAlign w:val="center"/>
          </w:tcPr>
          <w:p w14:paraId="54958D37">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rPr>
            </w:pPr>
          </w:p>
        </w:tc>
        <w:tc>
          <w:tcPr>
            <w:tcW w:w="491" w:type="pct"/>
            <w:vMerge w:val="continue"/>
            <w:noWrap w:val="0"/>
            <w:tcMar>
              <w:top w:w="0" w:type="dxa"/>
              <w:left w:w="0" w:type="dxa"/>
              <w:bottom w:w="0" w:type="dxa"/>
              <w:right w:w="0" w:type="dxa"/>
            </w:tcMar>
            <w:vAlign w:val="center"/>
          </w:tcPr>
          <w:p w14:paraId="08EBDE2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rPr>
            </w:pPr>
          </w:p>
        </w:tc>
        <w:tc>
          <w:tcPr>
            <w:tcW w:w="174" w:type="pct"/>
            <w:noWrap w:val="0"/>
            <w:tcMar>
              <w:top w:w="0" w:type="dxa"/>
              <w:left w:w="0" w:type="dxa"/>
              <w:bottom w:w="0" w:type="dxa"/>
              <w:right w:w="0" w:type="dxa"/>
            </w:tcMar>
            <w:vAlign w:val="center"/>
          </w:tcPr>
          <w:p w14:paraId="0E13BA3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较轻</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3AE37F11">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7C1CE52A">
            <w:pPr>
              <w:spacing w:line="260" w:lineRule="exact"/>
              <w:rPr>
                <w:rFonts w:hint="eastAsia" w:ascii="宋体" w:hAnsi="宋体" w:eastAsia="宋体" w:cs="宋体"/>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431334AB">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297603DE">
            <w:pPr>
              <w:spacing w:line="260" w:lineRule="exact"/>
              <w:rPr>
                <w:rFonts w:hint="eastAsia" w:ascii="宋体" w:hAnsi="宋体" w:eastAsia="宋体" w:cs="宋体"/>
                <w:sz w:val="18"/>
                <w:szCs w:val="18"/>
                <w:vertAlign w:val="baseline"/>
              </w:rPr>
            </w:pPr>
          </w:p>
        </w:tc>
        <w:tc>
          <w:tcPr>
            <w:tcW w:w="158" w:type="pct"/>
            <w:vMerge w:val="continue"/>
            <w:noWrap w:val="0"/>
            <w:tcMar>
              <w:top w:w="0" w:type="dxa"/>
              <w:left w:w="0" w:type="dxa"/>
              <w:bottom w:w="0" w:type="dxa"/>
              <w:right w:w="0" w:type="dxa"/>
            </w:tcMar>
            <w:vAlign w:val="center"/>
          </w:tcPr>
          <w:p w14:paraId="1E25EFB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rPr>
            </w:pPr>
          </w:p>
        </w:tc>
      </w:tr>
      <w:tr w14:paraId="3AB2E3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472" w:hRule="atLeast"/>
          <w:jc w:val="center"/>
        </w:trPr>
        <w:tc>
          <w:tcPr>
            <w:tcW w:w="156" w:type="pct"/>
            <w:vMerge w:val="continue"/>
            <w:noWrap w:val="0"/>
            <w:tcMar>
              <w:top w:w="0" w:type="dxa"/>
              <w:left w:w="0" w:type="dxa"/>
              <w:bottom w:w="0" w:type="dxa"/>
              <w:right w:w="0" w:type="dxa"/>
            </w:tcMar>
            <w:vAlign w:val="center"/>
          </w:tcPr>
          <w:p w14:paraId="5637C08A">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rPr>
            </w:pPr>
          </w:p>
        </w:tc>
        <w:tc>
          <w:tcPr>
            <w:tcW w:w="415" w:type="pct"/>
            <w:vMerge w:val="continue"/>
            <w:noWrap w:val="0"/>
            <w:tcMar>
              <w:top w:w="0" w:type="dxa"/>
              <w:left w:w="0" w:type="dxa"/>
              <w:bottom w:w="0" w:type="dxa"/>
              <w:right w:w="0" w:type="dxa"/>
            </w:tcMar>
            <w:vAlign w:val="center"/>
          </w:tcPr>
          <w:p w14:paraId="2627AF8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rPr>
            </w:pPr>
          </w:p>
        </w:tc>
        <w:tc>
          <w:tcPr>
            <w:tcW w:w="2168" w:type="pct"/>
            <w:vMerge w:val="continue"/>
            <w:noWrap w:val="0"/>
            <w:tcMar>
              <w:top w:w="0" w:type="dxa"/>
              <w:left w:w="0" w:type="dxa"/>
              <w:bottom w:w="0" w:type="dxa"/>
              <w:right w:w="0" w:type="dxa"/>
            </w:tcMar>
            <w:vAlign w:val="center"/>
          </w:tcPr>
          <w:p w14:paraId="4691366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rPr>
            </w:pPr>
          </w:p>
        </w:tc>
        <w:tc>
          <w:tcPr>
            <w:tcW w:w="491" w:type="pct"/>
            <w:vMerge w:val="continue"/>
            <w:noWrap w:val="0"/>
            <w:tcMar>
              <w:top w:w="0" w:type="dxa"/>
              <w:left w:w="0" w:type="dxa"/>
              <w:bottom w:w="0" w:type="dxa"/>
              <w:right w:w="0" w:type="dxa"/>
            </w:tcMar>
            <w:vAlign w:val="center"/>
          </w:tcPr>
          <w:p w14:paraId="021678B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rPr>
            </w:pPr>
          </w:p>
        </w:tc>
        <w:tc>
          <w:tcPr>
            <w:tcW w:w="174" w:type="pct"/>
            <w:noWrap w:val="0"/>
            <w:tcMar>
              <w:top w:w="0" w:type="dxa"/>
              <w:left w:w="0" w:type="dxa"/>
              <w:bottom w:w="0" w:type="dxa"/>
              <w:right w:w="0" w:type="dxa"/>
            </w:tcMar>
            <w:vAlign w:val="center"/>
          </w:tcPr>
          <w:p w14:paraId="62B73D7C">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一般</w:t>
            </w:r>
          </w:p>
        </w:tc>
        <w:tc>
          <w:tcPr>
            <w:tcW w:w="561" w:type="pct"/>
            <w:noWrap w:val="0"/>
            <w:tcMar>
              <w:top w:w="0" w:type="dxa"/>
              <w:left w:w="0" w:type="dxa"/>
              <w:bottom w:w="0" w:type="dxa"/>
              <w:right w:w="0" w:type="dxa"/>
            </w:tcMar>
            <w:vAlign w:val="center"/>
          </w:tcPr>
          <w:p w14:paraId="4A009E97">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rPr>
              <w:t>将非主体、非关键性工作肢解发包的</w:t>
            </w:r>
          </w:p>
        </w:tc>
        <w:tc>
          <w:tcPr>
            <w:tcW w:w="873" w:type="pct"/>
            <w:noWrap w:val="0"/>
            <w:tcMar>
              <w:top w:w="0" w:type="dxa"/>
              <w:left w:w="0" w:type="dxa"/>
              <w:bottom w:w="0" w:type="dxa"/>
              <w:right w:w="0" w:type="dxa"/>
            </w:tcMar>
            <w:vAlign w:val="center"/>
          </w:tcPr>
          <w:p w14:paraId="2C924D4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rPr>
              <w:t>处工程合同价款0.5%以上0.65%以下的罚款，对单位直接负责的主管人员和其他直接责任人员处单位罚款数额</w:t>
            </w:r>
            <w:r>
              <w:rPr>
                <w:rFonts w:hint="eastAsia" w:ascii="宋体" w:hAnsi="宋体" w:eastAsia="宋体" w:cs="宋体"/>
                <w:sz w:val="18"/>
                <w:szCs w:val="18"/>
                <w:vertAlign w:val="baseline"/>
                <w:lang w:val="en-US" w:eastAsia="zh-CN"/>
              </w:rPr>
              <w:t>5%</w:t>
            </w:r>
            <w:r>
              <w:rPr>
                <w:rFonts w:hint="eastAsia" w:ascii="宋体" w:hAnsi="宋体" w:eastAsia="宋体" w:cs="宋体"/>
                <w:sz w:val="18"/>
                <w:szCs w:val="18"/>
                <w:vertAlign w:val="baseline"/>
              </w:rPr>
              <w:t>以上</w:t>
            </w:r>
            <w:r>
              <w:rPr>
                <w:rFonts w:hint="eastAsia" w:ascii="宋体" w:hAnsi="宋体" w:eastAsia="宋体" w:cs="宋体"/>
                <w:sz w:val="18"/>
                <w:szCs w:val="18"/>
                <w:vertAlign w:val="baseline"/>
                <w:lang w:val="en-US" w:eastAsia="zh-CN"/>
              </w:rPr>
              <w:t>6.5%</w:t>
            </w:r>
            <w:r>
              <w:rPr>
                <w:rFonts w:hint="eastAsia" w:ascii="宋体" w:hAnsi="宋体" w:eastAsia="宋体" w:cs="宋体"/>
                <w:sz w:val="18"/>
                <w:szCs w:val="18"/>
                <w:vertAlign w:val="baseline"/>
              </w:rPr>
              <w:t>以下的罚款</w:t>
            </w:r>
          </w:p>
        </w:tc>
        <w:tc>
          <w:tcPr>
            <w:tcW w:w="158" w:type="pct"/>
            <w:vMerge w:val="continue"/>
            <w:noWrap w:val="0"/>
            <w:tcMar>
              <w:top w:w="0" w:type="dxa"/>
              <w:left w:w="0" w:type="dxa"/>
              <w:bottom w:w="0" w:type="dxa"/>
              <w:right w:w="0" w:type="dxa"/>
            </w:tcMar>
            <w:vAlign w:val="center"/>
          </w:tcPr>
          <w:p w14:paraId="26658788">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rPr>
            </w:pPr>
          </w:p>
        </w:tc>
      </w:tr>
      <w:tr w14:paraId="4B348A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587" w:hRule="atLeast"/>
          <w:jc w:val="center"/>
        </w:trPr>
        <w:tc>
          <w:tcPr>
            <w:tcW w:w="156" w:type="pct"/>
            <w:vMerge w:val="restart"/>
            <w:noWrap w:val="0"/>
            <w:tcMar>
              <w:top w:w="0" w:type="dxa"/>
              <w:left w:w="0" w:type="dxa"/>
              <w:bottom w:w="0" w:type="dxa"/>
              <w:right w:w="0" w:type="dxa"/>
            </w:tcMar>
            <w:vAlign w:val="center"/>
          </w:tcPr>
          <w:p w14:paraId="1DC5A5FB">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default" w:ascii="宋体" w:hAnsi="宋体" w:eastAsia="宋体" w:cs="宋体"/>
                <w:sz w:val="18"/>
                <w:szCs w:val="18"/>
                <w:vertAlign w:val="baseline"/>
                <w:lang w:val="en-US"/>
              </w:rPr>
            </w:pPr>
            <w:r>
              <w:rPr>
                <w:rFonts w:hint="eastAsia" w:ascii="宋体" w:hAnsi="宋体" w:eastAsia="宋体" w:cs="宋体"/>
                <w:sz w:val="18"/>
                <w:szCs w:val="18"/>
                <w:vertAlign w:val="baseline"/>
                <w:lang w:val="en-US" w:eastAsia="zh-CN"/>
              </w:rPr>
              <w:t>60</w:t>
            </w:r>
          </w:p>
        </w:tc>
        <w:tc>
          <w:tcPr>
            <w:tcW w:w="415" w:type="pct"/>
            <w:vMerge w:val="restart"/>
            <w:noWrap w:val="0"/>
            <w:tcMar>
              <w:top w:w="0" w:type="dxa"/>
              <w:left w:w="0" w:type="dxa"/>
              <w:bottom w:w="0" w:type="dxa"/>
              <w:right w:w="0" w:type="dxa"/>
            </w:tcMar>
            <w:vAlign w:val="center"/>
          </w:tcPr>
          <w:p w14:paraId="39D641C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rPr>
            </w:pPr>
            <w:r>
              <w:rPr>
                <w:rFonts w:hint="eastAsia" w:ascii="宋体" w:hAnsi="宋体" w:eastAsia="宋体" w:cs="宋体"/>
                <w:i w:val="0"/>
                <w:color w:val="000000"/>
                <w:kern w:val="0"/>
                <w:sz w:val="18"/>
                <w:szCs w:val="18"/>
                <w:u w:val="none"/>
                <w:shd w:val="clear" w:color="auto" w:fill="auto"/>
                <w:lang w:val="en-US" w:eastAsia="zh-CN" w:bidi="ar"/>
              </w:rPr>
              <w:t>对水利领域建设单位将建设工程发包给不具有相应资质等级的勘察、设计、监理、施工单位，或者将工程肢解发包等行为的行政处罚</w:t>
            </w:r>
          </w:p>
        </w:tc>
        <w:tc>
          <w:tcPr>
            <w:tcW w:w="2168" w:type="pct"/>
            <w:vMerge w:val="continue"/>
            <w:noWrap w:val="0"/>
            <w:tcMar>
              <w:top w:w="0" w:type="dxa"/>
              <w:left w:w="0" w:type="dxa"/>
              <w:bottom w:w="0" w:type="dxa"/>
              <w:right w:w="0" w:type="dxa"/>
            </w:tcMar>
            <w:vAlign w:val="center"/>
          </w:tcPr>
          <w:p w14:paraId="369F8F77">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rPr>
            </w:pPr>
          </w:p>
        </w:tc>
        <w:tc>
          <w:tcPr>
            <w:tcW w:w="491" w:type="pct"/>
            <w:vMerge w:val="restart"/>
            <w:noWrap w:val="0"/>
            <w:tcMar>
              <w:top w:w="0" w:type="dxa"/>
              <w:left w:w="0" w:type="dxa"/>
              <w:bottom w:w="0" w:type="dxa"/>
              <w:right w:w="0" w:type="dxa"/>
            </w:tcMar>
            <w:vAlign w:val="center"/>
          </w:tcPr>
          <w:p w14:paraId="670F1CF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rPr>
            </w:pPr>
            <w:r>
              <w:rPr>
                <w:rFonts w:hint="eastAsia" w:ascii="宋体" w:hAnsi="宋体" w:eastAsia="宋体" w:cs="宋体"/>
                <w:i w:val="0"/>
                <w:color w:val="000000"/>
                <w:kern w:val="0"/>
                <w:sz w:val="18"/>
                <w:szCs w:val="18"/>
                <w:u w:val="none"/>
                <w:shd w:val="clear" w:color="auto" w:fill="auto"/>
                <w:lang w:val="en-US" w:eastAsia="zh-CN" w:bidi="ar"/>
              </w:rPr>
              <w:t>水利领域建设单位将工程肢解发包的</w:t>
            </w:r>
          </w:p>
        </w:tc>
        <w:tc>
          <w:tcPr>
            <w:tcW w:w="174" w:type="pct"/>
            <w:noWrap w:val="0"/>
            <w:tcMar>
              <w:top w:w="0" w:type="dxa"/>
              <w:left w:w="0" w:type="dxa"/>
              <w:bottom w:w="0" w:type="dxa"/>
              <w:right w:w="0" w:type="dxa"/>
            </w:tcMar>
            <w:vAlign w:val="center"/>
          </w:tcPr>
          <w:p w14:paraId="17E178B5">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较重</w:t>
            </w:r>
          </w:p>
        </w:tc>
        <w:tc>
          <w:tcPr>
            <w:tcW w:w="561" w:type="pct"/>
            <w:noWrap w:val="0"/>
            <w:tcMar>
              <w:top w:w="0" w:type="dxa"/>
              <w:left w:w="0" w:type="dxa"/>
              <w:bottom w:w="0" w:type="dxa"/>
              <w:right w:w="0" w:type="dxa"/>
            </w:tcMar>
            <w:vAlign w:val="center"/>
          </w:tcPr>
          <w:p w14:paraId="7472DD7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rPr>
            </w:pPr>
            <w:r>
              <w:rPr>
                <w:rFonts w:hint="eastAsia" w:ascii="宋体" w:hAnsi="宋体" w:eastAsia="宋体" w:cs="宋体"/>
                <w:sz w:val="18"/>
                <w:szCs w:val="18"/>
                <w:vertAlign w:val="baseline"/>
              </w:rPr>
              <w:t>将主体或关键性工作肢解发包的</w:t>
            </w:r>
          </w:p>
        </w:tc>
        <w:tc>
          <w:tcPr>
            <w:tcW w:w="873" w:type="pct"/>
            <w:noWrap w:val="0"/>
            <w:tcMar>
              <w:top w:w="0" w:type="dxa"/>
              <w:left w:w="0" w:type="dxa"/>
              <w:bottom w:w="0" w:type="dxa"/>
              <w:right w:w="0" w:type="dxa"/>
            </w:tcMar>
            <w:vAlign w:val="center"/>
          </w:tcPr>
          <w:p w14:paraId="70EA1B0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r>
              <w:rPr>
                <w:rFonts w:hint="eastAsia" w:ascii="宋体" w:hAnsi="宋体" w:eastAsia="宋体" w:cs="宋体"/>
                <w:sz w:val="18"/>
                <w:szCs w:val="18"/>
                <w:vertAlign w:val="baseline"/>
              </w:rPr>
              <w:t>处工程合同价款0.65%以上0.85%以下的罚款，对单位直接负责的主管人员和其他直接责任人员处单位罚款数额</w:t>
            </w:r>
            <w:r>
              <w:rPr>
                <w:rFonts w:hint="eastAsia" w:ascii="宋体" w:hAnsi="宋体" w:eastAsia="宋体" w:cs="宋体"/>
                <w:sz w:val="18"/>
                <w:szCs w:val="18"/>
                <w:vertAlign w:val="baseline"/>
                <w:lang w:val="en-US" w:eastAsia="zh-CN"/>
              </w:rPr>
              <w:t>6.5%</w:t>
            </w:r>
            <w:r>
              <w:rPr>
                <w:rFonts w:hint="eastAsia" w:ascii="宋体" w:hAnsi="宋体" w:eastAsia="宋体" w:cs="宋体"/>
                <w:sz w:val="18"/>
                <w:szCs w:val="18"/>
                <w:vertAlign w:val="baseline"/>
              </w:rPr>
              <w:t>以上</w:t>
            </w:r>
            <w:r>
              <w:rPr>
                <w:rFonts w:hint="eastAsia" w:ascii="宋体" w:hAnsi="宋体" w:eastAsia="宋体" w:cs="宋体"/>
                <w:sz w:val="18"/>
                <w:szCs w:val="18"/>
                <w:vertAlign w:val="baseline"/>
                <w:lang w:val="en-US" w:eastAsia="zh-CN"/>
              </w:rPr>
              <w:t>8.5%</w:t>
            </w:r>
            <w:r>
              <w:rPr>
                <w:rFonts w:hint="eastAsia" w:ascii="宋体" w:hAnsi="宋体" w:eastAsia="宋体" w:cs="宋体"/>
                <w:sz w:val="18"/>
                <w:szCs w:val="18"/>
                <w:vertAlign w:val="baseline"/>
              </w:rPr>
              <w:t>以下</w:t>
            </w:r>
            <w:r>
              <w:rPr>
                <w:rFonts w:hint="eastAsia" w:ascii="宋体" w:hAnsi="宋体" w:eastAsia="宋体" w:cs="宋体"/>
                <w:sz w:val="18"/>
                <w:szCs w:val="18"/>
                <w:vertAlign w:val="baseline"/>
                <w:lang w:val="en-US" w:eastAsia="zh-CN"/>
              </w:rPr>
              <w:t>的罚款</w:t>
            </w:r>
          </w:p>
        </w:tc>
        <w:tc>
          <w:tcPr>
            <w:tcW w:w="158" w:type="pct"/>
            <w:vMerge w:val="continue"/>
            <w:noWrap w:val="0"/>
            <w:tcMar>
              <w:top w:w="0" w:type="dxa"/>
              <w:left w:w="0" w:type="dxa"/>
              <w:bottom w:w="0" w:type="dxa"/>
              <w:right w:w="0" w:type="dxa"/>
            </w:tcMar>
            <w:vAlign w:val="center"/>
          </w:tcPr>
          <w:p w14:paraId="60962DB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rPr>
            </w:pPr>
          </w:p>
        </w:tc>
      </w:tr>
      <w:tr w14:paraId="08FECE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703" w:hRule="atLeast"/>
          <w:jc w:val="center"/>
        </w:trPr>
        <w:tc>
          <w:tcPr>
            <w:tcW w:w="156" w:type="pct"/>
            <w:vMerge w:val="continue"/>
            <w:noWrap w:val="0"/>
            <w:tcMar>
              <w:top w:w="0" w:type="dxa"/>
              <w:left w:w="0" w:type="dxa"/>
              <w:bottom w:w="0" w:type="dxa"/>
              <w:right w:w="0" w:type="dxa"/>
            </w:tcMar>
            <w:vAlign w:val="center"/>
          </w:tcPr>
          <w:p w14:paraId="198A9ADA">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rPr>
            </w:pPr>
          </w:p>
        </w:tc>
        <w:tc>
          <w:tcPr>
            <w:tcW w:w="415" w:type="pct"/>
            <w:vMerge w:val="continue"/>
            <w:noWrap w:val="0"/>
            <w:tcMar>
              <w:top w:w="0" w:type="dxa"/>
              <w:left w:w="0" w:type="dxa"/>
              <w:bottom w:w="0" w:type="dxa"/>
              <w:right w:w="0" w:type="dxa"/>
            </w:tcMar>
            <w:vAlign w:val="center"/>
          </w:tcPr>
          <w:p w14:paraId="3BC89C2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rPr>
            </w:pPr>
          </w:p>
        </w:tc>
        <w:tc>
          <w:tcPr>
            <w:tcW w:w="2168" w:type="pct"/>
            <w:vMerge w:val="continue"/>
            <w:noWrap w:val="0"/>
            <w:tcMar>
              <w:top w:w="0" w:type="dxa"/>
              <w:left w:w="0" w:type="dxa"/>
              <w:bottom w:w="0" w:type="dxa"/>
              <w:right w:w="0" w:type="dxa"/>
            </w:tcMar>
            <w:vAlign w:val="center"/>
          </w:tcPr>
          <w:p w14:paraId="6C45CD9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rPr>
            </w:pPr>
          </w:p>
        </w:tc>
        <w:tc>
          <w:tcPr>
            <w:tcW w:w="491" w:type="pct"/>
            <w:vMerge w:val="continue"/>
            <w:noWrap w:val="0"/>
            <w:tcMar>
              <w:top w:w="0" w:type="dxa"/>
              <w:left w:w="0" w:type="dxa"/>
              <w:bottom w:w="0" w:type="dxa"/>
              <w:right w:w="0" w:type="dxa"/>
            </w:tcMar>
            <w:vAlign w:val="center"/>
          </w:tcPr>
          <w:p w14:paraId="55B8402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rPr>
            </w:pPr>
          </w:p>
        </w:tc>
        <w:tc>
          <w:tcPr>
            <w:tcW w:w="174" w:type="pct"/>
            <w:noWrap w:val="0"/>
            <w:tcMar>
              <w:top w:w="0" w:type="dxa"/>
              <w:left w:w="0" w:type="dxa"/>
              <w:bottom w:w="0" w:type="dxa"/>
              <w:right w:w="0" w:type="dxa"/>
            </w:tcMar>
            <w:vAlign w:val="center"/>
          </w:tcPr>
          <w:p w14:paraId="19352B1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严重</w:t>
            </w:r>
          </w:p>
        </w:tc>
        <w:tc>
          <w:tcPr>
            <w:tcW w:w="561" w:type="pct"/>
            <w:noWrap w:val="0"/>
            <w:tcMar>
              <w:top w:w="0" w:type="dxa"/>
              <w:left w:w="0" w:type="dxa"/>
              <w:bottom w:w="0" w:type="dxa"/>
              <w:right w:w="0" w:type="dxa"/>
            </w:tcMar>
            <w:vAlign w:val="center"/>
          </w:tcPr>
          <w:p w14:paraId="1E3D788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rPr>
            </w:pPr>
            <w:r>
              <w:rPr>
                <w:rFonts w:hint="eastAsia" w:ascii="宋体" w:hAnsi="宋体" w:eastAsia="宋体" w:cs="宋体"/>
                <w:sz w:val="18"/>
                <w:szCs w:val="18"/>
                <w:vertAlign w:val="baseline"/>
              </w:rPr>
              <w:t>发生质量安全事故的；2年内2次及以上同类型违法的；造成严重社会影响的</w:t>
            </w:r>
          </w:p>
        </w:tc>
        <w:tc>
          <w:tcPr>
            <w:tcW w:w="873" w:type="pct"/>
            <w:noWrap w:val="0"/>
            <w:tcMar>
              <w:top w:w="0" w:type="dxa"/>
              <w:left w:w="0" w:type="dxa"/>
              <w:bottom w:w="0" w:type="dxa"/>
              <w:right w:w="0" w:type="dxa"/>
            </w:tcMar>
            <w:vAlign w:val="center"/>
          </w:tcPr>
          <w:p w14:paraId="317D8667">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rPr>
            </w:pPr>
            <w:r>
              <w:rPr>
                <w:rFonts w:hint="eastAsia" w:ascii="宋体" w:hAnsi="宋体" w:eastAsia="宋体" w:cs="宋体"/>
                <w:sz w:val="18"/>
                <w:szCs w:val="18"/>
                <w:vertAlign w:val="baseline"/>
              </w:rPr>
              <w:t>处工程合同价款0.85%以上1%以下的罚款，对单位直接负责的主管人员和其他直接责任人员处单位罚款数额</w:t>
            </w:r>
            <w:r>
              <w:rPr>
                <w:rFonts w:hint="eastAsia" w:ascii="宋体" w:hAnsi="宋体" w:eastAsia="宋体" w:cs="宋体"/>
                <w:sz w:val="18"/>
                <w:szCs w:val="18"/>
                <w:vertAlign w:val="baseline"/>
                <w:lang w:val="en-US" w:eastAsia="zh-CN"/>
              </w:rPr>
              <w:t>8.5%</w:t>
            </w:r>
            <w:r>
              <w:rPr>
                <w:rFonts w:hint="eastAsia" w:ascii="宋体" w:hAnsi="宋体" w:eastAsia="宋体" w:cs="宋体"/>
                <w:sz w:val="18"/>
                <w:szCs w:val="18"/>
                <w:vertAlign w:val="baseline"/>
              </w:rPr>
              <w:t>以上</w:t>
            </w:r>
            <w:r>
              <w:rPr>
                <w:rFonts w:hint="eastAsia" w:ascii="宋体" w:hAnsi="宋体" w:eastAsia="宋体" w:cs="宋体"/>
                <w:sz w:val="18"/>
                <w:szCs w:val="18"/>
                <w:vertAlign w:val="baseline"/>
                <w:lang w:val="en-US" w:eastAsia="zh-CN"/>
              </w:rPr>
              <w:t>10%</w:t>
            </w:r>
            <w:r>
              <w:rPr>
                <w:rFonts w:hint="eastAsia" w:ascii="宋体" w:hAnsi="宋体" w:eastAsia="宋体" w:cs="宋体"/>
                <w:sz w:val="18"/>
                <w:szCs w:val="18"/>
                <w:vertAlign w:val="baseline"/>
              </w:rPr>
              <w:t>以下的罚款</w:t>
            </w:r>
          </w:p>
        </w:tc>
        <w:tc>
          <w:tcPr>
            <w:tcW w:w="158" w:type="pct"/>
            <w:vMerge w:val="continue"/>
            <w:noWrap w:val="0"/>
            <w:tcMar>
              <w:top w:w="0" w:type="dxa"/>
              <w:left w:w="0" w:type="dxa"/>
              <w:bottom w:w="0" w:type="dxa"/>
              <w:right w:w="0" w:type="dxa"/>
            </w:tcMar>
            <w:vAlign w:val="center"/>
          </w:tcPr>
          <w:p w14:paraId="5869D8F1">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rPr>
            </w:pPr>
          </w:p>
        </w:tc>
      </w:tr>
      <w:tr w14:paraId="3C83E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restart"/>
            <w:noWrap w:val="0"/>
            <w:tcMar>
              <w:top w:w="0" w:type="dxa"/>
              <w:left w:w="0" w:type="dxa"/>
              <w:bottom w:w="0" w:type="dxa"/>
              <w:right w:w="0" w:type="dxa"/>
            </w:tcMar>
            <w:vAlign w:val="center"/>
          </w:tcPr>
          <w:p w14:paraId="0C25BC0A">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r>
              <w:rPr>
                <w:rFonts w:hint="eastAsia" w:ascii="宋体" w:hAnsi="宋体" w:eastAsia="宋体" w:cs="宋体"/>
                <w:sz w:val="18"/>
                <w:szCs w:val="18"/>
                <w:vertAlign w:val="baseline"/>
                <w:lang w:val="en-US" w:eastAsia="zh-CN"/>
              </w:rPr>
              <w:t>61</w:t>
            </w:r>
          </w:p>
        </w:tc>
        <w:tc>
          <w:tcPr>
            <w:tcW w:w="415" w:type="pct"/>
            <w:vMerge w:val="restart"/>
            <w:noWrap w:val="0"/>
            <w:tcMar>
              <w:top w:w="0" w:type="dxa"/>
              <w:left w:w="0" w:type="dxa"/>
              <w:bottom w:w="0" w:type="dxa"/>
              <w:right w:w="0" w:type="dxa"/>
            </w:tcMar>
            <w:vAlign w:val="center"/>
          </w:tcPr>
          <w:p w14:paraId="5C1F22CF">
            <w:pPr>
              <w:keepNext w:val="0"/>
              <w:keepLines w:val="0"/>
              <w:pageBreakBefore w:val="0"/>
              <w:widowControl/>
              <w:suppressLineNumbers w:val="0"/>
              <w:kinsoku/>
              <w:wordWrap/>
              <w:overflowPunct/>
              <w:topLinePunct w:val="0"/>
              <w:autoSpaceDE/>
              <w:autoSpaceDN/>
              <w:bidi w:val="0"/>
              <w:adjustRightInd/>
              <w:snapToGrid/>
              <w:spacing w:line="260" w:lineRule="exact"/>
              <w:jc w:val="both"/>
              <w:textAlignment w:val="center"/>
              <w:rPr>
                <w:rFonts w:hint="eastAsia" w:ascii="宋体" w:hAnsi="宋体" w:eastAsia="宋体" w:cs="宋体"/>
                <w:i w:val="0"/>
                <w:color w:val="000000"/>
                <w:kern w:val="2"/>
                <w:sz w:val="18"/>
                <w:szCs w:val="18"/>
                <w:u w:val="none"/>
                <w:lang w:val="en-US" w:eastAsia="zh-CN" w:bidi="ar-SA"/>
              </w:rPr>
            </w:pPr>
            <w:r>
              <w:rPr>
                <w:rFonts w:hint="eastAsia" w:ascii="宋体" w:hAnsi="宋体" w:eastAsia="宋体" w:cs="宋体"/>
                <w:i w:val="0"/>
                <w:color w:val="000000"/>
                <w:kern w:val="0"/>
                <w:sz w:val="18"/>
                <w:szCs w:val="18"/>
                <w:u w:val="none"/>
                <w:lang w:val="en-US" w:eastAsia="zh-CN" w:bidi="ar"/>
              </w:rPr>
              <w:t>对水利领域建设单位迫使承包方以低于成本的价格竞标、任意压缩合理工期等行为的行政处罚</w:t>
            </w:r>
          </w:p>
        </w:tc>
        <w:tc>
          <w:tcPr>
            <w:tcW w:w="2168" w:type="pct"/>
            <w:vMerge w:val="restart"/>
            <w:noWrap w:val="0"/>
            <w:tcMar>
              <w:top w:w="0" w:type="dxa"/>
              <w:left w:w="0" w:type="dxa"/>
              <w:bottom w:w="0" w:type="dxa"/>
              <w:right w:w="0" w:type="dxa"/>
            </w:tcMar>
            <w:vAlign w:val="center"/>
          </w:tcPr>
          <w:p w14:paraId="31EB10B6">
            <w:pPr>
              <w:keepNext w:val="0"/>
              <w:keepLines w:val="0"/>
              <w:pageBreakBefore w:val="0"/>
              <w:widowControl/>
              <w:suppressLineNumbers w:val="0"/>
              <w:kinsoku/>
              <w:wordWrap/>
              <w:overflowPunct/>
              <w:topLinePunct w:val="0"/>
              <w:autoSpaceDE/>
              <w:autoSpaceDN/>
              <w:bidi w:val="0"/>
              <w:adjustRightInd/>
              <w:snapToGrid/>
              <w:spacing w:line="260" w:lineRule="exact"/>
              <w:jc w:val="both"/>
              <w:textAlignment w:val="center"/>
              <w:rPr>
                <w:rFonts w:hint="eastAsia" w:ascii="宋体" w:hAnsi="宋体" w:eastAsia="宋体" w:cs="宋体"/>
                <w:i w:val="0"/>
                <w:color w:val="000000"/>
                <w:kern w:val="2"/>
                <w:sz w:val="18"/>
                <w:szCs w:val="18"/>
                <w:u w:val="none"/>
                <w:lang w:val="en-US" w:eastAsia="zh-CN" w:bidi="ar-SA"/>
              </w:rPr>
            </w:pPr>
            <w:r>
              <w:rPr>
                <w:rFonts w:hint="eastAsia" w:ascii="宋体" w:hAnsi="宋体" w:eastAsia="宋体" w:cs="宋体"/>
                <w:i w:val="0"/>
                <w:color w:val="000000"/>
                <w:kern w:val="2"/>
                <w:sz w:val="18"/>
                <w:szCs w:val="18"/>
                <w:u w:val="none"/>
                <w:lang w:val="en-US" w:eastAsia="zh-CN" w:bidi="ar-SA"/>
              </w:rPr>
              <w:t>《建设工程质量管理条例》第五十六条 违反本条例规定，建设单位有下列行为之一的，责令改正，处20万元以上50万元以下的罚款：</w:t>
            </w:r>
          </w:p>
          <w:p w14:paraId="6E66CC96">
            <w:pPr>
              <w:keepNext w:val="0"/>
              <w:keepLines w:val="0"/>
              <w:pageBreakBefore w:val="0"/>
              <w:widowControl/>
              <w:suppressLineNumbers w:val="0"/>
              <w:kinsoku/>
              <w:wordWrap/>
              <w:overflowPunct/>
              <w:topLinePunct w:val="0"/>
              <w:autoSpaceDE/>
              <w:autoSpaceDN/>
              <w:bidi w:val="0"/>
              <w:adjustRightInd/>
              <w:snapToGrid/>
              <w:spacing w:line="260" w:lineRule="exact"/>
              <w:jc w:val="both"/>
              <w:textAlignment w:val="center"/>
              <w:rPr>
                <w:rFonts w:hint="eastAsia" w:ascii="宋体" w:hAnsi="宋体" w:eastAsia="宋体" w:cs="宋体"/>
                <w:i w:val="0"/>
                <w:color w:val="000000"/>
                <w:kern w:val="2"/>
                <w:sz w:val="18"/>
                <w:szCs w:val="18"/>
                <w:u w:val="none"/>
                <w:lang w:val="en-US" w:eastAsia="zh-CN" w:bidi="ar-SA"/>
              </w:rPr>
            </w:pPr>
            <w:r>
              <w:rPr>
                <w:rFonts w:hint="eastAsia" w:ascii="宋体" w:hAnsi="宋体" w:eastAsia="宋体" w:cs="宋体"/>
                <w:i w:val="0"/>
                <w:color w:val="000000"/>
                <w:kern w:val="2"/>
                <w:sz w:val="18"/>
                <w:szCs w:val="18"/>
                <w:u w:val="none"/>
                <w:lang w:val="en-US" w:eastAsia="zh-CN" w:bidi="ar-SA"/>
              </w:rPr>
              <w:t>（一）迫使承包方以低于成本的价格竞标的；（二）任意压缩合理工期的；（三）明示或者暗示设计单位或者施工单位违反工程建设强制性标准，降低工程质量的；（四）施工图设计文件未经审查或者审查不合格，擅自施工的；（五）建设项目必须实行工程监理而未实行工程监理的；（六）未按照国家规定办理工程质量监督手续的；（七）明示或者暗示施工单位使用不合格的建筑材料、建筑构配件和设备的；（八）未按照国家规定将竣工验收报告、有关认可文件或者准许使用文件报送备案的。</w:t>
            </w:r>
          </w:p>
          <w:p w14:paraId="0E2D02D4">
            <w:pPr>
              <w:keepNext w:val="0"/>
              <w:keepLines w:val="0"/>
              <w:pageBreakBefore w:val="0"/>
              <w:widowControl/>
              <w:suppressLineNumbers w:val="0"/>
              <w:kinsoku/>
              <w:wordWrap/>
              <w:overflowPunct/>
              <w:topLinePunct w:val="0"/>
              <w:autoSpaceDE/>
              <w:autoSpaceDN/>
              <w:bidi w:val="0"/>
              <w:adjustRightInd/>
              <w:snapToGrid/>
              <w:spacing w:line="260" w:lineRule="exact"/>
              <w:jc w:val="both"/>
              <w:textAlignment w:val="center"/>
              <w:rPr>
                <w:rFonts w:hint="eastAsia" w:ascii="宋体" w:hAnsi="宋体" w:eastAsia="宋体" w:cs="宋体"/>
                <w:i w:val="0"/>
                <w:color w:val="000000"/>
                <w:kern w:val="2"/>
                <w:sz w:val="18"/>
                <w:szCs w:val="18"/>
                <w:u w:val="none"/>
                <w:lang w:val="en-US" w:eastAsia="zh-CN" w:bidi="ar-SA"/>
              </w:rPr>
            </w:pPr>
            <w:r>
              <w:rPr>
                <w:rFonts w:hint="eastAsia" w:ascii="宋体" w:hAnsi="宋体" w:eastAsia="宋体" w:cs="宋体"/>
                <w:i w:val="0"/>
                <w:color w:val="000000"/>
                <w:kern w:val="2"/>
                <w:sz w:val="18"/>
                <w:szCs w:val="18"/>
                <w:u w:val="none"/>
                <w:lang w:val="en-US" w:eastAsia="zh-CN" w:bidi="ar-SA"/>
              </w:rPr>
              <w:t>第七十三条 依照本条例规定，给予单位罚款处罚的，对单位直接负责的主管人员和其他直接责任人员处单位罚款数额百分之五以上百分之十以下的罚款。</w:t>
            </w:r>
          </w:p>
          <w:p w14:paraId="44932BD3">
            <w:pPr>
              <w:keepNext w:val="0"/>
              <w:keepLines w:val="0"/>
              <w:pageBreakBefore w:val="0"/>
              <w:widowControl/>
              <w:suppressLineNumbers w:val="0"/>
              <w:kinsoku/>
              <w:wordWrap/>
              <w:overflowPunct/>
              <w:topLinePunct w:val="0"/>
              <w:autoSpaceDE/>
              <w:autoSpaceDN/>
              <w:bidi w:val="0"/>
              <w:adjustRightInd/>
              <w:snapToGrid/>
              <w:spacing w:line="260" w:lineRule="exact"/>
              <w:jc w:val="both"/>
              <w:textAlignment w:val="center"/>
              <w:rPr>
                <w:rFonts w:hint="eastAsia" w:ascii="宋体" w:hAnsi="宋体" w:eastAsia="宋体" w:cs="宋体"/>
                <w:i w:val="0"/>
                <w:color w:val="000000"/>
                <w:kern w:val="2"/>
                <w:sz w:val="18"/>
                <w:szCs w:val="18"/>
                <w:u w:val="none"/>
                <w:lang w:val="en-US" w:eastAsia="zh-CN" w:bidi="ar-SA"/>
              </w:rPr>
            </w:pPr>
            <w:r>
              <w:rPr>
                <w:rFonts w:hint="eastAsia" w:ascii="宋体" w:hAnsi="宋体" w:eastAsia="宋体" w:cs="宋体"/>
                <w:i w:val="0"/>
                <w:color w:val="000000"/>
                <w:kern w:val="2"/>
                <w:sz w:val="18"/>
                <w:szCs w:val="18"/>
                <w:u w:val="none"/>
                <w:lang w:val="en-US" w:eastAsia="zh-CN" w:bidi="ar-SA"/>
              </w:rPr>
              <w:t>《水利工程质量管理规定》第六十条 违反本规定，项目法人有下列行为之一的，依照《建设工程质量管理条例》第五十六条规定，由水行政主管部门或者流域管理机构依据职权责令改正，处20万元以上50万元以下的罚款：</w:t>
            </w:r>
          </w:p>
          <w:p w14:paraId="09B52F29">
            <w:pPr>
              <w:keepNext w:val="0"/>
              <w:keepLines w:val="0"/>
              <w:pageBreakBefore w:val="0"/>
              <w:widowControl/>
              <w:suppressLineNumbers w:val="0"/>
              <w:kinsoku/>
              <w:wordWrap/>
              <w:overflowPunct/>
              <w:topLinePunct w:val="0"/>
              <w:autoSpaceDE/>
              <w:autoSpaceDN/>
              <w:bidi w:val="0"/>
              <w:adjustRightInd/>
              <w:snapToGrid/>
              <w:spacing w:line="260" w:lineRule="exact"/>
              <w:jc w:val="both"/>
              <w:textAlignment w:val="center"/>
              <w:rPr>
                <w:rFonts w:hint="eastAsia" w:ascii="宋体" w:hAnsi="宋体" w:eastAsia="宋体" w:cs="宋体"/>
                <w:i w:val="0"/>
                <w:color w:val="000000"/>
                <w:kern w:val="2"/>
                <w:sz w:val="18"/>
                <w:szCs w:val="18"/>
                <w:u w:val="none"/>
                <w:lang w:val="en-US" w:eastAsia="zh-CN" w:bidi="ar-SA"/>
              </w:rPr>
            </w:pPr>
            <w:r>
              <w:rPr>
                <w:rFonts w:hint="eastAsia" w:ascii="宋体" w:hAnsi="宋体" w:eastAsia="宋体" w:cs="宋体"/>
                <w:i w:val="0"/>
                <w:color w:val="000000"/>
                <w:kern w:val="2"/>
                <w:sz w:val="18"/>
                <w:szCs w:val="18"/>
                <w:u w:val="none"/>
                <w:lang w:val="en-US" w:eastAsia="zh-CN" w:bidi="ar-SA"/>
              </w:rPr>
              <w:t>（一）迫使市场主体以低于成本的价格竞标的；（二）任意压缩合理工期的；（三）明示或者暗示勘察、设计、施工单位违反工程建设强制性标准，降低工程质量的；（四）施工图设计文件未经审查或者审查不合格，擅自施工的；（五）未按照国家规定办理工程质量监督手续的；（六）明示或者暗示施工单位使用不合格的原材料、中间产品和设备的。</w:t>
            </w:r>
          </w:p>
          <w:p w14:paraId="40842349">
            <w:pPr>
              <w:keepNext w:val="0"/>
              <w:keepLines w:val="0"/>
              <w:pageBreakBefore w:val="0"/>
              <w:widowControl/>
              <w:suppressLineNumbers w:val="0"/>
              <w:kinsoku/>
              <w:wordWrap/>
              <w:overflowPunct/>
              <w:topLinePunct w:val="0"/>
              <w:autoSpaceDE/>
              <w:autoSpaceDN/>
              <w:bidi w:val="0"/>
              <w:adjustRightInd/>
              <w:snapToGrid/>
              <w:spacing w:line="260" w:lineRule="exact"/>
              <w:jc w:val="both"/>
              <w:textAlignment w:val="center"/>
              <w:rPr>
                <w:rFonts w:hint="eastAsia" w:ascii="宋体" w:hAnsi="宋体" w:eastAsia="宋体" w:cs="宋体"/>
                <w:i w:val="0"/>
                <w:color w:val="000000"/>
                <w:kern w:val="2"/>
                <w:sz w:val="18"/>
                <w:szCs w:val="18"/>
                <w:u w:val="none"/>
                <w:lang w:val="en-US" w:eastAsia="zh-CN" w:bidi="ar-SA"/>
              </w:rPr>
            </w:pPr>
            <w:r>
              <w:rPr>
                <w:rFonts w:hint="eastAsia" w:ascii="宋体" w:hAnsi="宋体" w:eastAsia="宋体" w:cs="宋体"/>
                <w:i w:val="0"/>
                <w:color w:val="000000"/>
                <w:kern w:val="2"/>
                <w:sz w:val="18"/>
                <w:szCs w:val="18"/>
                <w:u w:val="none"/>
                <w:lang w:val="en-US" w:eastAsia="zh-CN" w:bidi="ar-SA"/>
              </w:rPr>
              <w:t>第七十三条第二款 依照《建设工程质量管理条例》给予单位罚款处罚的，对单位直接负责的主管人员和其他直接责任人员处单位罚款数额5%以上10%以下的罚款。</w:t>
            </w:r>
          </w:p>
          <w:p w14:paraId="775F9D24">
            <w:pPr>
              <w:keepNext w:val="0"/>
              <w:keepLines w:val="0"/>
              <w:pageBreakBefore w:val="0"/>
              <w:widowControl/>
              <w:suppressLineNumbers w:val="0"/>
              <w:kinsoku/>
              <w:wordWrap/>
              <w:overflowPunct/>
              <w:topLinePunct w:val="0"/>
              <w:autoSpaceDE/>
              <w:autoSpaceDN/>
              <w:bidi w:val="0"/>
              <w:adjustRightInd/>
              <w:snapToGrid/>
              <w:spacing w:line="260" w:lineRule="exact"/>
              <w:jc w:val="both"/>
              <w:textAlignment w:val="center"/>
              <w:rPr>
                <w:rFonts w:hint="eastAsia" w:ascii="宋体" w:hAnsi="宋体" w:eastAsia="宋体" w:cs="宋体"/>
                <w:i w:val="0"/>
                <w:color w:val="000000"/>
                <w:kern w:val="2"/>
                <w:sz w:val="18"/>
                <w:szCs w:val="18"/>
                <w:u w:val="none"/>
                <w:lang w:val="en-US" w:eastAsia="zh-CN" w:bidi="ar-SA"/>
              </w:rPr>
            </w:pPr>
            <w:r>
              <w:rPr>
                <w:rFonts w:hint="eastAsia" w:ascii="宋体" w:hAnsi="宋体" w:eastAsia="宋体" w:cs="宋体"/>
                <w:i w:val="0"/>
                <w:color w:val="000000"/>
                <w:kern w:val="2"/>
                <w:sz w:val="18"/>
                <w:szCs w:val="18"/>
                <w:u w:val="none"/>
                <w:lang w:val="en-US" w:eastAsia="zh-CN" w:bidi="ar-SA"/>
              </w:rPr>
              <w:t>《水利工程建设监理规定》第二十五条第一款 项目法人将水利工程建设监理业务委托给不具有相应资质的监理单位，或者必须实行建设监理而未实行的，依照《建设工程质量管理条例》第五十四条、第五十六条处罚。</w:t>
            </w:r>
          </w:p>
          <w:p w14:paraId="4EBFD6D6">
            <w:pPr>
              <w:keepNext w:val="0"/>
              <w:keepLines w:val="0"/>
              <w:pageBreakBefore w:val="0"/>
              <w:widowControl/>
              <w:suppressLineNumbers w:val="0"/>
              <w:kinsoku/>
              <w:wordWrap/>
              <w:overflowPunct/>
              <w:topLinePunct w:val="0"/>
              <w:autoSpaceDE/>
              <w:autoSpaceDN/>
              <w:bidi w:val="0"/>
              <w:adjustRightInd/>
              <w:snapToGrid/>
              <w:spacing w:line="260" w:lineRule="exact"/>
              <w:jc w:val="both"/>
              <w:textAlignment w:val="center"/>
              <w:rPr>
                <w:rFonts w:hint="eastAsia" w:ascii="宋体" w:hAnsi="宋体" w:eastAsia="宋体" w:cs="宋体"/>
                <w:i w:val="0"/>
                <w:color w:val="000000"/>
                <w:kern w:val="2"/>
                <w:sz w:val="18"/>
                <w:szCs w:val="18"/>
                <w:u w:val="none"/>
                <w:lang w:val="en-US" w:eastAsia="zh-CN" w:bidi="ar-SA"/>
              </w:rPr>
            </w:pPr>
            <w:r>
              <w:rPr>
                <w:rFonts w:hint="eastAsia" w:ascii="宋体" w:hAnsi="宋体" w:eastAsia="宋体" w:cs="宋体"/>
                <w:i w:val="0"/>
                <w:color w:val="000000"/>
                <w:kern w:val="2"/>
                <w:sz w:val="18"/>
                <w:szCs w:val="18"/>
                <w:u w:val="none"/>
                <w:lang w:val="en-US" w:eastAsia="zh-CN" w:bidi="ar-SA"/>
              </w:rPr>
              <w:t>《实施工程建设强制性标准监督规定》第十六条 建设单位有下列行为之一的，责令改正，并处以20万元以上50万元以下的罚款：</w:t>
            </w:r>
          </w:p>
          <w:p w14:paraId="4B6F2136">
            <w:pPr>
              <w:keepNext w:val="0"/>
              <w:keepLines w:val="0"/>
              <w:pageBreakBefore w:val="0"/>
              <w:widowControl/>
              <w:suppressLineNumbers w:val="0"/>
              <w:kinsoku/>
              <w:wordWrap/>
              <w:overflowPunct/>
              <w:topLinePunct w:val="0"/>
              <w:autoSpaceDE/>
              <w:autoSpaceDN/>
              <w:bidi w:val="0"/>
              <w:adjustRightInd/>
              <w:snapToGrid/>
              <w:spacing w:line="260" w:lineRule="exact"/>
              <w:jc w:val="both"/>
              <w:textAlignment w:val="center"/>
              <w:rPr>
                <w:rFonts w:hint="eastAsia" w:ascii="宋体" w:hAnsi="宋体" w:eastAsia="宋体" w:cs="宋体"/>
                <w:i w:val="0"/>
                <w:color w:val="000000"/>
                <w:kern w:val="2"/>
                <w:sz w:val="18"/>
                <w:szCs w:val="18"/>
                <w:u w:val="none"/>
                <w:lang w:val="en-US" w:eastAsia="zh-CN" w:bidi="ar-SA"/>
              </w:rPr>
            </w:pPr>
            <w:r>
              <w:rPr>
                <w:rFonts w:hint="eastAsia" w:ascii="宋体" w:hAnsi="宋体" w:eastAsia="宋体" w:cs="宋体"/>
                <w:i w:val="0"/>
                <w:color w:val="000000"/>
                <w:kern w:val="2"/>
                <w:sz w:val="18"/>
                <w:szCs w:val="18"/>
                <w:u w:val="none"/>
                <w:lang w:val="en-US" w:eastAsia="zh-CN" w:bidi="ar-SA"/>
              </w:rPr>
              <w:t>（一）明示或者暗示施工单位使用不合格的建筑材料、建筑构配件和设备的；（二）明示或者暗示设计单位或者施工单位违反工程建设强制性标准，降低工程质量的。</w:t>
            </w:r>
          </w:p>
        </w:tc>
        <w:tc>
          <w:tcPr>
            <w:tcW w:w="491" w:type="pct"/>
            <w:vMerge w:val="restart"/>
            <w:noWrap w:val="0"/>
            <w:tcMar>
              <w:top w:w="0" w:type="dxa"/>
              <w:left w:w="0" w:type="dxa"/>
              <w:bottom w:w="0" w:type="dxa"/>
              <w:right w:w="0" w:type="dxa"/>
            </w:tcMar>
            <w:vAlign w:val="center"/>
          </w:tcPr>
          <w:p w14:paraId="283CEDED">
            <w:pPr>
              <w:keepNext w:val="0"/>
              <w:keepLines w:val="0"/>
              <w:pageBreakBefore w:val="0"/>
              <w:widowControl/>
              <w:suppressLineNumbers w:val="0"/>
              <w:kinsoku/>
              <w:wordWrap/>
              <w:overflowPunct/>
              <w:topLinePunct w:val="0"/>
              <w:autoSpaceDE/>
              <w:autoSpaceDN/>
              <w:bidi w:val="0"/>
              <w:adjustRightInd/>
              <w:snapToGrid/>
              <w:spacing w:line="260" w:lineRule="exact"/>
              <w:jc w:val="both"/>
              <w:textAlignment w:val="center"/>
              <w:rPr>
                <w:rFonts w:hint="eastAsia" w:ascii="宋体" w:hAnsi="宋体" w:eastAsia="宋体" w:cs="宋体"/>
                <w:i w:val="0"/>
                <w:color w:val="000000"/>
                <w:kern w:val="2"/>
                <w:sz w:val="18"/>
                <w:szCs w:val="18"/>
                <w:u w:val="none"/>
                <w:lang w:val="en-US" w:eastAsia="zh-CN" w:bidi="ar-SA"/>
              </w:rPr>
            </w:pPr>
            <w:r>
              <w:rPr>
                <w:rFonts w:hint="eastAsia" w:ascii="宋体" w:hAnsi="宋体" w:eastAsia="宋体" w:cs="宋体"/>
                <w:i w:val="0"/>
                <w:color w:val="000000"/>
                <w:kern w:val="0"/>
                <w:sz w:val="18"/>
                <w:szCs w:val="18"/>
                <w:u w:val="none"/>
                <w:lang w:val="en-US" w:eastAsia="zh-CN" w:bidi="ar"/>
              </w:rPr>
              <w:t>水利领域建设单位迫使承包方以低于成本的价格竞标的</w:t>
            </w:r>
          </w:p>
        </w:tc>
        <w:tc>
          <w:tcPr>
            <w:tcW w:w="174" w:type="pct"/>
            <w:noWrap w:val="0"/>
            <w:tcMar>
              <w:top w:w="0" w:type="dxa"/>
              <w:left w:w="0" w:type="dxa"/>
              <w:bottom w:w="0" w:type="dxa"/>
              <w:right w:w="0" w:type="dxa"/>
            </w:tcMar>
            <w:vAlign w:val="center"/>
          </w:tcPr>
          <w:p w14:paraId="3F6BD24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轻微</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419745F4">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2F903A9C">
            <w:pPr>
              <w:spacing w:line="260" w:lineRule="exact"/>
              <w:rPr>
                <w:rFonts w:hint="eastAsia" w:ascii="宋体" w:hAnsi="宋体" w:eastAsia="宋体" w:cs="宋体"/>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59A3397A">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4923E1D4">
            <w:pPr>
              <w:spacing w:line="260" w:lineRule="exact"/>
              <w:rPr>
                <w:rFonts w:hint="eastAsia" w:ascii="宋体" w:hAnsi="宋体" w:eastAsia="宋体" w:cs="宋体"/>
                <w:sz w:val="18"/>
                <w:szCs w:val="18"/>
                <w:vertAlign w:val="baseline"/>
              </w:rPr>
            </w:pPr>
          </w:p>
        </w:tc>
        <w:tc>
          <w:tcPr>
            <w:tcW w:w="158" w:type="pct"/>
            <w:vMerge w:val="restart"/>
            <w:noWrap w:val="0"/>
            <w:tcMar>
              <w:top w:w="0" w:type="dxa"/>
              <w:left w:w="0" w:type="dxa"/>
              <w:bottom w:w="0" w:type="dxa"/>
              <w:right w:w="0" w:type="dxa"/>
            </w:tcMar>
            <w:vAlign w:val="center"/>
          </w:tcPr>
          <w:p w14:paraId="575E12EA">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p>
        </w:tc>
      </w:tr>
      <w:tr w14:paraId="04DD19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25C2FAD8">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p>
        </w:tc>
        <w:tc>
          <w:tcPr>
            <w:tcW w:w="415" w:type="pct"/>
            <w:vMerge w:val="continue"/>
            <w:noWrap w:val="0"/>
            <w:tcMar>
              <w:top w:w="0" w:type="dxa"/>
              <w:left w:w="0" w:type="dxa"/>
              <w:bottom w:w="0" w:type="dxa"/>
              <w:right w:w="0" w:type="dxa"/>
            </w:tcMar>
            <w:vAlign w:val="center"/>
          </w:tcPr>
          <w:p w14:paraId="627FF76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4ECE565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6055017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174" w:type="pct"/>
            <w:noWrap w:val="0"/>
            <w:tcMar>
              <w:top w:w="0" w:type="dxa"/>
              <w:left w:w="0" w:type="dxa"/>
              <w:bottom w:w="0" w:type="dxa"/>
              <w:right w:w="0" w:type="dxa"/>
            </w:tcMar>
            <w:vAlign w:val="center"/>
          </w:tcPr>
          <w:p w14:paraId="7261E680">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较轻</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1E87A4DA">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2BBCAB20">
            <w:pPr>
              <w:spacing w:line="260" w:lineRule="exact"/>
              <w:rPr>
                <w:rFonts w:hint="eastAsia" w:ascii="宋体" w:hAnsi="宋体" w:eastAsia="宋体" w:cs="宋体"/>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1DB2A8F8">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75552F2B">
            <w:pPr>
              <w:spacing w:line="260" w:lineRule="exact"/>
              <w:rPr>
                <w:rFonts w:hint="eastAsia" w:ascii="宋体" w:hAnsi="宋体" w:eastAsia="宋体" w:cs="宋体"/>
                <w:sz w:val="18"/>
                <w:szCs w:val="18"/>
                <w:vertAlign w:val="baseline"/>
              </w:rPr>
            </w:pPr>
          </w:p>
        </w:tc>
        <w:tc>
          <w:tcPr>
            <w:tcW w:w="158" w:type="pct"/>
            <w:vMerge w:val="continue"/>
            <w:noWrap w:val="0"/>
            <w:tcMar>
              <w:top w:w="0" w:type="dxa"/>
              <w:left w:w="0" w:type="dxa"/>
              <w:bottom w:w="0" w:type="dxa"/>
              <w:right w:w="0" w:type="dxa"/>
            </w:tcMar>
            <w:vAlign w:val="center"/>
          </w:tcPr>
          <w:p w14:paraId="47AF7C9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rPr>
            </w:pPr>
          </w:p>
        </w:tc>
      </w:tr>
      <w:tr w14:paraId="5E2BED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263" w:hRule="atLeast"/>
          <w:jc w:val="center"/>
        </w:trPr>
        <w:tc>
          <w:tcPr>
            <w:tcW w:w="156" w:type="pct"/>
            <w:vMerge w:val="continue"/>
            <w:noWrap w:val="0"/>
            <w:tcMar>
              <w:top w:w="0" w:type="dxa"/>
              <w:left w:w="0" w:type="dxa"/>
              <w:bottom w:w="0" w:type="dxa"/>
              <w:right w:w="0" w:type="dxa"/>
            </w:tcMar>
            <w:vAlign w:val="center"/>
          </w:tcPr>
          <w:p w14:paraId="0D44AAA9">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p>
        </w:tc>
        <w:tc>
          <w:tcPr>
            <w:tcW w:w="415" w:type="pct"/>
            <w:vMerge w:val="continue"/>
            <w:noWrap w:val="0"/>
            <w:tcMar>
              <w:top w:w="0" w:type="dxa"/>
              <w:left w:w="0" w:type="dxa"/>
              <w:bottom w:w="0" w:type="dxa"/>
              <w:right w:w="0" w:type="dxa"/>
            </w:tcMar>
            <w:vAlign w:val="center"/>
          </w:tcPr>
          <w:p w14:paraId="5C432C0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446786F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31C0A10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174" w:type="pct"/>
            <w:noWrap w:val="0"/>
            <w:tcMar>
              <w:top w:w="0" w:type="dxa"/>
              <w:left w:w="0" w:type="dxa"/>
              <w:bottom w:w="0" w:type="dxa"/>
              <w:right w:w="0" w:type="dxa"/>
            </w:tcMar>
            <w:vAlign w:val="center"/>
          </w:tcPr>
          <w:p w14:paraId="3960E41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一般</w:t>
            </w:r>
          </w:p>
        </w:tc>
        <w:tc>
          <w:tcPr>
            <w:tcW w:w="561" w:type="pct"/>
            <w:noWrap w:val="0"/>
            <w:tcMar>
              <w:top w:w="0" w:type="dxa"/>
              <w:left w:w="0" w:type="dxa"/>
              <w:bottom w:w="0" w:type="dxa"/>
              <w:right w:w="0" w:type="dxa"/>
            </w:tcMar>
            <w:vAlign w:val="center"/>
          </w:tcPr>
          <w:p w14:paraId="6E4A33C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rPr>
              <w:t>迫使承包方以低于成本的价格竞标的幅度低于10﹪的</w:t>
            </w:r>
          </w:p>
        </w:tc>
        <w:tc>
          <w:tcPr>
            <w:tcW w:w="873" w:type="pct"/>
            <w:noWrap w:val="0"/>
            <w:tcMar>
              <w:top w:w="0" w:type="dxa"/>
              <w:left w:w="0" w:type="dxa"/>
              <w:bottom w:w="0" w:type="dxa"/>
              <w:right w:w="0" w:type="dxa"/>
            </w:tcMar>
            <w:vAlign w:val="center"/>
          </w:tcPr>
          <w:p w14:paraId="045974D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rPr>
              <w:t>处20万元以上25万元以下的罚款，对单位直接负责的主管人员和其他直接责任人员处单位罚款数额</w:t>
            </w:r>
            <w:r>
              <w:rPr>
                <w:rFonts w:hint="eastAsia" w:ascii="宋体" w:hAnsi="宋体" w:eastAsia="宋体" w:cs="宋体"/>
                <w:sz w:val="18"/>
                <w:szCs w:val="18"/>
                <w:vertAlign w:val="baseline"/>
                <w:lang w:val="en-US" w:eastAsia="zh-CN"/>
              </w:rPr>
              <w:t>5%</w:t>
            </w:r>
            <w:r>
              <w:rPr>
                <w:rFonts w:hint="eastAsia" w:ascii="宋体" w:hAnsi="宋体" w:eastAsia="宋体" w:cs="宋体"/>
                <w:sz w:val="18"/>
                <w:szCs w:val="18"/>
                <w:vertAlign w:val="baseline"/>
              </w:rPr>
              <w:t>以上</w:t>
            </w:r>
            <w:r>
              <w:rPr>
                <w:rFonts w:hint="eastAsia" w:ascii="宋体" w:hAnsi="宋体" w:eastAsia="宋体" w:cs="宋体"/>
                <w:sz w:val="18"/>
                <w:szCs w:val="18"/>
                <w:vertAlign w:val="baseline"/>
                <w:lang w:val="en-US" w:eastAsia="zh-CN"/>
              </w:rPr>
              <w:t>6.5%</w:t>
            </w:r>
            <w:r>
              <w:rPr>
                <w:rFonts w:hint="eastAsia" w:ascii="宋体" w:hAnsi="宋体" w:eastAsia="宋体" w:cs="宋体"/>
                <w:sz w:val="18"/>
                <w:szCs w:val="18"/>
                <w:vertAlign w:val="baseline"/>
              </w:rPr>
              <w:t>以下的罚款</w:t>
            </w:r>
          </w:p>
        </w:tc>
        <w:tc>
          <w:tcPr>
            <w:tcW w:w="158" w:type="pct"/>
            <w:vMerge w:val="continue"/>
            <w:noWrap w:val="0"/>
            <w:tcMar>
              <w:top w:w="0" w:type="dxa"/>
              <w:left w:w="0" w:type="dxa"/>
              <w:bottom w:w="0" w:type="dxa"/>
              <w:right w:w="0" w:type="dxa"/>
            </w:tcMar>
            <w:vAlign w:val="center"/>
          </w:tcPr>
          <w:p w14:paraId="44EAF18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rPr>
            </w:pPr>
          </w:p>
        </w:tc>
      </w:tr>
      <w:tr w14:paraId="676E3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419" w:hRule="atLeast"/>
          <w:jc w:val="center"/>
        </w:trPr>
        <w:tc>
          <w:tcPr>
            <w:tcW w:w="156" w:type="pct"/>
            <w:vMerge w:val="continue"/>
            <w:noWrap w:val="0"/>
            <w:tcMar>
              <w:top w:w="0" w:type="dxa"/>
              <w:left w:w="0" w:type="dxa"/>
              <w:bottom w:w="0" w:type="dxa"/>
              <w:right w:w="0" w:type="dxa"/>
            </w:tcMar>
            <w:vAlign w:val="center"/>
          </w:tcPr>
          <w:p w14:paraId="4470B66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p>
        </w:tc>
        <w:tc>
          <w:tcPr>
            <w:tcW w:w="415" w:type="pct"/>
            <w:vMerge w:val="continue"/>
            <w:noWrap w:val="0"/>
            <w:tcMar>
              <w:top w:w="0" w:type="dxa"/>
              <w:left w:w="0" w:type="dxa"/>
              <w:bottom w:w="0" w:type="dxa"/>
              <w:right w:w="0" w:type="dxa"/>
            </w:tcMar>
            <w:vAlign w:val="center"/>
          </w:tcPr>
          <w:p w14:paraId="0B7DF317">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3569A8B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0D7A599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174" w:type="pct"/>
            <w:noWrap w:val="0"/>
            <w:tcMar>
              <w:top w:w="0" w:type="dxa"/>
              <w:left w:w="0" w:type="dxa"/>
              <w:bottom w:w="0" w:type="dxa"/>
              <w:right w:w="0" w:type="dxa"/>
            </w:tcMar>
            <w:vAlign w:val="center"/>
          </w:tcPr>
          <w:p w14:paraId="1D59CF5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较重</w:t>
            </w:r>
          </w:p>
        </w:tc>
        <w:tc>
          <w:tcPr>
            <w:tcW w:w="561" w:type="pct"/>
            <w:noWrap w:val="0"/>
            <w:tcMar>
              <w:top w:w="0" w:type="dxa"/>
              <w:left w:w="0" w:type="dxa"/>
              <w:bottom w:w="0" w:type="dxa"/>
              <w:right w:w="0" w:type="dxa"/>
            </w:tcMar>
            <w:vAlign w:val="center"/>
          </w:tcPr>
          <w:p w14:paraId="31DDCA1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rPr>
            </w:pPr>
            <w:r>
              <w:rPr>
                <w:rFonts w:hint="eastAsia" w:ascii="宋体" w:hAnsi="宋体" w:eastAsia="宋体" w:cs="宋体"/>
                <w:sz w:val="18"/>
                <w:szCs w:val="18"/>
                <w:vertAlign w:val="baseline"/>
              </w:rPr>
              <w:t>迫使承包方以低于成本的价格竞标的幅度高于10﹪低于20﹪的</w:t>
            </w:r>
          </w:p>
        </w:tc>
        <w:tc>
          <w:tcPr>
            <w:tcW w:w="873" w:type="pct"/>
            <w:noWrap w:val="0"/>
            <w:tcMar>
              <w:top w:w="0" w:type="dxa"/>
              <w:left w:w="0" w:type="dxa"/>
              <w:bottom w:w="0" w:type="dxa"/>
              <w:right w:w="0" w:type="dxa"/>
            </w:tcMar>
            <w:vAlign w:val="center"/>
          </w:tcPr>
          <w:p w14:paraId="2C3CC12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rPr>
            </w:pPr>
            <w:r>
              <w:rPr>
                <w:rFonts w:hint="eastAsia" w:ascii="宋体" w:hAnsi="宋体" w:eastAsia="宋体" w:cs="宋体"/>
                <w:sz w:val="18"/>
                <w:szCs w:val="18"/>
                <w:vertAlign w:val="baseline"/>
              </w:rPr>
              <w:t>处25万元以上40万元以下的罚款，对单位直接负责的主管人员和其他直接责任人员处单位罚款数额</w:t>
            </w:r>
            <w:r>
              <w:rPr>
                <w:rFonts w:hint="eastAsia" w:ascii="宋体" w:hAnsi="宋体" w:eastAsia="宋体" w:cs="宋体"/>
                <w:sz w:val="18"/>
                <w:szCs w:val="18"/>
                <w:vertAlign w:val="baseline"/>
                <w:lang w:val="en-US" w:eastAsia="zh-CN"/>
              </w:rPr>
              <w:t>6.5%</w:t>
            </w:r>
            <w:r>
              <w:rPr>
                <w:rFonts w:hint="eastAsia" w:ascii="宋体" w:hAnsi="宋体" w:eastAsia="宋体" w:cs="宋体"/>
                <w:sz w:val="18"/>
                <w:szCs w:val="18"/>
                <w:vertAlign w:val="baseline"/>
              </w:rPr>
              <w:t>以上</w:t>
            </w:r>
            <w:r>
              <w:rPr>
                <w:rFonts w:hint="eastAsia" w:ascii="宋体" w:hAnsi="宋体" w:eastAsia="宋体" w:cs="宋体"/>
                <w:sz w:val="18"/>
                <w:szCs w:val="18"/>
                <w:vertAlign w:val="baseline"/>
                <w:lang w:val="en-US" w:eastAsia="zh-CN"/>
              </w:rPr>
              <w:t>8.5%</w:t>
            </w:r>
            <w:r>
              <w:rPr>
                <w:rFonts w:hint="eastAsia" w:ascii="宋体" w:hAnsi="宋体" w:eastAsia="宋体" w:cs="宋体"/>
                <w:sz w:val="18"/>
                <w:szCs w:val="18"/>
                <w:vertAlign w:val="baseline"/>
              </w:rPr>
              <w:t>以下的罚款</w:t>
            </w:r>
          </w:p>
        </w:tc>
        <w:tc>
          <w:tcPr>
            <w:tcW w:w="158" w:type="pct"/>
            <w:vMerge w:val="continue"/>
            <w:noWrap w:val="0"/>
            <w:tcMar>
              <w:top w:w="0" w:type="dxa"/>
              <w:left w:w="0" w:type="dxa"/>
              <w:bottom w:w="0" w:type="dxa"/>
              <w:right w:w="0" w:type="dxa"/>
            </w:tcMar>
            <w:vAlign w:val="center"/>
          </w:tcPr>
          <w:p w14:paraId="76F2286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rPr>
            </w:pPr>
          </w:p>
        </w:tc>
      </w:tr>
      <w:tr w14:paraId="5DC805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250" w:hRule="atLeast"/>
          <w:jc w:val="center"/>
        </w:trPr>
        <w:tc>
          <w:tcPr>
            <w:tcW w:w="156" w:type="pct"/>
            <w:vMerge w:val="continue"/>
            <w:noWrap w:val="0"/>
            <w:tcMar>
              <w:top w:w="0" w:type="dxa"/>
              <w:left w:w="0" w:type="dxa"/>
              <w:bottom w:w="0" w:type="dxa"/>
              <w:right w:w="0" w:type="dxa"/>
            </w:tcMar>
            <w:vAlign w:val="center"/>
          </w:tcPr>
          <w:p w14:paraId="11CD2C0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p>
        </w:tc>
        <w:tc>
          <w:tcPr>
            <w:tcW w:w="415" w:type="pct"/>
            <w:vMerge w:val="continue"/>
            <w:noWrap w:val="0"/>
            <w:tcMar>
              <w:top w:w="0" w:type="dxa"/>
              <w:left w:w="0" w:type="dxa"/>
              <w:bottom w:w="0" w:type="dxa"/>
              <w:right w:w="0" w:type="dxa"/>
            </w:tcMar>
            <w:vAlign w:val="center"/>
          </w:tcPr>
          <w:p w14:paraId="7ACDF04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0CAD5B0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394F83C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174" w:type="pct"/>
            <w:noWrap w:val="0"/>
            <w:tcMar>
              <w:top w:w="0" w:type="dxa"/>
              <w:left w:w="0" w:type="dxa"/>
              <w:bottom w:w="0" w:type="dxa"/>
              <w:right w:w="0" w:type="dxa"/>
            </w:tcMar>
            <w:vAlign w:val="center"/>
          </w:tcPr>
          <w:p w14:paraId="4FA69438">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严重</w:t>
            </w:r>
          </w:p>
        </w:tc>
        <w:tc>
          <w:tcPr>
            <w:tcW w:w="561" w:type="pct"/>
            <w:noWrap w:val="0"/>
            <w:tcMar>
              <w:top w:w="0" w:type="dxa"/>
              <w:left w:w="0" w:type="dxa"/>
              <w:bottom w:w="0" w:type="dxa"/>
              <w:right w:w="0" w:type="dxa"/>
            </w:tcMar>
            <w:vAlign w:val="center"/>
          </w:tcPr>
          <w:p w14:paraId="16E23E4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rPr>
            </w:pPr>
            <w:r>
              <w:rPr>
                <w:rFonts w:hint="eastAsia" w:ascii="宋体" w:hAnsi="宋体" w:eastAsia="宋体" w:cs="宋体"/>
                <w:sz w:val="18"/>
                <w:szCs w:val="18"/>
                <w:vertAlign w:val="baseline"/>
              </w:rPr>
              <w:t>迫使承包方以低于成本的价格竞标的幅度高于20%的；发生质量安全事故的</w:t>
            </w:r>
          </w:p>
        </w:tc>
        <w:tc>
          <w:tcPr>
            <w:tcW w:w="873" w:type="pct"/>
            <w:noWrap w:val="0"/>
            <w:tcMar>
              <w:top w:w="0" w:type="dxa"/>
              <w:left w:w="0" w:type="dxa"/>
              <w:bottom w:w="0" w:type="dxa"/>
              <w:right w:w="0" w:type="dxa"/>
            </w:tcMar>
            <w:vAlign w:val="center"/>
          </w:tcPr>
          <w:p w14:paraId="29A0237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rPr>
            </w:pPr>
            <w:r>
              <w:rPr>
                <w:rFonts w:hint="eastAsia" w:ascii="宋体" w:hAnsi="宋体" w:eastAsia="宋体" w:cs="宋体"/>
                <w:sz w:val="18"/>
                <w:szCs w:val="18"/>
                <w:vertAlign w:val="baseline"/>
              </w:rPr>
              <w:t>处40万元以上50万元以下的罚款，对单位直接负责的主管人员和其他直接责任人员处单位罚款数额</w:t>
            </w:r>
            <w:r>
              <w:rPr>
                <w:rFonts w:hint="eastAsia" w:ascii="宋体" w:hAnsi="宋体" w:eastAsia="宋体" w:cs="宋体"/>
                <w:sz w:val="18"/>
                <w:szCs w:val="18"/>
                <w:vertAlign w:val="baseline"/>
                <w:lang w:val="en-US" w:eastAsia="zh-CN"/>
              </w:rPr>
              <w:t>8.5%</w:t>
            </w:r>
            <w:r>
              <w:rPr>
                <w:rFonts w:hint="eastAsia" w:ascii="宋体" w:hAnsi="宋体" w:eastAsia="宋体" w:cs="宋体"/>
                <w:sz w:val="18"/>
                <w:szCs w:val="18"/>
                <w:vertAlign w:val="baseline"/>
              </w:rPr>
              <w:t>以上</w:t>
            </w:r>
            <w:r>
              <w:rPr>
                <w:rFonts w:hint="eastAsia" w:ascii="宋体" w:hAnsi="宋体" w:eastAsia="宋体" w:cs="宋体"/>
                <w:sz w:val="18"/>
                <w:szCs w:val="18"/>
                <w:vertAlign w:val="baseline"/>
                <w:lang w:val="en-US" w:eastAsia="zh-CN"/>
              </w:rPr>
              <w:t>10%</w:t>
            </w:r>
            <w:r>
              <w:rPr>
                <w:rFonts w:hint="eastAsia" w:ascii="宋体" w:hAnsi="宋体" w:eastAsia="宋体" w:cs="宋体"/>
                <w:sz w:val="18"/>
                <w:szCs w:val="18"/>
                <w:vertAlign w:val="baseline"/>
              </w:rPr>
              <w:t>以下的罚款</w:t>
            </w:r>
          </w:p>
        </w:tc>
        <w:tc>
          <w:tcPr>
            <w:tcW w:w="158" w:type="pct"/>
            <w:vMerge w:val="continue"/>
            <w:noWrap w:val="0"/>
            <w:tcMar>
              <w:top w:w="0" w:type="dxa"/>
              <w:left w:w="0" w:type="dxa"/>
              <w:bottom w:w="0" w:type="dxa"/>
              <w:right w:w="0" w:type="dxa"/>
            </w:tcMar>
            <w:vAlign w:val="center"/>
          </w:tcPr>
          <w:p w14:paraId="19E9AEDA">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rPr>
            </w:pPr>
          </w:p>
        </w:tc>
      </w:tr>
      <w:tr w14:paraId="0BA8FE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156" w:type="pct"/>
            <w:vMerge w:val="restart"/>
            <w:noWrap w:val="0"/>
            <w:tcMar>
              <w:top w:w="0" w:type="dxa"/>
              <w:left w:w="0" w:type="dxa"/>
              <w:bottom w:w="0" w:type="dxa"/>
              <w:right w:w="0" w:type="dxa"/>
            </w:tcMar>
            <w:vAlign w:val="center"/>
          </w:tcPr>
          <w:p w14:paraId="45A1C951">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r>
              <w:rPr>
                <w:rFonts w:hint="eastAsia" w:ascii="宋体" w:hAnsi="宋体" w:eastAsia="宋体" w:cs="宋体"/>
                <w:sz w:val="18"/>
                <w:szCs w:val="18"/>
                <w:vertAlign w:val="baseline"/>
                <w:lang w:val="en-US" w:eastAsia="zh-CN"/>
              </w:rPr>
              <w:t>61</w:t>
            </w:r>
          </w:p>
        </w:tc>
        <w:tc>
          <w:tcPr>
            <w:tcW w:w="415" w:type="pct"/>
            <w:vMerge w:val="restart"/>
            <w:noWrap w:val="0"/>
            <w:tcMar>
              <w:top w:w="0" w:type="dxa"/>
              <w:left w:w="0" w:type="dxa"/>
              <w:bottom w:w="0" w:type="dxa"/>
              <w:right w:w="0" w:type="dxa"/>
            </w:tcMar>
            <w:vAlign w:val="center"/>
          </w:tcPr>
          <w:p w14:paraId="142553EC">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r>
              <w:rPr>
                <w:rFonts w:hint="eastAsia" w:ascii="宋体" w:hAnsi="宋体" w:eastAsia="宋体" w:cs="宋体"/>
                <w:i w:val="0"/>
                <w:color w:val="000000"/>
                <w:kern w:val="0"/>
                <w:sz w:val="18"/>
                <w:szCs w:val="18"/>
                <w:u w:val="none"/>
                <w:lang w:val="en-US" w:eastAsia="zh-CN" w:bidi="ar"/>
              </w:rPr>
              <w:t>对水利领域建设单位迫使承包方以低于成本的价格竞标、任意压缩合理工期等行为的行政处罚</w:t>
            </w:r>
          </w:p>
        </w:tc>
        <w:tc>
          <w:tcPr>
            <w:tcW w:w="2168" w:type="pct"/>
            <w:vMerge w:val="continue"/>
            <w:noWrap w:val="0"/>
            <w:tcMar>
              <w:top w:w="0" w:type="dxa"/>
              <w:left w:w="0" w:type="dxa"/>
              <w:bottom w:w="0" w:type="dxa"/>
              <w:right w:w="0" w:type="dxa"/>
            </w:tcMar>
            <w:vAlign w:val="center"/>
          </w:tcPr>
          <w:p w14:paraId="60D815F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491" w:type="pct"/>
            <w:vMerge w:val="restart"/>
            <w:noWrap w:val="0"/>
            <w:tcMar>
              <w:top w:w="0" w:type="dxa"/>
              <w:left w:w="0" w:type="dxa"/>
              <w:bottom w:w="0" w:type="dxa"/>
              <w:right w:w="0" w:type="dxa"/>
            </w:tcMar>
            <w:vAlign w:val="center"/>
          </w:tcPr>
          <w:p w14:paraId="41DFDD5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r>
              <w:rPr>
                <w:rFonts w:hint="eastAsia" w:ascii="宋体" w:hAnsi="宋体" w:eastAsia="宋体" w:cs="宋体"/>
                <w:i w:val="0"/>
                <w:color w:val="000000"/>
                <w:kern w:val="0"/>
                <w:sz w:val="18"/>
                <w:szCs w:val="18"/>
                <w:u w:val="none"/>
                <w:lang w:val="en-US" w:eastAsia="zh-CN" w:bidi="ar"/>
              </w:rPr>
              <w:t>水利领域建设单位任意压缩合理工期的</w:t>
            </w:r>
          </w:p>
        </w:tc>
        <w:tc>
          <w:tcPr>
            <w:tcW w:w="174" w:type="pct"/>
            <w:noWrap w:val="0"/>
            <w:tcMar>
              <w:top w:w="0" w:type="dxa"/>
              <w:left w:w="0" w:type="dxa"/>
              <w:bottom w:w="0" w:type="dxa"/>
              <w:right w:w="0" w:type="dxa"/>
            </w:tcMar>
            <w:vAlign w:val="center"/>
          </w:tcPr>
          <w:p w14:paraId="2B3DA18A">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r>
              <w:rPr>
                <w:rFonts w:hint="eastAsia" w:ascii="宋体" w:hAnsi="宋体" w:eastAsia="宋体" w:cs="宋体"/>
                <w:sz w:val="18"/>
                <w:szCs w:val="18"/>
                <w:vertAlign w:val="baseline"/>
                <w:lang w:val="en-US" w:eastAsia="zh-CN"/>
              </w:rPr>
              <w:t>轻微</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350C66F7">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6D37BC7B">
            <w:pPr>
              <w:spacing w:line="260" w:lineRule="exact"/>
              <w:rPr>
                <w:rFonts w:hint="eastAsia" w:ascii="宋体" w:hAnsi="宋体" w:eastAsia="宋体" w:cs="宋体"/>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52CDB8C1">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507E5DD9">
            <w:pPr>
              <w:spacing w:line="260" w:lineRule="exact"/>
              <w:rPr>
                <w:rFonts w:hint="eastAsia" w:ascii="宋体" w:hAnsi="宋体" w:eastAsia="宋体" w:cs="宋体"/>
                <w:sz w:val="18"/>
                <w:szCs w:val="18"/>
                <w:vertAlign w:val="baseline"/>
              </w:rPr>
            </w:pPr>
          </w:p>
        </w:tc>
        <w:tc>
          <w:tcPr>
            <w:tcW w:w="158" w:type="pct"/>
            <w:vMerge w:val="restart"/>
            <w:noWrap w:val="0"/>
            <w:tcMar>
              <w:top w:w="0" w:type="dxa"/>
              <w:left w:w="0" w:type="dxa"/>
              <w:bottom w:w="0" w:type="dxa"/>
              <w:right w:w="0" w:type="dxa"/>
            </w:tcMar>
            <w:vAlign w:val="center"/>
          </w:tcPr>
          <w:p w14:paraId="15B7CF29">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p>
        </w:tc>
      </w:tr>
      <w:tr w14:paraId="3EC1BF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156" w:type="pct"/>
            <w:vMerge w:val="continue"/>
            <w:noWrap w:val="0"/>
            <w:tcMar>
              <w:top w:w="0" w:type="dxa"/>
              <w:left w:w="0" w:type="dxa"/>
              <w:bottom w:w="0" w:type="dxa"/>
              <w:right w:w="0" w:type="dxa"/>
            </w:tcMar>
            <w:vAlign w:val="center"/>
          </w:tcPr>
          <w:p w14:paraId="15D41E6A">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p>
        </w:tc>
        <w:tc>
          <w:tcPr>
            <w:tcW w:w="415" w:type="pct"/>
            <w:vMerge w:val="continue"/>
            <w:noWrap w:val="0"/>
            <w:tcMar>
              <w:top w:w="0" w:type="dxa"/>
              <w:left w:w="0" w:type="dxa"/>
              <w:bottom w:w="0" w:type="dxa"/>
              <w:right w:w="0" w:type="dxa"/>
            </w:tcMar>
            <w:vAlign w:val="center"/>
          </w:tcPr>
          <w:p w14:paraId="62F5789C">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263D34D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510E6CF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174" w:type="pct"/>
            <w:noWrap w:val="0"/>
            <w:tcMar>
              <w:top w:w="0" w:type="dxa"/>
              <w:left w:w="0" w:type="dxa"/>
              <w:bottom w:w="0" w:type="dxa"/>
              <w:right w:w="0" w:type="dxa"/>
            </w:tcMar>
            <w:vAlign w:val="center"/>
          </w:tcPr>
          <w:p w14:paraId="5698BDF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r>
              <w:rPr>
                <w:rFonts w:hint="eastAsia" w:ascii="宋体" w:hAnsi="宋体" w:eastAsia="宋体" w:cs="宋体"/>
                <w:sz w:val="18"/>
                <w:szCs w:val="18"/>
                <w:vertAlign w:val="baseline"/>
                <w:lang w:val="en-US" w:eastAsia="zh-CN"/>
              </w:rPr>
              <w:t>较轻</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66FFC040">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2BF983C3">
            <w:pPr>
              <w:spacing w:line="260" w:lineRule="exact"/>
              <w:rPr>
                <w:rFonts w:hint="eastAsia" w:ascii="宋体" w:hAnsi="宋体" w:eastAsia="宋体" w:cs="宋体"/>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5BD2D84C">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0EA9BFD6">
            <w:pPr>
              <w:spacing w:line="260" w:lineRule="exact"/>
              <w:rPr>
                <w:rFonts w:hint="eastAsia" w:ascii="宋体" w:hAnsi="宋体" w:eastAsia="宋体" w:cs="宋体"/>
                <w:sz w:val="18"/>
                <w:szCs w:val="18"/>
                <w:vertAlign w:val="baseline"/>
              </w:rPr>
            </w:pPr>
          </w:p>
        </w:tc>
        <w:tc>
          <w:tcPr>
            <w:tcW w:w="158" w:type="pct"/>
            <w:vMerge w:val="continue"/>
            <w:noWrap w:val="0"/>
            <w:tcMar>
              <w:top w:w="0" w:type="dxa"/>
              <w:left w:w="0" w:type="dxa"/>
              <w:bottom w:w="0" w:type="dxa"/>
              <w:right w:w="0" w:type="dxa"/>
            </w:tcMar>
            <w:vAlign w:val="center"/>
          </w:tcPr>
          <w:p w14:paraId="304045CC">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rPr>
            </w:pPr>
          </w:p>
        </w:tc>
      </w:tr>
      <w:tr w14:paraId="0A1340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0BC4657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p>
        </w:tc>
        <w:tc>
          <w:tcPr>
            <w:tcW w:w="415" w:type="pct"/>
            <w:vMerge w:val="continue"/>
            <w:noWrap w:val="0"/>
            <w:tcMar>
              <w:top w:w="0" w:type="dxa"/>
              <w:left w:w="0" w:type="dxa"/>
              <w:bottom w:w="0" w:type="dxa"/>
              <w:right w:w="0" w:type="dxa"/>
            </w:tcMar>
            <w:vAlign w:val="center"/>
          </w:tcPr>
          <w:p w14:paraId="3CD30B17">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2D0F1AE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18588F3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174" w:type="pct"/>
            <w:noWrap w:val="0"/>
            <w:tcMar>
              <w:top w:w="0" w:type="dxa"/>
              <w:left w:w="0" w:type="dxa"/>
              <w:bottom w:w="0" w:type="dxa"/>
              <w:right w:w="0" w:type="dxa"/>
            </w:tcMar>
            <w:vAlign w:val="center"/>
          </w:tcPr>
          <w:p w14:paraId="305AC79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r>
              <w:rPr>
                <w:rFonts w:hint="eastAsia" w:ascii="宋体" w:hAnsi="宋体" w:eastAsia="宋体" w:cs="宋体"/>
                <w:sz w:val="18"/>
                <w:szCs w:val="18"/>
                <w:vertAlign w:val="baseline"/>
                <w:lang w:val="en-US" w:eastAsia="zh-CN"/>
              </w:rPr>
              <w:t>一般</w:t>
            </w:r>
          </w:p>
        </w:tc>
        <w:tc>
          <w:tcPr>
            <w:tcW w:w="561" w:type="pct"/>
            <w:noWrap w:val="0"/>
            <w:tcMar>
              <w:top w:w="0" w:type="dxa"/>
              <w:left w:w="0" w:type="dxa"/>
              <w:bottom w:w="0" w:type="dxa"/>
              <w:right w:w="0" w:type="dxa"/>
            </w:tcMar>
            <w:vAlign w:val="center"/>
          </w:tcPr>
          <w:p w14:paraId="1629449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rPr>
              <w:t>任意压缩合理工期的幅度在10%以下的</w:t>
            </w:r>
          </w:p>
        </w:tc>
        <w:tc>
          <w:tcPr>
            <w:tcW w:w="873" w:type="pct"/>
            <w:noWrap w:val="0"/>
            <w:tcMar>
              <w:top w:w="0" w:type="dxa"/>
              <w:left w:w="0" w:type="dxa"/>
              <w:bottom w:w="0" w:type="dxa"/>
              <w:right w:w="0" w:type="dxa"/>
            </w:tcMar>
            <w:vAlign w:val="center"/>
          </w:tcPr>
          <w:p w14:paraId="269A63CE">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rPr>
              <w:t>处20万元以上25万元以下的罚款，对单位直接负责的主管人员和其他直接责任人员处单位罚款数额</w:t>
            </w:r>
            <w:r>
              <w:rPr>
                <w:rFonts w:hint="eastAsia" w:ascii="宋体" w:hAnsi="宋体" w:eastAsia="宋体" w:cs="宋体"/>
                <w:sz w:val="18"/>
                <w:szCs w:val="18"/>
                <w:vertAlign w:val="baseline"/>
                <w:lang w:val="en-US" w:eastAsia="zh-CN"/>
              </w:rPr>
              <w:t>5%</w:t>
            </w:r>
            <w:r>
              <w:rPr>
                <w:rFonts w:hint="eastAsia" w:ascii="宋体" w:hAnsi="宋体" w:eastAsia="宋体" w:cs="宋体"/>
                <w:sz w:val="18"/>
                <w:szCs w:val="18"/>
                <w:vertAlign w:val="baseline"/>
              </w:rPr>
              <w:t>以上</w:t>
            </w:r>
            <w:r>
              <w:rPr>
                <w:rFonts w:hint="eastAsia" w:ascii="宋体" w:hAnsi="宋体" w:eastAsia="宋体" w:cs="宋体"/>
                <w:sz w:val="18"/>
                <w:szCs w:val="18"/>
                <w:vertAlign w:val="baseline"/>
                <w:lang w:val="en-US" w:eastAsia="zh-CN"/>
              </w:rPr>
              <w:t>6.5%</w:t>
            </w:r>
            <w:r>
              <w:rPr>
                <w:rFonts w:hint="eastAsia" w:ascii="宋体" w:hAnsi="宋体" w:eastAsia="宋体" w:cs="宋体"/>
                <w:sz w:val="18"/>
                <w:szCs w:val="18"/>
                <w:vertAlign w:val="baseline"/>
              </w:rPr>
              <w:t>以下的罚款</w:t>
            </w:r>
          </w:p>
        </w:tc>
        <w:tc>
          <w:tcPr>
            <w:tcW w:w="158" w:type="pct"/>
            <w:vMerge w:val="continue"/>
            <w:noWrap w:val="0"/>
            <w:tcMar>
              <w:top w:w="0" w:type="dxa"/>
              <w:left w:w="0" w:type="dxa"/>
              <w:bottom w:w="0" w:type="dxa"/>
              <w:right w:w="0" w:type="dxa"/>
            </w:tcMar>
            <w:vAlign w:val="center"/>
          </w:tcPr>
          <w:p w14:paraId="7D9FB6FB">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rPr>
            </w:pPr>
          </w:p>
        </w:tc>
      </w:tr>
      <w:tr w14:paraId="3A518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33E94FED">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p>
        </w:tc>
        <w:tc>
          <w:tcPr>
            <w:tcW w:w="415" w:type="pct"/>
            <w:vMerge w:val="continue"/>
            <w:noWrap w:val="0"/>
            <w:tcMar>
              <w:top w:w="0" w:type="dxa"/>
              <w:left w:w="0" w:type="dxa"/>
              <w:bottom w:w="0" w:type="dxa"/>
              <w:right w:w="0" w:type="dxa"/>
            </w:tcMar>
            <w:vAlign w:val="center"/>
          </w:tcPr>
          <w:p w14:paraId="3C17BDB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6C2F015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1EBEC76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174" w:type="pct"/>
            <w:noWrap w:val="0"/>
            <w:tcMar>
              <w:top w:w="0" w:type="dxa"/>
              <w:left w:w="0" w:type="dxa"/>
              <w:bottom w:w="0" w:type="dxa"/>
              <w:right w:w="0" w:type="dxa"/>
            </w:tcMar>
            <w:vAlign w:val="center"/>
          </w:tcPr>
          <w:p w14:paraId="4FE64A5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r>
              <w:rPr>
                <w:rFonts w:hint="eastAsia" w:ascii="宋体" w:hAnsi="宋体" w:eastAsia="宋体" w:cs="宋体"/>
                <w:sz w:val="18"/>
                <w:szCs w:val="18"/>
                <w:vertAlign w:val="baseline"/>
                <w:lang w:val="en-US" w:eastAsia="zh-CN"/>
              </w:rPr>
              <w:t>较重</w:t>
            </w:r>
          </w:p>
        </w:tc>
        <w:tc>
          <w:tcPr>
            <w:tcW w:w="561" w:type="pct"/>
            <w:noWrap w:val="0"/>
            <w:tcMar>
              <w:top w:w="0" w:type="dxa"/>
              <w:left w:w="0" w:type="dxa"/>
              <w:bottom w:w="0" w:type="dxa"/>
              <w:right w:w="0" w:type="dxa"/>
            </w:tcMar>
            <w:vAlign w:val="center"/>
          </w:tcPr>
          <w:p w14:paraId="3DA32087">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rPr>
            </w:pPr>
            <w:r>
              <w:rPr>
                <w:rFonts w:hint="eastAsia" w:ascii="宋体" w:hAnsi="宋体" w:eastAsia="宋体" w:cs="宋体"/>
                <w:sz w:val="18"/>
                <w:szCs w:val="18"/>
                <w:vertAlign w:val="baseline"/>
              </w:rPr>
              <w:t>任意压缩合理工期的幅度在10%以上20%以下的</w:t>
            </w:r>
          </w:p>
        </w:tc>
        <w:tc>
          <w:tcPr>
            <w:tcW w:w="873" w:type="pct"/>
            <w:noWrap w:val="0"/>
            <w:tcMar>
              <w:top w:w="0" w:type="dxa"/>
              <w:left w:w="0" w:type="dxa"/>
              <w:bottom w:w="0" w:type="dxa"/>
              <w:right w:w="0" w:type="dxa"/>
            </w:tcMar>
            <w:vAlign w:val="center"/>
          </w:tcPr>
          <w:p w14:paraId="09AD9BE9">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sz w:val="18"/>
                <w:szCs w:val="18"/>
                <w:vertAlign w:val="baseline"/>
              </w:rPr>
            </w:pPr>
            <w:r>
              <w:rPr>
                <w:rFonts w:hint="eastAsia" w:ascii="宋体" w:hAnsi="宋体" w:eastAsia="宋体" w:cs="宋体"/>
                <w:sz w:val="18"/>
                <w:szCs w:val="18"/>
                <w:vertAlign w:val="baseline"/>
              </w:rPr>
              <w:t>处25万元以上40万元以下的罚款，对单位直接负责的主管人员和其他直接责任人员处单位罚款数额</w:t>
            </w:r>
            <w:r>
              <w:rPr>
                <w:rFonts w:hint="eastAsia" w:ascii="宋体" w:hAnsi="宋体" w:eastAsia="宋体" w:cs="宋体"/>
                <w:sz w:val="18"/>
                <w:szCs w:val="18"/>
                <w:vertAlign w:val="baseline"/>
                <w:lang w:val="en-US" w:eastAsia="zh-CN"/>
              </w:rPr>
              <w:t>6.5%</w:t>
            </w:r>
            <w:r>
              <w:rPr>
                <w:rFonts w:hint="eastAsia" w:ascii="宋体" w:hAnsi="宋体" w:eastAsia="宋体" w:cs="宋体"/>
                <w:sz w:val="18"/>
                <w:szCs w:val="18"/>
                <w:vertAlign w:val="baseline"/>
              </w:rPr>
              <w:t>以上</w:t>
            </w:r>
            <w:r>
              <w:rPr>
                <w:rFonts w:hint="eastAsia" w:ascii="宋体" w:hAnsi="宋体" w:eastAsia="宋体" w:cs="宋体"/>
                <w:sz w:val="18"/>
                <w:szCs w:val="18"/>
                <w:vertAlign w:val="baseline"/>
                <w:lang w:val="en-US" w:eastAsia="zh-CN"/>
              </w:rPr>
              <w:t>8.5%</w:t>
            </w:r>
            <w:r>
              <w:rPr>
                <w:rFonts w:hint="eastAsia" w:ascii="宋体" w:hAnsi="宋体" w:eastAsia="宋体" w:cs="宋体"/>
                <w:sz w:val="18"/>
                <w:szCs w:val="18"/>
                <w:vertAlign w:val="baseline"/>
              </w:rPr>
              <w:t>以下的罚款</w:t>
            </w:r>
          </w:p>
        </w:tc>
        <w:tc>
          <w:tcPr>
            <w:tcW w:w="158" w:type="pct"/>
            <w:vMerge w:val="continue"/>
            <w:noWrap w:val="0"/>
            <w:tcMar>
              <w:top w:w="0" w:type="dxa"/>
              <w:left w:w="0" w:type="dxa"/>
              <w:bottom w:w="0" w:type="dxa"/>
              <w:right w:w="0" w:type="dxa"/>
            </w:tcMar>
            <w:vAlign w:val="center"/>
          </w:tcPr>
          <w:p w14:paraId="6240CD0B">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rPr>
            </w:pPr>
          </w:p>
        </w:tc>
      </w:tr>
      <w:tr w14:paraId="2073A3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647FBEF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p>
        </w:tc>
        <w:tc>
          <w:tcPr>
            <w:tcW w:w="415" w:type="pct"/>
            <w:vMerge w:val="continue"/>
            <w:noWrap w:val="0"/>
            <w:tcMar>
              <w:top w:w="0" w:type="dxa"/>
              <w:left w:w="0" w:type="dxa"/>
              <w:bottom w:w="0" w:type="dxa"/>
              <w:right w:w="0" w:type="dxa"/>
            </w:tcMar>
            <w:vAlign w:val="center"/>
          </w:tcPr>
          <w:p w14:paraId="209AF6D4">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0BF9274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71C2E30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174" w:type="pct"/>
            <w:noWrap w:val="0"/>
            <w:tcMar>
              <w:top w:w="0" w:type="dxa"/>
              <w:left w:w="0" w:type="dxa"/>
              <w:bottom w:w="0" w:type="dxa"/>
              <w:right w:w="0" w:type="dxa"/>
            </w:tcMar>
            <w:vAlign w:val="center"/>
          </w:tcPr>
          <w:p w14:paraId="2762B0F0">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r>
              <w:rPr>
                <w:rFonts w:hint="eastAsia" w:ascii="宋体" w:hAnsi="宋体" w:eastAsia="宋体" w:cs="宋体"/>
                <w:sz w:val="18"/>
                <w:szCs w:val="18"/>
                <w:vertAlign w:val="baseline"/>
                <w:lang w:val="en-US" w:eastAsia="zh-CN"/>
              </w:rPr>
              <w:t>严重</w:t>
            </w:r>
          </w:p>
        </w:tc>
        <w:tc>
          <w:tcPr>
            <w:tcW w:w="561" w:type="pct"/>
            <w:noWrap w:val="0"/>
            <w:tcMar>
              <w:top w:w="0" w:type="dxa"/>
              <w:left w:w="0" w:type="dxa"/>
              <w:bottom w:w="0" w:type="dxa"/>
              <w:right w:w="0" w:type="dxa"/>
            </w:tcMar>
            <w:vAlign w:val="center"/>
          </w:tcPr>
          <w:p w14:paraId="2681140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rPr>
            </w:pPr>
            <w:r>
              <w:rPr>
                <w:rFonts w:hint="eastAsia" w:ascii="宋体" w:hAnsi="宋体" w:eastAsia="宋体" w:cs="宋体"/>
                <w:sz w:val="18"/>
                <w:szCs w:val="18"/>
                <w:vertAlign w:val="baseline"/>
              </w:rPr>
              <w:t>任意压缩合理工期的幅度在20%以上的；发生质量安全事故的</w:t>
            </w:r>
          </w:p>
        </w:tc>
        <w:tc>
          <w:tcPr>
            <w:tcW w:w="873" w:type="pct"/>
            <w:noWrap w:val="0"/>
            <w:tcMar>
              <w:top w:w="0" w:type="dxa"/>
              <w:left w:w="0" w:type="dxa"/>
              <w:bottom w:w="0" w:type="dxa"/>
              <w:right w:w="0" w:type="dxa"/>
            </w:tcMar>
            <w:vAlign w:val="center"/>
          </w:tcPr>
          <w:p w14:paraId="59D510D3">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sz w:val="18"/>
                <w:szCs w:val="18"/>
                <w:vertAlign w:val="baseline"/>
              </w:rPr>
            </w:pPr>
            <w:r>
              <w:rPr>
                <w:rFonts w:hint="eastAsia" w:ascii="宋体" w:hAnsi="宋体" w:eastAsia="宋体" w:cs="宋体"/>
                <w:sz w:val="18"/>
                <w:szCs w:val="18"/>
                <w:vertAlign w:val="baseline"/>
              </w:rPr>
              <w:t>处40万元以上50万元以下的罚款，对单位直接负责的主管人员和其他直接责任人员处单位罚款数额</w:t>
            </w:r>
            <w:r>
              <w:rPr>
                <w:rFonts w:hint="eastAsia" w:ascii="宋体" w:hAnsi="宋体" w:eastAsia="宋体" w:cs="宋体"/>
                <w:sz w:val="18"/>
                <w:szCs w:val="18"/>
                <w:vertAlign w:val="baseline"/>
                <w:lang w:val="en-US" w:eastAsia="zh-CN"/>
              </w:rPr>
              <w:t>8.5%</w:t>
            </w:r>
            <w:r>
              <w:rPr>
                <w:rFonts w:hint="eastAsia" w:ascii="宋体" w:hAnsi="宋体" w:eastAsia="宋体" w:cs="宋体"/>
                <w:sz w:val="18"/>
                <w:szCs w:val="18"/>
                <w:vertAlign w:val="baseline"/>
              </w:rPr>
              <w:t>以上</w:t>
            </w:r>
            <w:r>
              <w:rPr>
                <w:rFonts w:hint="eastAsia" w:ascii="宋体" w:hAnsi="宋体" w:eastAsia="宋体" w:cs="宋体"/>
                <w:sz w:val="18"/>
                <w:szCs w:val="18"/>
                <w:vertAlign w:val="baseline"/>
                <w:lang w:val="en-US" w:eastAsia="zh-CN"/>
              </w:rPr>
              <w:t>10%</w:t>
            </w:r>
            <w:r>
              <w:rPr>
                <w:rFonts w:hint="eastAsia" w:ascii="宋体" w:hAnsi="宋体" w:eastAsia="宋体" w:cs="宋体"/>
                <w:sz w:val="18"/>
                <w:szCs w:val="18"/>
                <w:vertAlign w:val="baseline"/>
              </w:rPr>
              <w:t>以下的罚款</w:t>
            </w:r>
          </w:p>
        </w:tc>
        <w:tc>
          <w:tcPr>
            <w:tcW w:w="158" w:type="pct"/>
            <w:vMerge w:val="continue"/>
            <w:noWrap w:val="0"/>
            <w:tcMar>
              <w:top w:w="0" w:type="dxa"/>
              <w:left w:w="0" w:type="dxa"/>
              <w:bottom w:w="0" w:type="dxa"/>
              <w:right w:w="0" w:type="dxa"/>
            </w:tcMar>
            <w:vAlign w:val="center"/>
          </w:tcPr>
          <w:p w14:paraId="39E4781A">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rPr>
            </w:pPr>
          </w:p>
        </w:tc>
      </w:tr>
      <w:tr w14:paraId="5F788B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156" w:type="pct"/>
            <w:vMerge w:val="continue"/>
            <w:noWrap w:val="0"/>
            <w:tcMar>
              <w:top w:w="0" w:type="dxa"/>
              <w:left w:w="0" w:type="dxa"/>
              <w:bottom w:w="0" w:type="dxa"/>
              <w:right w:w="0" w:type="dxa"/>
            </w:tcMar>
            <w:vAlign w:val="center"/>
          </w:tcPr>
          <w:p w14:paraId="7370946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p>
        </w:tc>
        <w:tc>
          <w:tcPr>
            <w:tcW w:w="415" w:type="pct"/>
            <w:vMerge w:val="continue"/>
            <w:noWrap w:val="0"/>
            <w:tcMar>
              <w:top w:w="0" w:type="dxa"/>
              <w:left w:w="0" w:type="dxa"/>
              <w:bottom w:w="0" w:type="dxa"/>
              <w:right w:w="0" w:type="dxa"/>
            </w:tcMar>
            <w:vAlign w:val="center"/>
          </w:tcPr>
          <w:p w14:paraId="4140AABC">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6336C2D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491" w:type="pct"/>
            <w:vMerge w:val="restart"/>
            <w:noWrap w:val="0"/>
            <w:tcMar>
              <w:top w:w="0" w:type="dxa"/>
              <w:left w:w="0" w:type="dxa"/>
              <w:bottom w:w="0" w:type="dxa"/>
              <w:right w:w="0" w:type="dxa"/>
            </w:tcMar>
            <w:vAlign w:val="center"/>
          </w:tcPr>
          <w:p w14:paraId="0E648E5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r>
              <w:rPr>
                <w:rFonts w:hint="eastAsia" w:ascii="宋体" w:hAnsi="宋体" w:eastAsia="宋体" w:cs="宋体"/>
                <w:sz w:val="18"/>
                <w:szCs w:val="18"/>
                <w:vertAlign w:val="baseline"/>
                <w:lang w:val="en-US" w:eastAsia="zh-CN"/>
              </w:rPr>
              <w:t>建设单位明示或者暗示设计单位或者施工单位违反工程建设强制性标准，降低工程质量的</w:t>
            </w:r>
          </w:p>
        </w:tc>
        <w:tc>
          <w:tcPr>
            <w:tcW w:w="174" w:type="pct"/>
            <w:noWrap w:val="0"/>
            <w:tcMar>
              <w:top w:w="0" w:type="dxa"/>
              <w:left w:w="0" w:type="dxa"/>
              <w:bottom w:w="0" w:type="dxa"/>
              <w:right w:w="0" w:type="dxa"/>
            </w:tcMar>
            <w:vAlign w:val="center"/>
          </w:tcPr>
          <w:p w14:paraId="171697DA">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轻微</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2741297D">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429BDECD">
            <w:pPr>
              <w:spacing w:line="260" w:lineRule="exact"/>
              <w:rPr>
                <w:rFonts w:hint="eastAsia" w:ascii="宋体" w:hAnsi="宋体" w:eastAsia="宋体" w:cs="宋体"/>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3F0CED71">
            <w:pPr>
              <w:snapToGrid/>
              <w:spacing w:line="24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66A7CE88">
            <w:pPr>
              <w:spacing w:line="240" w:lineRule="exact"/>
              <w:rPr>
                <w:rFonts w:hint="eastAsia" w:ascii="宋体" w:hAnsi="宋体" w:eastAsia="宋体" w:cs="宋体"/>
                <w:sz w:val="18"/>
                <w:szCs w:val="18"/>
                <w:vertAlign w:val="baseline"/>
              </w:rPr>
            </w:pPr>
          </w:p>
        </w:tc>
        <w:tc>
          <w:tcPr>
            <w:tcW w:w="158" w:type="pct"/>
            <w:vMerge w:val="restart"/>
            <w:noWrap w:val="0"/>
            <w:tcMar>
              <w:top w:w="0" w:type="dxa"/>
              <w:left w:w="0" w:type="dxa"/>
              <w:bottom w:w="0" w:type="dxa"/>
              <w:right w:w="0" w:type="dxa"/>
            </w:tcMar>
            <w:vAlign w:val="center"/>
          </w:tcPr>
          <w:p w14:paraId="0E3DADB8">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rPr>
            </w:pPr>
          </w:p>
        </w:tc>
      </w:tr>
      <w:tr w14:paraId="5A10F2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3EB9334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p>
        </w:tc>
        <w:tc>
          <w:tcPr>
            <w:tcW w:w="415" w:type="pct"/>
            <w:vMerge w:val="continue"/>
            <w:noWrap w:val="0"/>
            <w:tcMar>
              <w:top w:w="0" w:type="dxa"/>
              <w:left w:w="0" w:type="dxa"/>
              <w:bottom w:w="0" w:type="dxa"/>
              <w:right w:w="0" w:type="dxa"/>
            </w:tcMar>
            <w:vAlign w:val="center"/>
          </w:tcPr>
          <w:p w14:paraId="7A8DCB9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217438F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6E94F27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174" w:type="pct"/>
            <w:noWrap w:val="0"/>
            <w:tcMar>
              <w:top w:w="0" w:type="dxa"/>
              <w:left w:w="0" w:type="dxa"/>
              <w:bottom w:w="0" w:type="dxa"/>
              <w:right w:w="0" w:type="dxa"/>
            </w:tcMar>
            <w:vAlign w:val="center"/>
          </w:tcPr>
          <w:p w14:paraId="0C3FBCC8">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较轻</w:t>
            </w:r>
          </w:p>
        </w:tc>
        <w:tc>
          <w:tcPr>
            <w:tcW w:w="561" w:type="pct"/>
            <w:noWrap w:val="0"/>
            <w:tcMar>
              <w:top w:w="0" w:type="dxa"/>
              <w:left w:w="0" w:type="dxa"/>
              <w:bottom w:w="0" w:type="dxa"/>
              <w:right w:w="0" w:type="dxa"/>
            </w:tcMar>
            <w:vAlign w:val="center"/>
          </w:tcPr>
          <w:p w14:paraId="34C8D1C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rPr>
            </w:pPr>
            <w:r>
              <w:rPr>
                <w:rFonts w:hint="eastAsia" w:ascii="宋体" w:hAnsi="宋体" w:eastAsia="宋体" w:cs="宋体"/>
                <w:sz w:val="18"/>
                <w:szCs w:val="18"/>
                <w:vertAlign w:val="baseline"/>
              </w:rPr>
              <w:t>未涉及结构安全及重要使用功能的</w:t>
            </w:r>
          </w:p>
        </w:tc>
        <w:tc>
          <w:tcPr>
            <w:tcW w:w="873" w:type="pct"/>
            <w:noWrap w:val="0"/>
            <w:tcMar>
              <w:top w:w="0" w:type="dxa"/>
              <w:left w:w="0" w:type="dxa"/>
              <w:bottom w:w="0" w:type="dxa"/>
              <w:right w:w="0" w:type="dxa"/>
            </w:tcMar>
            <w:vAlign w:val="center"/>
          </w:tcPr>
          <w:p w14:paraId="6BB0EB90">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sz w:val="18"/>
                <w:szCs w:val="18"/>
                <w:vertAlign w:val="baseline"/>
              </w:rPr>
            </w:pPr>
            <w:r>
              <w:rPr>
                <w:rFonts w:hint="eastAsia" w:ascii="宋体" w:hAnsi="宋体" w:eastAsia="宋体" w:cs="宋体"/>
                <w:sz w:val="18"/>
                <w:szCs w:val="18"/>
                <w:vertAlign w:val="baseline"/>
              </w:rPr>
              <w:t>处20万元以上25万元以下的罚款，对单位直接负责的主管人员和其他直接责任人员处单位罚款数额</w:t>
            </w:r>
            <w:r>
              <w:rPr>
                <w:rFonts w:hint="eastAsia" w:ascii="宋体" w:hAnsi="宋体" w:eastAsia="宋体" w:cs="宋体"/>
                <w:sz w:val="18"/>
                <w:szCs w:val="18"/>
                <w:vertAlign w:val="baseline"/>
                <w:lang w:val="en-US" w:eastAsia="zh-CN"/>
              </w:rPr>
              <w:t>5%</w:t>
            </w:r>
            <w:r>
              <w:rPr>
                <w:rFonts w:hint="eastAsia" w:ascii="宋体" w:hAnsi="宋体" w:eastAsia="宋体" w:cs="宋体"/>
                <w:sz w:val="18"/>
                <w:szCs w:val="18"/>
                <w:vertAlign w:val="baseline"/>
              </w:rPr>
              <w:t>以上</w:t>
            </w:r>
            <w:r>
              <w:rPr>
                <w:rFonts w:hint="eastAsia" w:ascii="宋体" w:hAnsi="宋体" w:eastAsia="宋体" w:cs="宋体"/>
                <w:sz w:val="18"/>
                <w:szCs w:val="18"/>
                <w:vertAlign w:val="baseline"/>
                <w:lang w:val="en-US" w:eastAsia="zh-CN"/>
              </w:rPr>
              <w:t>6.5%</w:t>
            </w:r>
            <w:r>
              <w:rPr>
                <w:rFonts w:hint="eastAsia" w:ascii="宋体" w:hAnsi="宋体" w:eastAsia="宋体" w:cs="宋体"/>
                <w:sz w:val="18"/>
                <w:szCs w:val="18"/>
                <w:vertAlign w:val="baseline"/>
              </w:rPr>
              <w:t>以下的罚款</w:t>
            </w:r>
          </w:p>
        </w:tc>
        <w:tc>
          <w:tcPr>
            <w:tcW w:w="158" w:type="pct"/>
            <w:vMerge w:val="continue"/>
            <w:noWrap w:val="0"/>
            <w:tcMar>
              <w:top w:w="0" w:type="dxa"/>
              <w:left w:w="0" w:type="dxa"/>
              <w:bottom w:w="0" w:type="dxa"/>
              <w:right w:w="0" w:type="dxa"/>
            </w:tcMar>
            <w:vAlign w:val="center"/>
          </w:tcPr>
          <w:p w14:paraId="414C963A">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rPr>
            </w:pPr>
          </w:p>
        </w:tc>
      </w:tr>
      <w:tr w14:paraId="700E8F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156" w:type="pct"/>
            <w:vMerge w:val="continue"/>
            <w:noWrap w:val="0"/>
            <w:tcMar>
              <w:top w:w="0" w:type="dxa"/>
              <w:left w:w="0" w:type="dxa"/>
              <w:bottom w:w="0" w:type="dxa"/>
              <w:right w:w="0" w:type="dxa"/>
            </w:tcMar>
            <w:vAlign w:val="center"/>
          </w:tcPr>
          <w:p w14:paraId="39457125">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p>
        </w:tc>
        <w:tc>
          <w:tcPr>
            <w:tcW w:w="415" w:type="pct"/>
            <w:vMerge w:val="continue"/>
            <w:noWrap w:val="0"/>
            <w:tcMar>
              <w:top w:w="0" w:type="dxa"/>
              <w:left w:w="0" w:type="dxa"/>
              <w:bottom w:w="0" w:type="dxa"/>
              <w:right w:w="0" w:type="dxa"/>
            </w:tcMar>
            <w:vAlign w:val="center"/>
          </w:tcPr>
          <w:p w14:paraId="31ECFFD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516BCACC">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41DD260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174" w:type="pct"/>
            <w:noWrap w:val="0"/>
            <w:tcMar>
              <w:top w:w="0" w:type="dxa"/>
              <w:left w:w="0" w:type="dxa"/>
              <w:bottom w:w="0" w:type="dxa"/>
              <w:right w:w="0" w:type="dxa"/>
            </w:tcMar>
            <w:vAlign w:val="center"/>
          </w:tcPr>
          <w:p w14:paraId="7FEE024C">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一般</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61866964">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38897C17">
            <w:pPr>
              <w:spacing w:line="260" w:lineRule="exact"/>
              <w:rPr>
                <w:rFonts w:hint="eastAsia" w:ascii="宋体" w:hAnsi="宋体" w:eastAsia="宋体" w:cs="宋体"/>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320AD1E1">
            <w:pPr>
              <w:snapToGrid/>
              <w:spacing w:line="24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7E52A67D">
            <w:pPr>
              <w:spacing w:line="240" w:lineRule="exact"/>
              <w:rPr>
                <w:rFonts w:hint="eastAsia" w:ascii="宋体" w:hAnsi="宋体" w:eastAsia="宋体" w:cs="宋体"/>
                <w:sz w:val="18"/>
                <w:szCs w:val="18"/>
                <w:vertAlign w:val="baseline"/>
              </w:rPr>
            </w:pPr>
          </w:p>
        </w:tc>
        <w:tc>
          <w:tcPr>
            <w:tcW w:w="158" w:type="pct"/>
            <w:vMerge w:val="continue"/>
            <w:noWrap w:val="0"/>
            <w:tcMar>
              <w:top w:w="0" w:type="dxa"/>
              <w:left w:w="0" w:type="dxa"/>
              <w:bottom w:w="0" w:type="dxa"/>
              <w:right w:w="0" w:type="dxa"/>
            </w:tcMar>
            <w:vAlign w:val="center"/>
          </w:tcPr>
          <w:p w14:paraId="325A36C9">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rPr>
            </w:pPr>
          </w:p>
        </w:tc>
      </w:tr>
      <w:tr w14:paraId="55B55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43770CA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p>
        </w:tc>
        <w:tc>
          <w:tcPr>
            <w:tcW w:w="415" w:type="pct"/>
            <w:vMerge w:val="continue"/>
            <w:noWrap w:val="0"/>
            <w:tcMar>
              <w:top w:w="0" w:type="dxa"/>
              <w:left w:w="0" w:type="dxa"/>
              <w:bottom w:w="0" w:type="dxa"/>
              <w:right w:w="0" w:type="dxa"/>
            </w:tcMar>
            <w:vAlign w:val="center"/>
          </w:tcPr>
          <w:p w14:paraId="2707EE9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5A8F4CD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2E6C377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174" w:type="pct"/>
            <w:noWrap w:val="0"/>
            <w:tcMar>
              <w:top w:w="0" w:type="dxa"/>
              <w:left w:w="0" w:type="dxa"/>
              <w:bottom w:w="0" w:type="dxa"/>
              <w:right w:w="0" w:type="dxa"/>
            </w:tcMar>
            <w:vAlign w:val="center"/>
          </w:tcPr>
          <w:p w14:paraId="2040F7FB">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较重</w:t>
            </w:r>
          </w:p>
        </w:tc>
        <w:tc>
          <w:tcPr>
            <w:tcW w:w="561" w:type="pct"/>
            <w:noWrap w:val="0"/>
            <w:tcMar>
              <w:top w:w="0" w:type="dxa"/>
              <w:left w:w="0" w:type="dxa"/>
              <w:bottom w:w="0" w:type="dxa"/>
              <w:right w:w="0" w:type="dxa"/>
            </w:tcMar>
            <w:vAlign w:val="center"/>
          </w:tcPr>
          <w:p w14:paraId="7E3130B4">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rPr>
            </w:pPr>
            <w:r>
              <w:rPr>
                <w:rFonts w:hint="eastAsia" w:ascii="宋体" w:hAnsi="宋体" w:eastAsia="宋体" w:cs="宋体"/>
                <w:sz w:val="18"/>
                <w:szCs w:val="18"/>
                <w:vertAlign w:val="baseline"/>
              </w:rPr>
              <w:t>涉及结构安全及重要使用功能的</w:t>
            </w:r>
          </w:p>
        </w:tc>
        <w:tc>
          <w:tcPr>
            <w:tcW w:w="873" w:type="pct"/>
            <w:noWrap w:val="0"/>
            <w:tcMar>
              <w:top w:w="0" w:type="dxa"/>
              <w:left w:w="0" w:type="dxa"/>
              <w:bottom w:w="0" w:type="dxa"/>
              <w:right w:w="0" w:type="dxa"/>
            </w:tcMar>
            <w:vAlign w:val="center"/>
          </w:tcPr>
          <w:p w14:paraId="01977DD2">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sz w:val="18"/>
                <w:szCs w:val="18"/>
                <w:vertAlign w:val="baseline"/>
              </w:rPr>
            </w:pPr>
            <w:r>
              <w:rPr>
                <w:rFonts w:hint="eastAsia" w:ascii="宋体" w:hAnsi="宋体" w:eastAsia="宋体" w:cs="宋体"/>
                <w:sz w:val="18"/>
                <w:szCs w:val="18"/>
                <w:vertAlign w:val="baseline"/>
              </w:rPr>
              <w:t>处25万元以上40万元以下的罚款，对单位直接负责的主管人员和其他直接责任人员处单位罚款数额</w:t>
            </w:r>
            <w:r>
              <w:rPr>
                <w:rFonts w:hint="eastAsia" w:ascii="宋体" w:hAnsi="宋体" w:eastAsia="宋体" w:cs="宋体"/>
                <w:sz w:val="18"/>
                <w:szCs w:val="18"/>
                <w:vertAlign w:val="baseline"/>
                <w:lang w:val="en-US" w:eastAsia="zh-CN"/>
              </w:rPr>
              <w:t>6.5%</w:t>
            </w:r>
            <w:r>
              <w:rPr>
                <w:rFonts w:hint="eastAsia" w:ascii="宋体" w:hAnsi="宋体" w:eastAsia="宋体" w:cs="宋体"/>
                <w:sz w:val="18"/>
                <w:szCs w:val="18"/>
                <w:vertAlign w:val="baseline"/>
              </w:rPr>
              <w:t>以上</w:t>
            </w:r>
            <w:r>
              <w:rPr>
                <w:rFonts w:hint="eastAsia" w:ascii="宋体" w:hAnsi="宋体" w:eastAsia="宋体" w:cs="宋体"/>
                <w:sz w:val="18"/>
                <w:szCs w:val="18"/>
                <w:vertAlign w:val="baseline"/>
                <w:lang w:val="en-US" w:eastAsia="zh-CN"/>
              </w:rPr>
              <w:t>8.5%</w:t>
            </w:r>
            <w:r>
              <w:rPr>
                <w:rFonts w:hint="eastAsia" w:ascii="宋体" w:hAnsi="宋体" w:eastAsia="宋体" w:cs="宋体"/>
                <w:sz w:val="18"/>
                <w:szCs w:val="18"/>
                <w:vertAlign w:val="baseline"/>
              </w:rPr>
              <w:t>以下的罚款</w:t>
            </w:r>
          </w:p>
        </w:tc>
        <w:tc>
          <w:tcPr>
            <w:tcW w:w="158" w:type="pct"/>
            <w:vMerge w:val="continue"/>
            <w:noWrap w:val="0"/>
            <w:tcMar>
              <w:top w:w="0" w:type="dxa"/>
              <w:left w:w="0" w:type="dxa"/>
              <w:bottom w:w="0" w:type="dxa"/>
              <w:right w:w="0" w:type="dxa"/>
            </w:tcMar>
            <w:vAlign w:val="center"/>
          </w:tcPr>
          <w:p w14:paraId="35E551BA">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rPr>
            </w:pPr>
          </w:p>
        </w:tc>
      </w:tr>
      <w:tr w14:paraId="2BB030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862" w:hRule="atLeast"/>
          <w:jc w:val="center"/>
        </w:trPr>
        <w:tc>
          <w:tcPr>
            <w:tcW w:w="156" w:type="pct"/>
            <w:vMerge w:val="continue"/>
            <w:noWrap w:val="0"/>
            <w:tcMar>
              <w:top w:w="0" w:type="dxa"/>
              <w:left w:w="0" w:type="dxa"/>
              <w:bottom w:w="0" w:type="dxa"/>
              <w:right w:w="0" w:type="dxa"/>
            </w:tcMar>
            <w:vAlign w:val="center"/>
          </w:tcPr>
          <w:p w14:paraId="2E4A6598">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p>
        </w:tc>
        <w:tc>
          <w:tcPr>
            <w:tcW w:w="415" w:type="pct"/>
            <w:vMerge w:val="continue"/>
            <w:noWrap w:val="0"/>
            <w:tcMar>
              <w:top w:w="0" w:type="dxa"/>
              <w:left w:w="0" w:type="dxa"/>
              <w:bottom w:w="0" w:type="dxa"/>
              <w:right w:w="0" w:type="dxa"/>
            </w:tcMar>
            <w:vAlign w:val="center"/>
          </w:tcPr>
          <w:p w14:paraId="3DA0608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35BAAB0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0DCEE1F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174" w:type="pct"/>
            <w:noWrap w:val="0"/>
            <w:tcMar>
              <w:top w:w="0" w:type="dxa"/>
              <w:left w:w="0" w:type="dxa"/>
              <w:bottom w:w="0" w:type="dxa"/>
              <w:right w:w="0" w:type="dxa"/>
            </w:tcMar>
            <w:vAlign w:val="center"/>
          </w:tcPr>
          <w:p w14:paraId="3198463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严重</w:t>
            </w:r>
          </w:p>
        </w:tc>
        <w:tc>
          <w:tcPr>
            <w:tcW w:w="561" w:type="pct"/>
            <w:noWrap w:val="0"/>
            <w:tcMar>
              <w:top w:w="0" w:type="dxa"/>
              <w:left w:w="0" w:type="dxa"/>
              <w:bottom w:w="0" w:type="dxa"/>
              <w:right w:w="0" w:type="dxa"/>
            </w:tcMar>
            <w:vAlign w:val="center"/>
          </w:tcPr>
          <w:p w14:paraId="47F7A5CF">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sz w:val="18"/>
                <w:szCs w:val="18"/>
                <w:vertAlign w:val="baseline"/>
              </w:rPr>
            </w:pPr>
            <w:r>
              <w:rPr>
                <w:rFonts w:hint="eastAsia" w:ascii="宋体" w:hAnsi="宋体" w:eastAsia="宋体" w:cs="宋体"/>
                <w:sz w:val="18"/>
                <w:szCs w:val="18"/>
                <w:vertAlign w:val="baseline"/>
              </w:rPr>
              <w:t>涉及结构安全及重要使用功能造成严重缺陷，且经返修和加固处理仍不能满足安全使用要求；发生质量安全事故的</w:t>
            </w:r>
          </w:p>
        </w:tc>
        <w:tc>
          <w:tcPr>
            <w:tcW w:w="873" w:type="pct"/>
            <w:noWrap w:val="0"/>
            <w:tcMar>
              <w:top w:w="0" w:type="dxa"/>
              <w:left w:w="0" w:type="dxa"/>
              <w:bottom w:w="0" w:type="dxa"/>
              <w:right w:w="0" w:type="dxa"/>
            </w:tcMar>
            <w:vAlign w:val="center"/>
          </w:tcPr>
          <w:p w14:paraId="3BBEF0CF">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sz w:val="18"/>
                <w:szCs w:val="18"/>
                <w:vertAlign w:val="baseline"/>
              </w:rPr>
            </w:pPr>
            <w:r>
              <w:rPr>
                <w:rFonts w:hint="eastAsia" w:ascii="宋体" w:hAnsi="宋体" w:eastAsia="宋体" w:cs="宋体"/>
                <w:sz w:val="18"/>
                <w:szCs w:val="18"/>
                <w:vertAlign w:val="baseline"/>
              </w:rPr>
              <w:t>处40万元以上50万元以下的罚款，对单位直接负责的主管人员和其他直接责任人员处单位罚款数额</w:t>
            </w:r>
            <w:r>
              <w:rPr>
                <w:rFonts w:hint="eastAsia" w:ascii="宋体" w:hAnsi="宋体" w:eastAsia="宋体" w:cs="宋体"/>
                <w:sz w:val="18"/>
                <w:szCs w:val="18"/>
                <w:vertAlign w:val="baseline"/>
                <w:lang w:val="en-US" w:eastAsia="zh-CN"/>
              </w:rPr>
              <w:t>8.5%</w:t>
            </w:r>
            <w:r>
              <w:rPr>
                <w:rFonts w:hint="eastAsia" w:ascii="宋体" w:hAnsi="宋体" w:eastAsia="宋体" w:cs="宋体"/>
                <w:sz w:val="18"/>
                <w:szCs w:val="18"/>
                <w:vertAlign w:val="baseline"/>
              </w:rPr>
              <w:t>以上</w:t>
            </w:r>
            <w:r>
              <w:rPr>
                <w:rFonts w:hint="eastAsia" w:ascii="宋体" w:hAnsi="宋体" w:eastAsia="宋体" w:cs="宋体"/>
                <w:sz w:val="18"/>
                <w:szCs w:val="18"/>
                <w:vertAlign w:val="baseline"/>
                <w:lang w:val="en-US" w:eastAsia="zh-CN"/>
              </w:rPr>
              <w:t>10%</w:t>
            </w:r>
            <w:r>
              <w:rPr>
                <w:rFonts w:hint="eastAsia" w:ascii="宋体" w:hAnsi="宋体" w:eastAsia="宋体" w:cs="宋体"/>
                <w:sz w:val="18"/>
                <w:szCs w:val="18"/>
                <w:vertAlign w:val="baseline"/>
              </w:rPr>
              <w:t>以下的罚款</w:t>
            </w:r>
          </w:p>
        </w:tc>
        <w:tc>
          <w:tcPr>
            <w:tcW w:w="158" w:type="pct"/>
            <w:vMerge w:val="continue"/>
            <w:noWrap w:val="0"/>
            <w:tcMar>
              <w:top w:w="0" w:type="dxa"/>
              <w:left w:w="0" w:type="dxa"/>
              <w:bottom w:w="0" w:type="dxa"/>
              <w:right w:w="0" w:type="dxa"/>
            </w:tcMar>
            <w:vAlign w:val="center"/>
          </w:tcPr>
          <w:p w14:paraId="034CD00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rPr>
            </w:pPr>
          </w:p>
        </w:tc>
      </w:tr>
      <w:tr w14:paraId="7A101C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156" w:type="pct"/>
            <w:vMerge w:val="restart"/>
            <w:noWrap w:val="0"/>
            <w:tcMar>
              <w:top w:w="0" w:type="dxa"/>
              <w:left w:w="0" w:type="dxa"/>
              <w:bottom w:w="0" w:type="dxa"/>
              <w:right w:w="0" w:type="dxa"/>
            </w:tcMar>
            <w:vAlign w:val="center"/>
          </w:tcPr>
          <w:p w14:paraId="6155C66D">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r>
              <w:rPr>
                <w:rFonts w:hint="eastAsia" w:ascii="宋体" w:hAnsi="宋体" w:eastAsia="宋体" w:cs="宋体"/>
                <w:sz w:val="18"/>
                <w:szCs w:val="18"/>
                <w:vertAlign w:val="baseline"/>
                <w:lang w:val="en-US" w:eastAsia="zh-CN"/>
              </w:rPr>
              <w:t>61</w:t>
            </w:r>
          </w:p>
        </w:tc>
        <w:tc>
          <w:tcPr>
            <w:tcW w:w="415" w:type="pct"/>
            <w:vMerge w:val="restart"/>
            <w:noWrap w:val="0"/>
            <w:tcMar>
              <w:top w:w="0" w:type="dxa"/>
              <w:left w:w="0" w:type="dxa"/>
              <w:bottom w:w="0" w:type="dxa"/>
              <w:right w:w="0" w:type="dxa"/>
            </w:tcMar>
            <w:vAlign w:val="center"/>
          </w:tcPr>
          <w:p w14:paraId="3EF3994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r>
              <w:rPr>
                <w:rFonts w:hint="eastAsia" w:ascii="宋体" w:hAnsi="宋体" w:eastAsia="宋体" w:cs="宋体"/>
                <w:i w:val="0"/>
                <w:color w:val="000000"/>
                <w:kern w:val="0"/>
                <w:sz w:val="18"/>
                <w:szCs w:val="18"/>
                <w:u w:val="none"/>
                <w:lang w:val="en-US" w:eastAsia="zh-CN" w:bidi="ar"/>
              </w:rPr>
              <w:t>对水利领域建设单位迫使承包方以低于成本的价格竞标、任意压缩合理工期等行为的行政处罚</w:t>
            </w:r>
          </w:p>
        </w:tc>
        <w:tc>
          <w:tcPr>
            <w:tcW w:w="2168" w:type="pct"/>
            <w:vMerge w:val="continue"/>
            <w:noWrap w:val="0"/>
            <w:tcMar>
              <w:top w:w="0" w:type="dxa"/>
              <w:left w:w="0" w:type="dxa"/>
              <w:bottom w:w="0" w:type="dxa"/>
              <w:right w:w="0" w:type="dxa"/>
            </w:tcMar>
            <w:vAlign w:val="center"/>
          </w:tcPr>
          <w:p w14:paraId="6AC23A44">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491" w:type="pct"/>
            <w:vMerge w:val="restart"/>
            <w:noWrap w:val="0"/>
            <w:tcMar>
              <w:top w:w="0" w:type="dxa"/>
              <w:left w:w="0" w:type="dxa"/>
              <w:bottom w:w="0" w:type="dxa"/>
              <w:right w:w="0" w:type="dxa"/>
            </w:tcMar>
            <w:vAlign w:val="center"/>
          </w:tcPr>
          <w:p w14:paraId="400C281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r>
              <w:rPr>
                <w:rFonts w:hint="eastAsia" w:ascii="宋体" w:hAnsi="宋体" w:eastAsia="宋体" w:cs="宋体"/>
                <w:sz w:val="18"/>
                <w:szCs w:val="18"/>
                <w:vertAlign w:val="baseline"/>
                <w:lang w:val="en-US" w:eastAsia="zh-CN"/>
              </w:rPr>
              <w:t>施工图设计文件未经审查或者审查不合格，擅自施工的</w:t>
            </w:r>
          </w:p>
        </w:tc>
        <w:tc>
          <w:tcPr>
            <w:tcW w:w="174" w:type="pct"/>
            <w:noWrap w:val="0"/>
            <w:tcMar>
              <w:top w:w="0" w:type="dxa"/>
              <w:left w:w="0" w:type="dxa"/>
              <w:bottom w:w="0" w:type="dxa"/>
              <w:right w:w="0" w:type="dxa"/>
            </w:tcMar>
            <w:vAlign w:val="center"/>
          </w:tcPr>
          <w:p w14:paraId="62D5A2C1">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轻微</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2976DFF8">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103216B2">
            <w:pPr>
              <w:spacing w:line="260" w:lineRule="exact"/>
              <w:rPr>
                <w:rFonts w:hint="eastAsia" w:ascii="宋体" w:hAnsi="宋体" w:eastAsia="宋体" w:cs="宋体"/>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0BC3011F">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645DD7A8">
            <w:pPr>
              <w:spacing w:line="260" w:lineRule="exact"/>
              <w:rPr>
                <w:rFonts w:hint="eastAsia" w:ascii="宋体" w:hAnsi="宋体" w:eastAsia="宋体" w:cs="宋体"/>
                <w:sz w:val="18"/>
                <w:szCs w:val="18"/>
                <w:vertAlign w:val="baseline"/>
              </w:rPr>
            </w:pPr>
          </w:p>
        </w:tc>
        <w:tc>
          <w:tcPr>
            <w:tcW w:w="158" w:type="pct"/>
            <w:vMerge w:val="restart"/>
            <w:noWrap w:val="0"/>
            <w:tcMar>
              <w:top w:w="0" w:type="dxa"/>
              <w:left w:w="0" w:type="dxa"/>
              <w:bottom w:w="0" w:type="dxa"/>
              <w:right w:w="0" w:type="dxa"/>
            </w:tcMar>
            <w:vAlign w:val="center"/>
          </w:tcPr>
          <w:p w14:paraId="402260A0">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rPr>
            </w:pPr>
          </w:p>
        </w:tc>
      </w:tr>
      <w:tr w14:paraId="101D8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21890EE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p>
        </w:tc>
        <w:tc>
          <w:tcPr>
            <w:tcW w:w="415" w:type="pct"/>
            <w:vMerge w:val="continue"/>
            <w:noWrap w:val="0"/>
            <w:tcMar>
              <w:top w:w="0" w:type="dxa"/>
              <w:left w:w="0" w:type="dxa"/>
              <w:bottom w:w="0" w:type="dxa"/>
              <w:right w:w="0" w:type="dxa"/>
            </w:tcMar>
            <w:vAlign w:val="center"/>
          </w:tcPr>
          <w:p w14:paraId="2DD992D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1E1E72C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27690A5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174" w:type="pct"/>
            <w:noWrap w:val="0"/>
            <w:tcMar>
              <w:top w:w="0" w:type="dxa"/>
              <w:left w:w="0" w:type="dxa"/>
              <w:bottom w:w="0" w:type="dxa"/>
              <w:right w:w="0" w:type="dxa"/>
            </w:tcMar>
            <w:vAlign w:val="center"/>
          </w:tcPr>
          <w:p w14:paraId="02E1CF1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较轻</w:t>
            </w:r>
          </w:p>
        </w:tc>
        <w:tc>
          <w:tcPr>
            <w:tcW w:w="561" w:type="pct"/>
            <w:noWrap w:val="0"/>
            <w:tcMar>
              <w:top w:w="0" w:type="dxa"/>
              <w:left w:w="0" w:type="dxa"/>
              <w:bottom w:w="0" w:type="dxa"/>
              <w:right w:w="0" w:type="dxa"/>
            </w:tcMar>
            <w:vAlign w:val="center"/>
          </w:tcPr>
          <w:p w14:paraId="68EB8E5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rPr>
            </w:pPr>
            <w:r>
              <w:rPr>
                <w:rFonts w:hint="eastAsia" w:ascii="宋体" w:hAnsi="宋体" w:eastAsia="宋体" w:cs="宋体"/>
                <w:sz w:val="18"/>
                <w:szCs w:val="18"/>
                <w:vertAlign w:val="baseline"/>
              </w:rPr>
              <w:t>处于施工初期或地基基础施工阶段的</w:t>
            </w:r>
          </w:p>
        </w:tc>
        <w:tc>
          <w:tcPr>
            <w:tcW w:w="873" w:type="pct"/>
            <w:noWrap w:val="0"/>
            <w:tcMar>
              <w:top w:w="0" w:type="dxa"/>
              <w:left w:w="0" w:type="dxa"/>
              <w:bottom w:w="0" w:type="dxa"/>
              <w:right w:w="0" w:type="dxa"/>
            </w:tcMar>
            <w:vAlign w:val="center"/>
          </w:tcPr>
          <w:p w14:paraId="765C393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rPr>
            </w:pPr>
            <w:r>
              <w:rPr>
                <w:rFonts w:hint="eastAsia" w:ascii="宋体" w:hAnsi="宋体" w:eastAsia="宋体" w:cs="宋体"/>
                <w:sz w:val="18"/>
                <w:szCs w:val="18"/>
                <w:vertAlign w:val="baseline"/>
              </w:rPr>
              <w:t>处20万元以上25万元以下的罚款，对单位直接负责的主管人员和其他直接责任人员处单位罚款数额的</w:t>
            </w:r>
            <w:r>
              <w:rPr>
                <w:rFonts w:hint="eastAsia" w:ascii="宋体" w:hAnsi="宋体" w:eastAsia="宋体" w:cs="宋体"/>
                <w:sz w:val="18"/>
                <w:szCs w:val="18"/>
                <w:vertAlign w:val="baseline"/>
                <w:lang w:val="en-US" w:eastAsia="zh-CN"/>
              </w:rPr>
              <w:t>5%</w:t>
            </w:r>
            <w:r>
              <w:rPr>
                <w:rFonts w:hint="eastAsia" w:ascii="宋体" w:hAnsi="宋体" w:eastAsia="宋体" w:cs="宋体"/>
                <w:sz w:val="18"/>
                <w:szCs w:val="18"/>
                <w:vertAlign w:val="baseline"/>
              </w:rPr>
              <w:t>以上</w:t>
            </w:r>
            <w:r>
              <w:rPr>
                <w:rFonts w:hint="eastAsia" w:ascii="宋体" w:hAnsi="宋体" w:eastAsia="宋体" w:cs="宋体"/>
                <w:sz w:val="18"/>
                <w:szCs w:val="18"/>
                <w:vertAlign w:val="baseline"/>
                <w:lang w:val="en-US" w:eastAsia="zh-CN"/>
              </w:rPr>
              <w:t>6.5%</w:t>
            </w:r>
            <w:r>
              <w:rPr>
                <w:rFonts w:hint="eastAsia" w:ascii="宋体" w:hAnsi="宋体" w:eastAsia="宋体" w:cs="宋体"/>
                <w:sz w:val="18"/>
                <w:szCs w:val="18"/>
                <w:vertAlign w:val="baseline"/>
              </w:rPr>
              <w:t>以下的罚款</w:t>
            </w:r>
          </w:p>
        </w:tc>
        <w:tc>
          <w:tcPr>
            <w:tcW w:w="158" w:type="pct"/>
            <w:vMerge w:val="continue"/>
            <w:noWrap w:val="0"/>
            <w:tcMar>
              <w:top w:w="0" w:type="dxa"/>
              <w:left w:w="0" w:type="dxa"/>
              <w:bottom w:w="0" w:type="dxa"/>
              <w:right w:w="0" w:type="dxa"/>
            </w:tcMar>
            <w:vAlign w:val="center"/>
          </w:tcPr>
          <w:p w14:paraId="17FD9440">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rPr>
            </w:pPr>
          </w:p>
        </w:tc>
      </w:tr>
      <w:tr w14:paraId="5E6D35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156" w:type="pct"/>
            <w:vMerge w:val="continue"/>
            <w:noWrap w:val="0"/>
            <w:tcMar>
              <w:top w:w="0" w:type="dxa"/>
              <w:left w:w="0" w:type="dxa"/>
              <w:bottom w:w="0" w:type="dxa"/>
              <w:right w:w="0" w:type="dxa"/>
            </w:tcMar>
            <w:vAlign w:val="center"/>
          </w:tcPr>
          <w:p w14:paraId="2BF0F0A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p>
        </w:tc>
        <w:tc>
          <w:tcPr>
            <w:tcW w:w="415" w:type="pct"/>
            <w:vMerge w:val="continue"/>
            <w:noWrap w:val="0"/>
            <w:tcMar>
              <w:top w:w="0" w:type="dxa"/>
              <w:left w:w="0" w:type="dxa"/>
              <w:bottom w:w="0" w:type="dxa"/>
              <w:right w:w="0" w:type="dxa"/>
            </w:tcMar>
            <w:vAlign w:val="center"/>
          </w:tcPr>
          <w:p w14:paraId="722275D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5B48071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492A52A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174" w:type="pct"/>
            <w:noWrap w:val="0"/>
            <w:tcMar>
              <w:top w:w="0" w:type="dxa"/>
              <w:left w:w="0" w:type="dxa"/>
              <w:bottom w:w="0" w:type="dxa"/>
              <w:right w:w="0" w:type="dxa"/>
            </w:tcMar>
            <w:vAlign w:val="center"/>
          </w:tcPr>
          <w:p w14:paraId="62A53E2A">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一般</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60FD4558">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7097E781">
            <w:pPr>
              <w:spacing w:line="260" w:lineRule="exact"/>
              <w:rPr>
                <w:rFonts w:hint="eastAsia" w:ascii="宋体" w:hAnsi="宋体" w:eastAsia="宋体" w:cs="宋体"/>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743439D0">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0B003BE8">
            <w:pPr>
              <w:spacing w:line="260" w:lineRule="exact"/>
              <w:rPr>
                <w:rFonts w:hint="eastAsia" w:ascii="宋体" w:hAnsi="宋体" w:eastAsia="宋体" w:cs="宋体"/>
                <w:sz w:val="18"/>
                <w:szCs w:val="18"/>
                <w:vertAlign w:val="baseline"/>
              </w:rPr>
            </w:pPr>
          </w:p>
        </w:tc>
        <w:tc>
          <w:tcPr>
            <w:tcW w:w="158" w:type="pct"/>
            <w:vMerge w:val="continue"/>
            <w:noWrap w:val="0"/>
            <w:tcMar>
              <w:top w:w="0" w:type="dxa"/>
              <w:left w:w="0" w:type="dxa"/>
              <w:bottom w:w="0" w:type="dxa"/>
              <w:right w:w="0" w:type="dxa"/>
            </w:tcMar>
            <w:vAlign w:val="center"/>
          </w:tcPr>
          <w:p w14:paraId="121545C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rPr>
            </w:pPr>
          </w:p>
        </w:tc>
      </w:tr>
      <w:tr w14:paraId="5B4760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5BEBA04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p>
        </w:tc>
        <w:tc>
          <w:tcPr>
            <w:tcW w:w="415" w:type="pct"/>
            <w:vMerge w:val="continue"/>
            <w:noWrap w:val="0"/>
            <w:tcMar>
              <w:top w:w="0" w:type="dxa"/>
              <w:left w:w="0" w:type="dxa"/>
              <w:bottom w:w="0" w:type="dxa"/>
              <w:right w:w="0" w:type="dxa"/>
            </w:tcMar>
            <w:vAlign w:val="center"/>
          </w:tcPr>
          <w:p w14:paraId="63A040B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7171172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3054FF4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174" w:type="pct"/>
            <w:noWrap w:val="0"/>
            <w:tcMar>
              <w:top w:w="0" w:type="dxa"/>
              <w:left w:w="0" w:type="dxa"/>
              <w:bottom w:w="0" w:type="dxa"/>
              <w:right w:w="0" w:type="dxa"/>
            </w:tcMar>
            <w:vAlign w:val="center"/>
          </w:tcPr>
          <w:p w14:paraId="38A2FC31">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较重</w:t>
            </w:r>
          </w:p>
        </w:tc>
        <w:tc>
          <w:tcPr>
            <w:tcW w:w="561" w:type="pct"/>
            <w:noWrap w:val="0"/>
            <w:tcMar>
              <w:top w:w="0" w:type="dxa"/>
              <w:left w:w="0" w:type="dxa"/>
              <w:bottom w:w="0" w:type="dxa"/>
              <w:right w:w="0" w:type="dxa"/>
            </w:tcMar>
            <w:vAlign w:val="center"/>
          </w:tcPr>
          <w:p w14:paraId="5EB577F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rPr>
            </w:pPr>
            <w:r>
              <w:rPr>
                <w:rFonts w:hint="eastAsia" w:ascii="宋体" w:hAnsi="宋体" w:eastAsia="宋体" w:cs="宋体"/>
                <w:sz w:val="18"/>
                <w:szCs w:val="18"/>
                <w:vertAlign w:val="baseline"/>
              </w:rPr>
              <w:t>处于施工中期或主体结构施工阶段的</w:t>
            </w:r>
          </w:p>
        </w:tc>
        <w:tc>
          <w:tcPr>
            <w:tcW w:w="873" w:type="pct"/>
            <w:noWrap w:val="0"/>
            <w:tcMar>
              <w:top w:w="0" w:type="dxa"/>
              <w:left w:w="0" w:type="dxa"/>
              <w:bottom w:w="0" w:type="dxa"/>
              <w:right w:w="0" w:type="dxa"/>
            </w:tcMar>
            <w:vAlign w:val="center"/>
          </w:tcPr>
          <w:p w14:paraId="4B006417">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rPr>
            </w:pPr>
            <w:r>
              <w:rPr>
                <w:rFonts w:hint="eastAsia" w:ascii="宋体" w:hAnsi="宋体" w:eastAsia="宋体" w:cs="宋体"/>
                <w:sz w:val="18"/>
                <w:szCs w:val="18"/>
                <w:vertAlign w:val="baseline"/>
              </w:rPr>
              <w:t>处25万元以上40万元以下的罚款，对单位直接负责的主管人员和其他直接责任人员处单位罚款数额的</w:t>
            </w:r>
            <w:r>
              <w:rPr>
                <w:rFonts w:hint="eastAsia" w:ascii="宋体" w:hAnsi="宋体" w:eastAsia="宋体" w:cs="宋体"/>
                <w:sz w:val="18"/>
                <w:szCs w:val="18"/>
                <w:vertAlign w:val="baseline"/>
                <w:lang w:val="en-US" w:eastAsia="zh-CN"/>
              </w:rPr>
              <w:t>6.5%</w:t>
            </w:r>
            <w:r>
              <w:rPr>
                <w:rFonts w:hint="eastAsia" w:ascii="宋体" w:hAnsi="宋体" w:eastAsia="宋体" w:cs="宋体"/>
                <w:sz w:val="18"/>
                <w:szCs w:val="18"/>
                <w:vertAlign w:val="baseline"/>
              </w:rPr>
              <w:t>以上</w:t>
            </w:r>
            <w:r>
              <w:rPr>
                <w:rFonts w:hint="eastAsia" w:ascii="宋体" w:hAnsi="宋体" w:eastAsia="宋体" w:cs="宋体"/>
                <w:sz w:val="18"/>
                <w:szCs w:val="18"/>
                <w:vertAlign w:val="baseline"/>
                <w:lang w:val="en-US" w:eastAsia="zh-CN"/>
              </w:rPr>
              <w:t>8.5%</w:t>
            </w:r>
            <w:r>
              <w:rPr>
                <w:rFonts w:hint="eastAsia" w:ascii="宋体" w:hAnsi="宋体" w:eastAsia="宋体" w:cs="宋体"/>
                <w:sz w:val="18"/>
                <w:szCs w:val="18"/>
                <w:vertAlign w:val="baseline"/>
              </w:rPr>
              <w:t>以下的罚款</w:t>
            </w:r>
          </w:p>
        </w:tc>
        <w:tc>
          <w:tcPr>
            <w:tcW w:w="158" w:type="pct"/>
            <w:vMerge w:val="continue"/>
            <w:noWrap w:val="0"/>
            <w:tcMar>
              <w:top w:w="0" w:type="dxa"/>
              <w:left w:w="0" w:type="dxa"/>
              <w:bottom w:w="0" w:type="dxa"/>
              <w:right w:w="0" w:type="dxa"/>
            </w:tcMar>
            <w:vAlign w:val="center"/>
          </w:tcPr>
          <w:p w14:paraId="1CCF87D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rPr>
            </w:pPr>
          </w:p>
        </w:tc>
      </w:tr>
      <w:tr w14:paraId="702E28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2D73669D">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p>
        </w:tc>
        <w:tc>
          <w:tcPr>
            <w:tcW w:w="415" w:type="pct"/>
            <w:vMerge w:val="continue"/>
            <w:noWrap w:val="0"/>
            <w:tcMar>
              <w:top w:w="0" w:type="dxa"/>
              <w:left w:w="0" w:type="dxa"/>
              <w:bottom w:w="0" w:type="dxa"/>
              <w:right w:w="0" w:type="dxa"/>
            </w:tcMar>
            <w:vAlign w:val="center"/>
          </w:tcPr>
          <w:p w14:paraId="28D6B75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3C949AD7">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3B56F2C7">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174" w:type="pct"/>
            <w:noWrap w:val="0"/>
            <w:tcMar>
              <w:top w:w="0" w:type="dxa"/>
              <w:left w:w="0" w:type="dxa"/>
              <w:bottom w:w="0" w:type="dxa"/>
              <w:right w:w="0" w:type="dxa"/>
            </w:tcMar>
            <w:vAlign w:val="center"/>
          </w:tcPr>
          <w:p w14:paraId="5A7E7F9A">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严重</w:t>
            </w:r>
          </w:p>
        </w:tc>
        <w:tc>
          <w:tcPr>
            <w:tcW w:w="561" w:type="pct"/>
            <w:noWrap w:val="0"/>
            <w:tcMar>
              <w:top w:w="0" w:type="dxa"/>
              <w:left w:w="0" w:type="dxa"/>
              <w:bottom w:w="0" w:type="dxa"/>
              <w:right w:w="0" w:type="dxa"/>
            </w:tcMar>
            <w:vAlign w:val="center"/>
          </w:tcPr>
          <w:p w14:paraId="62E310D7">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rPr>
            </w:pPr>
            <w:r>
              <w:rPr>
                <w:rFonts w:hint="eastAsia" w:ascii="宋体" w:hAnsi="宋体" w:eastAsia="宋体" w:cs="宋体"/>
                <w:sz w:val="18"/>
                <w:szCs w:val="18"/>
                <w:vertAlign w:val="baseline"/>
              </w:rPr>
              <w:t>处于施工后期或工程主体已经完工的；发生质量安全</w:t>
            </w:r>
          </w:p>
          <w:p w14:paraId="05CEB40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rPr>
            </w:pPr>
            <w:r>
              <w:rPr>
                <w:rFonts w:hint="eastAsia" w:ascii="宋体" w:hAnsi="宋体" w:eastAsia="宋体" w:cs="宋体"/>
                <w:sz w:val="18"/>
                <w:szCs w:val="18"/>
                <w:vertAlign w:val="baseline"/>
              </w:rPr>
              <w:t>事故的</w:t>
            </w:r>
          </w:p>
        </w:tc>
        <w:tc>
          <w:tcPr>
            <w:tcW w:w="873" w:type="pct"/>
            <w:noWrap w:val="0"/>
            <w:tcMar>
              <w:top w:w="0" w:type="dxa"/>
              <w:left w:w="0" w:type="dxa"/>
              <w:bottom w:w="0" w:type="dxa"/>
              <w:right w:w="0" w:type="dxa"/>
            </w:tcMar>
            <w:vAlign w:val="center"/>
          </w:tcPr>
          <w:p w14:paraId="3806E72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rPr>
            </w:pPr>
            <w:r>
              <w:rPr>
                <w:rFonts w:hint="eastAsia" w:ascii="宋体" w:hAnsi="宋体" w:eastAsia="宋体" w:cs="宋体"/>
                <w:sz w:val="18"/>
                <w:szCs w:val="18"/>
                <w:vertAlign w:val="baseline"/>
              </w:rPr>
              <w:t>处40万元以上50万元以下的罚款，对单位直接负责的主管人员和其他直接责任人员处单位罚款数额的</w:t>
            </w:r>
            <w:r>
              <w:rPr>
                <w:rFonts w:hint="eastAsia" w:ascii="宋体" w:hAnsi="宋体" w:eastAsia="宋体" w:cs="宋体"/>
                <w:sz w:val="18"/>
                <w:szCs w:val="18"/>
                <w:vertAlign w:val="baseline"/>
                <w:lang w:val="en-US" w:eastAsia="zh-CN"/>
              </w:rPr>
              <w:t>8.5%</w:t>
            </w:r>
            <w:r>
              <w:rPr>
                <w:rFonts w:hint="eastAsia" w:ascii="宋体" w:hAnsi="宋体" w:eastAsia="宋体" w:cs="宋体"/>
                <w:sz w:val="18"/>
                <w:szCs w:val="18"/>
                <w:vertAlign w:val="baseline"/>
              </w:rPr>
              <w:t>以上</w:t>
            </w:r>
            <w:r>
              <w:rPr>
                <w:rFonts w:hint="eastAsia" w:ascii="宋体" w:hAnsi="宋体" w:eastAsia="宋体" w:cs="宋体"/>
                <w:sz w:val="18"/>
                <w:szCs w:val="18"/>
                <w:vertAlign w:val="baseline"/>
                <w:lang w:val="en-US" w:eastAsia="zh-CN"/>
              </w:rPr>
              <w:t>10%</w:t>
            </w:r>
            <w:r>
              <w:rPr>
                <w:rFonts w:hint="eastAsia" w:ascii="宋体" w:hAnsi="宋体" w:eastAsia="宋体" w:cs="宋体"/>
                <w:sz w:val="18"/>
                <w:szCs w:val="18"/>
                <w:vertAlign w:val="baseline"/>
              </w:rPr>
              <w:t>以下的罚款</w:t>
            </w:r>
          </w:p>
        </w:tc>
        <w:tc>
          <w:tcPr>
            <w:tcW w:w="158" w:type="pct"/>
            <w:vMerge w:val="continue"/>
            <w:noWrap w:val="0"/>
            <w:tcMar>
              <w:top w:w="0" w:type="dxa"/>
              <w:left w:w="0" w:type="dxa"/>
              <w:bottom w:w="0" w:type="dxa"/>
              <w:right w:w="0" w:type="dxa"/>
            </w:tcMar>
            <w:vAlign w:val="center"/>
          </w:tcPr>
          <w:p w14:paraId="5172E2F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rPr>
            </w:pPr>
          </w:p>
        </w:tc>
      </w:tr>
      <w:tr w14:paraId="6D059C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73F9F275">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p>
        </w:tc>
        <w:tc>
          <w:tcPr>
            <w:tcW w:w="415" w:type="pct"/>
            <w:vMerge w:val="continue"/>
            <w:noWrap w:val="0"/>
            <w:tcMar>
              <w:top w:w="0" w:type="dxa"/>
              <w:left w:w="0" w:type="dxa"/>
              <w:bottom w:w="0" w:type="dxa"/>
              <w:right w:w="0" w:type="dxa"/>
            </w:tcMar>
            <w:vAlign w:val="center"/>
          </w:tcPr>
          <w:p w14:paraId="1407DB9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0AB0923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491" w:type="pct"/>
            <w:vMerge w:val="restart"/>
            <w:noWrap w:val="0"/>
            <w:tcMar>
              <w:top w:w="0" w:type="dxa"/>
              <w:left w:w="0" w:type="dxa"/>
              <w:bottom w:w="0" w:type="dxa"/>
              <w:right w:w="0" w:type="dxa"/>
            </w:tcMar>
            <w:vAlign w:val="center"/>
          </w:tcPr>
          <w:p w14:paraId="2738448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r>
              <w:rPr>
                <w:rFonts w:hint="eastAsia" w:ascii="宋体" w:hAnsi="宋体" w:eastAsia="宋体" w:cs="宋体"/>
                <w:sz w:val="18"/>
                <w:szCs w:val="18"/>
                <w:vertAlign w:val="baseline"/>
                <w:lang w:val="en-US" w:eastAsia="zh-CN"/>
              </w:rPr>
              <w:t>建设单位建设项目必须实行工程监理而未实行工程监理的</w:t>
            </w:r>
          </w:p>
        </w:tc>
        <w:tc>
          <w:tcPr>
            <w:tcW w:w="174" w:type="pct"/>
            <w:noWrap w:val="0"/>
            <w:tcMar>
              <w:top w:w="0" w:type="dxa"/>
              <w:left w:w="0" w:type="dxa"/>
              <w:bottom w:w="0" w:type="dxa"/>
              <w:right w:w="0" w:type="dxa"/>
            </w:tcMar>
            <w:vAlign w:val="center"/>
          </w:tcPr>
          <w:p w14:paraId="3DAFE58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轻微</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5D5054A3">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0D4B1F77">
            <w:pPr>
              <w:spacing w:line="260" w:lineRule="exact"/>
              <w:rPr>
                <w:rFonts w:hint="eastAsia" w:ascii="宋体" w:hAnsi="宋体" w:eastAsia="宋体" w:cs="宋体"/>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3B5D4760">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2C5336E3">
            <w:pPr>
              <w:spacing w:line="260" w:lineRule="exact"/>
              <w:rPr>
                <w:rFonts w:hint="eastAsia" w:ascii="宋体" w:hAnsi="宋体" w:eastAsia="宋体" w:cs="宋体"/>
                <w:sz w:val="18"/>
                <w:szCs w:val="18"/>
                <w:vertAlign w:val="baseline"/>
              </w:rPr>
            </w:pPr>
          </w:p>
        </w:tc>
        <w:tc>
          <w:tcPr>
            <w:tcW w:w="158" w:type="pct"/>
            <w:vMerge w:val="restart"/>
            <w:noWrap w:val="0"/>
            <w:tcMar>
              <w:top w:w="0" w:type="dxa"/>
              <w:left w:w="0" w:type="dxa"/>
              <w:bottom w:w="0" w:type="dxa"/>
              <w:right w:w="0" w:type="dxa"/>
            </w:tcMar>
            <w:vAlign w:val="center"/>
          </w:tcPr>
          <w:p w14:paraId="3A122FCB">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rPr>
            </w:pPr>
          </w:p>
        </w:tc>
      </w:tr>
      <w:tr w14:paraId="15705D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18A98B98">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p>
        </w:tc>
        <w:tc>
          <w:tcPr>
            <w:tcW w:w="415" w:type="pct"/>
            <w:vMerge w:val="continue"/>
            <w:noWrap w:val="0"/>
            <w:tcMar>
              <w:top w:w="0" w:type="dxa"/>
              <w:left w:w="0" w:type="dxa"/>
              <w:bottom w:w="0" w:type="dxa"/>
              <w:right w:w="0" w:type="dxa"/>
            </w:tcMar>
            <w:vAlign w:val="center"/>
          </w:tcPr>
          <w:p w14:paraId="7AB4EDD4">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54EB268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27D66A27">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174" w:type="pct"/>
            <w:noWrap w:val="0"/>
            <w:tcMar>
              <w:top w:w="0" w:type="dxa"/>
              <w:left w:w="0" w:type="dxa"/>
              <w:bottom w:w="0" w:type="dxa"/>
              <w:right w:w="0" w:type="dxa"/>
            </w:tcMar>
            <w:vAlign w:val="center"/>
          </w:tcPr>
          <w:p w14:paraId="38B7734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较轻</w:t>
            </w:r>
          </w:p>
        </w:tc>
        <w:tc>
          <w:tcPr>
            <w:tcW w:w="561" w:type="pct"/>
            <w:noWrap w:val="0"/>
            <w:tcMar>
              <w:top w:w="0" w:type="dxa"/>
              <w:left w:w="0" w:type="dxa"/>
              <w:bottom w:w="0" w:type="dxa"/>
              <w:right w:w="0" w:type="dxa"/>
            </w:tcMar>
            <w:vAlign w:val="center"/>
          </w:tcPr>
          <w:p w14:paraId="7EE839E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rPr>
            </w:pPr>
            <w:r>
              <w:rPr>
                <w:rFonts w:hint="eastAsia" w:ascii="宋体" w:hAnsi="宋体" w:eastAsia="宋体" w:cs="宋体"/>
                <w:sz w:val="18"/>
                <w:szCs w:val="18"/>
                <w:vertAlign w:val="baseline"/>
              </w:rPr>
              <w:t>处于施工初期或地基基础施工阶段的</w:t>
            </w:r>
          </w:p>
        </w:tc>
        <w:tc>
          <w:tcPr>
            <w:tcW w:w="873" w:type="pct"/>
            <w:noWrap w:val="0"/>
            <w:tcMar>
              <w:top w:w="0" w:type="dxa"/>
              <w:left w:w="0" w:type="dxa"/>
              <w:bottom w:w="0" w:type="dxa"/>
              <w:right w:w="0" w:type="dxa"/>
            </w:tcMar>
            <w:vAlign w:val="center"/>
          </w:tcPr>
          <w:p w14:paraId="1A5D282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rPr>
            </w:pPr>
            <w:r>
              <w:rPr>
                <w:rFonts w:hint="eastAsia" w:ascii="宋体" w:hAnsi="宋体" w:eastAsia="宋体" w:cs="宋体"/>
                <w:sz w:val="18"/>
                <w:szCs w:val="18"/>
                <w:vertAlign w:val="baseline"/>
              </w:rPr>
              <w:t>处20万元以上25万元以下的罚款，对单位直接负责的主管人员和其他直接责任人员处单位罚款数额</w:t>
            </w:r>
            <w:r>
              <w:rPr>
                <w:rFonts w:hint="eastAsia" w:ascii="宋体" w:hAnsi="宋体" w:eastAsia="宋体" w:cs="宋体"/>
                <w:sz w:val="18"/>
                <w:szCs w:val="18"/>
                <w:vertAlign w:val="baseline"/>
                <w:lang w:val="en-US" w:eastAsia="zh-CN"/>
              </w:rPr>
              <w:t>5%</w:t>
            </w:r>
            <w:r>
              <w:rPr>
                <w:rFonts w:hint="eastAsia" w:ascii="宋体" w:hAnsi="宋体" w:eastAsia="宋体" w:cs="宋体"/>
                <w:sz w:val="18"/>
                <w:szCs w:val="18"/>
                <w:vertAlign w:val="baseline"/>
              </w:rPr>
              <w:t>以上</w:t>
            </w:r>
            <w:r>
              <w:rPr>
                <w:rFonts w:hint="eastAsia" w:ascii="宋体" w:hAnsi="宋体" w:eastAsia="宋体" w:cs="宋体"/>
                <w:sz w:val="18"/>
                <w:szCs w:val="18"/>
                <w:vertAlign w:val="baseline"/>
                <w:lang w:val="en-US" w:eastAsia="zh-CN"/>
              </w:rPr>
              <w:t>6.5%</w:t>
            </w:r>
            <w:r>
              <w:rPr>
                <w:rFonts w:hint="eastAsia" w:ascii="宋体" w:hAnsi="宋体" w:eastAsia="宋体" w:cs="宋体"/>
                <w:sz w:val="18"/>
                <w:szCs w:val="18"/>
                <w:vertAlign w:val="baseline"/>
              </w:rPr>
              <w:t>以下的罚款</w:t>
            </w:r>
          </w:p>
        </w:tc>
        <w:tc>
          <w:tcPr>
            <w:tcW w:w="158" w:type="pct"/>
            <w:vMerge w:val="continue"/>
            <w:noWrap w:val="0"/>
            <w:tcMar>
              <w:top w:w="0" w:type="dxa"/>
              <w:left w:w="0" w:type="dxa"/>
              <w:bottom w:w="0" w:type="dxa"/>
              <w:right w:w="0" w:type="dxa"/>
            </w:tcMar>
            <w:vAlign w:val="center"/>
          </w:tcPr>
          <w:p w14:paraId="18F0FA6B">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rPr>
            </w:pPr>
          </w:p>
        </w:tc>
      </w:tr>
      <w:tr w14:paraId="62469F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639A12F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p>
        </w:tc>
        <w:tc>
          <w:tcPr>
            <w:tcW w:w="415" w:type="pct"/>
            <w:vMerge w:val="continue"/>
            <w:noWrap w:val="0"/>
            <w:tcMar>
              <w:top w:w="0" w:type="dxa"/>
              <w:left w:w="0" w:type="dxa"/>
              <w:bottom w:w="0" w:type="dxa"/>
              <w:right w:w="0" w:type="dxa"/>
            </w:tcMar>
            <w:vAlign w:val="center"/>
          </w:tcPr>
          <w:p w14:paraId="6EC7641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5F2C721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1E20ADE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174" w:type="pct"/>
            <w:noWrap w:val="0"/>
            <w:tcMar>
              <w:top w:w="0" w:type="dxa"/>
              <w:left w:w="0" w:type="dxa"/>
              <w:bottom w:w="0" w:type="dxa"/>
              <w:right w:w="0" w:type="dxa"/>
            </w:tcMar>
            <w:vAlign w:val="center"/>
          </w:tcPr>
          <w:p w14:paraId="6C9A850B">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一般</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229C4B21">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04B9DB84">
            <w:pPr>
              <w:spacing w:line="260" w:lineRule="exact"/>
              <w:rPr>
                <w:rFonts w:hint="eastAsia" w:ascii="宋体" w:hAnsi="宋体" w:eastAsia="宋体" w:cs="宋体"/>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756368E3">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7CA58088">
            <w:pPr>
              <w:spacing w:line="260" w:lineRule="exact"/>
              <w:rPr>
                <w:rFonts w:hint="eastAsia" w:ascii="宋体" w:hAnsi="宋体" w:eastAsia="宋体" w:cs="宋体"/>
                <w:sz w:val="18"/>
                <w:szCs w:val="18"/>
                <w:vertAlign w:val="baseline"/>
              </w:rPr>
            </w:pPr>
          </w:p>
        </w:tc>
        <w:tc>
          <w:tcPr>
            <w:tcW w:w="158" w:type="pct"/>
            <w:vMerge w:val="continue"/>
            <w:noWrap w:val="0"/>
            <w:tcMar>
              <w:top w:w="0" w:type="dxa"/>
              <w:left w:w="0" w:type="dxa"/>
              <w:bottom w:w="0" w:type="dxa"/>
              <w:right w:w="0" w:type="dxa"/>
            </w:tcMar>
            <w:vAlign w:val="center"/>
          </w:tcPr>
          <w:p w14:paraId="134BBD2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rPr>
            </w:pPr>
          </w:p>
        </w:tc>
      </w:tr>
      <w:tr w14:paraId="24A331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218" w:hRule="atLeast"/>
          <w:jc w:val="center"/>
        </w:trPr>
        <w:tc>
          <w:tcPr>
            <w:tcW w:w="156" w:type="pct"/>
            <w:vMerge w:val="continue"/>
            <w:noWrap w:val="0"/>
            <w:tcMar>
              <w:top w:w="0" w:type="dxa"/>
              <w:left w:w="0" w:type="dxa"/>
              <w:bottom w:w="0" w:type="dxa"/>
              <w:right w:w="0" w:type="dxa"/>
            </w:tcMar>
            <w:vAlign w:val="center"/>
          </w:tcPr>
          <w:p w14:paraId="11AEF00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p>
        </w:tc>
        <w:tc>
          <w:tcPr>
            <w:tcW w:w="415" w:type="pct"/>
            <w:vMerge w:val="continue"/>
            <w:noWrap w:val="0"/>
            <w:tcMar>
              <w:top w:w="0" w:type="dxa"/>
              <w:left w:w="0" w:type="dxa"/>
              <w:bottom w:w="0" w:type="dxa"/>
              <w:right w:w="0" w:type="dxa"/>
            </w:tcMar>
            <w:vAlign w:val="center"/>
          </w:tcPr>
          <w:p w14:paraId="314D0BA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023A9D3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4E39FC1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174" w:type="pct"/>
            <w:noWrap w:val="0"/>
            <w:tcMar>
              <w:top w:w="0" w:type="dxa"/>
              <w:left w:w="0" w:type="dxa"/>
              <w:bottom w:w="0" w:type="dxa"/>
              <w:right w:w="0" w:type="dxa"/>
            </w:tcMar>
            <w:vAlign w:val="center"/>
          </w:tcPr>
          <w:p w14:paraId="09B29F0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较重</w:t>
            </w:r>
          </w:p>
        </w:tc>
        <w:tc>
          <w:tcPr>
            <w:tcW w:w="561" w:type="pct"/>
            <w:noWrap w:val="0"/>
            <w:tcMar>
              <w:top w:w="0" w:type="dxa"/>
              <w:left w:w="0" w:type="dxa"/>
              <w:bottom w:w="0" w:type="dxa"/>
              <w:right w:w="0" w:type="dxa"/>
            </w:tcMar>
            <w:vAlign w:val="center"/>
          </w:tcPr>
          <w:p w14:paraId="76265D7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rPr>
            </w:pPr>
            <w:r>
              <w:rPr>
                <w:rFonts w:hint="eastAsia" w:ascii="宋体" w:hAnsi="宋体" w:eastAsia="宋体" w:cs="宋体"/>
                <w:sz w:val="18"/>
                <w:szCs w:val="18"/>
                <w:vertAlign w:val="baseline"/>
              </w:rPr>
              <w:t>处于施工中期或主体结构施工阶段的</w:t>
            </w:r>
          </w:p>
        </w:tc>
        <w:tc>
          <w:tcPr>
            <w:tcW w:w="873" w:type="pct"/>
            <w:noWrap w:val="0"/>
            <w:tcMar>
              <w:top w:w="0" w:type="dxa"/>
              <w:left w:w="0" w:type="dxa"/>
              <w:bottom w:w="0" w:type="dxa"/>
              <w:right w:w="0" w:type="dxa"/>
            </w:tcMar>
            <w:vAlign w:val="center"/>
          </w:tcPr>
          <w:p w14:paraId="554FCF7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rPr>
            </w:pPr>
            <w:r>
              <w:rPr>
                <w:rFonts w:hint="eastAsia" w:ascii="宋体" w:hAnsi="宋体" w:eastAsia="宋体" w:cs="宋体"/>
                <w:sz w:val="18"/>
                <w:szCs w:val="18"/>
                <w:vertAlign w:val="baseline"/>
              </w:rPr>
              <w:t>处25万元以上40万元以下的罚款，对单位直接负责的主管人员和其他直接责任人员处单位罚款数额</w:t>
            </w:r>
            <w:r>
              <w:rPr>
                <w:rFonts w:hint="eastAsia" w:ascii="宋体" w:hAnsi="宋体" w:eastAsia="宋体" w:cs="宋体"/>
                <w:sz w:val="18"/>
                <w:szCs w:val="18"/>
                <w:vertAlign w:val="baseline"/>
                <w:lang w:val="en-US" w:eastAsia="zh-CN"/>
              </w:rPr>
              <w:t>6.5%</w:t>
            </w:r>
            <w:r>
              <w:rPr>
                <w:rFonts w:hint="eastAsia" w:ascii="宋体" w:hAnsi="宋体" w:eastAsia="宋体" w:cs="宋体"/>
                <w:sz w:val="18"/>
                <w:szCs w:val="18"/>
                <w:vertAlign w:val="baseline"/>
              </w:rPr>
              <w:t>以上</w:t>
            </w:r>
            <w:r>
              <w:rPr>
                <w:rFonts w:hint="eastAsia" w:ascii="宋体" w:hAnsi="宋体" w:eastAsia="宋体" w:cs="宋体"/>
                <w:sz w:val="18"/>
                <w:szCs w:val="18"/>
                <w:vertAlign w:val="baseline"/>
                <w:lang w:val="en-US" w:eastAsia="zh-CN"/>
              </w:rPr>
              <w:t>8.5%</w:t>
            </w:r>
            <w:r>
              <w:rPr>
                <w:rFonts w:hint="eastAsia" w:ascii="宋体" w:hAnsi="宋体" w:eastAsia="宋体" w:cs="宋体"/>
                <w:sz w:val="18"/>
                <w:szCs w:val="18"/>
                <w:vertAlign w:val="baseline"/>
              </w:rPr>
              <w:t>以下的罚款</w:t>
            </w:r>
          </w:p>
        </w:tc>
        <w:tc>
          <w:tcPr>
            <w:tcW w:w="158" w:type="pct"/>
            <w:vMerge w:val="continue"/>
            <w:noWrap w:val="0"/>
            <w:tcMar>
              <w:top w:w="0" w:type="dxa"/>
              <w:left w:w="0" w:type="dxa"/>
              <w:bottom w:w="0" w:type="dxa"/>
              <w:right w:w="0" w:type="dxa"/>
            </w:tcMar>
            <w:vAlign w:val="center"/>
          </w:tcPr>
          <w:p w14:paraId="37EB54A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rPr>
            </w:pPr>
          </w:p>
        </w:tc>
      </w:tr>
      <w:tr w14:paraId="2900FC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159" w:hRule="atLeast"/>
          <w:jc w:val="center"/>
        </w:trPr>
        <w:tc>
          <w:tcPr>
            <w:tcW w:w="156" w:type="pct"/>
            <w:vMerge w:val="restart"/>
            <w:noWrap w:val="0"/>
            <w:tcMar>
              <w:top w:w="0" w:type="dxa"/>
              <w:left w:w="0" w:type="dxa"/>
              <w:bottom w:w="0" w:type="dxa"/>
              <w:right w:w="0" w:type="dxa"/>
            </w:tcMar>
            <w:vAlign w:val="center"/>
          </w:tcPr>
          <w:p w14:paraId="3A65E0C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r>
              <w:rPr>
                <w:rFonts w:hint="eastAsia" w:ascii="宋体" w:hAnsi="宋体" w:eastAsia="宋体" w:cs="宋体"/>
                <w:sz w:val="18"/>
                <w:szCs w:val="18"/>
                <w:vertAlign w:val="baseline"/>
                <w:lang w:val="en-US" w:eastAsia="zh-CN"/>
              </w:rPr>
              <w:t>61</w:t>
            </w:r>
          </w:p>
        </w:tc>
        <w:tc>
          <w:tcPr>
            <w:tcW w:w="415" w:type="pct"/>
            <w:vMerge w:val="restart"/>
            <w:noWrap w:val="0"/>
            <w:tcMar>
              <w:top w:w="0" w:type="dxa"/>
              <w:left w:w="0" w:type="dxa"/>
              <w:bottom w:w="0" w:type="dxa"/>
              <w:right w:w="0" w:type="dxa"/>
            </w:tcMar>
            <w:vAlign w:val="center"/>
          </w:tcPr>
          <w:p w14:paraId="5E706E0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r>
              <w:rPr>
                <w:rFonts w:hint="eastAsia" w:ascii="宋体" w:hAnsi="宋体" w:eastAsia="宋体" w:cs="宋体"/>
                <w:i w:val="0"/>
                <w:color w:val="000000"/>
                <w:kern w:val="0"/>
                <w:sz w:val="18"/>
                <w:szCs w:val="18"/>
                <w:u w:val="none"/>
                <w:lang w:val="en-US" w:eastAsia="zh-CN" w:bidi="ar"/>
              </w:rPr>
              <w:t>对水利领域建设单位迫使承包方以低于成本的价格竞标、任意压缩合理工期等行为的行政处罚</w:t>
            </w:r>
          </w:p>
        </w:tc>
        <w:tc>
          <w:tcPr>
            <w:tcW w:w="2168" w:type="pct"/>
            <w:vMerge w:val="continue"/>
            <w:noWrap w:val="0"/>
            <w:tcMar>
              <w:top w:w="0" w:type="dxa"/>
              <w:left w:w="0" w:type="dxa"/>
              <w:bottom w:w="0" w:type="dxa"/>
              <w:right w:w="0" w:type="dxa"/>
            </w:tcMar>
            <w:vAlign w:val="center"/>
          </w:tcPr>
          <w:p w14:paraId="3E6C449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491" w:type="pct"/>
            <w:noWrap w:val="0"/>
            <w:tcMar>
              <w:top w:w="0" w:type="dxa"/>
              <w:left w:w="0" w:type="dxa"/>
              <w:bottom w:w="0" w:type="dxa"/>
              <w:right w:w="0" w:type="dxa"/>
            </w:tcMar>
            <w:vAlign w:val="center"/>
          </w:tcPr>
          <w:p w14:paraId="07C27F7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r>
              <w:rPr>
                <w:rFonts w:hint="eastAsia" w:ascii="宋体" w:hAnsi="宋体" w:eastAsia="宋体" w:cs="宋体"/>
                <w:sz w:val="18"/>
                <w:szCs w:val="18"/>
                <w:vertAlign w:val="baseline"/>
                <w:lang w:val="en-US" w:eastAsia="zh-CN"/>
              </w:rPr>
              <w:t>建设单位建设项目必须实行工程监理而未实行工程监理的</w:t>
            </w:r>
          </w:p>
        </w:tc>
        <w:tc>
          <w:tcPr>
            <w:tcW w:w="174" w:type="pct"/>
            <w:noWrap w:val="0"/>
            <w:tcMar>
              <w:top w:w="0" w:type="dxa"/>
              <w:left w:w="0" w:type="dxa"/>
              <w:bottom w:w="0" w:type="dxa"/>
              <w:right w:w="0" w:type="dxa"/>
            </w:tcMar>
            <w:vAlign w:val="center"/>
          </w:tcPr>
          <w:p w14:paraId="333FEA0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严重</w:t>
            </w:r>
          </w:p>
        </w:tc>
        <w:tc>
          <w:tcPr>
            <w:tcW w:w="561" w:type="pct"/>
            <w:noWrap w:val="0"/>
            <w:tcMar>
              <w:top w:w="0" w:type="dxa"/>
              <w:left w:w="0" w:type="dxa"/>
              <w:bottom w:w="0" w:type="dxa"/>
              <w:right w:w="0" w:type="dxa"/>
            </w:tcMar>
            <w:vAlign w:val="center"/>
          </w:tcPr>
          <w:p w14:paraId="3121D82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rPr>
            </w:pPr>
            <w:r>
              <w:rPr>
                <w:rFonts w:hint="eastAsia" w:ascii="宋体" w:hAnsi="宋体" w:eastAsia="宋体" w:cs="宋体"/>
                <w:sz w:val="18"/>
                <w:szCs w:val="18"/>
                <w:vertAlign w:val="baseline"/>
              </w:rPr>
              <w:t>处于施工后期或工程主体已经完工的；发生质量安全事故的</w:t>
            </w:r>
          </w:p>
        </w:tc>
        <w:tc>
          <w:tcPr>
            <w:tcW w:w="873" w:type="pct"/>
            <w:noWrap w:val="0"/>
            <w:tcMar>
              <w:top w:w="0" w:type="dxa"/>
              <w:left w:w="0" w:type="dxa"/>
              <w:bottom w:w="0" w:type="dxa"/>
              <w:right w:w="0" w:type="dxa"/>
            </w:tcMar>
            <w:vAlign w:val="center"/>
          </w:tcPr>
          <w:p w14:paraId="09AF1FB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rPr>
            </w:pPr>
            <w:r>
              <w:rPr>
                <w:rFonts w:hint="eastAsia" w:ascii="宋体" w:hAnsi="宋体" w:eastAsia="宋体" w:cs="宋体"/>
                <w:sz w:val="18"/>
                <w:szCs w:val="18"/>
                <w:vertAlign w:val="baseline"/>
              </w:rPr>
              <w:t>处40万元以上50万元以下的罚款，对单位直接负责的主管人员和其他直接责任人员处单位罚款数额</w:t>
            </w:r>
            <w:r>
              <w:rPr>
                <w:rFonts w:hint="eastAsia" w:ascii="宋体" w:hAnsi="宋体" w:eastAsia="宋体" w:cs="宋体"/>
                <w:sz w:val="18"/>
                <w:szCs w:val="18"/>
                <w:vertAlign w:val="baseline"/>
                <w:lang w:val="en-US" w:eastAsia="zh-CN"/>
              </w:rPr>
              <w:t>8.5%</w:t>
            </w:r>
            <w:r>
              <w:rPr>
                <w:rFonts w:hint="eastAsia" w:ascii="宋体" w:hAnsi="宋体" w:eastAsia="宋体" w:cs="宋体"/>
                <w:sz w:val="18"/>
                <w:szCs w:val="18"/>
                <w:vertAlign w:val="baseline"/>
              </w:rPr>
              <w:t>以上</w:t>
            </w:r>
            <w:r>
              <w:rPr>
                <w:rFonts w:hint="eastAsia" w:ascii="宋体" w:hAnsi="宋体" w:eastAsia="宋体" w:cs="宋体"/>
                <w:sz w:val="18"/>
                <w:szCs w:val="18"/>
                <w:vertAlign w:val="baseline"/>
                <w:lang w:val="en-US" w:eastAsia="zh-CN"/>
              </w:rPr>
              <w:t>10%</w:t>
            </w:r>
            <w:r>
              <w:rPr>
                <w:rFonts w:hint="eastAsia" w:ascii="宋体" w:hAnsi="宋体" w:eastAsia="宋体" w:cs="宋体"/>
                <w:sz w:val="18"/>
                <w:szCs w:val="18"/>
                <w:vertAlign w:val="baseline"/>
              </w:rPr>
              <w:t>以下的罚款</w:t>
            </w:r>
          </w:p>
        </w:tc>
        <w:tc>
          <w:tcPr>
            <w:tcW w:w="158" w:type="pct"/>
            <w:vMerge w:val="continue"/>
            <w:noWrap w:val="0"/>
            <w:tcMar>
              <w:top w:w="0" w:type="dxa"/>
              <w:left w:w="0" w:type="dxa"/>
              <w:bottom w:w="0" w:type="dxa"/>
              <w:right w:w="0" w:type="dxa"/>
            </w:tcMar>
            <w:vAlign w:val="center"/>
          </w:tcPr>
          <w:p w14:paraId="51A06E3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rPr>
            </w:pPr>
          </w:p>
        </w:tc>
      </w:tr>
      <w:tr w14:paraId="04F92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494562CA">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p>
        </w:tc>
        <w:tc>
          <w:tcPr>
            <w:tcW w:w="415" w:type="pct"/>
            <w:vMerge w:val="continue"/>
            <w:noWrap w:val="0"/>
            <w:tcMar>
              <w:top w:w="0" w:type="dxa"/>
              <w:left w:w="0" w:type="dxa"/>
              <w:bottom w:w="0" w:type="dxa"/>
              <w:right w:w="0" w:type="dxa"/>
            </w:tcMar>
            <w:vAlign w:val="center"/>
          </w:tcPr>
          <w:p w14:paraId="4AA56884">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1E697EB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491" w:type="pct"/>
            <w:vMerge w:val="restart"/>
            <w:noWrap w:val="0"/>
            <w:tcMar>
              <w:top w:w="0" w:type="dxa"/>
              <w:left w:w="0" w:type="dxa"/>
              <w:bottom w:w="0" w:type="dxa"/>
              <w:right w:w="0" w:type="dxa"/>
            </w:tcMar>
            <w:vAlign w:val="center"/>
          </w:tcPr>
          <w:p w14:paraId="2336DA0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r>
              <w:rPr>
                <w:rFonts w:hint="eastAsia" w:ascii="宋体" w:hAnsi="宋体" w:eastAsia="宋体" w:cs="宋体"/>
                <w:sz w:val="18"/>
                <w:szCs w:val="18"/>
                <w:vertAlign w:val="baseline"/>
                <w:lang w:val="en-US" w:eastAsia="zh-CN"/>
              </w:rPr>
              <w:t>建设单位未按照国家规定办理工程质量监督手续的</w:t>
            </w:r>
          </w:p>
        </w:tc>
        <w:tc>
          <w:tcPr>
            <w:tcW w:w="174" w:type="pct"/>
            <w:noWrap w:val="0"/>
            <w:tcMar>
              <w:top w:w="0" w:type="dxa"/>
              <w:left w:w="0" w:type="dxa"/>
              <w:bottom w:w="0" w:type="dxa"/>
              <w:right w:w="0" w:type="dxa"/>
            </w:tcMar>
            <w:vAlign w:val="center"/>
          </w:tcPr>
          <w:p w14:paraId="0032ED4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轻微</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5BE0F54C">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73DF28CC">
            <w:pPr>
              <w:spacing w:line="260" w:lineRule="exact"/>
              <w:rPr>
                <w:rFonts w:hint="eastAsia" w:ascii="宋体" w:hAnsi="宋体" w:eastAsia="宋体" w:cs="宋体"/>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37678A75">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0580EDD0">
            <w:pPr>
              <w:spacing w:line="260" w:lineRule="exact"/>
              <w:rPr>
                <w:rFonts w:hint="eastAsia" w:ascii="宋体" w:hAnsi="宋体" w:eastAsia="宋体" w:cs="宋体"/>
                <w:sz w:val="18"/>
                <w:szCs w:val="18"/>
                <w:vertAlign w:val="baseline"/>
              </w:rPr>
            </w:pPr>
          </w:p>
        </w:tc>
        <w:tc>
          <w:tcPr>
            <w:tcW w:w="158" w:type="pct"/>
            <w:vMerge w:val="restart"/>
            <w:noWrap w:val="0"/>
            <w:tcMar>
              <w:top w:w="0" w:type="dxa"/>
              <w:left w:w="0" w:type="dxa"/>
              <w:bottom w:w="0" w:type="dxa"/>
              <w:right w:w="0" w:type="dxa"/>
            </w:tcMar>
            <w:vAlign w:val="center"/>
          </w:tcPr>
          <w:p w14:paraId="00663D9D">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rPr>
            </w:pPr>
          </w:p>
        </w:tc>
      </w:tr>
      <w:tr w14:paraId="3FB78F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198" w:hRule="atLeast"/>
          <w:jc w:val="center"/>
        </w:trPr>
        <w:tc>
          <w:tcPr>
            <w:tcW w:w="156" w:type="pct"/>
            <w:vMerge w:val="continue"/>
            <w:noWrap w:val="0"/>
            <w:tcMar>
              <w:top w:w="0" w:type="dxa"/>
              <w:left w:w="0" w:type="dxa"/>
              <w:bottom w:w="0" w:type="dxa"/>
              <w:right w:w="0" w:type="dxa"/>
            </w:tcMar>
            <w:vAlign w:val="center"/>
          </w:tcPr>
          <w:p w14:paraId="66E35A3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p>
        </w:tc>
        <w:tc>
          <w:tcPr>
            <w:tcW w:w="415" w:type="pct"/>
            <w:vMerge w:val="continue"/>
            <w:noWrap w:val="0"/>
            <w:tcMar>
              <w:top w:w="0" w:type="dxa"/>
              <w:left w:w="0" w:type="dxa"/>
              <w:bottom w:w="0" w:type="dxa"/>
              <w:right w:w="0" w:type="dxa"/>
            </w:tcMar>
            <w:vAlign w:val="center"/>
          </w:tcPr>
          <w:p w14:paraId="2758D8D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5D400BF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298AE7C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174" w:type="pct"/>
            <w:noWrap w:val="0"/>
            <w:tcMar>
              <w:top w:w="0" w:type="dxa"/>
              <w:left w:w="0" w:type="dxa"/>
              <w:bottom w:w="0" w:type="dxa"/>
              <w:right w:w="0" w:type="dxa"/>
            </w:tcMar>
            <w:vAlign w:val="center"/>
          </w:tcPr>
          <w:p w14:paraId="79E76B7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较轻</w:t>
            </w:r>
          </w:p>
        </w:tc>
        <w:tc>
          <w:tcPr>
            <w:tcW w:w="561" w:type="pct"/>
            <w:noWrap w:val="0"/>
            <w:tcMar>
              <w:top w:w="0" w:type="dxa"/>
              <w:left w:w="0" w:type="dxa"/>
              <w:bottom w:w="0" w:type="dxa"/>
              <w:right w:w="0" w:type="dxa"/>
            </w:tcMar>
            <w:vAlign w:val="center"/>
          </w:tcPr>
          <w:p w14:paraId="117EE73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rPr>
            </w:pPr>
            <w:r>
              <w:rPr>
                <w:rFonts w:hint="eastAsia" w:ascii="宋体" w:hAnsi="宋体" w:eastAsia="宋体" w:cs="宋体"/>
                <w:sz w:val="18"/>
                <w:szCs w:val="18"/>
                <w:vertAlign w:val="baseline"/>
              </w:rPr>
              <w:t>处于施工初期或地基基础施工阶段的</w:t>
            </w:r>
          </w:p>
        </w:tc>
        <w:tc>
          <w:tcPr>
            <w:tcW w:w="873" w:type="pct"/>
            <w:noWrap w:val="0"/>
            <w:tcMar>
              <w:top w:w="0" w:type="dxa"/>
              <w:left w:w="0" w:type="dxa"/>
              <w:bottom w:w="0" w:type="dxa"/>
              <w:right w:w="0" w:type="dxa"/>
            </w:tcMar>
            <w:vAlign w:val="center"/>
          </w:tcPr>
          <w:p w14:paraId="70918694">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rPr>
            </w:pPr>
            <w:r>
              <w:rPr>
                <w:rFonts w:hint="eastAsia" w:ascii="宋体" w:hAnsi="宋体" w:eastAsia="宋体" w:cs="宋体"/>
                <w:sz w:val="18"/>
                <w:szCs w:val="18"/>
                <w:vertAlign w:val="baseline"/>
              </w:rPr>
              <w:t>处20万元以上25万元以下的罚款，对单位直接负责的主管人员和其他直接责任人员处单位罚款数额</w:t>
            </w:r>
            <w:r>
              <w:rPr>
                <w:rFonts w:hint="eastAsia" w:ascii="宋体" w:hAnsi="宋体" w:eastAsia="宋体" w:cs="宋体"/>
                <w:sz w:val="18"/>
                <w:szCs w:val="18"/>
                <w:vertAlign w:val="baseline"/>
                <w:lang w:val="en-US" w:eastAsia="zh-CN"/>
              </w:rPr>
              <w:t>5%</w:t>
            </w:r>
            <w:r>
              <w:rPr>
                <w:rFonts w:hint="eastAsia" w:ascii="宋体" w:hAnsi="宋体" w:eastAsia="宋体" w:cs="宋体"/>
                <w:sz w:val="18"/>
                <w:szCs w:val="18"/>
                <w:vertAlign w:val="baseline"/>
              </w:rPr>
              <w:t>以上</w:t>
            </w:r>
            <w:r>
              <w:rPr>
                <w:rFonts w:hint="eastAsia" w:ascii="宋体" w:hAnsi="宋体" w:eastAsia="宋体" w:cs="宋体"/>
                <w:sz w:val="18"/>
                <w:szCs w:val="18"/>
                <w:vertAlign w:val="baseline"/>
                <w:lang w:val="en-US" w:eastAsia="zh-CN"/>
              </w:rPr>
              <w:t>6.5%</w:t>
            </w:r>
            <w:r>
              <w:rPr>
                <w:rFonts w:hint="eastAsia" w:ascii="宋体" w:hAnsi="宋体" w:eastAsia="宋体" w:cs="宋体"/>
                <w:sz w:val="18"/>
                <w:szCs w:val="18"/>
                <w:vertAlign w:val="baseline"/>
              </w:rPr>
              <w:t>以下的罚款</w:t>
            </w:r>
          </w:p>
        </w:tc>
        <w:tc>
          <w:tcPr>
            <w:tcW w:w="158" w:type="pct"/>
            <w:vMerge w:val="continue"/>
            <w:noWrap w:val="0"/>
            <w:tcMar>
              <w:top w:w="0" w:type="dxa"/>
              <w:left w:w="0" w:type="dxa"/>
              <w:bottom w:w="0" w:type="dxa"/>
              <w:right w:w="0" w:type="dxa"/>
            </w:tcMar>
            <w:vAlign w:val="center"/>
          </w:tcPr>
          <w:p w14:paraId="0833599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rPr>
            </w:pPr>
          </w:p>
        </w:tc>
      </w:tr>
      <w:tr w14:paraId="779D67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717B9E68">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p>
        </w:tc>
        <w:tc>
          <w:tcPr>
            <w:tcW w:w="415" w:type="pct"/>
            <w:vMerge w:val="continue"/>
            <w:noWrap w:val="0"/>
            <w:tcMar>
              <w:top w:w="0" w:type="dxa"/>
              <w:left w:w="0" w:type="dxa"/>
              <w:bottom w:w="0" w:type="dxa"/>
              <w:right w:w="0" w:type="dxa"/>
            </w:tcMar>
            <w:vAlign w:val="center"/>
          </w:tcPr>
          <w:p w14:paraId="31C2918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5048F64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1E5B3824">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174" w:type="pct"/>
            <w:noWrap w:val="0"/>
            <w:tcMar>
              <w:top w:w="0" w:type="dxa"/>
              <w:left w:w="0" w:type="dxa"/>
              <w:bottom w:w="0" w:type="dxa"/>
              <w:right w:w="0" w:type="dxa"/>
            </w:tcMar>
            <w:vAlign w:val="center"/>
          </w:tcPr>
          <w:p w14:paraId="751DC16D">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一般</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1932F9D3">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12BD44AF">
            <w:pPr>
              <w:spacing w:line="260" w:lineRule="exact"/>
              <w:rPr>
                <w:rFonts w:hint="eastAsia" w:ascii="宋体" w:hAnsi="宋体" w:eastAsia="宋体" w:cs="宋体"/>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72665B89">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7B477D94">
            <w:pPr>
              <w:spacing w:line="260" w:lineRule="exact"/>
              <w:rPr>
                <w:rFonts w:hint="eastAsia" w:ascii="宋体" w:hAnsi="宋体" w:eastAsia="宋体" w:cs="宋体"/>
                <w:sz w:val="18"/>
                <w:szCs w:val="18"/>
                <w:vertAlign w:val="baseline"/>
              </w:rPr>
            </w:pPr>
          </w:p>
        </w:tc>
        <w:tc>
          <w:tcPr>
            <w:tcW w:w="158" w:type="pct"/>
            <w:vMerge w:val="continue"/>
            <w:noWrap w:val="0"/>
            <w:tcMar>
              <w:top w:w="0" w:type="dxa"/>
              <w:left w:w="0" w:type="dxa"/>
              <w:bottom w:w="0" w:type="dxa"/>
              <w:right w:w="0" w:type="dxa"/>
            </w:tcMar>
            <w:vAlign w:val="center"/>
          </w:tcPr>
          <w:p w14:paraId="3FBD61E1">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rPr>
            </w:pPr>
          </w:p>
        </w:tc>
      </w:tr>
      <w:tr w14:paraId="7B94E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432" w:hRule="atLeast"/>
          <w:jc w:val="center"/>
        </w:trPr>
        <w:tc>
          <w:tcPr>
            <w:tcW w:w="156" w:type="pct"/>
            <w:vMerge w:val="continue"/>
            <w:noWrap w:val="0"/>
            <w:tcMar>
              <w:top w:w="0" w:type="dxa"/>
              <w:left w:w="0" w:type="dxa"/>
              <w:bottom w:w="0" w:type="dxa"/>
              <w:right w:w="0" w:type="dxa"/>
            </w:tcMar>
            <w:vAlign w:val="center"/>
          </w:tcPr>
          <w:p w14:paraId="1A406C3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p>
        </w:tc>
        <w:tc>
          <w:tcPr>
            <w:tcW w:w="415" w:type="pct"/>
            <w:vMerge w:val="continue"/>
            <w:noWrap w:val="0"/>
            <w:tcMar>
              <w:top w:w="0" w:type="dxa"/>
              <w:left w:w="0" w:type="dxa"/>
              <w:bottom w:w="0" w:type="dxa"/>
              <w:right w:w="0" w:type="dxa"/>
            </w:tcMar>
            <w:vAlign w:val="center"/>
          </w:tcPr>
          <w:p w14:paraId="66732C0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1735395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1BD31B1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174" w:type="pct"/>
            <w:noWrap w:val="0"/>
            <w:tcMar>
              <w:top w:w="0" w:type="dxa"/>
              <w:left w:w="0" w:type="dxa"/>
              <w:bottom w:w="0" w:type="dxa"/>
              <w:right w:w="0" w:type="dxa"/>
            </w:tcMar>
            <w:vAlign w:val="center"/>
          </w:tcPr>
          <w:p w14:paraId="1ECC75FC">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较重</w:t>
            </w:r>
          </w:p>
        </w:tc>
        <w:tc>
          <w:tcPr>
            <w:tcW w:w="561" w:type="pct"/>
            <w:noWrap w:val="0"/>
            <w:tcMar>
              <w:top w:w="0" w:type="dxa"/>
              <w:left w:w="0" w:type="dxa"/>
              <w:bottom w:w="0" w:type="dxa"/>
              <w:right w:w="0" w:type="dxa"/>
            </w:tcMar>
            <w:vAlign w:val="center"/>
          </w:tcPr>
          <w:p w14:paraId="473D6924">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rPr>
            </w:pPr>
            <w:r>
              <w:rPr>
                <w:rFonts w:hint="eastAsia" w:ascii="宋体" w:hAnsi="宋体" w:eastAsia="宋体" w:cs="宋体"/>
                <w:sz w:val="18"/>
                <w:szCs w:val="18"/>
                <w:vertAlign w:val="baseline"/>
              </w:rPr>
              <w:t>处于施工中期或主体结构施工阶段的</w:t>
            </w:r>
          </w:p>
        </w:tc>
        <w:tc>
          <w:tcPr>
            <w:tcW w:w="873" w:type="pct"/>
            <w:noWrap w:val="0"/>
            <w:tcMar>
              <w:top w:w="0" w:type="dxa"/>
              <w:left w:w="0" w:type="dxa"/>
              <w:bottom w:w="0" w:type="dxa"/>
              <w:right w:w="0" w:type="dxa"/>
            </w:tcMar>
            <w:vAlign w:val="center"/>
          </w:tcPr>
          <w:p w14:paraId="2B74E297">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rPr>
            </w:pPr>
            <w:r>
              <w:rPr>
                <w:rFonts w:hint="eastAsia" w:ascii="宋体" w:hAnsi="宋体" w:eastAsia="宋体" w:cs="宋体"/>
                <w:sz w:val="18"/>
                <w:szCs w:val="18"/>
                <w:vertAlign w:val="baseline"/>
              </w:rPr>
              <w:t>处25万元以上40万元以下的罚款，对单位直接负责的主管人员和其他直接责任人员处单位罚款数额</w:t>
            </w:r>
            <w:r>
              <w:rPr>
                <w:rFonts w:hint="eastAsia" w:ascii="宋体" w:hAnsi="宋体" w:eastAsia="宋体" w:cs="宋体"/>
                <w:sz w:val="18"/>
                <w:szCs w:val="18"/>
                <w:vertAlign w:val="baseline"/>
                <w:lang w:val="en-US" w:eastAsia="zh-CN"/>
              </w:rPr>
              <w:t>6.5%</w:t>
            </w:r>
            <w:r>
              <w:rPr>
                <w:rFonts w:hint="eastAsia" w:ascii="宋体" w:hAnsi="宋体" w:eastAsia="宋体" w:cs="宋体"/>
                <w:sz w:val="18"/>
                <w:szCs w:val="18"/>
                <w:vertAlign w:val="baseline"/>
              </w:rPr>
              <w:t>以上</w:t>
            </w:r>
            <w:r>
              <w:rPr>
                <w:rFonts w:hint="eastAsia" w:ascii="宋体" w:hAnsi="宋体" w:eastAsia="宋体" w:cs="宋体"/>
                <w:sz w:val="18"/>
                <w:szCs w:val="18"/>
                <w:vertAlign w:val="baseline"/>
                <w:lang w:val="en-US" w:eastAsia="zh-CN"/>
              </w:rPr>
              <w:t>8.5%</w:t>
            </w:r>
            <w:r>
              <w:rPr>
                <w:rFonts w:hint="eastAsia" w:ascii="宋体" w:hAnsi="宋体" w:eastAsia="宋体" w:cs="宋体"/>
                <w:sz w:val="18"/>
                <w:szCs w:val="18"/>
                <w:vertAlign w:val="baseline"/>
              </w:rPr>
              <w:t>以下的罚款</w:t>
            </w:r>
          </w:p>
        </w:tc>
        <w:tc>
          <w:tcPr>
            <w:tcW w:w="158" w:type="pct"/>
            <w:vMerge w:val="continue"/>
            <w:noWrap w:val="0"/>
            <w:tcMar>
              <w:top w:w="0" w:type="dxa"/>
              <w:left w:w="0" w:type="dxa"/>
              <w:bottom w:w="0" w:type="dxa"/>
              <w:right w:w="0" w:type="dxa"/>
            </w:tcMar>
            <w:vAlign w:val="center"/>
          </w:tcPr>
          <w:p w14:paraId="402A4DED">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rPr>
            </w:pPr>
          </w:p>
        </w:tc>
      </w:tr>
      <w:tr w14:paraId="145DB9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133" w:hRule="atLeast"/>
          <w:jc w:val="center"/>
        </w:trPr>
        <w:tc>
          <w:tcPr>
            <w:tcW w:w="156" w:type="pct"/>
            <w:vMerge w:val="continue"/>
            <w:noWrap w:val="0"/>
            <w:tcMar>
              <w:top w:w="0" w:type="dxa"/>
              <w:left w:w="0" w:type="dxa"/>
              <w:bottom w:w="0" w:type="dxa"/>
              <w:right w:w="0" w:type="dxa"/>
            </w:tcMar>
            <w:vAlign w:val="center"/>
          </w:tcPr>
          <w:p w14:paraId="141AA33C">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p>
        </w:tc>
        <w:tc>
          <w:tcPr>
            <w:tcW w:w="415" w:type="pct"/>
            <w:vMerge w:val="continue"/>
            <w:noWrap w:val="0"/>
            <w:tcMar>
              <w:top w:w="0" w:type="dxa"/>
              <w:left w:w="0" w:type="dxa"/>
              <w:bottom w:w="0" w:type="dxa"/>
              <w:right w:w="0" w:type="dxa"/>
            </w:tcMar>
            <w:vAlign w:val="center"/>
          </w:tcPr>
          <w:p w14:paraId="25E10FC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64657F9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1F32231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174" w:type="pct"/>
            <w:noWrap w:val="0"/>
            <w:tcMar>
              <w:top w:w="0" w:type="dxa"/>
              <w:left w:w="0" w:type="dxa"/>
              <w:bottom w:w="0" w:type="dxa"/>
              <w:right w:w="0" w:type="dxa"/>
            </w:tcMar>
            <w:vAlign w:val="center"/>
          </w:tcPr>
          <w:p w14:paraId="13DD936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严重</w:t>
            </w:r>
          </w:p>
        </w:tc>
        <w:tc>
          <w:tcPr>
            <w:tcW w:w="561" w:type="pct"/>
            <w:noWrap w:val="0"/>
            <w:tcMar>
              <w:top w:w="0" w:type="dxa"/>
              <w:left w:w="0" w:type="dxa"/>
              <w:bottom w:w="0" w:type="dxa"/>
              <w:right w:w="0" w:type="dxa"/>
            </w:tcMar>
            <w:vAlign w:val="center"/>
          </w:tcPr>
          <w:p w14:paraId="07F35C27">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rPr>
            </w:pPr>
            <w:r>
              <w:rPr>
                <w:rFonts w:hint="eastAsia" w:ascii="宋体" w:hAnsi="宋体" w:eastAsia="宋体" w:cs="宋体"/>
                <w:sz w:val="18"/>
                <w:szCs w:val="18"/>
                <w:vertAlign w:val="baseline"/>
              </w:rPr>
              <w:t>处于施工后期或工程主体已经完工的；发生质量安全事故的</w:t>
            </w:r>
          </w:p>
        </w:tc>
        <w:tc>
          <w:tcPr>
            <w:tcW w:w="873" w:type="pct"/>
            <w:noWrap w:val="0"/>
            <w:tcMar>
              <w:top w:w="0" w:type="dxa"/>
              <w:left w:w="0" w:type="dxa"/>
              <w:bottom w:w="0" w:type="dxa"/>
              <w:right w:w="0" w:type="dxa"/>
            </w:tcMar>
            <w:vAlign w:val="center"/>
          </w:tcPr>
          <w:p w14:paraId="2ECA557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rPr>
            </w:pPr>
            <w:r>
              <w:rPr>
                <w:rFonts w:hint="eastAsia" w:ascii="宋体" w:hAnsi="宋体" w:eastAsia="宋体" w:cs="宋体"/>
                <w:sz w:val="18"/>
                <w:szCs w:val="18"/>
                <w:vertAlign w:val="baseline"/>
              </w:rPr>
              <w:t>处40万元以上50万元以下的罚款，对单位直接负责的主管人员和其他直接责任人员处单位罚款数额</w:t>
            </w:r>
            <w:r>
              <w:rPr>
                <w:rFonts w:hint="eastAsia" w:ascii="宋体" w:hAnsi="宋体" w:eastAsia="宋体" w:cs="宋体"/>
                <w:sz w:val="18"/>
                <w:szCs w:val="18"/>
                <w:vertAlign w:val="baseline"/>
                <w:lang w:val="en-US" w:eastAsia="zh-CN"/>
              </w:rPr>
              <w:t>8.5%</w:t>
            </w:r>
            <w:r>
              <w:rPr>
                <w:rFonts w:hint="eastAsia" w:ascii="宋体" w:hAnsi="宋体" w:eastAsia="宋体" w:cs="宋体"/>
                <w:sz w:val="18"/>
                <w:szCs w:val="18"/>
                <w:vertAlign w:val="baseline"/>
              </w:rPr>
              <w:t>以上</w:t>
            </w:r>
            <w:r>
              <w:rPr>
                <w:rFonts w:hint="eastAsia" w:ascii="宋体" w:hAnsi="宋体" w:eastAsia="宋体" w:cs="宋体"/>
                <w:sz w:val="18"/>
                <w:szCs w:val="18"/>
                <w:vertAlign w:val="baseline"/>
                <w:lang w:val="en-US" w:eastAsia="zh-CN"/>
              </w:rPr>
              <w:t>10%</w:t>
            </w:r>
            <w:r>
              <w:rPr>
                <w:rFonts w:hint="eastAsia" w:ascii="宋体" w:hAnsi="宋体" w:eastAsia="宋体" w:cs="宋体"/>
                <w:sz w:val="18"/>
                <w:szCs w:val="18"/>
                <w:vertAlign w:val="baseline"/>
              </w:rPr>
              <w:t>以下的罚款</w:t>
            </w:r>
          </w:p>
        </w:tc>
        <w:tc>
          <w:tcPr>
            <w:tcW w:w="158" w:type="pct"/>
            <w:vMerge w:val="continue"/>
            <w:noWrap w:val="0"/>
            <w:tcMar>
              <w:top w:w="0" w:type="dxa"/>
              <w:left w:w="0" w:type="dxa"/>
              <w:bottom w:w="0" w:type="dxa"/>
              <w:right w:w="0" w:type="dxa"/>
            </w:tcMar>
            <w:vAlign w:val="center"/>
          </w:tcPr>
          <w:p w14:paraId="7A26996A">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rPr>
            </w:pPr>
          </w:p>
        </w:tc>
      </w:tr>
      <w:tr w14:paraId="423203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79947FD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p>
        </w:tc>
        <w:tc>
          <w:tcPr>
            <w:tcW w:w="415" w:type="pct"/>
            <w:vMerge w:val="continue"/>
            <w:noWrap w:val="0"/>
            <w:tcMar>
              <w:top w:w="0" w:type="dxa"/>
              <w:left w:w="0" w:type="dxa"/>
              <w:bottom w:w="0" w:type="dxa"/>
              <w:right w:w="0" w:type="dxa"/>
            </w:tcMar>
            <w:vAlign w:val="center"/>
          </w:tcPr>
          <w:p w14:paraId="140BED2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048CF40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491" w:type="pct"/>
            <w:vMerge w:val="restart"/>
            <w:noWrap w:val="0"/>
            <w:tcMar>
              <w:top w:w="0" w:type="dxa"/>
              <w:left w:w="0" w:type="dxa"/>
              <w:bottom w:w="0" w:type="dxa"/>
              <w:right w:w="0" w:type="dxa"/>
            </w:tcMar>
            <w:vAlign w:val="center"/>
          </w:tcPr>
          <w:p w14:paraId="07A1C9E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r>
              <w:rPr>
                <w:rFonts w:hint="eastAsia" w:ascii="宋体" w:hAnsi="宋体" w:eastAsia="宋体" w:cs="宋体"/>
                <w:sz w:val="18"/>
                <w:szCs w:val="18"/>
                <w:vertAlign w:val="baseline"/>
                <w:lang w:val="en-US" w:eastAsia="zh-CN"/>
              </w:rPr>
              <w:t>建设单位明示或者暗示施工单位使用不合格的建筑材料、建筑构配件和设备的</w:t>
            </w:r>
          </w:p>
        </w:tc>
        <w:tc>
          <w:tcPr>
            <w:tcW w:w="174" w:type="pct"/>
            <w:noWrap w:val="0"/>
            <w:tcMar>
              <w:top w:w="0" w:type="dxa"/>
              <w:left w:w="0" w:type="dxa"/>
              <w:bottom w:w="0" w:type="dxa"/>
              <w:right w:w="0" w:type="dxa"/>
            </w:tcMar>
            <w:vAlign w:val="center"/>
          </w:tcPr>
          <w:p w14:paraId="72CC542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轻微</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2B043CF6">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13ECB453">
            <w:pPr>
              <w:spacing w:line="260" w:lineRule="exact"/>
              <w:rPr>
                <w:rFonts w:hint="eastAsia" w:ascii="宋体" w:hAnsi="宋体" w:eastAsia="宋体" w:cs="宋体"/>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6BADD89C">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508E886F">
            <w:pPr>
              <w:spacing w:line="260" w:lineRule="exact"/>
              <w:rPr>
                <w:rFonts w:hint="eastAsia" w:ascii="宋体" w:hAnsi="宋体" w:eastAsia="宋体" w:cs="宋体"/>
                <w:sz w:val="18"/>
                <w:szCs w:val="18"/>
                <w:vertAlign w:val="baseline"/>
              </w:rPr>
            </w:pPr>
          </w:p>
        </w:tc>
        <w:tc>
          <w:tcPr>
            <w:tcW w:w="158" w:type="pct"/>
            <w:vMerge w:val="restart"/>
            <w:noWrap w:val="0"/>
            <w:tcMar>
              <w:top w:w="0" w:type="dxa"/>
              <w:left w:w="0" w:type="dxa"/>
              <w:bottom w:w="0" w:type="dxa"/>
              <w:right w:w="0" w:type="dxa"/>
            </w:tcMar>
            <w:vAlign w:val="center"/>
          </w:tcPr>
          <w:p w14:paraId="632983C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rPr>
            </w:pPr>
          </w:p>
        </w:tc>
      </w:tr>
      <w:tr w14:paraId="24324A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6927763C">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p>
        </w:tc>
        <w:tc>
          <w:tcPr>
            <w:tcW w:w="415" w:type="pct"/>
            <w:vMerge w:val="continue"/>
            <w:noWrap w:val="0"/>
            <w:tcMar>
              <w:top w:w="0" w:type="dxa"/>
              <w:left w:w="0" w:type="dxa"/>
              <w:bottom w:w="0" w:type="dxa"/>
              <w:right w:w="0" w:type="dxa"/>
            </w:tcMar>
            <w:vAlign w:val="center"/>
          </w:tcPr>
          <w:p w14:paraId="4DEF463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4BD8091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7EB2416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174" w:type="pct"/>
            <w:noWrap w:val="0"/>
            <w:tcMar>
              <w:top w:w="0" w:type="dxa"/>
              <w:left w:w="0" w:type="dxa"/>
              <w:bottom w:w="0" w:type="dxa"/>
              <w:right w:w="0" w:type="dxa"/>
            </w:tcMar>
            <w:vAlign w:val="center"/>
          </w:tcPr>
          <w:p w14:paraId="5BEFEDB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较轻</w:t>
            </w:r>
          </w:p>
        </w:tc>
        <w:tc>
          <w:tcPr>
            <w:tcW w:w="561" w:type="pct"/>
            <w:noWrap w:val="0"/>
            <w:tcMar>
              <w:top w:w="0" w:type="dxa"/>
              <w:left w:w="0" w:type="dxa"/>
              <w:bottom w:w="0" w:type="dxa"/>
              <w:right w:w="0" w:type="dxa"/>
            </w:tcMar>
            <w:vAlign w:val="center"/>
          </w:tcPr>
          <w:p w14:paraId="76E4621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rPr>
            </w:pPr>
            <w:r>
              <w:rPr>
                <w:rFonts w:hint="eastAsia" w:ascii="宋体" w:hAnsi="宋体" w:eastAsia="宋体" w:cs="宋体"/>
                <w:sz w:val="18"/>
                <w:szCs w:val="18"/>
                <w:vertAlign w:val="baseline"/>
              </w:rPr>
              <w:t>未涉及结构安全及重要使用功能的</w:t>
            </w:r>
          </w:p>
        </w:tc>
        <w:tc>
          <w:tcPr>
            <w:tcW w:w="873" w:type="pct"/>
            <w:noWrap w:val="0"/>
            <w:tcMar>
              <w:top w:w="0" w:type="dxa"/>
              <w:left w:w="0" w:type="dxa"/>
              <w:bottom w:w="0" w:type="dxa"/>
              <w:right w:w="0" w:type="dxa"/>
            </w:tcMar>
            <w:vAlign w:val="center"/>
          </w:tcPr>
          <w:p w14:paraId="30047F04">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rPr>
            </w:pPr>
            <w:r>
              <w:rPr>
                <w:rFonts w:hint="eastAsia" w:ascii="宋体" w:hAnsi="宋体" w:eastAsia="宋体" w:cs="宋体"/>
                <w:sz w:val="18"/>
                <w:szCs w:val="18"/>
                <w:vertAlign w:val="baseline"/>
              </w:rPr>
              <w:t>处20万元以上25万元以下的罚款，对单位直接负责的主管人员和其他直接责任人员处单位罚款数额</w:t>
            </w:r>
            <w:r>
              <w:rPr>
                <w:rFonts w:hint="eastAsia" w:ascii="宋体" w:hAnsi="宋体" w:eastAsia="宋体" w:cs="宋体"/>
                <w:sz w:val="18"/>
                <w:szCs w:val="18"/>
                <w:vertAlign w:val="baseline"/>
                <w:lang w:val="en-US" w:eastAsia="zh-CN"/>
              </w:rPr>
              <w:t>5%</w:t>
            </w:r>
            <w:r>
              <w:rPr>
                <w:rFonts w:hint="eastAsia" w:ascii="宋体" w:hAnsi="宋体" w:eastAsia="宋体" w:cs="宋体"/>
                <w:sz w:val="18"/>
                <w:szCs w:val="18"/>
                <w:vertAlign w:val="baseline"/>
              </w:rPr>
              <w:t>以上</w:t>
            </w:r>
            <w:r>
              <w:rPr>
                <w:rFonts w:hint="eastAsia" w:ascii="宋体" w:hAnsi="宋体" w:eastAsia="宋体" w:cs="宋体"/>
                <w:sz w:val="18"/>
                <w:szCs w:val="18"/>
                <w:vertAlign w:val="baseline"/>
                <w:lang w:val="en-US" w:eastAsia="zh-CN"/>
              </w:rPr>
              <w:t>6.5%</w:t>
            </w:r>
            <w:r>
              <w:rPr>
                <w:rFonts w:hint="eastAsia" w:ascii="宋体" w:hAnsi="宋体" w:eastAsia="宋体" w:cs="宋体"/>
                <w:sz w:val="18"/>
                <w:szCs w:val="18"/>
                <w:vertAlign w:val="baseline"/>
              </w:rPr>
              <w:t>以下的罚款</w:t>
            </w:r>
          </w:p>
        </w:tc>
        <w:tc>
          <w:tcPr>
            <w:tcW w:w="158" w:type="pct"/>
            <w:vMerge w:val="continue"/>
            <w:noWrap w:val="0"/>
            <w:tcMar>
              <w:top w:w="0" w:type="dxa"/>
              <w:left w:w="0" w:type="dxa"/>
              <w:bottom w:w="0" w:type="dxa"/>
              <w:right w:w="0" w:type="dxa"/>
            </w:tcMar>
            <w:vAlign w:val="center"/>
          </w:tcPr>
          <w:p w14:paraId="31B269C5">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rPr>
            </w:pPr>
          </w:p>
        </w:tc>
      </w:tr>
      <w:tr w14:paraId="30D95F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4B585085">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p>
        </w:tc>
        <w:tc>
          <w:tcPr>
            <w:tcW w:w="415" w:type="pct"/>
            <w:vMerge w:val="continue"/>
            <w:noWrap w:val="0"/>
            <w:tcMar>
              <w:top w:w="0" w:type="dxa"/>
              <w:left w:w="0" w:type="dxa"/>
              <w:bottom w:w="0" w:type="dxa"/>
              <w:right w:w="0" w:type="dxa"/>
            </w:tcMar>
            <w:vAlign w:val="center"/>
          </w:tcPr>
          <w:p w14:paraId="1A6F61A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4CF4A37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7333138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174" w:type="pct"/>
            <w:noWrap w:val="0"/>
            <w:tcMar>
              <w:top w:w="0" w:type="dxa"/>
              <w:left w:w="0" w:type="dxa"/>
              <w:bottom w:w="0" w:type="dxa"/>
              <w:right w:w="0" w:type="dxa"/>
            </w:tcMar>
            <w:vAlign w:val="center"/>
          </w:tcPr>
          <w:p w14:paraId="3C8649EB">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一般</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17BE61CE">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231EEDCC">
            <w:pPr>
              <w:spacing w:line="260" w:lineRule="exact"/>
              <w:rPr>
                <w:rFonts w:hint="eastAsia" w:ascii="宋体" w:hAnsi="宋体" w:eastAsia="宋体" w:cs="宋体"/>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6DECDEE9">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0EC54B56">
            <w:pPr>
              <w:spacing w:line="260" w:lineRule="exact"/>
              <w:rPr>
                <w:rFonts w:hint="eastAsia" w:ascii="宋体" w:hAnsi="宋体" w:eastAsia="宋体" w:cs="宋体"/>
                <w:sz w:val="18"/>
                <w:szCs w:val="18"/>
                <w:vertAlign w:val="baseline"/>
              </w:rPr>
            </w:pPr>
          </w:p>
        </w:tc>
        <w:tc>
          <w:tcPr>
            <w:tcW w:w="158" w:type="pct"/>
            <w:vMerge w:val="continue"/>
            <w:noWrap w:val="0"/>
            <w:tcMar>
              <w:top w:w="0" w:type="dxa"/>
              <w:left w:w="0" w:type="dxa"/>
              <w:bottom w:w="0" w:type="dxa"/>
              <w:right w:w="0" w:type="dxa"/>
            </w:tcMar>
            <w:vAlign w:val="center"/>
          </w:tcPr>
          <w:p w14:paraId="003472A8">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rPr>
            </w:pPr>
          </w:p>
        </w:tc>
      </w:tr>
      <w:tr w14:paraId="5FD9B0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486" w:hRule="atLeast"/>
          <w:jc w:val="center"/>
        </w:trPr>
        <w:tc>
          <w:tcPr>
            <w:tcW w:w="156" w:type="pct"/>
            <w:vMerge w:val="restart"/>
            <w:noWrap w:val="0"/>
            <w:tcMar>
              <w:top w:w="0" w:type="dxa"/>
              <w:left w:w="0" w:type="dxa"/>
              <w:bottom w:w="0" w:type="dxa"/>
              <w:right w:w="0" w:type="dxa"/>
            </w:tcMar>
            <w:vAlign w:val="center"/>
          </w:tcPr>
          <w:p w14:paraId="7358CA71">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r>
              <w:rPr>
                <w:rFonts w:hint="eastAsia" w:ascii="宋体" w:hAnsi="宋体" w:eastAsia="宋体" w:cs="宋体"/>
                <w:sz w:val="18"/>
                <w:szCs w:val="18"/>
                <w:vertAlign w:val="baseline"/>
                <w:lang w:val="en-US" w:eastAsia="zh-CN"/>
              </w:rPr>
              <w:t>61</w:t>
            </w:r>
          </w:p>
        </w:tc>
        <w:tc>
          <w:tcPr>
            <w:tcW w:w="415" w:type="pct"/>
            <w:vMerge w:val="restart"/>
            <w:noWrap w:val="0"/>
            <w:tcMar>
              <w:top w:w="0" w:type="dxa"/>
              <w:left w:w="0" w:type="dxa"/>
              <w:bottom w:w="0" w:type="dxa"/>
              <w:right w:w="0" w:type="dxa"/>
            </w:tcMar>
            <w:vAlign w:val="center"/>
          </w:tcPr>
          <w:p w14:paraId="248F8C0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r>
              <w:rPr>
                <w:rFonts w:hint="eastAsia" w:ascii="宋体" w:hAnsi="宋体" w:eastAsia="宋体" w:cs="宋体"/>
                <w:i w:val="0"/>
                <w:color w:val="000000"/>
                <w:kern w:val="0"/>
                <w:sz w:val="18"/>
                <w:szCs w:val="18"/>
                <w:u w:val="none"/>
                <w:lang w:val="en-US" w:eastAsia="zh-CN" w:bidi="ar"/>
              </w:rPr>
              <w:t>对水利领域建设单位迫使承包方以低于成本的价格竞标、任意压缩合理工期等行为的行政处罚</w:t>
            </w:r>
          </w:p>
        </w:tc>
        <w:tc>
          <w:tcPr>
            <w:tcW w:w="2168" w:type="pct"/>
            <w:vMerge w:val="continue"/>
            <w:noWrap w:val="0"/>
            <w:tcMar>
              <w:top w:w="0" w:type="dxa"/>
              <w:left w:w="0" w:type="dxa"/>
              <w:bottom w:w="0" w:type="dxa"/>
              <w:right w:w="0" w:type="dxa"/>
            </w:tcMar>
            <w:vAlign w:val="center"/>
          </w:tcPr>
          <w:p w14:paraId="6C8BF74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491" w:type="pct"/>
            <w:vMerge w:val="restart"/>
            <w:noWrap w:val="0"/>
            <w:tcMar>
              <w:top w:w="0" w:type="dxa"/>
              <w:left w:w="0" w:type="dxa"/>
              <w:bottom w:w="0" w:type="dxa"/>
              <w:right w:w="0" w:type="dxa"/>
            </w:tcMar>
            <w:vAlign w:val="center"/>
          </w:tcPr>
          <w:p w14:paraId="2933538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r>
              <w:rPr>
                <w:rFonts w:hint="eastAsia" w:ascii="宋体" w:hAnsi="宋体" w:eastAsia="宋体" w:cs="宋体"/>
                <w:sz w:val="18"/>
                <w:szCs w:val="18"/>
                <w:vertAlign w:val="baseline"/>
                <w:lang w:val="en-US" w:eastAsia="zh-CN"/>
              </w:rPr>
              <w:t>建设单位明示或者暗示施工单位使用不合格的建筑材料、建筑构配件和设备的</w:t>
            </w:r>
          </w:p>
        </w:tc>
        <w:tc>
          <w:tcPr>
            <w:tcW w:w="174" w:type="pct"/>
            <w:noWrap w:val="0"/>
            <w:tcMar>
              <w:top w:w="0" w:type="dxa"/>
              <w:left w:w="0" w:type="dxa"/>
              <w:bottom w:w="0" w:type="dxa"/>
              <w:right w:w="0" w:type="dxa"/>
            </w:tcMar>
            <w:vAlign w:val="center"/>
          </w:tcPr>
          <w:p w14:paraId="6E78A61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较重</w:t>
            </w:r>
          </w:p>
        </w:tc>
        <w:tc>
          <w:tcPr>
            <w:tcW w:w="561" w:type="pct"/>
            <w:noWrap w:val="0"/>
            <w:tcMar>
              <w:top w:w="0" w:type="dxa"/>
              <w:left w:w="0" w:type="dxa"/>
              <w:bottom w:w="0" w:type="dxa"/>
              <w:right w:w="0" w:type="dxa"/>
            </w:tcMar>
            <w:vAlign w:val="center"/>
          </w:tcPr>
          <w:p w14:paraId="10E7B85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rPr>
            </w:pPr>
            <w:r>
              <w:rPr>
                <w:rFonts w:hint="eastAsia" w:ascii="宋体" w:hAnsi="宋体" w:eastAsia="宋体" w:cs="宋体"/>
                <w:sz w:val="18"/>
                <w:szCs w:val="18"/>
                <w:vertAlign w:val="baseline"/>
              </w:rPr>
              <w:t>涉及结构安全及重要使用功能的</w:t>
            </w:r>
          </w:p>
        </w:tc>
        <w:tc>
          <w:tcPr>
            <w:tcW w:w="873" w:type="pct"/>
            <w:noWrap w:val="0"/>
            <w:tcMar>
              <w:top w:w="0" w:type="dxa"/>
              <w:left w:w="0" w:type="dxa"/>
              <w:bottom w:w="0" w:type="dxa"/>
              <w:right w:w="0" w:type="dxa"/>
            </w:tcMar>
            <w:vAlign w:val="center"/>
          </w:tcPr>
          <w:p w14:paraId="7436F1A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rPr>
            </w:pPr>
            <w:r>
              <w:rPr>
                <w:rFonts w:hint="eastAsia" w:ascii="宋体" w:hAnsi="宋体" w:eastAsia="宋体" w:cs="宋体"/>
                <w:sz w:val="18"/>
                <w:szCs w:val="18"/>
                <w:vertAlign w:val="baseline"/>
              </w:rPr>
              <w:t>处25万元以上40万元以下的罚款，对单位直接负责的主管人员和其他直接责任人员处单位罚款数额</w:t>
            </w:r>
            <w:r>
              <w:rPr>
                <w:rFonts w:hint="eastAsia" w:ascii="宋体" w:hAnsi="宋体" w:eastAsia="宋体" w:cs="宋体"/>
                <w:sz w:val="18"/>
                <w:szCs w:val="18"/>
                <w:vertAlign w:val="baseline"/>
                <w:lang w:val="en-US" w:eastAsia="zh-CN"/>
              </w:rPr>
              <w:t>6.5%</w:t>
            </w:r>
            <w:r>
              <w:rPr>
                <w:rFonts w:hint="eastAsia" w:ascii="宋体" w:hAnsi="宋体" w:eastAsia="宋体" w:cs="宋体"/>
                <w:sz w:val="18"/>
                <w:szCs w:val="18"/>
                <w:vertAlign w:val="baseline"/>
              </w:rPr>
              <w:t>以上</w:t>
            </w:r>
            <w:r>
              <w:rPr>
                <w:rFonts w:hint="eastAsia" w:ascii="宋体" w:hAnsi="宋体" w:eastAsia="宋体" w:cs="宋体"/>
                <w:sz w:val="18"/>
                <w:szCs w:val="18"/>
                <w:vertAlign w:val="baseline"/>
                <w:lang w:val="en-US" w:eastAsia="zh-CN"/>
              </w:rPr>
              <w:t>8.5%</w:t>
            </w:r>
            <w:r>
              <w:rPr>
                <w:rFonts w:hint="eastAsia" w:ascii="宋体" w:hAnsi="宋体" w:eastAsia="宋体" w:cs="宋体"/>
                <w:sz w:val="18"/>
                <w:szCs w:val="18"/>
                <w:vertAlign w:val="baseline"/>
              </w:rPr>
              <w:t>以下的罚款</w:t>
            </w:r>
          </w:p>
        </w:tc>
        <w:tc>
          <w:tcPr>
            <w:tcW w:w="158" w:type="pct"/>
            <w:vMerge w:val="continue"/>
            <w:noWrap w:val="0"/>
            <w:tcMar>
              <w:top w:w="0" w:type="dxa"/>
              <w:left w:w="0" w:type="dxa"/>
              <w:bottom w:w="0" w:type="dxa"/>
              <w:right w:w="0" w:type="dxa"/>
            </w:tcMar>
            <w:vAlign w:val="center"/>
          </w:tcPr>
          <w:p w14:paraId="7E7750C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rPr>
            </w:pPr>
          </w:p>
        </w:tc>
      </w:tr>
      <w:tr w14:paraId="02E9EA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953" w:hRule="atLeast"/>
          <w:jc w:val="center"/>
        </w:trPr>
        <w:tc>
          <w:tcPr>
            <w:tcW w:w="156" w:type="pct"/>
            <w:vMerge w:val="continue"/>
            <w:noWrap w:val="0"/>
            <w:tcMar>
              <w:top w:w="0" w:type="dxa"/>
              <w:left w:w="0" w:type="dxa"/>
              <w:bottom w:w="0" w:type="dxa"/>
              <w:right w:w="0" w:type="dxa"/>
            </w:tcMar>
            <w:vAlign w:val="center"/>
          </w:tcPr>
          <w:p w14:paraId="61A9223D">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p>
        </w:tc>
        <w:tc>
          <w:tcPr>
            <w:tcW w:w="415" w:type="pct"/>
            <w:vMerge w:val="continue"/>
            <w:noWrap w:val="0"/>
            <w:tcMar>
              <w:top w:w="0" w:type="dxa"/>
              <w:left w:w="0" w:type="dxa"/>
              <w:bottom w:w="0" w:type="dxa"/>
              <w:right w:w="0" w:type="dxa"/>
            </w:tcMar>
            <w:vAlign w:val="center"/>
          </w:tcPr>
          <w:p w14:paraId="61910A9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7FF7D47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2EE435A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174" w:type="pct"/>
            <w:noWrap w:val="0"/>
            <w:tcMar>
              <w:top w:w="0" w:type="dxa"/>
              <w:left w:w="0" w:type="dxa"/>
              <w:bottom w:w="0" w:type="dxa"/>
              <w:right w:w="0" w:type="dxa"/>
            </w:tcMar>
            <w:vAlign w:val="center"/>
          </w:tcPr>
          <w:p w14:paraId="6575EE1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严重</w:t>
            </w:r>
          </w:p>
        </w:tc>
        <w:tc>
          <w:tcPr>
            <w:tcW w:w="561" w:type="pct"/>
            <w:noWrap w:val="0"/>
            <w:tcMar>
              <w:top w:w="0" w:type="dxa"/>
              <w:left w:w="0" w:type="dxa"/>
              <w:bottom w:w="0" w:type="dxa"/>
              <w:right w:w="0" w:type="dxa"/>
            </w:tcMar>
            <w:vAlign w:val="center"/>
          </w:tcPr>
          <w:p w14:paraId="7D31059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rPr>
            </w:pPr>
            <w:r>
              <w:rPr>
                <w:rFonts w:hint="eastAsia" w:ascii="宋体" w:hAnsi="宋体" w:eastAsia="宋体" w:cs="宋体"/>
                <w:sz w:val="18"/>
                <w:szCs w:val="18"/>
                <w:vertAlign w:val="baseline"/>
              </w:rPr>
              <w:t>涉及结构安全及重要使用功能造成严重缺陷，且经返修和加固处理仍不能满足安全使用要求的；发生质量安全事故的</w:t>
            </w:r>
          </w:p>
        </w:tc>
        <w:tc>
          <w:tcPr>
            <w:tcW w:w="873" w:type="pct"/>
            <w:noWrap w:val="0"/>
            <w:tcMar>
              <w:top w:w="0" w:type="dxa"/>
              <w:left w:w="0" w:type="dxa"/>
              <w:bottom w:w="0" w:type="dxa"/>
              <w:right w:w="0" w:type="dxa"/>
            </w:tcMar>
            <w:vAlign w:val="center"/>
          </w:tcPr>
          <w:p w14:paraId="0CCDDEE7">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rPr>
            </w:pPr>
            <w:r>
              <w:rPr>
                <w:rFonts w:hint="eastAsia" w:ascii="宋体" w:hAnsi="宋体" w:eastAsia="宋体" w:cs="宋体"/>
                <w:sz w:val="18"/>
                <w:szCs w:val="18"/>
                <w:vertAlign w:val="baseline"/>
              </w:rPr>
              <w:t>处40万元以上50万元以下的罚款，对单位直接负责的主管人员和其他直接责任人员处单位罚款数额</w:t>
            </w:r>
            <w:r>
              <w:rPr>
                <w:rFonts w:hint="eastAsia" w:ascii="宋体" w:hAnsi="宋体" w:eastAsia="宋体" w:cs="宋体"/>
                <w:sz w:val="18"/>
                <w:szCs w:val="18"/>
                <w:vertAlign w:val="baseline"/>
                <w:lang w:val="en-US" w:eastAsia="zh-CN"/>
              </w:rPr>
              <w:t>8.5%</w:t>
            </w:r>
            <w:r>
              <w:rPr>
                <w:rFonts w:hint="eastAsia" w:ascii="宋体" w:hAnsi="宋体" w:eastAsia="宋体" w:cs="宋体"/>
                <w:sz w:val="18"/>
                <w:szCs w:val="18"/>
                <w:vertAlign w:val="baseline"/>
              </w:rPr>
              <w:t>以上</w:t>
            </w:r>
            <w:r>
              <w:rPr>
                <w:rFonts w:hint="eastAsia" w:ascii="宋体" w:hAnsi="宋体" w:eastAsia="宋体" w:cs="宋体"/>
                <w:sz w:val="18"/>
                <w:szCs w:val="18"/>
                <w:vertAlign w:val="baseline"/>
                <w:lang w:val="en-US" w:eastAsia="zh-CN"/>
              </w:rPr>
              <w:t>10%</w:t>
            </w:r>
            <w:r>
              <w:rPr>
                <w:rFonts w:hint="eastAsia" w:ascii="宋体" w:hAnsi="宋体" w:eastAsia="宋体" w:cs="宋体"/>
                <w:sz w:val="18"/>
                <w:szCs w:val="18"/>
                <w:vertAlign w:val="baseline"/>
              </w:rPr>
              <w:t>以下的罚款</w:t>
            </w:r>
          </w:p>
        </w:tc>
        <w:tc>
          <w:tcPr>
            <w:tcW w:w="158" w:type="pct"/>
            <w:vMerge w:val="continue"/>
            <w:noWrap w:val="0"/>
            <w:tcMar>
              <w:top w:w="0" w:type="dxa"/>
              <w:left w:w="0" w:type="dxa"/>
              <w:bottom w:w="0" w:type="dxa"/>
              <w:right w:w="0" w:type="dxa"/>
            </w:tcMar>
            <w:vAlign w:val="center"/>
          </w:tcPr>
          <w:p w14:paraId="26F9E7B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rPr>
            </w:pPr>
          </w:p>
        </w:tc>
      </w:tr>
      <w:tr w14:paraId="4FE433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4327E47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p>
        </w:tc>
        <w:tc>
          <w:tcPr>
            <w:tcW w:w="415" w:type="pct"/>
            <w:vMerge w:val="continue"/>
            <w:noWrap w:val="0"/>
            <w:tcMar>
              <w:top w:w="0" w:type="dxa"/>
              <w:left w:w="0" w:type="dxa"/>
              <w:bottom w:w="0" w:type="dxa"/>
              <w:right w:w="0" w:type="dxa"/>
            </w:tcMar>
            <w:vAlign w:val="center"/>
          </w:tcPr>
          <w:p w14:paraId="558890C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5948CD7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491" w:type="pct"/>
            <w:vMerge w:val="restart"/>
            <w:noWrap w:val="0"/>
            <w:tcMar>
              <w:top w:w="0" w:type="dxa"/>
              <w:left w:w="0" w:type="dxa"/>
              <w:bottom w:w="0" w:type="dxa"/>
              <w:right w:w="0" w:type="dxa"/>
            </w:tcMar>
            <w:vAlign w:val="center"/>
          </w:tcPr>
          <w:p w14:paraId="093AD66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r>
              <w:rPr>
                <w:rFonts w:hint="eastAsia" w:ascii="宋体" w:hAnsi="宋体" w:eastAsia="宋体" w:cs="宋体"/>
                <w:sz w:val="18"/>
                <w:szCs w:val="18"/>
                <w:vertAlign w:val="baseline"/>
                <w:lang w:val="en-US" w:eastAsia="zh-CN"/>
              </w:rPr>
              <w:t>建设单位未按照国家规定将竣工验收报告、有关认可文件或者准许使用文件报送备案的</w:t>
            </w:r>
          </w:p>
        </w:tc>
        <w:tc>
          <w:tcPr>
            <w:tcW w:w="174" w:type="pct"/>
            <w:noWrap w:val="0"/>
            <w:tcMar>
              <w:top w:w="0" w:type="dxa"/>
              <w:left w:w="0" w:type="dxa"/>
              <w:bottom w:w="0" w:type="dxa"/>
              <w:right w:w="0" w:type="dxa"/>
            </w:tcMar>
            <w:vAlign w:val="center"/>
          </w:tcPr>
          <w:p w14:paraId="2D51A505">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轻微</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74E55FA6">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3143218A">
            <w:pPr>
              <w:spacing w:line="260" w:lineRule="exact"/>
              <w:rPr>
                <w:rFonts w:hint="eastAsia" w:ascii="宋体" w:hAnsi="宋体" w:eastAsia="宋体" w:cs="宋体"/>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7D0079B2">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2EC01E76">
            <w:pPr>
              <w:spacing w:line="260" w:lineRule="exact"/>
              <w:rPr>
                <w:rFonts w:hint="eastAsia" w:ascii="宋体" w:hAnsi="宋体" w:eastAsia="宋体" w:cs="宋体"/>
                <w:sz w:val="18"/>
                <w:szCs w:val="18"/>
                <w:vertAlign w:val="baseline"/>
              </w:rPr>
            </w:pPr>
          </w:p>
        </w:tc>
        <w:tc>
          <w:tcPr>
            <w:tcW w:w="158" w:type="pct"/>
            <w:vMerge w:val="restart"/>
            <w:noWrap w:val="0"/>
            <w:tcMar>
              <w:top w:w="0" w:type="dxa"/>
              <w:left w:w="0" w:type="dxa"/>
              <w:bottom w:w="0" w:type="dxa"/>
              <w:right w:w="0" w:type="dxa"/>
            </w:tcMar>
            <w:vAlign w:val="center"/>
          </w:tcPr>
          <w:p w14:paraId="457F6C38">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rPr>
            </w:pPr>
          </w:p>
        </w:tc>
      </w:tr>
      <w:tr w14:paraId="6C4352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107" w:hRule="atLeast"/>
          <w:jc w:val="center"/>
        </w:trPr>
        <w:tc>
          <w:tcPr>
            <w:tcW w:w="156" w:type="pct"/>
            <w:vMerge w:val="continue"/>
            <w:noWrap w:val="0"/>
            <w:tcMar>
              <w:top w:w="0" w:type="dxa"/>
              <w:left w:w="0" w:type="dxa"/>
              <w:bottom w:w="0" w:type="dxa"/>
              <w:right w:w="0" w:type="dxa"/>
            </w:tcMar>
            <w:vAlign w:val="center"/>
          </w:tcPr>
          <w:p w14:paraId="1387B41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p>
        </w:tc>
        <w:tc>
          <w:tcPr>
            <w:tcW w:w="415" w:type="pct"/>
            <w:vMerge w:val="continue"/>
            <w:noWrap w:val="0"/>
            <w:tcMar>
              <w:top w:w="0" w:type="dxa"/>
              <w:left w:w="0" w:type="dxa"/>
              <w:bottom w:w="0" w:type="dxa"/>
              <w:right w:w="0" w:type="dxa"/>
            </w:tcMar>
            <w:vAlign w:val="center"/>
          </w:tcPr>
          <w:p w14:paraId="4A2FD6CC">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43A0F374">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54B5B2D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174" w:type="pct"/>
            <w:noWrap w:val="0"/>
            <w:tcMar>
              <w:top w:w="0" w:type="dxa"/>
              <w:left w:w="0" w:type="dxa"/>
              <w:bottom w:w="0" w:type="dxa"/>
              <w:right w:w="0" w:type="dxa"/>
            </w:tcMar>
            <w:vAlign w:val="center"/>
          </w:tcPr>
          <w:p w14:paraId="094AA57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较轻</w:t>
            </w:r>
          </w:p>
        </w:tc>
        <w:tc>
          <w:tcPr>
            <w:tcW w:w="561" w:type="pct"/>
            <w:noWrap w:val="0"/>
            <w:tcMar>
              <w:top w:w="0" w:type="dxa"/>
              <w:left w:w="0" w:type="dxa"/>
              <w:bottom w:w="0" w:type="dxa"/>
              <w:right w:w="0" w:type="dxa"/>
            </w:tcMar>
            <w:vAlign w:val="center"/>
          </w:tcPr>
          <w:p w14:paraId="7CCCCEF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rPr>
            </w:pPr>
            <w:r>
              <w:rPr>
                <w:rFonts w:hint="eastAsia" w:ascii="宋体" w:hAnsi="宋体" w:eastAsia="宋体" w:cs="宋体"/>
                <w:sz w:val="18"/>
                <w:szCs w:val="18"/>
                <w:vertAlign w:val="baseline"/>
              </w:rPr>
              <w:t>逾期3个月以内改正的</w:t>
            </w:r>
          </w:p>
        </w:tc>
        <w:tc>
          <w:tcPr>
            <w:tcW w:w="873" w:type="pct"/>
            <w:noWrap w:val="0"/>
            <w:tcMar>
              <w:top w:w="0" w:type="dxa"/>
              <w:left w:w="0" w:type="dxa"/>
              <w:bottom w:w="0" w:type="dxa"/>
              <w:right w:w="0" w:type="dxa"/>
            </w:tcMar>
            <w:vAlign w:val="center"/>
          </w:tcPr>
          <w:p w14:paraId="5450080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rPr>
            </w:pPr>
            <w:r>
              <w:rPr>
                <w:rFonts w:hint="eastAsia" w:ascii="宋体" w:hAnsi="宋体" w:eastAsia="宋体" w:cs="宋体"/>
                <w:sz w:val="18"/>
                <w:szCs w:val="18"/>
                <w:vertAlign w:val="baseline"/>
              </w:rPr>
              <w:t>处20万元以上25万元以下的罚款，对单位直接负责的主管人员和其他直接责任人员处单位罚款数额</w:t>
            </w:r>
            <w:r>
              <w:rPr>
                <w:rFonts w:hint="eastAsia" w:ascii="宋体" w:hAnsi="宋体" w:eastAsia="宋体" w:cs="宋体"/>
                <w:sz w:val="18"/>
                <w:szCs w:val="18"/>
                <w:vertAlign w:val="baseline"/>
                <w:lang w:val="en-US" w:eastAsia="zh-CN"/>
              </w:rPr>
              <w:t>5%</w:t>
            </w:r>
            <w:r>
              <w:rPr>
                <w:rFonts w:hint="eastAsia" w:ascii="宋体" w:hAnsi="宋体" w:eastAsia="宋体" w:cs="宋体"/>
                <w:sz w:val="18"/>
                <w:szCs w:val="18"/>
                <w:vertAlign w:val="baseline"/>
              </w:rPr>
              <w:t>以上</w:t>
            </w:r>
            <w:r>
              <w:rPr>
                <w:rFonts w:hint="eastAsia" w:ascii="宋体" w:hAnsi="宋体" w:eastAsia="宋体" w:cs="宋体"/>
                <w:sz w:val="18"/>
                <w:szCs w:val="18"/>
                <w:vertAlign w:val="baseline"/>
                <w:lang w:val="en-US" w:eastAsia="zh-CN"/>
              </w:rPr>
              <w:t>6.5%</w:t>
            </w:r>
            <w:r>
              <w:rPr>
                <w:rFonts w:hint="eastAsia" w:ascii="宋体" w:hAnsi="宋体" w:eastAsia="宋体" w:cs="宋体"/>
                <w:sz w:val="18"/>
                <w:szCs w:val="18"/>
                <w:vertAlign w:val="baseline"/>
              </w:rPr>
              <w:t>以下的罚款</w:t>
            </w:r>
          </w:p>
        </w:tc>
        <w:tc>
          <w:tcPr>
            <w:tcW w:w="158" w:type="pct"/>
            <w:vMerge w:val="continue"/>
            <w:noWrap w:val="0"/>
            <w:tcMar>
              <w:top w:w="0" w:type="dxa"/>
              <w:left w:w="0" w:type="dxa"/>
              <w:bottom w:w="0" w:type="dxa"/>
              <w:right w:w="0" w:type="dxa"/>
            </w:tcMar>
            <w:vAlign w:val="center"/>
          </w:tcPr>
          <w:p w14:paraId="772E0F8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rPr>
            </w:pPr>
          </w:p>
        </w:tc>
      </w:tr>
      <w:tr w14:paraId="0374C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6211A4D8">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p>
        </w:tc>
        <w:tc>
          <w:tcPr>
            <w:tcW w:w="415" w:type="pct"/>
            <w:vMerge w:val="continue"/>
            <w:noWrap w:val="0"/>
            <w:tcMar>
              <w:top w:w="0" w:type="dxa"/>
              <w:left w:w="0" w:type="dxa"/>
              <w:bottom w:w="0" w:type="dxa"/>
              <w:right w:w="0" w:type="dxa"/>
            </w:tcMar>
            <w:vAlign w:val="center"/>
          </w:tcPr>
          <w:p w14:paraId="4C99A0A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16949BA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1192358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174" w:type="pct"/>
            <w:noWrap w:val="0"/>
            <w:tcMar>
              <w:top w:w="0" w:type="dxa"/>
              <w:left w:w="0" w:type="dxa"/>
              <w:bottom w:w="0" w:type="dxa"/>
              <w:right w:w="0" w:type="dxa"/>
            </w:tcMar>
            <w:vAlign w:val="center"/>
          </w:tcPr>
          <w:p w14:paraId="2C4C450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一般</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4B3AB68C">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28687F81">
            <w:pPr>
              <w:spacing w:line="260" w:lineRule="exact"/>
              <w:rPr>
                <w:rFonts w:hint="eastAsia" w:ascii="宋体" w:hAnsi="宋体" w:eastAsia="宋体" w:cs="宋体"/>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78544A55">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427ED5A8">
            <w:pPr>
              <w:spacing w:line="260" w:lineRule="exact"/>
              <w:rPr>
                <w:rFonts w:hint="eastAsia" w:ascii="宋体" w:hAnsi="宋体" w:eastAsia="宋体" w:cs="宋体"/>
                <w:sz w:val="18"/>
                <w:szCs w:val="18"/>
                <w:vertAlign w:val="baseline"/>
              </w:rPr>
            </w:pPr>
          </w:p>
        </w:tc>
        <w:tc>
          <w:tcPr>
            <w:tcW w:w="158" w:type="pct"/>
            <w:vMerge w:val="continue"/>
            <w:noWrap w:val="0"/>
            <w:tcMar>
              <w:top w:w="0" w:type="dxa"/>
              <w:left w:w="0" w:type="dxa"/>
              <w:bottom w:w="0" w:type="dxa"/>
              <w:right w:w="0" w:type="dxa"/>
            </w:tcMar>
            <w:vAlign w:val="center"/>
          </w:tcPr>
          <w:p w14:paraId="7A8C0A5C">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rPr>
            </w:pPr>
          </w:p>
        </w:tc>
      </w:tr>
      <w:tr w14:paraId="6D292C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433" w:hRule="atLeast"/>
          <w:jc w:val="center"/>
        </w:trPr>
        <w:tc>
          <w:tcPr>
            <w:tcW w:w="156" w:type="pct"/>
            <w:vMerge w:val="continue"/>
            <w:noWrap w:val="0"/>
            <w:tcMar>
              <w:top w:w="0" w:type="dxa"/>
              <w:left w:w="0" w:type="dxa"/>
              <w:bottom w:w="0" w:type="dxa"/>
              <w:right w:w="0" w:type="dxa"/>
            </w:tcMar>
            <w:vAlign w:val="center"/>
          </w:tcPr>
          <w:p w14:paraId="462CBCD1">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p>
        </w:tc>
        <w:tc>
          <w:tcPr>
            <w:tcW w:w="415" w:type="pct"/>
            <w:vMerge w:val="continue"/>
            <w:noWrap w:val="0"/>
            <w:tcMar>
              <w:top w:w="0" w:type="dxa"/>
              <w:left w:w="0" w:type="dxa"/>
              <w:bottom w:w="0" w:type="dxa"/>
              <w:right w:w="0" w:type="dxa"/>
            </w:tcMar>
            <w:vAlign w:val="center"/>
          </w:tcPr>
          <w:p w14:paraId="2BC7BA3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48BAAF0C">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32C7876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174" w:type="pct"/>
            <w:noWrap w:val="0"/>
            <w:tcMar>
              <w:top w:w="0" w:type="dxa"/>
              <w:left w:w="0" w:type="dxa"/>
              <w:bottom w:w="0" w:type="dxa"/>
              <w:right w:w="0" w:type="dxa"/>
            </w:tcMar>
            <w:vAlign w:val="center"/>
          </w:tcPr>
          <w:p w14:paraId="4D6580C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较重</w:t>
            </w:r>
          </w:p>
        </w:tc>
        <w:tc>
          <w:tcPr>
            <w:tcW w:w="561" w:type="pct"/>
            <w:noWrap w:val="0"/>
            <w:tcMar>
              <w:top w:w="0" w:type="dxa"/>
              <w:left w:w="0" w:type="dxa"/>
              <w:bottom w:w="0" w:type="dxa"/>
              <w:right w:w="0" w:type="dxa"/>
            </w:tcMar>
            <w:vAlign w:val="center"/>
          </w:tcPr>
          <w:p w14:paraId="2C79664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rPr>
            </w:pPr>
            <w:r>
              <w:rPr>
                <w:rFonts w:hint="eastAsia" w:ascii="宋体" w:hAnsi="宋体" w:eastAsia="宋体" w:cs="宋体"/>
                <w:sz w:val="18"/>
                <w:szCs w:val="18"/>
                <w:vertAlign w:val="baseline"/>
              </w:rPr>
              <w:t>逾期3个月以上6个月以内改正的</w:t>
            </w:r>
          </w:p>
        </w:tc>
        <w:tc>
          <w:tcPr>
            <w:tcW w:w="873" w:type="pct"/>
            <w:noWrap w:val="0"/>
            <w:tcMar>
              <w:top w:w="0" w:type="dxa"/>
              <w:left w:w="0" w:type="dxa"/>
              <w:bottom w:w="0" w:type="dxa"/>
              <w:right w:w="0" w:type="dxa"/>
            </w:tcMar>
            <w:vAlign w:val="center"/>
          </w:tcPr>
          <w:p w14:paraId="6B1BCAA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rPr>
            </w:pPr>
            <w:r>
              <w:rPr>
                <w:rFonts w:hint="eastAsia" w:ascii="宋体" w:hAnsi="宋体" w:eastAsia="宋体" w:cs="宋体"/>
                <w:sz w:val="18"/>
                <w:szCs w:val="18"/>
                <w:vertAlign w:val="baseline"/>
              </w:rPr>
              <w:t>处25万元以上40万元以下的罚款，对单位直接负责的主管人员和其他直接责任人员处单位罚款数额</w:t>
            </w:r>
            <w:r>
              <w:rPr>
                <w:rFonts w:hint="eastAsia" w:ascii="宋体" w:hAnsi="宋体" w:eastAsia="宋体" w:cs="宋体"/>
                <w:sz w:val="18"/>
                <w:szCs w:val="18"/>
                <w:vertAlign w:val="baseline"/>
                <w:lang w:val="en-US" w:eastAsia="zh-CN"/>
              </w:rPr>
              <w:t>6.5%</w:t>
            </w:r>
            <w:r>
              <w:rPr>
                <w:rFonts w:hint="eastAsia" w:ascii="宋体" w:hAnsi="宋体" w:eastAsia="宋体" w:cs="宋体"/>
                <w:sz w:val="18"/>
                <w:szCs w:val="18"/>
                <w:vertAlign w:val="baseline"/>
              </w:rPr>
              <w:t>以上</w:t>
            </w:r>
            <w:r>
              <w:rPr>
                <w:rFonts w:hint="eastAsia" w:ascii="宋体" w:hAnsi="宋体" w:eastAsia="宋体" w:cs="宋体"/>
                <w:sz w:val="18"/>
                <w:szCs w:val="18"/>
                <w:vertAlign w:val="baseline"/>
                <w:lang w:val="en-US" w:eastAsia="zh-CN"/>
              </w:rPr>
              <w:t>8.5%</w:t>
            </w:r>
            <w:r>
              <w:rPr>
                <w:rFonts w:hint="eastAsia" w:ascii="宋体" w:hAnsi="宋体" w:eastAsia="宋体" w:cs="宋体"/>
                <w:sz w:val="18"/>
                <w:szCs w:val="18"/>
                <w:vertAlign w:val="baseline"/>
              </w:rPr>
              <w:t>以下的罚款</w:t>
            </w:r>
          </w:p>
        </w:tc>
        <w:tc>
          <w:tcPr>
            <w:tcW w:w="158" w:type="pct"/>
            <w:vMerge w:val="continue"/>
            <w:noWrap w:val="0"/>
            <w:tcMar>
              <w:top w:w="0" w:type="dxa"/>
              <w:left w:w="0" w:type="dxa"/>
              <w:bottom w:w="0" w:type="dxa"/>
              <w:right w:w="0" w:type="dxa"/>
            </w:tcMar>
            <w:vAlign w:val="center"/>
          </w:tcPr>
          <w:p w14:paraId="05EA3FB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rPr>
            </w:pPr>
          </w:p>
        </w:tc>
      </w:tr>
      <w:tr w14:paraId="2F6BA0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265" w:hRule="atLeast"/>
          <w:jc w:val="center"/>
        </w:trPr>
        <w:tc>
          <w:tcPr>
            <w:tcW w:w="156" w:type="pct"/>
            <w:vMerge w:val="continue"/>
            <w:noWrap w:val="0"/>
            <w:tcMar>
              <w:top w:w="0" w:type="dxa"/>
              <w:left w:w="0" w:type="dxa"/>
              <w:bottom w:w="0" w:type="dxa"/>
              <w:right w:w="0" w:type="dxa"/>
            </w:tcMar>
            <w:vAlign w:val="center"/>
          </w:tcPr>
          <w:p w14:paraId="6E4EACF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p>
        </w:tc>
        <w:tc>
          <w:tcPr>
            <w:tcW w:w="415" w:type="pct"/>
            <w:vMerge w:val="continue"/>
            <w:noWrap w:val="0"/>
            <w:tcMar>
              <w:top w:w="0" w:type="dxa"/>
              <w:left w:w="0" w:type="dxa"/>
              <w:bottom w:w="0" w:type="dxa"/>
              <w:right w:w="0" w:type="dxa"/>
            </w:tcMar>
            <w:vAlign w:val="center"/>
          </w:tcPr>
          <w:p w14:paraId="49B8195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2A865CA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4B7A3127">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174" w:type="pct"/>
            <w:noWrap w:val="0"/>
            <w:tcMar>
              <w:top w:w="0" w:type="dxa"/>
              <w:left w:w="0" w:type="dxa"/>
              <w:bottom w:w="0" w:type="dxa"/>
              <w:right w:w="0" w:type="dxa"/>
            </w:tcMar>
            <w:vAlign w:val="center"/>
          </w:tcPr>
          <w:p w14:paraId="4204421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严重</w:t>
            </w:r>
          </w:p>
        </w:tc>
        <w:tc>
          <w:tcPr>
            <w:tcW w:w="561" w:type="pct"/>
            <w:noWrap w:val="0"/>
            <w:tcMar>
              <w:top w:w="0" w:type="dxa"/>
              <w:left w:w="0" w:type="dxa"/>
              <w:bottom w:w="0" w:type="dxa"/>
              <w:right w:w="0" w:type="dxa"/>
            </w:tcMar>
            <w:vAlign w:val="center"/>
          </w:tcPr>
          <w:p w14:paraId="0F525DF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rPr>
            </w:pPr>
            <w:r>
              <w:rPr>
                <w:rFonts w:hint="eastAsia" w:ascii="宋体" w:hAnsi="宋体" w:eastAsia="宋体" w:cs="宋体"/>
                <w:sz w:val="18"/>
                <w:szCs w:val="18"/>
                <w:vertAlign w:val="baseline"/>
              </w:rPr>
              <w:t>逾期6个月以上未改正的</w:t>
            </w:r>
          </w:p>
        </w:tc>
        <w:tc>
          <w:tcPr>
            <w:tcW w:w="873" w:type="pct"/>
            <w:noWrap w:val="0"/>
            <w:tcMar>
              <w:top w:w="0" w:type="dxa"/>
              <w:left w:w="0" w:type="dxa"/>
              <w:bottom w:w="0" w:type="dxa"/>
              <w:right w:w="0" w:type="dxa"/>
            </w:tcMar>
            <w:vAlign w:val="center"/>
          </w:tcPr>
          <w:p w14:paraId="29450F1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rPr>
            </w:pPr>
            <w:r>
              <w:rPr>
                <w:rFonts w:hint="eastAsia" w:ascii="宋体" w:hAnsi="宋体" w:eastAsia="宋体" w:cs="宋体"/>
                <w:sz w:val="18"/>
                <w:szCs w:val="18"/>
                <w:vertAlign w:val="baseline"/>
              </w:rPr>
              <w:t>处40万元以上50万元以下的罚款，对单位直接负责的主管人员和其他直接责任人员处单位罚款数额</w:t>
            </w:r>
            <w:r>
              <w:rPr>
                <w:rFonts w:hint="eastAsia" w:ascii="宋体" w:hAnsi="宋体" w:eastAsia="宋体" w:cs="宋体"/>
                <w:sz w:val="18"/>
                <w:szCs w:val="18"/>
                <w:vertAlign w:val="baseline"/>
                <w:lang w:val="en-US" w:eastAsia="zh-CN"/>
              </w:rPr>
              <w:t>8.5%</w:t>
            </w:r>
            <w:r>
              <w:rPr>
                <w:rFonts w:hint="eastAsia" w:ascii="宋体" w:hAnsi="宋体" w:eastAsia="宋体" w:cs="宋体"/>
                <w:sz w:val="18"/>
                <w:szCs w:val="18"/>
                <w:vertAlign w:val="baseline"/>
              </w:rPr>
              <w:t>以上</w:t>
            </w:r>
            <w:r>
              <w:rPr>
                <w:rFonts w:hint="eastAsia" w:ascii="宋体" w:hAnsi="宋体" w:eastAsia="宋体" w:cs="宋体"/>
                <w:sz w:val="18"/>
                <w:szCs w:val="18"/>
                <w:vertAlign w:val="baseline"/>
                <w:lang w:val="en-US" w:eastAsia="zh-CN"/>
              </w:rPr>
              <w:t>10%</w:t>
            </w:r>
            <w:r>
              <w:rPr>
                <w:rFonts w:hint="eastAsia" w:ascii="宋体" w:hAnsi="宋体" w:eastAsia="宋体" w:cs="宋体"/>
                <w:sz w:val="18"/>
                <w:szCs w:val="18"/>
                <w:vertAlign w:val="baseline"/>
              </w:rPr>
              <w:t>以下的罚款</w:t>
            </w:r>
          </w:p>
        </w:tc>
        <w:tc>
          <w:tcPr>
            <w:tcW w:w="158" w:type="pct"/>
            <w:vMerge w:val="continue"/>
            <w:noWrap w:val="0"/>
            <w:tcMar>
              <w:top w:w="0" w:type="dxa"/>
              <w:left w:w="0" w:type="dxa"/>
              <w:bottom w:w="0" w:type="dxa"/>
              <w:right w:w="0" w:type="dxa"/>
            </w:tcMar>
            <w:vAlign w:val="center"/>
          </w:tcPr>
          <w:p w14:paraId="2C4E3DB1">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rPr>
            </w:pPr>
          </w:p>
        </w:tc>
      </w:tr>
      <w:tr w14:paraId="3EABEB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restart"/>
            <w:noWrap w:val="0"/>
            <w:tcMar>
              <w:top w:w="0" w:type="dxa"/>
              <w:left w:w="0" w:type="dxa"/>
              <w:bottom w:w="0" w:type="dxa"/>
              <w:right w:w="0" w:type="dxa"/>
            </w:tcMar>
            <w:vAlign w:val="center"/>
          </w:tcPr>
          <w:p w14:paraId="082508AD">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r>
              <w:rPr>
                <w:rFonts w:hint="eastAsia" w:ascii="宋体" w:hAnsi="宋体" w:eastAsia="宋体" w:cs="宋体"/>
                <w:sz w:val="18"/>
                <w:szCs w:val="18"/>
                <w:vertAlign w:val="baseline"/>
                <w:lang w:val="en-US" w:eastAsia="zh-CN"/>
              </w:rPr>
              <w:t>62</w:t>
            </w:r>
          </w:p>
        </w:tc>
        <w:tc>
          <w:tcPr>
            <w:tcW w:w="415" w:type="pct"/>
            <w:vMerge w:val="restart"/>
            <w:noWrap w:val="0"/>
            <w:tcMar>
              <w:top w:w="0" w:type="dxa"/>
              <w:left w:w="0" w:type="dxa"/>
              <w:bottom w:w="0" w:type="dxa"/>
              <w:right w:w="0" w:type="dxa"/>
            </w:tcMar>
            <w:vAlign w:val="center"/>
          </w:tcPr>
          <w:p w14:paraId="2A211F1C">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r>
              <w:rPr>
                <w:rFonts w:hint="eastAsia" w:ascii="宋体" w:hAnsi="宋体" w:eastAsia="宋体" w:cs="宋体"/>
                <w:sz w:val="18"/>
                <w:szCs w:val="18"/>
                <w:vertAlign w:val="baseline"/>
                <w:lang w:val="en-US" w:eastAsia="zh-CN"/>
              </w:rPr>
              <w:t>对水利领域建设单位未组织竣工验收或者验收不合格擅自交付使用等行为的行政处罚</w:t>
            </w:r>
          </w:p>
        </w:tc>
        <w:tc>
          <w:tcPr>
            <w:tcW w:w="2168" w:type="pct"/>
            <w:vMerge w:val="restart"/>
            <w:noWrap w:val="0"/>
            <w:tcMar>
              <w:top w:w="0" w:type="dxa"/>
              <w:left w:w="0" w:type="dxa"/>
              <w:bottom w:w="0" w:type="dxa"/>
              <w:right w:w="0" w:type="dxa"/>
            </w:tcMar>
            <w:vAlign w:val="center"/>
          </w:tcPr>
          <w:p w14:paraId="3024EE7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r>
              <w:rPr>
                <w:rFonts w:hint="eastAsia" w:ascii="宋体" w:hAnsi="宋体" w:eastAsia="宋体" w:cs="宋体"/>
                <w:sz w:val="18"/>
                <w:szCs w:val="18"/>
                <w:vertAlign w:val="baseline"/>
                <w:lang w:val="en-US" w:eastAsia="zh-CN"/>
              </w:rPr>
              <w:t>《建设工程质量管理条例》第五十八条 违反本条例规定，建设单位有下列行为之一的，责令改正，处工程合同价款2%以上4%以下的罚款；造成损失的，依法承担赔偿责任；</w:t>
            </w:r>
          </w:p>
          <w:p w14:paraId="0FED50C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r>
              <w:rPr>
                <w:rFonts w:hint="eastAsia" w:ascii="宋体" w:hAnsi="宋体" w:eastAsia="宋体" w:cs="宋体"/>
                <w:sz w:val="18"/>
                <w:szCs w:val="18"/>
                <w:vertAlign w:val="baseline"/>
                <w:lang w:val="en-US" w:eastAsia="zh-CN"/>
              </w:rPr>
              <w:t>（一）未组织竣工验收，擅自交付使用的；</w:t>
            </w:r>
          </w:p>
          <w:p w14:paraId="03A08F2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r>
              <w:rPr>
                <w:rFonts w:hint="eastAsia" w:ascii="宋体" w:hAnsi="宋体" w:eastAsia="宋体" w:cs="宋体"/>
                <w:sz w:val="18"/>
                <w:szCs w:val="18"/>
                <w:vertAlign w:val="baseline"/>
                <w:lang w:val="en-US" w:eastAsia="zh-CN"/>
              </w:rPr>
              <w:t>（二）验收不合格，擅自交付使用的；</w:t>
            </w:r>
          </w:p>
          <w:p w14:paraId="48A8E79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r>
              <w:rPr>
                <w:rFonts w:hint="eastAsia" w:ascii="宋体" w:hAnsi="宋体" w:eastAsia="宋体" w:cs="宋体"/>
                <w:sz w:val="18"/>
                <w:szCs w:val="18"/>
                <w:vertAlign w:val="baseline"/>
                <w:lang w:val="en-US" w:eastAsia="zh-CN"/>
              </w:rPr>
              <w:t>（三）对不合格的建设工程按照合格工程验收的。</w:t>
            </w:r>
          </w:p>
          <w:p w14:paraId="174CCC3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r>
              <w:rPr>
                <w:rFonts w:hint="eastAsia" w:ascii="宋体" w:hAnsi="宋体" w:eastAsia="宋体" w:cs="宋体"/>
                <w:sz w:val="18"/>
                <w:szCs w:val="18"/>
                <w:vertAlign w:val="baseline"/>
                <w:lang w:val="en-US" w:eastAsia="zh-CN"/>
              </w:rPr>
              <w:t>第七十三条 依照本条例规定，给予单位罚款处罚的，对单位直接负责的主管人员和其他直接责任人员处单位罚款数额百分之五以上百分之十以下的罚款。</w:t>
            </w:r>
          </w:p>
        </w:tc>
        <w:tc>
          <w:tcPr>
            <w:tcW w:w="491" w:type="pct"/>
            <w:vMerge w:val="restart"/>
            <w:noWrap w:val="0"/>
            <w:tcMar>
              <w:top w:w="0" w:type="dxa"/>
              <w:left w:w="0" w:type="dxa"/>
              <w:bottom w:w="0" w:type="dxa"/>
              <w:right w:w="0" w:type="dxa"/>
            </w:tcMar>
            <w:vAlign w:val="center"/>
          </w:tcPr>
          <w:p w14:paraId="5C93500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r>
              <w:rPr>
                <w:rFonts w:hint="eastAsia" w:ascii="宋体" w:hAnsi="宋体" w:eastAsia="宋体" w:cs="宋体"/>
                <w:sz w:val="18"/>
                <w:szCs w:val="18"/>
                <w:vertAlign w:val="baseline"/>
                <w:lang w:val="en-US" w:eastAsia="zh-CN"/>
              </w:rPr>
              <w:t>水利领域建设单位未组织竣工验收，擅自交付的</w:t>
            </w:r>
          </w:p>
        </w:tc>
        <w:tc>
          <w:tcPr>
            <w:tcW w:w="174" w:type="pct"/>
            <w:noWrap w:val="0"/>
            <w:tcMar>
              <w:top w:w="0" w:type="dxa"/>
              <w:left w:w="0" w:type="dxa"/>
              <w:bottom w:w="0" w:type="dxa"/>
              <w:right w:w="0" w:type="dxa"/>
            </w:tcMar>
            <w:vAlign w:val="center"/>
          </w:tcPr>
          <w:p w14:paraId="2B21049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轻微</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78B725E2">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412D7E22">
            <w:pPr>
              <w:spacing w:line="260" w:lineRule="exact"/>
              <w:rPr>
                <w:rFonts w:hint="eastAsia" w:ascii="宋体" w:hAnsi="宋体" w:eastAsia="宋体" w:cs="宋体"/>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58CE2560">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186949C5">
            <w:pPr>
              <w:spacing w:line="260" w:lineRule="exact"/>
              <w:rPr>
                <w:rFonts w:hint="eastAsia" w:ascii="宋体" w:hAnsi="宋体" w:eastAsia="宋体" w:cs="宋体"/>
                <w:sz w:val="18"/>
                <w:szCs w:val="18"/>
                <w:vertAlign w:val="baseline"/>
              </w:rPr>
            </w:pPr>
          </w:p>
        </w:tc>
        <w:tc>
          <w:tcPr>
            <w:tcW w:w="158" w:type="pct"/>
            <w:vMerge w:val="restart"/>
            <w:noWrap w:val="0"/>
            <w:tcMar>
              <w:top w:w="0" w:type="dxa"/>
              <w:left w:w="0" w:type="dxa"/>
              <w:bottom w:w="0" w:type="dxa"/>
              <w:right w:w="0" w:type="dxa"/>
            </w:tcMar>
            <w:vAlign w:val="center"/>
          </w:tcPr>
          <w:p w14:paraId="672B5805">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rPr>
            </w:pPr>
          </w:p>
        </w:tc>
      </w:tr>
      <w:tr w14:paraId="2B914F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6B2C722C">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p>
        </w:tc>
        <w:tc>
          <w:tcPr>
            <w:tcW w:w="415" w:type="pct"/>
            <w:vMerge w:val="continue"/>
            <w:noWrap w:val="0"/>
            <w:tcMar>
              <w:top w:w="0" w:type="dxa"/>
              <w:left w:w="0" w:type="dxa"/>
              <w:bottom w:w="0" w:type="dxa"/>
              <w:right w:w="0" w:type="dxa"/>
            </w:tcMar>
            <w:vAlign w:val="center"/>
          </w:tcPr>
          <w:p w14:paraId="7B8B513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2BF152D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6C78190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174" w:type="pct"/>
            <w:noWrap w:val="0"/>
            <w:tcMar>
              <w:top w:w="0" w:type="dxa"/>
              <w:left w:w="0" w:type="dxa"/>
              <w:bottom w:w="0" w:type="dxa"/>
              <w:right w:w="0" w:type="dxa"/>
            </w:tcMar>
            <w:vAlign w:val="center"/>
          </w:tcPr>
          <w:p w14:paraId="48007AAA">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较轻</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79716498">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4864CF38">
            <w:pPr>
              <w:spacing w:line="260" w:lineRule="exact"/>
              <w:rPr>
                <w:rFonts w:hint="eastAsia" w:ascii="宋体" w:hAnsi="宋体" w:eastAsia="宋体" w:cs="宋体"/>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34A411AA">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47971AC3">
            <w:pPr>
              <w:spacing w:line="260" w:lineRule="exact"/>
              <w:rPr>
                <w:rFonts w:hint="eastAsia" w:ascii="宋体" w:hAnsi="宋体" w:eastAsia="宋体" w:cs="宋体"/>
                <w:sz w:val="18"/>
                <w:szCs w:val="18"/>
                <w:vertAlign w:val="baseline"/>
              </w:rPr>
            </w:pPr>
          </w:p>
        </w:tc>
        <w:tc>
          <w:tcPr>
            <w:tcW w:w="158" w:type="pct"/>
            <w:vMerge w:val="continue"/>
            <w:noWrap w:val="0"/>
            <w:tcMar>
              <w:top w:w="0" w:type="dxa"/>
              <w:left w:w="0" w:type="dxa"/>
              <w:bottom w:w="0" w:type="dxa"/>
              <w:right w:w="0" w:type="dxa"/>
            </w:tcMar>
            <w:vAlign w:val="center"/>
          </w:tcPr>
          <w:p w14:paraId="121380C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rPr>
            </w:pPr>
          </w:p>
        </w:tc>
      </w:tr>
      <w:tr w14:paraId="54FB07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549" w:hRule="atLeast"/>
          <w:jc w:val="center"/>
        </w:trPr>
        <w:tc>
          <w:tcPr>
            <w:tcW w:w="156" w:type="pct"/>
            <w:vMerge w:val="continue"/>
            <w:noWrap w:val="0"/>
            <w:tcMar>
              <w:top w:w="0" w:type="dxa"/>
              <w:left w:w="0" w:type="dxa"/>
              <w:bottom w:w="0" w:type="dxa"/>
              <w:right w:w="0" w:type="dxa"/>
            </w:tcMar>
            <w:vAlign w:val="center"/>
          </w:tcPr>
          <w:p w14:paraId="604ECF5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p>
        </w:tc>
        <w:tc>
          <w:tcPr>
            <w:tcW w:w="415" w:type="pct"/>
            <w:vMerge w:val="continue"/>
            <w:noWrap w:val="0"/>
            <w:tcMar>
              <w:top w:w="0" w:type="dxa"/>
              <w:left w:w="0" w:type="dxa"/>
              <w:bottom w:w="0" w:type="dxa"/>
              <w:right w:w="0" w:type="dxa"/>
            </w:tcMar>
            <w:vAlign w:val="center"/>
          </w:tcPr>
          <w:p w14:paraId="788E5C3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733B96A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2BD7D8F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174" w:type="pct"/>
            <w:noWrap w:val="0"/>
            <w:tcMar>
              <w:top w:w="0" w:type="dxa"/>
              <w:left w:w="0" w:type="dxa"/>
              <w:bottom w:w="0" w:type="dxa"/>
              <w:right w:w="0" w:type="dxa"/>
            </w:tcMar>
            <w:vAlign w:val="center"/>
          </w:tcPr>
          <w:p w14:paraId="5FFC7B8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一般</w:t>
            </w:r>
          </w:p>
        </w:tc>
        <w:tc>
          <w:tcPr>
            <w:tcW w:w="561" w:type="pct"/>
            <w:noWrap w:val="0"/>
            <w:tcMar>
              <w:top w:w="0" w:type="dxa"/>
              <w:left w:w="0" w:type="dxa"/>
              <w:bottom w:w="0" w:type="dxa"/>
              <w:right w:w="0" w:type="dxa"/>
            </w:tcMar>
            <w:vAlign w:val="center"/>
          </w:tcPr>
          <w:p w14:paraId="4F43F045">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rPr>
              <w:t>按照要求重新竣工验收且验收合格的</w:t>
            </w:r>
          </w:p>
        </w:tc>
        <w:tc>
          <w:tcPr>
            <w:tcW w:w="873" w:type="pct"/>
            <w:noWrap w:val="0"/>
            <w:tcMar>
              <w:top w:w="0" w:type="dxa"/>
              <w:left w:w="0" w:type="dxa"/>
              <w:bottom w:w="0" w:type="dxa"/>
              <w:right w:w="0" w:type="dxa"/>
            </w:tcMar>
            <w:vAlign w:val="center"/>
          </w:tcPr>
          <w:p w14:paraId="7DBA8CEA">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rPr>
              <w:t>处工程合同价款</w:t>
            </w:r>
            <w:r>
              <w:rPr>
                <w:rFonts w:hint="eastAsia" w:ascii="宋体" w:hAnsi="宋体" w:eastAsia="宋体" w:cs="宋体"/>
                <w:sz w:val="18"/>
                <w:szCs w:val="18"/>
                <w:vertAlign w:val="baseline"/>
                <w:lang w:val="en-US" w:eastAsia="zh-CN"/>
              </w:rPr>
              <w:t>2%以</w:t>
            </w:r>
            <w:r>
              <w:rPr>
                <w:rFonts w:hint="eastAsia" w:ascii="宋体" w:hAnsi="宋体" w:eastAsia="宋体" w:cs="宋体"/>
                <w:sz w:val="18"/>
                <w:szCs w:val="18"/>
                <w:vertAlign w:val="baseline"/>
              </w:rPr>
              <w:t>上</w:t>
            </w:r>
            <w:r>
              <w:rPr>
                <w:rFonts w:hint="eastAsia" w:ascii="宋体" w:hAnsi="宋体" w:eastAsia="宋体" w:cs="宋体"/>
                <w:sz w:val="18"/>
                <w:szCs w:val="18"/>
                <w:vertAlign w:val="baseline"/>
                <w:lang w:val="en-US" w:eastAsia="zh-CN"/>
              </w:rPr>
              <w:t>2.5%</w:t>
            </w:r>
            <w:r>
              <w:rPr>
                <w:rFonts w:hint="eastAsia" w:ascii="宋体" w:hAnsi="宋体" w:eastAsia="宋体" w:cs="宋体"/>
                <w:sz w:val="18"/>
                <w:szCs w:val="18"/>
                <w:vertAlign w:val="baseline"/>
              </w:rPr>
              <w:t>以下的罚款，对单位直接负责的主管人员其他直接责任人员处单位罚数额</w:t>
            </w:r>
            <w:r>
              <w:rPr>
                <w:rFonts w:hint="eastAsia" w:ascii="宋体" w:hAnsi="宋体" w:eastAsia="宋体" w:cs="宋体"/>
                <w:sz w:val="18"/>
                <w:szCs w:val="18"/>
                <w:vertAlign w:val="baseline"/>
                <w:lang w:val="en-US" w:eastAsia="zh-CN"/>
              </w:rPr>
              <w:t>5%</w:t>
            </w:r>
            <w:r>
              <w:rPr>
                <w:rFonts w:hint="eastAsia" w:ascii="宋体" w:hAnsi="宋体" w:eastAsia="宋体" w:cs="宋体"/>
                <w:sz w:val="18"/>
                <w:szCs w:val="18"/>
                <w:vertAlign w:val="baseline"/>
              </w:rPr>
              <w:t>以上</w:t>
            </w:r>
            <w:r>
              <w:rPr>
                <w:rFonts w:hint="eastAsia" w:ascii="宋体" w:hAnsi="宋体" w:eastAsia="宋体" w:cs="宋体"/>
                <w:sz w:val="18"/>
                <w:szCs w:val="18"/>
                <w:vertAlign w:val="baseline"/>
                <w:lang w:val="en-US" w:eastAsia="zh-CN"/>
              </w:rPr>
              <w:t>6.5%</w:t>
            </w:r>
            <w:r>
              <w:rPr>
                <w:rFonts w:hint="eastAsia" w:ascii="宋体" w:hAnsi="宋体" w:eastAsia="宋体" w:cs="宋体"/>
                <w:sz w:val="18"/>
                <w:szCs w:val="18"/>
                <w:vertAlign w:val="baseline"/>
              </w:rPr>
              <w:t>以下的罚款</w:t>
            </w:r>
          </w:p>
        </w:tc>
        <w:tc>
          <w:tcPr>
            <w:tcW w:w="158" w:type="pct"/>
            <w:vMerge w:val="continue"/>
            <w:noWrap w:val="0"/>
            <w:tcMar>
              <w:top w:w="0" w:type="dxa"/>
              <w:left w:w="0" w:type="dxa"/>
              <w:bottom w:w="0" w:type="dxa"/>
              <w:right w:w="0" w:type="dxa"/>
            </w:tcMar>
            <w:vAlign w:val="center"/>
          </w:tcPr>
          <w:p w14:paraId="1BDFF93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rPr>
            </w:pPr>
          </w:p>
        </w:tc>
      </w:tr>
      <w:tr w14:paraId="703BEB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558" w:hRule="atLeast"/>
          <w:jc w:val="center"/>
        </w:trPr>
        <w:tc>
          <w:tcPr>
            <w:tcW w:w="156" w:type="pct"/>
            <w:vMerge w:val="continue"/>
            <w:noWrap w:val="0"/>
            <w:tcMar>
              <w:top w:w="0" w:type="dxa"/>
              <w:left w:w="0" w:type="dxa"/>
              <w:bottom w:w="0" w:type="dxa"/>
              <w:right w:w="0" w:type="dxa"/>
            </w:tcMar>
            <w:vAlign w:val="center"/>
          </w:tcPr>
          <w:p w14:paraId="6C3DC02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p>
        </w:tc>
        <w:tc>
          <w:tcPr>
            <w:tcW w:w="415" w:type="pct"/>
            <w:vMerge w:val="continue"/>
            <w:noWrap w:val="0"/>
            <w:tcMar>
              <w:top w:w="0" w:type="dxa"/>
              <w:left w:w="0" w:type="dxa"/>
              <w:bottom w:w="0" w:type="dxa"/>
              <w:right w:w="0" w:type="dxa"/>
            </w:tcMar>
            <w:vAlign w:val="center"/>
          </w:tcPr>
          <w:p w14:paraId="6E4554C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200BDDF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58AD5BA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174" w:type="pct"/>
            <w:noWrap w:val="0"/>
            <w:tcMar>
              <w:top w:w="0" w:type="dxa"/>
              <w:left w:w="0" w:type="dxa"/>
              <w:bottom w:w="0" w:type="dxa"/>
              <w:right w:w="0" w:type="dxa"/>
            </w:tcMar>
            <w:vAlign w:val="center"/>
          </w:tcPr>
          <w:p w14:paraId="29CBC569">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较重</w:t>
            </w:r>
          </w:p>
        </w:tc>
        <w:tc>
          <w:tcPr>
            <w:tcW w:w="561" w:type="pct"/>
            <w:noWrap w:val="0"/>
            <w:tcMar>
              <w:top w:w="0" w:type="dxa"/>
              <w:left w:w="0" w:type="dxa"/>
              <w:bottom w:w="0" w:type="dxa"/>
              <w:right w:w="0" w:type="dxa"/>
            </w:tcMar>
            <w:vAlign w:val="center"/>
          </w:tcPr>
          <w:p w14:paraId="55F176CA">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18"/>
                <w:szCs w:val="18"/>
                <w:vertAlign w:val="baseline"/>
              </w:rPr>
            </w:pPr>
            <w:r>
              <w:rPr>
                <w:rFonts w:hint="eastAsia" w:ascii="宋体" w:hAnsi="宋体" w:eastAsia="宋体" w:cs="宋体"/>
                <w:sz w:val="18"/>
                <w:szCs w:val="18"/>
                <w:vertAlign w:val="baseline"/>
              </w:rPr>
              <w:t>按照要求重新竣工验收但验收不合格的</w:t>
            </w:r>
          </w:p>
        </w:tc>
        <w:tc>
          <w:tcPr>
            <w:tcW w:w="873" w:type="pct"/>
            <w:noWrap w:val="0"/>
            <w:tcMar>
              <w:top w:w="0" w:type="dxa"/>
              <w:left w:w="0" w:type="dxa"/>
              <w:bottom w:w="0" w:type="dxa"/>
              <w:right w:w="0" w:type="dxa"/>
            </w:tcMar>
            <w:vAlign w:val="center"/>
          </w:tcPr>
          <w:p w14:paraId="0C2D3147">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18"/>
                <w:szCs w:val="18"/>
                <w:vertAlign w:val="baseline"/>
              </w:rPr>
            </w:pPr>
            <w:r>
              <w:rPr>
                <w:rFonts w:hint="eastAsia" w:ascii="宋体" w:hAnsi="宋体" w:eastAsia="宋体" w:cs="宋体"/>
                <w:sz w:val="18"/>
                <w:szCs w:val="18"/>
                <w:vertAlign w:val="baseline"/>
              </w:rPr>
              <w:t>处工程合同价款</w:t>
            </w:r>
            <w:r>
              <w:rPr>
                <w:rFonts w:hint="eastAsia" w:ascii="宋体" w:hAnsi="宋体" w:eastAsia="宋体" w:cs="宋体"/>
                <w:sz w:val="18"/>
                <w:szCs w:val="18"/>
                <w:vertAlign w:val="baseline"/>
                <w:lang w:val="en-US" w:eastAsia="zh-CN"/>
              </w:rPr>
              <w:t>2.5%</w:t>
            </w:r>
            <w:r>
              <w:rPr>
                <w:rFonts w:hint="eastAsia" w:ascii="宋体" w:hAnsi="宋体" w:eastAsia="宋体" w:cs="宋体"/>
                <w:sz w:val="18"/>
                <w:szCs w:val="18"/>
                <w:vertAlign w:val="baseline"/>
              </w:rPr>
              <w:t>以上</w:t>
            </w:r>
            <w:r>
              <w:rPr>
                <w:rFonts w:hint="eastAsia" w:ascii="宋体" w:hAnsi="宋体" w:eastAsia="宋体" w:cs="宋体"/>
                <w:sz w:val="18"/>
                <w:szCs w:val="18"/>
                <w:vertAlign w:val="baseline"/>
                <w:lang w:val="en-US" w:eastAsia="zh-CN"/>
              </w:rPr>
              <w:t>3.5%</w:t>
            </w:r>
            <w:r>
              <w:rPr>
                <w:rFonts w:hint="eastAsia" w:ascii="宋体" w:hAnsi="宋体" w:eastAsia="宋体" w:cs="宋体"/>
                <w:sz w:val="18"/>
                <w:szCs w:val="18"/>
                <w:vertAlign w:val="baseline"/>
              </w:rPr>
              <w:t>以下的罚款，对单位直接负责的主管人员和其他直接责任人员处位罚款数额</w:t>
            </w:r>
            <w:r>
              <w:rPr>
                <w:rFonts w:hint="eastAsia" w:ascii="宋体" w:hAnsi="宋体" w:eastAsia="宋体" w:cs="宋体"/>
                <w:sz w:val="18"/>
                <w:szCs w:val="18"/>
                <w:vertAlign w:val="baseline"/>
                <w:lang w:val="en-US" w:eastAsia="zh-CN"/>
              </w:rPr>
              <w:t>6.5%</w:t>
            </w:r>
            <w:r>
              <w:rPr>
                <w:rFonts w:hint="eastAsia" w:ascii="宋体" w:hAnsi="宋体" w:eastAsia="宋体" w:cs="宋体"/>
                <w:sz w:val="18"/>
                <w:szCs w:val="18"/>
                <w:vertAlign w:val="baseline"/>
              </w:rPr>
              <w:t>以</w:t>
            </w:r>
            <w:r>
              <w:rPr>
                <w:rFonts w:hint="eastAsia" w:ascii="宋体" w:hAnsi="宋体" w:eastAsia="宋体" w:cs="宋体"/>
                <w:sz w:val="18"/>
                <w:szCs w:val="18"/>
                <w:vertAlign w:val="baseline"/>
                <w:lang w:val="en-US" w:eastAsia="zh-CN"/>
              </w:rPr>
              <w:t>8.5%</w:t>
            </w:r>
            <w:r>
              <w:rPr>
                <w:rFonts w:hint="eastAsia" w:ascii="宋体" w:hAnsi="宋体" w:eastAsia="宋体" w:cs="宋体"/>
                <w:sz w:val="18"/>
                <w:szCs w:val="18"/>
                <w:vertAlign w:val="baseline"/>
              </w:rPr>
              <w:t>以下的罚款</w:t>
            </w:r>
          </w:p>
        </w:tc>
        <w:tc>
          <w:tcPr>
            <w:tcW w:w="158" w:type="pct"/>
            <w:vMerge w:val="continue"/>
            <w:noWrap w:val="0"/>
            <w:tcMar>
              <w:top w:w="0" w:type="dxa"/>
              <w:left w:w="0" w:type="dxa"/>
              <w:bottom w:w="0" w:type="dxa"/>
              <w:right w:w="0" w:type="dxa"/>
            </w:tcMar>
            <w:vAlign w:val="center"/>
          </w:tcPr>
          <w:p w14:paraId="2DA66C8A">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rPr>
            </w:pPr>
          </w:p>
        </w:tc>
      </w:tr>
      <w:tr w14:paraId="760A27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584" w:hRule="atLeast"/>
          <w:jc w:val="center"/>
        </w:trPr>
        <w:tc>
          <w:tcPr>
            <w:tcW w:w="156" w:type="pct"/>
            <w:vMerge w:val="continue"/>
            <w:noWrap w:val="0"/>
            <w:tcMar>
              <w:top w:w="0" w:type="dxa"/>
              <w:left w:w="0" w:type="dxa"/>
              <w:bottom w:w="0" w:type="dxa"/>
              <w:right w:w="0" w:type="dxa"/>
            </w:tcMar>
            <w:vAlign w:val="center"/>
          </w:tcPr>
          <w:p w14:paraId="38B92E60">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p>
        </w:tc>
        <w:tc>
          <w:tcPr>
            <w:tcW w:w="415" w:type="pct"/>
            <w:vMerge w:val="continue"/>
            <w:noWrap w:val="0"/>
            <w:tcMar>
              <w:top w:w="0" w:type="dxa"/>
              <w:left w:w="0" w:type="dxa"/>
              <w:bottom w:w="0" w:type="dxa"/>
              <w:right w:w="0" w:type="dxa"/>
            </w:tcMar>
            <w:vAlign w:val="center"/>
          </w:tcPr>
          <w:p w14:paraId="62238B9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463304F4">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39C90A8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174" w:type="pct"/>
            <w:noWrap w:val="0"/>
            <w:tcMar>
              <w:top w:w="0" w:type="dxa"/>
              <w:left w:w="0" w:type="dxa"/>
              <w:bottom w:w="0" w:type="dxa"/>
              <w:right w:w="0" w:type="dxa"/>
            </w:tcMar>
            <w:vAlign w:val="center"/>
          </w:tcPr>
          <w:p w14:paraId="7C1AB9D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严重</w:t>
            </w:r>
          </w:p>
        </w:tc>
        <w:tc>
          <w:tcPr>
            <w:tcW w:w="561" w:type="pct"/>
            <w:noWrap w:val="0"/>
            <w:tcMar>
              <w:top w:w="0" w:type="dxa"/>
              <w:left w:w="0" w:type="dxa"/>
              <w:bottom w:w="0" w:type="dxa"/>
              <w:right w:w="0" w:type="dxa"/>
            </w:tcMar>
            <w:vAlign w:val="center"/>
          </w:tcPr>
          <w:p w14:paraId="3AAB2F34">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18"/>
                <w:szCs w:val="18"/>
                <w:vertAlign w:val="baseline"/>
              </w:rPr>
            </w:pPr>
            <w:r>
              <w:rPr>
                <w:rFonts w:hint="eastAsia" w:ascii="宋体" w:hAnsi="宋体" w:eastAsia="宋体" w:cs="宋体"/>
                <w:sz w:val="18"/>
                <w:szCs w:val="18"/>
                <w:vertAlign w:val="baseline"/>
              </w:rPr>
              <w:t>发生质量安全事故的；造成严重社会影响的</w:t>
            </w:r>
          </w:p>
        </w:tc>
        <w:tc>
          <w:tcPr>
            <w:tcW w:w="873" w:type="pct"/>
            <w:noWrap w:val="0"/>
            <w:tcMar>
              <w:top w:w="0" w:type="dxa"/>
              <w:left w:w="0" w:type="dxa"/>
              <w:bottom w:w="0" w:type="dxa"/>
              <w:right w:w="0" w:type="dxa"/>
            </w:tcMar>
            <w:vAlign w:val="center"/>
          </w:tcPr>
          <w:p w14:paraId="5111EBFE">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18"/>
                <w:szCs w:val="18"/>
                <w:vertAlign w:val="baseline"/>
              </w:rPr>
            </w:pPr>
            <w:r>
              <w:rPr>
                <w:rFonts w:hint="eastAsia" w:ascii="宋体" w:hAnsi="宋体" w:eastAsia="宋体" w:cs="宋体"/>
                <w:sz w:val="18"/>
                <w:szCs w:val="18"/>
                <w:vertAlign w:val="baseline"/>
              </w:rPr>
              <w:t>处工程合同价款</w:t>
            </w:r>
            <w:r>
              <w:rPr>
                <w:rFonts w:hint="eastAsia" w:ascii="宋体" w:hAnsi="宋体" w:eastAsia="宋体" w:cs="宋体"/>
                <w:sz w:val="18"/>
                <w:szCs w:val="18"/>
                <w:vertAlign w:val="baseline"/>
                <w:lang w:val="en-US" w:eastAsia="zh-CN"/>
              </w:rPr>
              <w:t>3.5%</w:t>
            </w:r>
            <w:r>
              <w:rPr>
                <w:rFonts w:hint="eastAsia" w:ascii="宋体" w:hAnsi="宋体" w:eastAsia="宋体" w:cs="宋体"/>
                <w:sz w:val="18"/>
                <w:szCs w:val="18"/>
                <w:vertAlign w:val="baseline"/>
              </w:rPr>
              <w:t>以上</w:t>
            </w:r>
            <w:r>
              <w:rPr>
                <w:rFonts w:hint="eastAsia" w:ascii="宋体" w:hAnsi="宋体" w:eastAsia="宋体" w:cs="宋体"/>
                <w:sz w:val="18"/>
                <w:szCs w:val="18"/>
                <w:vertAlign w:val="baseline"/>
                <w:lang w:val="en-US" w:eastAsia="zh-CN"/>
              </w:rPr>
              <w:t>4%</w:t>
            </w:r>
            <w:r>
              <w:rPr>
                <w:rFonts w:hint="eastAsia" w:ascii="宋体" w:hAnsi="宋体" w:eastAsia="宋体" w:cs="宋体"/>
                <w:sz w:val="18"/>
                <w:szCs w:val="18"/>
                <w:vertAlign w:val="baseline"/>
              </w:rPr>
              <w:t>以下的罚款，对单位直接负责的主管人员和其他直接责任人员处单位罚款数额</w:t>
            </w:r>
            <w:r>
              <w:rPr>
                <w:rFonts w:hint="eastAsia" w:ascii="宋体" w:hAnsi="宋体" w:eastAsia="宋体" w:cs="宋体"/>
                <w:sz w:val="18"/>
                <w:szCs w:val="18"/>
                <w:vertAlign w:val="baseline"/>
                <w:lang w:val="en-US" w:eastAsia="zh-CN"/>
              </w:rPr>
              <w:t>8.5%</w:t>
            </w:r>
            <w:r>
              <w:rPr>
                <w:rFonts w:hint="eastAsia" w:ascii="宋体" w:hAnsi="宋体" w:eastAsia="宋体" w:cs="宋体"/>
                <w:sz w:val="18"/>
                <w:szCs w:val="18"/>
                <w:vertAlign w:val="baseline"/>
              </w:rPr>
              <w:t>以上</w:t>
            </w:r>
            <w:r>
              <w:rPr>
                <w:rFonts w:hint="eastAsia" w:ascii="宋体" w:hAnsi="宋体" w:eastAsia="宋体" w:cs="宋体"/>
                <w:sz w:val="18"/>
                <w:szCs w:val="18"/>
                <w:vertAlign w:val="baseline"/>
                <w:lang w:val="en-US" w:eastAsia="zh-CN"/>
              </w:rPr>
              <w:t>10%</w:t>
            </w:r>
            <w:r>
              <w:rPr>
                <w:rFonts w:hint="eastAsia" w:ascii="宋体" w:hAnsi="宋体" w:eastAsia="宋体" w:cs="宋体"/>
                <w:sz w:val="18"/>
                <w:szCs w:val="18"/>
                <w:vertAlign w:val="baseline"/>
              </w:rPr>
              <w:t>以下的罚款</w:t>
            </w:r>
          </w:p>
        </w:tc>
        <w:tc>
          <w:tcPr>
            <w:tcW w:w="158" w:type="pct"/>
            <w:vMerge w:val="continue"/>
            <w:noWrap w:val="0"/>
            <w:tcMar>
              <w:top w:w="0" w:type="dxa"/>
              <w:left w:w="0" w:type="dxa"/>
              <w:bottom w:w="0" w:type="dxa"/>
              <w:right w:w="0" w:type="dxa"/>
            </w:tcMar>
            <w:vAlign w:val="center"/>
          </w:tcPr>
          <w:p w14:paraId="2753253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rPr>
            </w:pPr>
          </w:p>
        </w:tc>
      </w:tr>
      <w:tr w14:paraId="50F5DA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575F4FAD">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p>
        </w:tc>
        <w:tc>
          <w:tcPr>
            <w:tcW w:w="415" w:type="pct"/>
            <w:vMerge w:val="continue"/>
            <w:noWrap w:val="0"/>
            <w:tcMar>
              <w:top w:w="0" w:type="dxa"/>
              <w:left w:w="0" w:type="dxa"/>
              <w:bottom w:w="0" w:type="dxa"/>
              <w:right w:w="0" w:type="dxa"/>
            </w:tcMar>
            <w:vAlign w:val="center"/>
          </w:tcPr>
          <w:p w14:paraId="6B21856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48AA61E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491" w:type="pct"/>
            <w:vMerge w:val="restart"/>
            <w:noWrap w:val="0"/>
            <w:tcMar>
              <w:top w:w="0" w:type="dxa"/>
              <w:left w:w="0" w:type="dxa"/>
              <w:bottom w:w="0" w:type="dxa"/>
              <w:right w:w="0" w:type="dxa"/>
            </w:tcMar>
            <w:vAlign w:val="center"/>
          </w:tcPr>
          <w:p w14:paraId="4445536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r>
              <w:rPr>
                <w:rFonts w:hint="eastAsia" w:ascii="宋体" w:hAnsi="宋体" w:eastAsia="宋体" w:cs="宋体"/>
                <w:sz w:val="18"/>
                <w:szCs w:val="18"/>
                <w:vertAlign w:val="baseline"/>
                <w:lang w:val="en-US" w:eastAsia="zh-CN"/>
              </w:rPr>
              <w:t>验收不合格，擅自交付使用的</w:t>
            </w:r>
          </w:p>
        </w:tc>
        <w:tc>
          <w:tcPr>
            <w:tcW w:w="174" w:type="pct"/>
            <w:noWrap w:val="0"/>
            <w:tcMar>
              <w:top w:w="0" w:type="dxa"/>
              <w:left w:w="0" w:type="dxa"/>
              <w:bottom w:w="0" w:type="dxa"/>
              <w:right w:w="0" w:type="dxa"/>
            </w:tcMar>
            <w:vAlign w:val="center"/>
          </w:tcPr>
          <w:p w14:paraId="6DFF7F1C">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轻微</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45B63F76">
            <w:pPr>
              <w:snapToGrid/>
              <w:spacing w:line="28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6436ACAE">
            <w:pPr>
              <w:spacing w:line="280" w:lineRule="exact"/>
              <w:rPr>
                <w:rFonts w:hint="eastAsia" w:ascii="宋体" w:hAnsi="宋体" w:eastAsia="宋体" w:cs="宋体"/>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2798CDAF">
            <w:pPr>
              <w:snapToGrid/>
              <w:spacing w:line="28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718329E3">
            <w:pPr>
              <w:spacing w:line="280" w:lineRule="exact"/>
              <w:rPr>
                <w:rFonts w:hint="eastAsia" w:ascii="宋体" w:hAnsi="宋体" w:eastAsia="宋体" w:cs="宋体"/>
                <w:sz w:val="18"/>
                <w:szCs w:val="18"/>
                <w:vertAlign w:val="baseline"/>
              </w:rPr>
            </w:pPr>
          </w:p>
        </w:tc>
        <w:tc>
          <w:tcPr>
            <w:tcW w:w="158" w:type="pct"/>
            <w:vMerge w:val="restart"/>
            <w:noWrap w:val="0"/>
            <w:tcMar>
              <w:top w:w="0" w:type="dxa"/>
              <w:left w:w="0" w:type="dxa"/>
              <w:bottom w:w="0" w:type="dxa"/>
              <w:right w:w="0" w:type="dxa"/>
            </w:tcMar>
            <w:vAlign w:val="center"/>
          </w:tcPr>
          <w:p w14:paraId="039C90E9">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rPr>
            </w:pPr>
          </w:p>
        </w:tc>
      </w:tr>
      <w:tr w14:paraId="1E58B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61DBB0A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p>
        </w:tc>
        <w:tc>
          <w:tcPr>
            <w:tcW w:w="415" w:type="pct"/>
            <w:vMerge w:val="continue"/>
            <w:noWrap w:val="0"/>
            <w:tcMar>
              <w:top w:w="0" w:type="dxa"/>
              <w:left w:w="0" w:type="dxa"/>
              <w:bottom w:w="0" w:type="dxa"/>
              <w:right w:w="0" w:type="dxa"/>
            </w:tcMar>
            <w:vAlign w:val="center"/>
          </w:tcPr>
          <w:p w14:paraId="56F35CC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6A24D9C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092094E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174" w:type="pct"/>
            <w:noWrap w:val="0"/>
            <w:tcMar>
              <w:top w:w="0" w:type="dxa"/>
              <w:left w:w="0" w:type="dxa"/>
              <w:bottom w:w="0" w:type="dxa"/>
              <w:right w:w="0" w:type="dxa"/>
            </w:tcMar>
            <w:vAlign w:val="center"/>
          </w:tcPr>
          <w:p w14:paraId="5E94D1C0">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较轻</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5E1ECA3A">
            <w:pPr>
              <w:snapToGrid/>
              <w:spacing w:line="28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4D0146B5">
            <w:pPr>
              <w:spacing w:line="280" w:lineRule="exact"/>
              <w:rPr>
                <w:rFonts w:hint="eastAsia" w:ascii="宋体" w:hAnsi="宋体" w:eastAsia="宋体" w:cs="宋体"/>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3E327FEB">
            <w:pPr>
              <w:snapToGrid/>
              <w:spacing w:line="28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09093CD6">
            <w:pPr>
              <w:spacing w:line="280" w:lineRule="exact"/>
              <w:rPr>
                <w:rFonts w:hint="eastAsia" w:ascii="宋体" w:hAnsi="宋体" w:eastAsia="宋体" w:cs="宋体"/>
                <w:sz w:val="18"/>
                <w:szCs w:val="18"/>
                <w:vertAlign w:val="baseline"/>
              </w:rPr>
            </w:pPr>
          </w:p>
        </w:tc>
        <w:tc>
          <w:tcPr>
            <w:tcW w:w="158" w:type="pct"/>
            <w:vMerge w:val="continue"/>
            <w:noWrap w:val="0"/>
            <w:tcMar>
              <w:top w:w="0" w:type="dxa"/>
              <w:left w:w="0" w:type="dxa"/>
              <w:bottom w:w="0" w:type="dxa"/>
              <w:right w:w="0" w:type="dxa"/>
            </w:tcMar>
            <w:vAlign w:val="center"/>
          </w:tcPr>
          <w:p w14:paraId="4862FEA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rPr>
            </w:pPr>
          </w:p>
        </w:tc>
      </w:tr>
      <w:tr w14:paraId="052D8E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519" w:hRule="atLeast"/>
          <w:jc w:val="center"/>
        </w:trPr>
        <w:tc>
          <w:tcPr>
            <w:tcW w:w="156" w:type="pct"/>
            <w:vMerge w:val="continue"/>
            <w:noWrap w:val="0"/>
            <w:tcMar>
              <w:top w:w="0" w:type="dxa"/>
              <w:left w:w="0" w:type="dxa"/>
              <w:bottom w:w="0" w:type="dxa"/>
              <w:right w:w="0" w:type="dxa"/>
            </w:tcMar>
            <w:vAlign w:val="center"/>
          </w:tcPr>
          <w:p w14:paraId="393A1CD5">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p>
        </w:tc>
        <w:tc>
          <w:tcPr>
            <w:tcW w:w="415" w:type="pct"/>
            <w:vMerge w:val="continue"/>
            <w:noWrap w:val="0"/>
            <w:tcMar>
              <w:top w:w="0" w:type="dxa"/>
              <w:left w:w="0" w:type="dxa"/>
              <w:bottom w:w="0" w:type="dxa"/>
              <w:right w:w="0" w:type="dxa"/>
            </w:tcMar>
            <w:vAlign w:val="center"/>
          </w:tcPr>
          <w:p w14:paraId="4491257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6CB07DE7">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02B2CE5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174" w:type="pct"/>
            <w:noWrap w:val="0"/>
            <w:tcMar>
              <w:top w:w="0" w:type="dxa"/>
              <w:left w:w="0" w:type="dxa"/>
              <w:bottom w:w="0" w:type="dxa"/>
              <w:right w:w="0" w:type="dxa"/>
            </w:tcMar>
            <w:vAlign w:val="center"/>
          </w:tcPr>
          <w:p w14:paraId="00132865">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一般</w:t>
            </w:r>
          </w:p>
        </w:tc>
        <w:tc>
          <w:tcPr>
            <w:tcW w:w="561" w:type="pct"/>
            <w:noWrap w:val="0"/>
            <w:tcMar>
              <w:top w:w="0" w:type="dxa"/>
              <w:left w:w="0" w:type="dxa"/>
              <w:bottom w:w="0" w:type="dxa"/>
              <w:right w:w="0" w:type="dxa"/>
            </w:tcMar>
            <w:vAlign w:val="center"/>
          </w:tcPr>
          <w:p w14:paraId="07D18BFD">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rPr>
              <w:t>不合格事项未涉及结构安全或重要使用功能的</w:t>
            </w:r>
          </w:p>
        </w:tc>
        <w:tc>
          <w:tcPr>
            <w:tcW w:w="873" w:type="pct"/>
            <w:noWrap w:val="0"/>
            <w:tcMar>
              <w:top w:w="0" w:type="dxa"/>
              <w:left w:w="0" w:type="dxa"/>
              <w:bottom w:w="0" w:type="dxa"/>
              <w:right w:w="0" w:type="dxa"/>
            </w:tcMar>
            <w:vAlign w:val="center"/>
          </w:tcPr>
          <w:p w14:paraId="008ECBBB">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rPr>
              <w:t>处工程合同价款</w:t>
            </w:r>
            <w:r>
              <w:rPr>
                <w:rFonts w:hint="eastAsia" w:ascii="宋体" w:hAnsi="宋体" w:eastAsia="宋体" w:cs="宋体"/>
                <w:sz w:val="18"/>
                <w:szCs w:val="18"/>
                <w:vertAlign w:val="baseline"/>
                <w:lang w:val="en-US" w:eastAsia="zh-CN"/>
              </w:rPr>
              <w:t>2%</w:t>
            </w:r>
            <w:r>
              <w:rPr>
                <w:rFonts w:hint="eastAsia" w:ascii="宋体" w:hAnsi="宋体" w:eastAsia="宋体" w:cs="宋体"/>
                <w:sz w:val="18"/>
                <w:szCs w:val="18"/>
                <w:vertAlign w:val="baseline"/>
              </w:rPr>
              <w:t>以上</w:t>
            </w:r>
            <w:r>
              <w:rPr>
                <w:rFonts w:hint="eastAsia" w:ascii="宋体" w:hAnsi="宋体" w:eastAsia="宋体" w:cs="宋体"/>
                <w:sz w:val="18"/>
                <w:szCs w:val="18"/>
                <w:vertAlign w:val="baseline"/>
                <w:lang w:val="en-US" w:eastAsia="zh-CN"/>
              </w:rPr>
              <w:t>2.5%</w:t>
            </w:r>
            <w:r>
              <w:rPr>
                <w:rFonts w:hint="eastAsia" w:ascii="宋体" w:hAnsi="宋体" w:eastAsia="宋体" w:cs="宋体"/>
                <w:sz w:val="18"/>
                <w:szCs w:val="18"/>
                <w:vertAlign w:val="baseline"/>
              </w:rPr>
              <w:t>以下的罚款，对单位直接负责的主管人员和其他直接责任人员处单位罚款数额</w:t>
            </w:r>
            <w:r>
              <w:rPr>
                <w:rFonts w:hint="eastAsia" w:ascii="宋体" w:hAnsi="宋体" w:eastAsia="宋体" w:cs="宋体"/>
                <w:sz w:val="18"/>
                <w:szCs w:val="18"/>
                <w:vertAlign w:val="baseline"/>
                <w:lang w:val="en-US" w:eastAsia="zh-CN"/>
              </w:rPr>
              <w:t>5%</w:t>
            </w:r>
            <w:r>
              <w:rPr>
                <w:rFonts w:hint="eastAsia" w:ascii="宋体" w:hAnsi="宋体" w:eastAsia="宋体" w:cs="宋体"/>
                <w:sz w:val="18"/>
                <w:szCs w:val="18"/>
                <w:vertAlign w:val="baseline"/>
              </w:rPr>
              <w:t>以上</w:t>
            </w:r>
            <w:r>
              <w:rPr>
                <w:rFonts w:hint="eastAsia" w:ascii="宋体" w:hAnsi="宋体" w:eastAsia="宋体" w:cs="宋体"/>
                <w:sz w:val="18"/>
                <w:szCs w:val="18"/>
                <w:vertAlign w:val="baseline"/>
                <w:lang w:val="en-US" w:eastAsia="zh-CN"/>
              </w:rPr>
              <w:t>6.5%</w:t>
            </w:r>
            <w:r>
              <w:rPr>
                <w:rFonts w:hint="eastAsia" w:ascii="宋体" w:hAnsi="宋体" w:eastAsia="宋体" w:cs="宋体"/>
                <w:sz w:val="18"/>
                <w:szCs w:val="18"/>
                <w:vertAlign w:val="baseline"/>
              </w:rPr>
              <w:t>以下的罚款</w:t>
            </w:r>
          </w:p>
        </w:tc>
        <w:tc>
          <w:tcPr>
            <w:tcW w:w="158" w:type="pct"/>
            <w:vMerge w:val="continue"/>
            <w:noWrap w:val="0"/>
            <w:tcMar>
              <w:top w:w="0" w:type="dxa"/>
              <w:left w:w="0" w:type="dxa"/>
              <w:bottom w:w="0" w:type="dxa"/>
              <w:right w:w="0" w:type="dxa"/>
            </w:tcMar>
            <w:vAlign w:val="center"/>
          </w:tcPr>
          <w:p w14:paraId="720EF6D0">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rPr>
            </w:pPr>
          </w:p>
        </w:tc>
      </w:tr>
      <w:tr w14:paraId="2415EC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393" w:hRule="atLeast"/>
          <w:jc w:val="center"/>
        </w:trPr>
        <w:tc>
          <w:tcPr>
            <w:tcW w:w="156" w:type="pct"/>
            <w:vMerge w:val="restart"/>
            <w:noWrap w:val="0"/>
            <w:tcMar>
              <w:top w:w="0" w:type="dxa"/>
              <w:left w:w="0" w:type="dxa"/>
              <w:bottom w:w="0" w:type="dxa"/>
              <w:right w:w="0" w:type="dxa"/>
            </w:tcMar>
            <w:vAlign w:val="center"/>
          </w:tcPr>
          <w:p w14:paraId="73329F75">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r>
              <w:rPr>
                <w:rFonts w:hint="eastAsia" w:ascii="宋体" w:hAnsi="宋体" w:eastAsia="宋体" w:cs="宋体"/>
                <w:sz w:val="18"/>
                <w:szCs w:val="18"/>
                <w:vertAlign w:val="baseline"/>
                <w:lang w:val="en-US" w:eastAsia="zh-CN"/>
              </w:rPr>
              <w:t>62</w:t>
            </w:r>
          </w:p>
        </w:tc>
        <w:tc>
          <w:tcPr>
            <w:tcW w:w="415" w:type="pct"/>
            <w:vMerge w:val="restart"/>
            <w:noWrap w:val="0"/>
            <w:tcMar>
              <w:top w:w="0" w:type="dxa"/>
              <w:left w:w="0" w:type="dxa"/>
              <w:bottom w:w="0" w:type="dxa"/>
              <w:right w:w="0" w:type="dxa"/>
            </w:tcMar>
            <w:vAlign w:val="center"/>
          </w:tcPr>
          <w:p w14:paraId="2454311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r>
              <w:rPr>
                <w:rFonts w:hint="eastAsia" w:ascii="宋体" w:hAnsi="宋体" w:eastAsia="宋体" w:cs="宋体"/>
                <w:sz w:val="18"/>
                <w:szCs w:val="18"/>
                <w:vertAlign w:val="baseline"/>
                <w:lang w:val="en-US" w:eastAsia="zh-CN"/>
              </w:rPr>
              <w:t>对水利领域建设单位未组织竣工验收或者验收不合格擅自交付使用等行为的行政处罚</w:t>
            </w:r>
          </w:p>
        </w:tc>
        <w:tc>
          <w:tcPr>
            <w:tcW w:w="2168" w:type="pct"/>
            <w:vMerge w:val="restart"/>
            <w:noWrap w:val="0"/>
            <w:tcMar>
              <w:top w:w="0" w:type="dxa"/>
              <w:left w:w="0" w:type="dxa"/>
              <w:bottom w:w="0" w:type="dxa"/>
              <w:right w:w="0" w:type="dxa"/>
            </w:tcMar>
            <w:vAlign w:val="center"/>
          </w:tcPr>
          <w:p w14:paraId="6D9E752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r>
              <w:rPr>
                <w:rFonts w:hint="eastAsia" w:ascii="宋体" w:hAnsi="宋体" w:eastAsia="宋体" w:cs="宋体"/>
                <w:sz w:val="18"/>
                <w:szCs w:val="18"/>
                <w:vertAlign w:val="baseline"/>
                <w:lang w:val="en-US" w:eastAsia="zh-CN"/>
              </w:rPr>
              <w:t>《建设工程质量管理条例》第五十八条 违反本条例规定，建设单位有下列行为之一的，责令改正，处工程合同价款2%以上4%以下的罚款；造成损失的，依法承担赔偿责任；</w:t>
            </w:r>
          </w:p>
          <w:p w14:paraId="6068E2C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r>
              <w:rPr>
                <w:rFonts w:hint="eastAsia" w:ascii="宋体" w:hAnsi="宋体" w:eastAsia="宋体" w:cs="宋体"/>
                <w:sz w:val="18"/>
                <w:szCs w:val="18"/>
                <w:vertAlign w:val="baseline"/>
                <w:lang w:val="en-US" w:eastAsia="zh-CN"/>
              </w:rPr>
              <w:t>（一）未组织竣工验收，擅自交付使用的；</w:t>
            </w:r>
          </w:p>
          <w:p w14:paraId="32B642E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r>
              <w:rPr>
                <w:rFonts w:hint="eastAsia" w:ascii="宋体" w:hAnsi="宋体" w:eastAsia="宋体" w:cs="宋体"/>
                <w:sz w:val="18"/>
                <w:szCs w:val="18"/>
                <w:vertAlign w:val="baseline"/>
                <w:lang w:val="en-US" w:eastAsia="zh-CN"/>
              </w:rPr>
              <w:t>（二）验收不合格，擅自交付使用的；</w:t>
            </w:r>
          </w:p>
          <w:p w14:paraId="5B9F4BC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r>
              <w:rPr>
                <w:rFonts w:hint="eastAsia" w:ascii="宋体" w:hAnsi="宋体" w:eastAsia="宋体" w:cs="宋体"/>
                <w:sz w:val="18"/>
                <w:szCs w:val="18"/>
                <w:vertAlign w:val="baseline"/>
                <w:lang w:val="en-US" w:eastAsia="zh-CN"/>
              </w:rPr>
              <w:t>（三）对不合格的建设工程按照合格工程验收的。</w:t>
            </w:r>
          </w:p>
          <w:p w14:paraId="5975C35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r>
              <w:rPr>
                <w:rFonts w:hint="eastAsia" w:ascii="宋体" w:hAnsi="宋体" w:eastAsia="宋体" w:cs="宋体"/>
                <w:sz w:val="18"/>
                <w:szCs w:val="18"/>
                <w:vertAlign w:val="baseline"/>
                <w:lang w:val="en-US" w:eastAsia="zh-CN"/>
              </w:rPr>
              <w:t>第七十三条 依照本条例规定，给予单位罚款处罚的，对单位直接负责的主管人员和其他直接责任人员处单位罚款数额百分之五以上百分之十以下的罚款。</w:t>
            </w:r>
          </w:p>
        </w:tc>
        <w:tc>
          <w:tcPr>
            <w:tcW w:w="491" w:type="pct"/>
            <w:vMerge w:val="restart"/>
            <w:noWrap w:val="0"/>
            <w:tcMar>
              <w:top w:w="0" w:type="dxa"/>
              <w:left w:w="0" w:type="dxa"/>
              <w:bottom w:w="0" w:type="dxa"/>
              <w:right w:w="0" w:type="dxa"/>
            </w:tcMar>
            <w:vAlign w:val="center"/>
          </w:tcPr>
          <w:p w14:paraId="0C3F34D7">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r>
              <w:rPr>
                <w:rFonts w:hint="eastAsia" w:ascii="宋体" w:hAnsi="宋体" w:eastAsia="宋体" w:cs="宋体"/>
                <w:sz w:val="18"/>
                <w:szCs w:val="18"/>
                <w:vertAlign w:val="baseline"/>
                <w:lang w:val="en-US" w:eastAsia="zh-CN"/>
              </w:rPr>
              <w:t>验收不合格，擅自交付使用的</w:t>
            </w:r>
          </w:p>
        </w:tc>
        <w:tc>
          <w:tcPr>
            <w:tcW w:w="174" w:type="pct"/>
            <w:noWrap w:val="0"/>
            <w:tcMar>
              <w:top w:w="0" w:type="dxa"/>
              <w:left w:w="0" w:type="dxa"/>
              <w:bottom w:w="0" w:type="dxa"/>
              <w:right w:w="0" w:type="dxa"/>
            </w:tcMar>
            <w:vAlign w:val="center"/>
          </w:tcPr>
          <w:p w14:paraId="3D45577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较重</w:t>
            </w:r>
          </w:p>
        </w:tc>
        <w:tc>
          <w:tcPr>
            <w:tcW w:w="561" w:type="pct"/>
            <w:noWrap w:val="0"/>
            <w:tcMar>
              <w:top w:w="0" w:type="dxa"/>
              <w:left w:w="0" w:type="dxa"/>
              <w:bottom w:w="0" w:type="dxa"/>
              <w:right w:w="0" w:type="dxa"/>
            </w:tcMar>
            <w:vAlign w:val="center"/>
          </w:tcPr>
          <w:p w14:paraId="63A53FE5">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18"/>
                <w:szCs w:val="18"/>
                <w:vertAlign w:val="baseline"/>
              </w:rPr>
            </w:pPr>
            <w:r>
              <w:rPr>
                <w:rFonts w:hint="eastAsia" w:ascii="宋体" w:hAnsi="宋体" w:eastAsia="宋体" w:cs="宋体"/>
                <w:sz w:val="18"/>
                <w:szCs w:val="18"/>
                <w:vertAlign w:val="baseline"/>
              </w:rPr>
              <w:t>不合格事项涉及结构安全或重要使用功能的</w:t>
            </w:r>
          </w:p>
        </w:tc>
        <w:tc>
          <w:tcPr>
            <w:tcW w:w="873" w:type="pct"/>
            <w:noWrap w:val="0"/>
            <w:tcMar>
              <w:top w:w="0" w:type="dxa"/>
              <w:left w:w="0" w:type="dxa"/>
              <w:bottom w:w="0" w:type="dxa"/>
              <w:right w:w="0" w:type="dxa"/>
            </w:tcMar>
            <w:vAlign w:val="center"/>
          </w:tcPr>
          <w:p w14:paraId="03B2BCE8">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18"/>
                <w:szCs w:val="18"/>
                <w:vertAlign w:val="baseline"/>
              </w:rPr>
            </w:pPr>
            <w:r>
              <w:rPr>
                <w:rFonts w:hint="eastAsia" w:ascii="宋体" w:hAnsi="宋体" w:eastAsia="宋体" w:cs="宋体"/>
                <w:sz w:val="18"/>
                <w:szCs w:val="18"/>
                <w:vertAlign w:val="baseline"/>
              </w:rPr>
              <w:t>处工程合同价款</w:t>
            </w:r>
            <w:r>
              <w:rPr>
                <w:rFonts w:hint="eastAsia" w:ascii="宋体" w:hAnsi="宋体" w:eastAsia="宋体" w:cs="宋体"/>
                <w:sz w:val="18"/>
                <w:szCs w:val="18"/>
                <w:vertAlign w:val="baseline"/>
                <w:lang w:val="en-US" w:eastAsia="zh-CN"/>
              </w:rPr>
              <w:t>2.5%</w:t>
            </w:r>
            <w:r>
              <w:rPr>
                <w:rFonts w:hint="eastAsia" w:ascii="宋体" w:hAnsi="宋体" w:eastAsia="宋体" w:cs="宋体"/>
                <w:sz w:val="18"/>
                <w:szCs w:val="18"/>
                <w:vertAlign w:val="baseline"/>
              </w:rPr>
              <w:t>以上</w:t>
            </w:r>
            <w:r>
              <w:rPr>
                <w:rFonts w:hint="eastAsia" w:ascii="宋体" w:hAnsi="宋体" w:eastAsia="宋体" w:cs="宋体"/>
                <w:sz w:val="18"/>
                <w:szCs w:val="18"/>
                <w:vertAlign w:val="baseline"/>
                <w:lang w:val="en-US" w:eastAsia="zh-CN"/>
              </w:rPr>
              <w:t>3.5%</w:t>
            </w:r>
            <w:r>
              <w:rPr>
                <w:rFonts w:hint="eastAsia" w:ascii="宋体" w:hAnsi="宋体" w:eastAsia="宋体" w:cs="宋体"/>
                <w:sz w:val="18"/>
                <w:szCs w:val="18"/>
                <w:vertAlign w:val="baseline"/>
              </w:rPr>
              <w:t>以下的罚款，对单位直接负责的主管人员和其他直接责任人员处单位罚款数额</w:t>
            </w:r>
            <w:r>
              <w:rPr>
                <w:rFonts w:hint="eastAsia" w:ascii="宋体" w:hAnsi="宋体" w:eastAsia="宋体" w:cs="宋体"/>
                <w:sz w:val="18"/>
                <w:szCs w:val="18"/>
                <w:vertAlign w:val="baseline"/>
                <w:lang w:val="en-US" w:eastAsia="zh-CN"/>
              </w:rPr>
              <w:t>6.5%</w:t>
            </w:r>
            <w:r>
              <w:rPr>
                <w:rFonts w:hint="eastAsia" w:ascii="宋体" w:hAnsi="宋体" w:eastAsia="宋体" w:cs="宋体"/>
                <w:sz w:val="18"/>
                <w:szCs w:val="18"/>
                <w:vertAlign w:val="baseline"/>
              </w:rPr>
              <w:t>以上</w:t>
            </w:r>
            <w:r>
              <w:rPr>
                <w:rFonts w:hint="eastAsia" w:ascii="宋体" w:hAnsi="宋体" w:eastAsia="宋体" w:cs="宋体"/>
                <w:sz w:val="18"/>
                <w:szCs w:val="18"/>
                <w:vertAlign w:val="baseline"/>
                <w:lang w:val="en-US" w:eastAsia="zh-CN"/>
              </w:rPr>
              <w:t>8.5%</w:t>
            </w:r>
            <w:r>
              <w:rPr>
                <w:rFonts w:hint="eastAsia" w:ascii="宋体" w:hAnsi="宋体" w:eastAsia="宋体" w:cs="宋体"/>
                <w:sz w:val="18"/>
                <w:szCs w:val="18"/>
                <w:vertAlign w:val="baseline"/>
              </w:rPr>
              <w:t>以下的罚款</w:t>
            </w:r>
          </w:p>
        </w:tc>
        <w:tc>
          <w:tcPr>
            <w:tcW w:w="158" w:type="pct"/>
            <w:vMerge w:val="continue"/>
            <w:noWrap w:val="0"/>
            <w:tcMar>
              <w:top w:w="0" w:type="dxa"/>
              <w:left w:w="0" w:type="dxa"/>
              <w:bottom w:w="0" w:type="dxa"/>
              <w:right w:w="0" w:type="dxa"/>
            </w:tcMar>
            <w:vAlign w:val="center"/>
          </w:tcPr>
          <w:p w14:paraId="34E37445">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rPr>
            </w:pPr>
          </w:p>
        </w:tc>
      </w:tr>
      <w:tr w14:paraId="60358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360" w:hRule="atLeast"/>
          <w:jc w:val="center"/>
        </w:trPr>
        <w:tc>
          <w:tcPr>
            <w:tcW w:w="156" w:type="pct"/>
            <w:vMerge w:val="continue"/>
            <w:noWrap w:val="0"/>
            <w:tcMar>
              <w:top w:w="0" w:type="dxa"/>
              <w:left w:w="0" w:type="dxa"/>
              <w:bottom w:w="0" w:type="dxa"/>
              <w:right w:w="0" w:type="dxa"/>
            </w:tcMar>
            <w:vAlign w:val="center"/>
          </w:tcPr>
          <w:p w14:paraId="2D9CA7D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p>
        </w:tc>
        <w:tc>
          <w:tcPr>
            <w:tcW w:w="415" w:type="pct"/>
            <w:vMerge w:val="continue"/>
            <w:noWrap w:val="0"/>
            <w:tcMar>
              <w:top w:w="0" w:type="dxa"/>
              <w:left w:w="0" w:type="dxa"/>
              <w:bottom w:w="0" w:type="dxa"/>
              <w:right w:w="0" w:type="dxa"/>
            </w:tcMar>
            <w:vAlign w:val="center"/>
          </w:tcPr>
          <w:p w14:paraId="3C8E18D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69E5EA4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001A7A3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174" w:type="pct"/>
            <w:noWrap w:val="0"/>
            <w:tcMar>
              <w:top w:w="0" w:type="dxa"/>
              <w:left w:w="0" w:type="dxa"/>
              <w:bottom w:w="0" w:type="dxa"/>
              <w:right w:w="0" w:type="dxa"/>
            </w:tcMar>
            <w:vAlign w:val="center"/>
          </w:tcPr>
          <w:p w14:paraId="65152BCB">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严重</w:t>
            </w:r>
          </w:p>
        </w:tc>
        <w:tc>
          <w:tcPr>
            <w:tcW w:w="561" w:type="pct"/>
            <w:noWrap w:val="0"/>
            <w:tcMar>
              <w:top w:w="0" w:type="dxa"/>
              <w:left w:w="0" w:type="dxa"/>
              <w:bottom w:w="0" w:type="dxa"/>
              <w:right w:w="0" w:type="dxa"/>
            </w:tcMar>
            <w:vAlign w:val="center"/>
          </w:tcPr>
          <w:p w14:paraId="1C2FAB36">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18"/>
                <w:szCs w:val="18"/>
                <w:vertAlign w:val="baseline"/>
              </w:rPr>
            </w:pPr>
            <w:r>
              <w:rPr>
                <w:rFonts w:hint="eastAsia" w:ascii="宋体" w:hAnsi="宋体" w:eastAsia="宋体" w:cs="宋体"/>
                <w:sz w:val="18"/>
                <w:szCs w:val="18"/>
                <w:vertAlign w:val="baseline"/>
              </w:rPr>
              <w:t>发生质量安全事故的；造成严重社会影响的</w:t>
            </w:r>
          </w:p>
        </w:tc>
        <w:tc>
          <w:tcPr>
            <w:tcW w:w="873" w:type="pct"/>
            <w:noWrap w:val="0"/>
            <w:tcMar>
              <w:top w:w="0" w:type="dxa"/>
              <w:left w:w="0" w:type="dxa"/>
              <w:bottom w:w="0" w:type="dxa"/>
              <w:right w:w="0" w:type="dxa"/>
            </w:tcMar>
            <w:vAlign w:val="center"/>
          </w:tcPr>
          <w:p w14:paraId="072C85D8">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18"/>
                <w:szCs w:val="18"/>
                <w:vertAlign w:val="baseline"/>
              </w:rPr>
            </w:pPr>
            <w:r>
              <w:rPr>
                <w:rFonts w:hint="eastAsia" w:ascii="宋体" w:hAnsi="宋体" w:eastAsia="宋体" w:cs="宋体"/>
                <w:sz w:val="18"/>
                <w:szCs w:val="18"/>
                <w:vertAlign w:val="baseline"/>
              </w:rPr>
              <w:t>处工程合同价款</w:t>
            </w:r>
            <w:r>
              <w:rPr>
                <w:rFonts w:hint="eastAsia" w:ascii="宋体" w:hAnsi="宋体" w:eastAsia="宋体" w:cs="宋体"/>
                <w:sz w:val="18"/>
                <w:szCs w:val="18"/>
                <w:vertAlign w:val="baseline"/>
                <w:lang w:val="en-US" w:eastAsia="zh-CN"/>
              </w:rPr>
              <w:t>3.5%</w:t>
            </w:r>
            <w:r>
              <w:rPr>
                <w:rFonts w:hint="eastAsia" w:ascii="宋体" w:hAnsi="宋体" w:eastAsia="宋体" w:cs="宋体"/>
                <w:sz w:val="18"/>
                <w:szCs w:val="18"/>
                <w:vertAlign w:val="baseline"/>
              </w:rPr>
              <w:t>以上</w:t>
            </w:r>
            <w:r>
              <w:rPr>
                <w:rFonts w:hint="eastAsia" w:ascii="宋体" w:hAnsi="宋体" w:eastAsia="宋体" w:cs="宋体"/>
                <w:sz w:val="18"/>
                <w:szCs w:val="18"/>
                <w:vertAlign w:val="baseline"/>
                <w:lang w:val="en-US" w:eastAsia="zh-CN"/>
              </w:rPr>
              <w:t>4%</w:t>
            </w:r>
            <w:r>
              <w:rPr>
                <w:rFonts w:hint="eastAsia" w:ascii="宋体" w:hAnsi="宋体" w:eastAsia="宋体" w:cs="宋体"/>
                <w:sz w:val="18"/>
                <w:szCs w:val="18"/>
                <w:vertAlign w:val="baseline"/>
              </w:rPr>
              <w:t>以下的罚款，对单位直接负责的主管人员和其他直接责任人员处单位罚款数额</w:t>
            </w:r>
            <w:r>
              <w:rPr>
                <w:rFonts w:hint="eastAsia" w:ascii="宋体" w:hAnsi="宋体" w:eastAsia="宋体" w:cs="宋体"/>
                <w:sz w:val="18"/>
                <w:szCs w:val="18"/>
                <w:vertAlign w:val="baseline"/>
                <w:lang w:val="en-US" w:eastAsia="zh-CN"/>
              </w:rPr>
              <w:t>8.5%</w:t>
            </w:r>
            <w:r>
              <w:rPr>
                <w:rFonts w:hint="eastAsia" w:ascii="宋体" w:hAnsi="宋体" w:eastAsia="宋体" w:cs="宋体"/>
                <w:sz w:val="18"/>
                <w:szCs w:val="18"/>
                <w:vertAlign w:val="baseline"/>
              </w:rPr>
              <w:t>以上</w:t>
            </w:r>
            <w:r>
              <w:rPr>
                <w:rFonts w:hint="eastAsia" w:ascii="宋体" w:hAnsi="宋体" w:eastAsia="宋体" w:cs="宋体"/>
                <w:sz w:val="18"/>
                <w:szCs w:val="18"/>
                <w:vertAlign w:val="baseline"/>
                <w:lang w:val="en-US" w:eastAsia="zh-CN"/>
              </w:rPr>
              <w:t>10%</w:t>
            </w:r>
            <w:r>
              <w:rPr>
                <w:rFonts w:hint="eastAsia" w:ascii="宋体" w:hAnsi="宋体" w:eastAsia="宋体" w:cs="宋体"/>
                <w:sz w:val="18"/>
                <w:szCs w:val="18"/>
                <w:vertAlign w:val="baseline"/>
              </w:rPr>
              <w:t>以下的罚款</w:t>
            </w:r>
          </w:p>
        </w:tc>
        <w:tc>
          <w:tcPr>
            <w:tcW w:w="158" w:type="pct"/>
            <w:vMerge w:val="continue"/>
            <w:noWrap w:val="0"/>
            <w:tcMar>
              <w:top w:w="0" w:type="dxa"/>
              <w:left w:w="0" w:type="dxa"/>
              <w:bottom w:w="0" w:type="dxa"/>
              <w:right w:w="0" w:type="dxa"/>
            </w:tcMar>
            <w:vAlign w:val="center"/>
          </w:tcPr>
          <w:p w14:paraId="0F8C52D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rPr>
            </w:pPr>
          </w:p>
        </w:tc>
      </w:tr>
      <w:tr w14:paraId="65533B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63BA079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p>
        </w:tc>
        <w:tc>
          <w:tcPr>
            <w:tcW w:w="415" w:type="pct"/>
            <w:vMerge w:val="continue"/>
            <w:noWrap w:val="0"/>
            <w:tcMar>
              <w:top w:w="0" w:type="dxa"/>
              <w:left w:w="0" w:type="dxa"/>
              <w:bottom w:w="0" w:type="dxa"/>
              <w:right w:w="0" w:type="dxa"/>
            </w:tcMar>
            <w:vAlign w:val="center"/>
          </w:tcPr>
          <w:p w14:paraId="4736752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343C8614">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491" w:type="pct"/>
            <w:vMerge w:val="restart"/>
            <w:noWrap w:val="0"/>
            <w:tcMar>
              <w:top w:w="0" w:type="dxa"/>
              <w:left w:w="0" w:type="dxa"/>
              <w:bottom w:w="0" w:type="dxa"/>
              <w:right w:w="0" w:type="dxa"/>
            </w:tcMar>
            <w:vAlign w:val="center"/>
          </w:tcPr>
          <w:p w14:paraId="14A9108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r>
              <w:rPr>
                <w:rFonts w:hint="eastAsia" w:ascii="宋体" w:hAnsi="宋体" w:eastAsia="宋体" w:cs="宋体"/>
                <w:sz w:val="18"/>
                <w:szCs w:val="18"/>
                <w:vertAlign w:val="baseline"/>
                <w:lang w:val="en-US" w:eastAsia="zh-CN"/>
              </w:rPr>
              <w:t>不合格的建设工程按照合格工程验收的</w:t>
            </w:r>
          </w:p>
        </w:tc>
        <w:tc>
          <w:tcPr>
            <w:tcW w:w="174" w:type="pct"/>
            <w:noWrap w:val="0"/>
            <w:tcMar>
              <w:top w:w="0" w:type="dxa"/>
              <w:left w:w="0" w:type="dxa"/>
              <w:bottom w:w="0" w:type="dxa"/>
              <w:right w:w="0" w:type="dxa"/>
            </w:tcMar>
            <w:vAlign w:val="center"/>
          </w:tcPr>
          <w:p w14:paraId="033CE2E9">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轻微</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3CF8ABD1">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41C81B96">
            <w:pPr>
              <w:spacing w:line="260" w:lineRule="exact"/>
              <w:rPr>
                <w:rFonts w:hint="eastAsia" w:ascii="宋体" w:hAnsi="宋体" w:eastAsia="宋体" w:cs="宋体"/>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1B58E12D">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653FE14D">
            <w:pPr>
              <w:spacing w:line="260" w:lineRule="exact"/>
              <w:rPr>
                <w:rFonts w:hint="eastAsia" w:ascii="宋体" w:hAnsi="宋体" w:eastAsia="宋体" w:cs="宋体"/>
                <w:sz w:val="18"/>
                <w:szCs w:val="18"/>
                <w:vertAlign w:val="baseline"/>
              </w:rPr>
            </w:pPr>
          </w:p>
        </w:tc>
        <w:tc>
          <w:tcPr>
            <w:tcW w:w="158" w:type="pct"/>
            <w:vMerge w:val="restart"/>
            <w:noWrap w:val="0"/>
            <w:tcMar>
              <w:top w:w="0" w:type="dxa"/>
              <w:left w:w="0" w:type="dxa"/>
              <w:bottom w:w="0" w:type="dxa"/>
              <w:right w:w="0" w:type="dxa"/>
            </w:tcMar>
            <w:vAlign w:val="center"/>
          </w:tcPr>
          <w:p w14:paraId="1CE46D1A">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rPr>
            </w:pPr>
          </w:p>
        </w:tc>
      </w:tr>
      <w:tr w14:paraId="7A352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264CD76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p>
        </w:tc>
        <w:tc>
          <w:tcPr>
            <w:tcW w:w="415" w:type="pct"/>
            <w:vMerge w:val="continue"/>
            <w:noWrap w:val="0"/>
            <w:tcMar>
              <w:top w:w="0" w:type="dxa"/>
              <w:left w:w="0" w:type="dxa"/>
              <w:bottom w:w="0" w:type="dxa"/>
              <w:right w:w="0" w:type="dxa"/>
            </w:tcMar>
            <w:vAlign w:val="center"/>
          </w:tcPr>
          <w:p w14:paraId="6BF24387">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03BF10D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656C184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174" w:type="pct"/>
            <w:noWrap w:val="0"/>
            <w:tcMar>
              <w:top w:w="0" w:type="dxa"/>
              <w:left w:w="0" w:type="dxa"/>
              <w:bottom w:w="0" w:type="dxa"/>
              <w:right w:w="0" w:type="dxa"/>
            </w:tcMar>
            <w:vAlign w:val="center"/>
          </w:tcPr>
          <w:p w14:paraId="3264A8F5">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较轻</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1196445F">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12C600B3">
            <w:pPr>
              <w:spacing w:line="260" w:lineRule="exact"/>
              <w:rPr>
                <w:rFonts w:hint="eastAsia" w:ascii="宋体" w:hAnsi="宋体" w:eastAsia="宋体" w:cs="宋体"/>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3C85F09F">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465F5EF6">
            <w:pPr>
              <w:spacing w:line="260" w:lineRule="exact"/>
              <w:rPr>
                <w:rFonts w:hint="eastAsia" w:ascii="宋体" w:hAnsi="宋体" w:eastAsia="宋体" w:cs="宋体"/>
                <w:sz w:val="18"/>
                <w:szCs w:val="18"/>
                <w:vertAlign w:val="baseline"/>
              </w:rPr>
            </w:pPr>
          </w:p>
        </w:tc>
        <w:tc>
          <w:tcPr>
            <w:tcW w:w="158" w:type="pct"/>
            <w:vMerge w:val="continue"/>
            <w:noWrap w:val="0"/>
            <w:tcMar>
              <w:top w:w="0" w:type="dxa"/>
              <w:left w:w="0" w:type="dxa"/>
              <w:bottom w:w="0" w:type="dxa"/>
              <w:right w:w="0" w:type="dxa"/>
            </w:tcMar>
            <w:vAlign w:val="center"/>
          </w:tcPr>
          <w:p w14:paraId="09857F5C">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rPr>
            </w:pPr>
          </w:p>
        </w:tc>
      </w:tr>
      <w:tr w14:paraId="48A032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558" w:hRule="atLeast"/>
          <w:jc w:val="center"/>
        </w:trPr>
        <w:tc>
          <w:tcPr>
            <w:tcW w:w="156" w:type="pct"/>
            <w:vMerge w:val="continue"/>
            <w:noWrap w:val="0"/>
            <w:tcMar>
              <w:top w:w="0" w:type="dxa"/>
              <w:left w:w="0" w:type="dxa"/>
              <w:bottom w:w="0" w:type="dxa"/>
              <w:right w:w="0" w:type="dxa"/>
            </w:tcMar>
            <w:vAlign w:val="center"/>
          </w:tcPr>
          <w:p w14:paraId="458B8C4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p>
        </w:tc>
        <w:tc>
          <w:tcPr>
            <w:tcW w:w="415" w:type="pct"/>
            <w:vMerge w:val="continue"/>
            <w:noWrap w:val="0"/>
            <w:tcMar>
              <w:top w:w="0" w:type="dxa"/>
              <w:left w:w="0" w:type="dxa"/>
              <w:bottom w:w="0" w:type="dxa"/>
              <w:right w:w="0" w:type="dxa"/>
            </w:tcMar>
            <w:vAlign w:val="center"/>
          </w:tcPr>
          <w:p w14:paraId="168D024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328400D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74EAD79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174" w:type="pct"/>
            <w:noWrap w:val="0"/>
            <w:tcMar>
              <w:top w:w="0" w:type="dxa"/>
              <w:left w:w="0" w:type="dxa"/>
              <w:bottom w:w="0" w:type="dxa"/>
              <w:right w:w="0" w:type="dxa"/>
            </w:tcMar>
            <w:vAlign w:val="center"/>
          </w:tcPr>
          <w:p w14:paraId="3D0010F8">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一般</w:t>
            </w:r>
          </w:p>
        </w:tc>
        <w:tc>
          <w:tcPr>
            <w:tcW w:w="561" w:type="pct"/>
            <w:noWrap w:val="0"/>
            <w:tcMar>
              <w:top w:w="0" w:type="dxa"/>
              <w:left w:w="0" w:type="dxa"/>
              <w:bottom w:w="0" w:type="dxa"/>
              <w:right w:w="0" w:type="dxa"/>
            </w:tcMar>
            <w:vAlign w:val="center"/>
          </w:tcPr>
          <w:p w14:paraId="21A9E59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rPr>
              <w:t>不合格事项未涉及结构安全或重要使用功能的</w:t>
            </w:r>
          </w:p>
        </w:tc>
        <w:tc>
          <w:tcPr>
            <w:tcW w:w="873" w:type="pct"/>
            <w:noWrap w:val="0"/>
            <w:tcMar>
              <w:top w:w="0" w:type="dxa"/>
              <w:left w:w="0" w:type="dxa"/>
              <w:bottom w:w="0" w:type="dxa"/>
              <w:right w:w="0" w:type="dxa"/>
            </w:tcMar>
            <w:vAlign w:val="center"/>
          </w:tcPr>
          <w:p w14:paraId="7254F82F">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rPr>
              <w:t>处工程合同价款</w:t>
            </w:r>
            <w:r>
              <w:rPr>
                <w:rFonts w:hint="eastAsia" w:ascii="宋体" w:hAnsi="宋体" w:eastAsia="宋体" w:cs="宋体"/>
                <w:sz w:val="18"/>
                <w:szCs w:val="18"/>
                <w:vertAlign w:val="baseline"/>
                <w:lang w:val="en-US" w:eastAsia="zh-CN"/>
              </w:rPr>
              <w:t>2%</w:t>
            </w:r>
            <w:r>
              <w:rPr>
                <w:rFonts w:hint="eastAsia" w:ascii="宋体" w:hAnsi="宋体" w:eastAsia="宋体" w:cs="宋体"/>
                <w:sz w:val="18"/>
                <w:szCs w:val="18"/>
                <w:vertAlign w:val="baseline"/>
              </w:rPr>
              <w:t>以上</w:t>
            </w:r>
            <w:r>
              <w:rPr>
                <w:rFonts w:hint="eastAsia" w:ascii="宋体" w:hAnsi="宋体" w:eastAsia="宋体" w:cs="宋体"/>
                <w:sz w:val="18"/>
                <w:szCs w:val="18"/>
                <w:vertAlign w:val="baseline"/>
                <w:lang w:val="en-US" w:eastAsia="zh-CN"/>
              </w:rPr>
              <w:t>2.5%</w:t>
            </w:r>
            <w:r>
              <w:rPr>
                <w:rFonts w:hint="eastAsia" w:ascii="宋体" w:hAnsi="宋体" w:eastAsia="宋体" w:cs="宋体"/>
                <w:sz w:val="18"/>
                <w:szCs w:val="18"/>
                <w:vertAlign w:val="baseline"/>
              </w:rPr>
              <w:t>以下的罚款，对单位直接负责的主管人员和其他直接责任人员处单位罚款数额</w:t>
            </w:r>
            <w:r>
              <w:rPr>
                <w:rFonts w:hint="eastAsia" w:ascii="宋体" w:hAnsi="宋体" w:eastAsia="宋体" w:cs="宋体"/>
                <w:sz w:val="18"/>
                <w:szCs w:val="18"/>
                <w:vertAlign w:val="baseline"/>
                <w:lang w:val="en-US" w:eastAsia="zh-CN"/>
              </w:rPr>
              <w:t>5%</w:t>
            </w:r>
            <w:r>
              <w:rPr>
                <w:rFonts w:hint="eastAsia" w:ascii="宋体" w:hAnsi="宋体" w:eastAsia="宋体" w:cs="宋体"/>
                <w:sz w:val="18"/>
                <w:szCs w:val="18"/>
                <w:vertAlign w:val="baseline"/>
              </w:rPr>
              <w:t>以上</w:t>
            </w:r>
            <w:r>
              <w:rPr>
                <w:rFonts w:hint="eastAsia" w:ascii="宋体" w:hAnsi="宋体" w:eastAsia="宋体" w:cs="宋体"/>
                <w:sz w:val="18"/>
                <w:szCs w:val="18"/>
                <w:vertAlign w:val="baseline"/>
                <w:lang w:val="en-US" w:eastAsia="zh-CN"/>
              </w:rPr>
              <w:t>6.5%</w:t>
            </w:r>
            <w:r>
              <w:rPr>
                <w:rFonts w:hint="eastAsia" w:ascii="宋体" w:hAnsi="宋体" w:eastAsia="宋体" w:cs="宋体"/>
                <w:sz w:val="18"/>
                <w:szCs w:val="18"/>
                <w:vertAlign w:val="baseline"/>
              </w:rPr>
              <w:t>以下的罚款</w:t>
            </w:r>
          </w:p>
        </w:tc>
        <w:tc>
          <w:tcPr>
            <w:tcW w:w="158" w:type="pct"/>
            <w:vMerge w:val="continue"/>
            <w:noWrap w:val="0"/>
            <w:tcMar>
              <w:top w:w="0" w:type="dxa"/>
              <w:left w:w="0" w:type="dxa"/>
              <w:bottom w:w="0" w:type="dxa"/>
              <w:right w:w="0" w:type="dxa"/>
            </w:tcMar>
            <w:vAlign w:val="center"/>
          </w:tcPr>
          <w:p w14:paraId="774E8309">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rPr>
            </w:pPr>
          </w:p>
        </w:tc>
      </w:tr>
      <w:tr w14:paraId="213225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443" w:hRule="atLeast"/>
          <w:jc w:val="center"/>
        </w:trPr>
        <w:tc>
          <w:tcPr>
            <w:tcW w:w="156" w:type="pct"/>
            <w:vMerge w:val="continue"/>
            <w:noWrap w:val="0"/>
            <w:tcMar>
              <w:top w:w="0" w:type="dxa"/>
              <w:left w:w="0" w:type="dxa"/>
              <w:bottom w:w="0" w:type="dxa"/>
              <w:right w:w="0" w:type="dxa"/>
            </w:tcMar>
            <w:vAlign w:val="center"/>
          </w:tcPr>
          <w:p w14:paraId="3DA0CEDA">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p>
        </w:tc>
        <w:tc>
          <w:tcPr>
            <w:tcW w:w="415" w:type="pct"/>
            <w:vMerge w:val="continue"/>
            <w:noWrap w:val="0"/>
            <w:tcMar>
              <w:top w:w="0" w:type="dxa"/>
              <w:left w:w="0" w:type="dxa"/>
              <w:bottom w:w="0" w:type="dxa"/>
              <w:right w:w="0" w:type="dxa"/>
            </w:tcMar>
            <w:vAlign w:val="center"/>
          </w:tcPr>
          <w:p w14:paraId="431554C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6198B35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5B1BA25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174" w:type="pct"/>
            <w:noWrap w:val="0"/>
            <w:tcMar>
              <w:top w:w="0" w:type="dxa"/>
              <w:left w:w="0" w:type="dxa"/>
              <w:bottom w:w="0" w:type="dxa"/>
              <w:right w:w="0" w:type="dxa"/>
            </w:tcMar>
            <w:vAlign w:val="center"/>
          </w:tcPr>
          <w:p w14:paraId="120F107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较重</w:t>
            </w:r>
          </w:p>
        </w:tc>
        <w:tc>
          <w:tcPr>
            <w:tcW w:w="561" w:type="pct"/>
            <w:noWrap w:val="0"/>
            <w:tcMar>
              <w:top w:w="0" w:type="dxa"/>
              <w:left w:w="0" w:type="dxa"/>
              <w:bottom w:w="0" w:type="dxa"/>
              <w:right w:w="0" w:type="dxa"/>
            </w:tcMar>
            <w:vAlign w:val="center"/>
          </w:tcPr>
          <w:p w14:paraId="5080E08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rPr>
            </w:pPr>
            <w:r>
              <w:rPr>
                <w:rFonts w:hint="eastAsia" w:ascii="宋体" w:hAnsi="宋体" w:eastAsia="宋体" w:cs="宋体"/>
                <w:sz w:val="18"/>
                <w:szCs w:val="18"/>
                <w:vertAlign w:val="baseline"/>
              </w:rPr>
              <w:t>不合格事项涉及结构安全或重要使用功能的</w:t>
            </w:r>
          </w:p>
        </w:tc>
        <w:tc>
          <w:tcPr>
            <w:tcW w:w="873" w:type="pct"/>
            <w:noWrap w:val="0"/>
            <w:tcMar>
              <w:top w:w="0" w:type="dxa"/>
              <w:left w:w="0" w:type="dxa"/>
              <w:bottom w:w="0" w:type="dxa"/>
              <w:right w:w="0" w:type="dxa"/>
            </w:tcMar>
            <w:vAlign w:val="center"/>
          </w:tcPr>
          <w:p w14:paraId="2AE761AC">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18"/>
                <w:szCs w:val="18"/>
                <w:vertAlign w:val="baseline"/>
              </w:rPr>
            </w:pPr>
            <w:r>
              <w:rPr>
                <w:rFonts w:hint="eastAsia" w:ascii="宋体" w:hAnsi="宋体" w:eastAsia="宋体" w:cs="宋体"/>
                <w:sz w:val="18"/>
                <w:szCs w:val="18"/>
                <w:vertAlign w:val="baseline"/>
              </w:rPr>
              <w:t>处工程合同价款</w:t>
            </w:r>
            <w:r>
              <w:rPr>
                <w:rFonts w:hint="eastAsia" w:ascii="宋体" w:hAnsi="宋体" w:eastAsia="宋体" w:cs="宋体"/>
                <w:sz w:val="18"/>
                <w:szCs w:val="18"/>
                <w:vertAlign w:val="baseline"/>
                <w:lang w:val="en-US" w:eastAsia="zh-CN"/>
              </w:rPr>
              <w:t>2.5%</w:t>
            </w:r>
            <w:r>
              <w:rPr>
                <w:rFonts w:hint="eastAsia" w:ascii="宋体" w:hAnsi="宋体" w:eastAsia="宋体" w:cs="宋体"/>
                <w:sz w:val="18"/>
                <w:szCs w:val="18"/>
                <w:vertAlign w:val="baseline"/>
              </w:rPr>
              <w:t>以上</w:t>
            </w:r>
            <w:r>
              <w:rPr>
                <w:rFonts w:hint="eastAsia" w:ascii="宋体" w:hAnsi="宋体" w:eastAsia="宋体" w:cs="宋体"/>
                <w:sz w:val="18"/>
                <w:szCs w:val="18"/>
                <w:vertAlign w:val="baseline"/>
                <w:lang w:val="en-US" w:eastAsia="zh-CN"/>
              </w:rPr>
              <w:t>3.5%</w:t>
            </w:r>
            <w:r>
              <w:rPr>
                <w:rFonts w:hint="eastAsia" w:ascii="宋体" w:hAnsi="宋体" w:eastAsia="宋体" w:cs="宋体"/>
                <w:sz w:val="18"/>
                <w:szCs w:val="18"/>
                <w:vertAlign w:val="baseline"/>
              </w:rPr>
              <w:t>以下的罚款，对单位直接负责的主管人员和其他直接责任人员处单位罚款数额</w:t>
            </w:r>
            <w:r>
              <w:rPr>
                <w:rFonts w:hint="eastAsia" w:ascii="宋体" w:hAnsi="宋体" w:eastAsia="宋体" w:cs="宋体"/>
                <w:sz w:val="18"/>
                <w:szCs w:val="18"/>
                <w:vertAlign w:val="baseline"/>
                <w:lang w:val="en-US" w:eastAsia="zh-CN"/>
              </w:rPr>
              <w:t>6.5%</w:t>
            </w:r>
            <w:r>
              <w:rPr>
                <w:rFonts w:hint="eastAsia" w:ascii="宋体" w:hAnsi="宋体" w:eastAsia="宋体" w:cs="宋体"/>
                <w:sz w:val="18"/>
                <w:szCs w:val="18"/>
                <w:vertAlign w:val="baseline"/>
              </w:rPr>
              <w:t>以上</w:t>
            </w:r>
            <w:r>
              <w:rPr>
                <w:rFonts w:hint="eastAsia" w:ascii="宋体" w:hAnsi="宋体" w:eastAsia="宋体" w:cs="宋体"/>
                <w:sz w:val="18"/>
                <w:szCs w:val="18"/>
                <w:vertAlign w:val="baseline"/>
                <w:lang w:val="en-US" w:eastAsia="zh-CN"/>
              </w:rPr>
              <w:t>8.5%</w:t>
            </w:r>
            <w:r>
              <w:rPr>
                <w:rFonts w:hint="eastAsia" w:ascii="宋体" w:hAnsi="宋体" w:eastAsia="宋体" w:cs="宋体"/>
                <w:sz w:val="18"/>
                <w:szCs w:val="18"/>
                <w:vertAlign w:val="baseline"/>
              </w:rPr>
              <w:t>以下的罚款</w:t>
            </w:r>
          </w:p>
        </w:tc>
        <w:tc>
          <w:tcPr>
            <w:tcW w:w="158" w:type="pct"/>
            <w:vMerge w:val="continue"/>
            <w:noWrap w:val="0"/>
            <w:tcMar>
              <w:top w:w="0" w:type="dxa"/>
              <w:left w:w="0" w:type="dxa"/>
              <w:bottom w:w="0" w:type="dxa"/>
              <w:right w:w="0" w:type="dxa"/>
            </w:tcMar>
            <w:vAlign w:val="center"/>
          </w:tcPr>
          <w:p w14:paraId="3F0FBED0">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rPr>
            </w:pPr>
          </w:p>
        </w:tc>
      </w:tr>
      <w:tr w14:paraId="5E6256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494" w:hRule="atLeast"/>
          <w:jc w:val="center"/>
        </w:trPr>
        <w:tc>
          <w:tcPr>
            <w:tcW w:w="156" w:type="pct"/>
            <w:vMerge w:val="continue"/>
            <w:noWrap w:val="0"/>
            <w:tcMar>
              <w:top w:w="0" w:type="dxa"/>
              <w:left w:w="0" w:type="dxa"/>
              <w:bottom w:w="0" w:type="dxa"/>
              <w:right w:w="0" w:type="dxa"/>
            </w:tcMar>
            <w:vAlign w:val="center"/>
          </w:tcPr>
          <w:p w14:paraId="618F95CA">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p>
        </w:tc>
        <w:tc>
          <w:tcPr>
            <w:tcW w:w="415" w:type="pct"/>
            <w:vMerge w:val="continue"/>
            <w:noWrap w:val="0"/>
            <w:tcMar>
              <w:top w:w="0" w:type="dxa"/>
              <w:left w:w="0" w:type="dxa"/>
              <w:bottom w:w="0" w:type="dxa"/>
              <w:right w:w="0" w:type="dxa"/>
            </w:tcMar>
            <w:vAlign w:val="center"/>
          </w:tcPr>
          <w:p w14:paraId="6A8D16C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2D5FD4F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1D80BD0C">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174" w:type="pct"/>
            <w:noWrap w:val="0"/>
            <w:tcMar>
              <w:top w:w="0" w:type="dxa"/>
              <w:left w:w="0" w:type="dxa"/>
              <w:bottom w:w="0" w:type="dxa"/>
              <w:right w:w="0" w:type="dxa"/>
            </w:tcMar>
            <w:vAlign w:val="center"/>
          </w:tcPr>
          <w:p w14:paraId="455548C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严重</w:t>
            </w:r>
          </w:p>
        </w:tc>
        <w:tc>
          <w:tcPr>
            <w:tcW w:w="561" w:type="pct"/>
            <w:noWrap w:val="0"/>
            <w:tcMar>
              <w:top w:w="0" w:type="dxa"/>
              <w:left w:w="0" w:type="dxa"/>
              <w:bottom w:w="0" w:type="dxa"/>
              <w:right w:w="0" w:type="dxa"/>
            </w:tcMar>
            <w:vAlign w:val="center"/>
          </w:tcPr>
          <w:p w14:paraId="6CAA315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rPr>
            </w:pPr>
            <w:r>
              <w:rPr>
                <w:rFonts w:hint="eastAsia" w:ascii="宋体" w:hAnsi="宋体" w:eastAsia="宋体" w:cs="宋体"/>
                <w:sz w:val="18"/>
                <w:szCs w:val="18"/>
                <w:vertAlign w:val="baseline"/>
              </w:rPr>
              <w:t>发生质量安全事故的；造成严重社会影响的</w:t>
            </w:r>
          </w:p>
        </w:tc>
        <w:tc>
          <w:tcPr>
            <w:tcW w:w="873" w:type="pct"/>
            <w:noWrap w:val="0"/>
            <w:tcMar>
              <w:top w:w="0" w:type="dxa"/>
              <w:left w:w="0" w:type="dxa"/>
              <w:bottom w:w="0" w:type="dxa"/>
              <w:right w:w="0" w:type="dxa"/>
            </w:tcMar>
            <w:vAlign w:val="center"/>
          </w:tcPr>
          <w:p w14:paraId="098E3E76">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18"/>
                <w:szCs w:val="18"/>
                <w:vertAlign w:val="baseline"/>
              </w:rPr>
            </w:pPr>
            <w:r>
              <w:rPr>
                <w:rFonts w:hint="eastAsia" w:ascii="宋体" w:hAnsi="宋体" w:eastAsia="宋体" w:cs="宋体"/>
                <w:sz w:val="18"/>
                <w:szCs w:val="18"/>
                <w:vertAlign w:val="baseline"/>
              </w:rPr>
              <w:t>处工程合同价款</w:t>
            </w:r>
            <w:r>
              <w:rPr>
                <w:rFonts w:hint="eastAsia" w:ascii="宋体" w:hAnsi="宋体" w:eastAsia="宋体" w:cs="宋体"/>
                <w:sz w:val="18"/>
                <w:szCs w:val="18"/>
                <w:vertAlign w:val="baseline"/>
                <w:lang w:val="en-US" w:eastAsia="zh-CN"/>
              </w:rPr>
              <w:t>3.5%</w:t>
            </w:r>
            <w:r>
              <w:rPr>
                <w:rFonts w:hint="eastAsia" w:ascii="宋体" w:hAnsi="宋体" w:eastAsia="宋体" w:cs="宋体"/>
                <w:sz w:val="18"/>
                <w:szCs w:val="18"/>
                <w:vertAlign w:val="baseline"/>
              </w:rPr>
              <w:t>以上</w:t>
            </w:r>
            <w:r>
              <w:rPr>
                <w:rFonts w:hint="eastAsia" w:ascii="宋体" w:hAnsi="宋体" w:eastAsia="宋体" w:cs="宋体"/>
                <w:sz w:val="18"/>
                <w:szCs w:val="18"/>
                <w:vertAlign w:val="baseline"/>
                <w:lang w:val="en-US" w:eastAsia="zh-CN"/>
              </w:rPr>
              <w:t>4%</w:t>
            </w:r>
            <w:r>
              <w:rPr>
                <w:rFonts w:hint="eastAsia" w:ascii="宋体" w:hAnsi="宋体" w:eastAsia="宋体" w:cs="宋体"/>
                <w:sz w:val="18"/>
                <w:szCs w:val="18"/>
                <w:vertAlign w:val="baseline"/>
              </w:rPr>
              <w:t>以下的罚款，对单位直接负责的主管人员和其他直接责任人员处单位罚款数额</w:t>
            </w:r>
            <w:r>
              <w:rPr>
                <w:rFonts w:hint="eastAsia" w:ascii="宋体" w:hAnsi="宋体" w:eastAsia="宋体" w:cs="宋体"/>
                <w:sz w:val="18"/>
                <w:szCs w:val="18"/>
                <w:vertAlign w:val="baseline"/>
                <w:lang w:val="en-US" w:eastAsia="zh-CN"/>
              </w:rPr>
              <w:t>8.5%</w:t>
            </w:r>
            <w:r>
              <w:rPr>
                <w:rFonts w:hint="eastAsia" w:ascii="宋体" w:hAnsi="宋体" w:eastAsia="宋体" w:cs="宋体"/>
                <w:sz w:val="18"/>
                <w:szCs w:val="18"/>
                <w:vertAlign w:val="baseline"/>
              </w:rPr>
              <w:t>以上</w:t>
            </w:r>
            <w:r>
              <w:rPr>
                <w:rFonts w:hint="eastAsia" w:ascii="宋体" w:hAnsi="宋体" w:eastAsia="宋体" w:cs="宋体"/>
                <w:sz w:val="18"/>
                <w:szCs w:val="18"/>
                <w:vertAlign w:val="baseline"/>
                <w:lang w:val="en-US" w:eastAsia="zh-CN"/>
              </w:rPr>
              <w:t>10%</w:t>
            </w:r>
            <w:r>
              <w:rPr>
                <w:rFonts w:hint="eastAsia" w:ascii="宋体" w:hAnsi="宋体" w:eastAsia="宋体" w:cs="宋体"/>
                <w:sz w:val="18"/>
                <w:szCs w:val="18"/>
                <w:vertAlign w:val="baseline"/>
              </w:rPr>
              <w:t>以下的罚款</w:t>
            </w:r>
          </w:p>
        </w:tc>
        <w:tc>
          <w:tcPr>
            <w:tcW w:w="158" w:type="pct"/>
            <w:vMerge w:val="continue"/>
            <w:noWrap w:val="0"/>
            <w:tcMar>
              <w:top w:w="0" w:type="dxa"/>
              <w:left w:w="0" w:type="dxa"/>
              <w:bottom w:w="0" w:type="dxa"/>
              <w:right w:w="0" w:type="dxa"/>
            </w:tcMar>
            <w:vAlign w:val="center"/>
          </w:tcPr>
          <w:p w14:paraId="6D78057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rPr>
            </w:pPr>
          </w:p>
        </w:tc>
      </w:tr>
      <w:tr w14:paraId="302A8F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156" w:type="pct"/>
            <w:vMerge w:val="restart"/>
            <w:noWrap w:val="0"/>
            <w:tcMar>
              <w:top w:w="0" w:type="dxa"/>
              <w:left w:w="0" w:type="dxa"/>
              <w:bottom w:w="0" w:type="dxa"/>
              <w:right w:w="0" w:type="dxa"/>
            </w:tcMar>
            <w:vAlign w:val="center"/>
          </w:tcPr>
          <w:p w14:paraId="7059B6D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r>
              <w:rPr>
                <w:rFonts w:hint="eastAsia" w:ascii="宋体" w:hAnsi="宋体" w:eastAsia="宋体" w:cs="宋体"/>
                <w:sz w:val="18"/>
                <w:szCs w:val="18"/>
                <w:vertAlign w:val="baseline"/>
                <w:lang w:val="en-US" w:eastAsia="zh-CN"/>
              </w:rPr>
              <w:t>63</w:t>
            </w:r>
          </w:p>
        </w:tc>
        <w:tc>
          <w:tcPr>
            <w:tcW w:w="415" w:type="pct"/>
            <w:vMerge w:val="restart"/>
            <w:noWrap w:val="0"/>
            <w:tcMar>
              <w:top w:w="0" w:type="dxa"/>
              <w:left w:w="0" w:type="dxa"/>
              <w:bottom w:w="0" w:type="dxa"/>
              <w:right w:w="0" w:type="dxa"/>
            </w:tcMar>
            <w:vAlign w:val="center"/>
          </w:tcPr>
          <w:p w14:paraId="0211A5AC">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r>
              <w:rPr>
                <w:rFonts w:hint="eastAsia" w:ascii="宋体" w:hAnsi="宋体" w:eastAsia="宋体" w:cs="宋体"/>
                <w:sz w:val="18"/>
                <w:szCs w:val="18"/>
                <w:vertAlign w:val="baseline"/>
                <w:lang w:val="en-US" w:eastAsia="zh-CN"/>
              </w:rPr>
              <w:t>对水利领域建设单位在水利工程竣工验收后未移交建设项目档案行为的行政处罚</w:t>
            </w:r>
          </w:p>
        </w:tc>
        <w:tc>
          <w:tcPr>
            <w:tcW w:w="2168" w:type="pct"/>
            <w:vMerge w:val="restart"/>
            <w:noWrap w:val="0"/>
            <w:tcMar>
              <w:top w:w="0" w:type="dxa"/>
              <w:left w:w="0" w:type="dxa"/>
              <w:bottom w:w="0" w:type="dxa"/>
              <w:right w:w="0" w:type="dxa"/>
            </w:tcMar>
            <w:vAlign w:val="center"/>
          </w:tcPr>
          <w:p w14:paraId="2BA8516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r>
              <w:rPr>
                <w:rFonts w:hint="eastAsia" w:ascii="宋体" w:hAnsi="宋体" w:eastAsia="宋体" w:cs="宋体"/>
                <w:sz w:val="18"/>
                <w:szCs w:val="18"/>
                <w:vertAlign w:val="baseline"/>
                <w:lang w:val="en-US" w:eastAsia="zh-CN"/>
              </w:rPr>
              <w:t>《建设工程质量管理条例》第五十九条 违反本条例规定，建设工程竣工验收后，建设单位未向建设行政主管部门或者其他有关部门移交建设项目档案的，责令改正，处1万元以上10万元以下的罚款。</w:t>
            </w:r>
          </w:p>
          <w:p w14:paraId="7EA5D09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r>
              <w:rPr>
                <w:rFonts w:hint="eastAsia" w:ascii="宋体" w:hAnsi="宋体" w:eastAsia="宋体" w:cs="宋体"/>
                <w:sz w:val="18"/>
                <w:szCs w:val="18"/>
                <w:vertAlign w:val="baseline"/>
                <w:lang w:val="en-US" w:eastAsia="zh-CN"/>
              </w:rPr>
              <w:t>第七十三条  依照本条例规定，给予单位罚款处罚的，对单位直接负责的主管人员和其他直接责任人员处单位罚款数额百分之五以上百分之十以下的罚款。</w:t>
            </w:r>
          </w:p>
          <w:p w14:paraId="2415635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r>
              <w:rPr>
                <w:rFonts w:hint="eastAsia" w:ascii="宋体" w:hAnsi="宋体" w:eastAsia="宋体" w:cs="宋体"/>
                <w:sz w:val="18"/>
                <w:szCs w:val="18"/>
                <w:vertAlign w:val="baseline"/>
                <w:lang w:val="en-US" w:eastAsia="zh-CN"/>
              </w:rPr>
              <w:t>《水利工程质量管理规定》第六十一条 违反本规定，水利工程竣工验收后，项目法人未移交建设项目档案的，依照《建设工程质量管理条例》第五十九条规定，由水行政主管部门或者流域管理机构依据职权责令改正，处1万元以上10万元以下的罚款。</w:t>
            </w:r>
          </w:p>
          <w:p w14:paraId="2B1AF654">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r>
              <w:rPr>
                <w:rFonts w:hint="eastAsia" w:ascii="宋体" w:hAnsi="宋体" w:eastAsia="宋体" w:cs="宋体"/>
                <w:sz w:val="18"/>
                <w:szCs w:val="18"/>
                <w:vertAlign w:val="baseline"/>
                <w:lang w:val="en-US" w:eastAsia="zh-CN"/>
              </w:rPr>
              <w:t>第七十三条第二款 依照《建设工程质量管理条例》给予单位罚款处罚的，对单位直接负责的主管人员和其他直接责任人员处单位罚款数额5%以上10%以下的罚款。</w:t>
            </w:r>
          </w:p>
        </w:tc>
        <w:tc>
          <w:tcPr>
            <w:tcW w:w="491" w:type="pct"/>
            <w:vMerge w:val="restart"/>
            <w:noWrap w:val="0"/>
            <w:tcMar>
              <w:top w:w="0" w:type="dxa"/>
              <w:left w:w="0" w:type="dxa"/>
              <w:bottom w:w="0" w:type="dxa"/>
              <w:right w:w="0" w:type="dxa"/>
            </w:tcMar>
            <w:vAlign w:val="center"/>
          </w:tcPr>
          <w:p w14:paraId="38879D6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r>
              <w:rPr>
                <w:rFonts w:hint="eastAsia" w:ascii="宋体" w:hAnsi="宋体" w:eastAsia="宋体" w:cs="宋体"/>
                <w:sz w:val="18"/>
                <w:szCs w:val="18"/>
                <w:vertAlign w:val="baseline"/>
                <w:lang w:val="en-US" w:eastAsia="zh-CN"/>
              </w:rPr>
              <w:t>水利领域建设单位在水利工程竣工验收后未移交建设项目档案的</w:t>
            </w:r>
          </w:p>
        </w:tc>
        <w:tc>
          <w:tcPr>
            <w:tcW w:w="174" w:type="pct"/>
            <w:noWrap w:val="0"/>
            <w:tcMar>
              <w:top w:w="0" w:type="dxa"/>
              <w:left w:w="0" w:type="dxa"/>
              <w:bottom w:w="0" w:type="dxa"/>
              <w:right w:w="0" w:type="dxa"/>
            </w:tcMar>
            <w:vAlign w:val="center"/>
          </w:tcPr>
          <w:p w14:paraId="16AD74DA">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轻微</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66CF4E1B">
            <w:pPr>
              <w:snapToGrid w:val="0"/>
              <w:spacing w:line="24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59670420">
            <w:pPr>
              <w:spacing w:line="240" w:lineRule="exact"/>
              <w:rPr>
                <w:rFonts w:hint="eastAsia" w:ascii="宋体" w:hAnsi="宋体" w:eastAsia="宋体" w:cs="宋体"/>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11AE6368">
            <w:pPr>
              <w:snapToGrid w:val="0"/>
              <w:spacing w:line="24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0A9DACD0">
            <w:pPr>
              <w:spacing w:line="240" w:lineRule="exact"/>
              <w:rPr>
                <w:rFonts w:hint="eastAsia" w:ascii="宋体" w:hAnsi="宋体" w:eastAsia="宋体" w:cs="宋体"/>
                <w:sz w:val="18"/>
                <w:szCs w:val="18"/>
                <w:vertAlign w:val="baseline"/>
              </w:rPr>
            </w:pPr>
          </w:p>
        </w:tc>
        <w:tc>
          <w:tcPr>
            <w:tcW w:w="158" w:type="pct"/>
            <w:vMerge w:val="restart"/>
            <w:noWrap w:val="0"/>
            <w:tcMar>
              <w:top w:w="0" w:type="dxa"/>
              <w:left w:w="0" w:type="dxa"/>
              <w:bottom w:w="0" w:type="dxa"/>
              <w:right w:w="0" w:type="dxa"/>
            </w:tcMar>
            <w:vAlign w:val="center"/>
          </w:tcPr>
          <w:p w14:paraId="6541EDD5">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rPr>
            </w:pPr>
          </w:p>
        </w:tc>
      </w:tr>
      <w:tr w14:paraId="35063D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156" w:type="pct"/>
            <w:vMerge w:val="continue"/>
            <w:noWrap w:val="0"/>
            <w:tcMar>
              <w:top w:w="0" w:type="dxa"/>
              <w:left w:w="0" w:type="dxa"/>
              <w:bottom w:w="0" w:type="dxa"/>
              <w:right w:w="0" w:type="dxa"/>
            </w:tcMar>
            <w:vAlign w:val="center"/>
          </w:tcPr>
          <w:p w14:paraId="027E55D5">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p>
        </w:tc>
        <w:tc>
          <w:tcPr>
            <w:tcW w:w="415" w:type="pct"/>
            <w:vMerge w:val="continue"/>
            <w:noWrap w:val="0"/>
            <w:tcMar>
              <w:top w:w="0" w:type="dxa"/>
              <w:left w:w="0" w:type="dxa"/>
              <w:bottom w:w="0" w:type="dxa"/>
              <w:right w:w="0" w:type="dxa"/>
            </w:tcMar>
            <w:vAlign w:val="center"/>
          </w:tcPr>
          <w:p w14:paraId="1F50A49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0E7DF67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660AB13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174" w:type="pct"/>
            <w:noWrap w:val="0"/>
            <w:tcMar>
              <w:top w:w="0" w:type="dxa"/>
              <w:left w:w="0" w:type="dxa"/>
              <w:bottom w:w="0" w:type="dxa"/>
              <w:right w:w="0" w:type="dxa"/>
            </w:tcMar>
            <w:vAlign w:val="center"/>
          </w:tcPr>
          <w:p w14:paraId="0F5426A2">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较轻</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0E233649">
            <w:pPr>
              <w:snapToGrid w:val="0"/>
              <w:spacing w:line="24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3D97059D">
            <w:pPr>
              <w:spacing w:line="240" w:lineRule="exact"/>
              <w:rPr>
                <w:rFonts w:hint="eastAsia" w:ascii="宋体" w:hAnsi="宋体" w:eastAsia="宋体" w:cs="宋体"/>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381ECDE4">
            <w:pPr>
              <w:snapToGrid w:val="0"/>
              <w:spacing w:line="24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1BBB21BF">
            <w:pPr>
              <w:spacing w:line="240" w:lineRule="exact"/>
              <w:rPr>
                <w:rFonts w:hint="eastAsia" w:ascii="宋体" w:hAnsi="宋体" w:eastAsia="宋体" w:cs="宋体"/>
                <w:sz w:val="18"/>
                <w:szCs w:val="18"/>
                <w:vertAlign w:val="baseline"/>
              </w:rPr>
            </w:pPr>
          </w:p>
        </w:tc>
        <w:tc>
          <w:tcPr>
            <w:tcW w:w="158" w:type="pct"/>
            <w:vMerge w:val="continue"/>
            <w:noWrap w:val="0"/>
            <w:tcMar>
              <w:top w:w="0" w:type="dxa"/>
              <w:left w:w="0" w:type="dxa"/>
              <w:bottom w:w="0" w:type="dxa"/>
              <w:right w:w="0" w:type="dxa"/>
            </w:tcMar>
            <w:vAlign w:val="center"/>
          </w:tcPr>
          <w:p w14:paraId="318A4EFD">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rPr>
            </w:pPr>
          </w:p>
        </w:tc>
      </w:tr>
      <w:tr w14:paraId="7E4A99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2BB891BC">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p>
        </w:tc>
        <w:tc>
          <w:tcPr>
            <w:tcW w:w="415" w:type="pct"/>
            <w:vMerge w:val="continue"/>
            <w:noWrap w:val="0"/>
            <w:tcMar>
              <w:top w:w="0" w:type="dxa"/>
              <w:left w:w="0" w:type="dxa"/>
              <w:bottom w:w="0" w:type="dxa"/>
              <w:right w:w="0" w:type="dxa"/>
            </w:tcMar>
            <w:vAlign w:val="center"/>
          </w:tcPr>
          <w:p w14:paraId="69C3330C">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5412CC3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7CCA2F4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174" w:type="pct"/>
            <w:noWrap w:val="0"/>
            <w:tcMar>
              <w:top w:w="0" w:type="dxa"/>
              <w:left w:w="0" w:type="dxa"/>
              <w:bottom w:w="0" w:type="dxa"/>
              <w:right w:w="0" w:type="dxa"/>
            </w:tcMar>
            <w:vAlign w:val="center"/>
          </w:tcPr>
          <w:p w14:paraId="0C89C1AD">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一般</w:t>
            </w:r>
          </w:p>
        </w:tc>
        <w:tc>
          <w:tcPr>
            <w:tcW w:w="561" w:type="pct"/>
            <w:noWrap w:val="0"/>
            <w:tcMar>
              <w:top w:w="0" w:type="dxa"/>
              <w:left w:w="0" w:type="dxa"/>
              <w:bottom w:w="0" w:type="dxa"/>
              <w:right w:w="0" w:type="dxa"/>
            </w:tcMar>
            <w:vAlign w:val="center"/>
          </w:tcPr>
          <w:p w14:paraId="0E38D7E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rPr>
              <w:t>逾期3个月以内改正的</w:t>
            </w:r>
          </w:p>
        </w:tc>
        <w:tc>
          <w:tcPr>
            <w:tcW w:w="873" w:type="pct"/>
            <w:noWrap w:val="0"/>
            <w:tcMar>
              <w:top w:w="0" w:type="dxa"/>
              <w:left w:w="0" w:type="dxa"/>
              <w:bottom w:w="0" w:type="dxa"/>
              <w:right w:w="0" w:type="dxa"/>
            </w:tcMar>
            <w:vAlign w:val="center"/>
          </w:tcPr>
          <w:p w14:paraId="3A67D4AE">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rPr>
              <w:t>处1万元以上3万元以下的罚款，对单位直接负责的主管人员和其他直接责任人员处单位罚款数额</w:t>
            </w:r>
            <w:r>
              <w:rPr>
                <w:rFonts w:hint="eastAsia" w:ascii="宋体" w:hAnsi="宋体" w:eastAsia="宋体" w:cs="宋体"/>
                <w:sz w:val="18"/>
                <w:szCs w:val="18"/>
                <w:vertAlign w:val="baseline"/>
                <w:lang w:val="en-US" w:eastAsia="zh-CN"/>
              </w:rPr>
              <w:t>5%</w:t>
            </w:r>
            <w:r>
              <w:rPr>
                <w:rFonts w:hint="eastAsia" w:ascii="宋体" w:hAnsi="宋体" w:eastAsia="宋体" w:cs="宋体"/>
                <w:sz w:val="18"/>
                <w:szCs w:val="18"/>
                <w:vertAlign w:val="baseline"/>
              </w:rPr>
              <w:t>以上</w:t>
            </w:r>
            <w:r>
              <w:rPr>
                <w:rFonts w:hint="eastAsia" w:ascii="宋体" w:hAnsi="宋体" w:eastAsia="宋体" w:cs="宋体"/>
                <w:sz w:val="18"/>
                <w:szCs w:val="18"/>
                <w:vertAlign w:val="baseline"/>
                <w:lang w:val="en-US" w:eastAsia="zh-CN"/>
              </w:rPr>
              <w:t>6.5%</w:t>
            </w:r>
            <w:r>
              <w:rPr>
                <w:rFonts w:hint="eastAsia" w:ascii="宋体" w:hAnsi="宋体" w:eastAsia="宋体" w:cs="宋体"/>
                <w:sz w:val="18"/>
                <w:szCs w:val="18"/>
                <w:vertAlign w:val="baseline"/>
              </w:rPr>
              <w:t>以下的罚款</w:t>
            </w:r>
          </w:p>
        </w:tc>
        <w:tc>
          <w:tcPr>
            <w:tcW w:w="158" w:type="pct"/>
            <w:vMerge w:val="continue"/>
            <w:noWrap w:val="0"/>
            <w:tcMar>
              <w:top w:w="0" w:type="dxa"/>
              <w:left w:w="0" w:type="dxa"/>
              <w:bottom w:w="0" w:type="dxa"/>
              <w:right w:w="0" w:type="dxa"/>
            </w:tcMar>
            <w:vAlign w:val="center"/>
          </w:tcPr>
          <w:p w14:paraId="7D97146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rPr>
            </w:pPr>
          </w:p>
        </w:tc>
      </w:tr>
      <w:tr w14:paraId="41613C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3B258B90">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p>
        </w:tc>
        <w:tc>
          <w:tcPr>
            <w:tcW w:w="415" w:type="pct"/>
            <w:vMerge w:val="continue"/>
            <w:noWrap w:val="0"/>
            <w:tcMar>
              <w:top w:w="0" w:type="dxa"/>
              <w:left w:w="0" w:type="dxa"/>
              <w:bottom w:w="0" w:type="dxa"/>
              <w:right w:w="0" w:type="dxa"/>
            </w:tcMar>
            <w:vAlign w:val="center"/>
          </w:tcPr>
          <w:p w14:paraId="3E5D502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5846A15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25B90F3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174" w:type="pct"/>
            <w:noWrap w:val="0"/>
            <w:tcMar>
              <w:top w:w="0" w:type="dxa"/>
              <w:left w:w="0" w:type="dxa"/>
              <w:bottom w:w="0" w:type="dxa"/>
              <w:right w:w="0" w:type="dxa"/>
            </w:tcMar>
            <w:vAlign w:val="center"/>
          </w:tcPr>
          <w:p w14:paraId="229F7928">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较重</w:t>
            </w:r>
          </w:p>
        </w:tc>
        <w:tc>
          <w:tcPr>
            <w:tcW w:w="561" w:type="pct"/>
            <w:noWrap w:val="0"/>
            <w:tcMar>
              <w:top w:w="0" w:type="dxa"/>
              <w:left w:w="0" w:type="dxa"/>
              <w:bottom w:w="0" w:type="dxa"/>
              <w:right w:w="0" w:type="dxa"/>
            </w:tcMar>
            <w:vAlign w:val="center"/>
          </w:tcPr>
          <w:p w14:paraId="2241C0A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rPr>
            </w:pPr>
            <w:r>
              <w:rPr>
                <w:rFonts w:hint="eastAsia" w:ascii="宋体" w:hAnsi="宋体" w:eastAsia="宋体" w:cs="宋体"/>
                <w:sz w:val="18"/>
                <w:szCs w:val="18"/>
                <w:vertAlign w:val="baseline"/>
              </w:rPr>
              <w:t>逾期3个月以上6个月以内改正的</w:t>
            </w:r>
          </w:p>
        </w:tc>
        <w:tc>
          <w:tcPr>
            <w:tcW w:w="873" w:type="pct"/>
            <w:noWrap w:val="0"/>
            <w:tcMar>
              <w:top w:w="0" w:type="dxa"/>
              <w:left w:w="0" w:type="dxa"/>
              <w:bottom w:w="0" w:type="dxa"/>
              <w:right w:w="0" w:type="dxa"/>
            </w:tcMar>
            <w:vAlign w:val="center"/>
          </w:tcPr>
          <w:p w14:paraId="66669777">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sz w:val="18"/>
                <w:szCs w:val="18"/>
                <w:vertAlign w:val="baseline"/>
              </w:rPr>
            </w:pPr>
            <w:r>
              <w:rPr>
                <w:rFonts w:hint="eastAsia" w:ascii="宋体" w:hAnsi="宋体" w:eastAsia="宋体" w:cs="宋体"/>
                <w:sz w:val="18"/>
                <w:szCs w:val="18"/>
                <w:vertAlign w:val="baseline"/>
              </w:rPr>
              <w:t>处3万元以上7万元以下的罚款，对单位直接负责的主管人员和其他直接责任人员处单位罚款数额</w:t>
            </w:r>
            <w:r>
              <w:rPr>
                <w:rFonts w:hint="eastAsia" w:ascii="宋体" w:hAnsi="宋体" w:eastAsia="宋体" w:cs="宋体"/>
                <w:sz w:val="18"/>
                <w:szCs w:val="18"/>
                <w:vertAlign w:val="baseline"/>
                <w:lang w:val="en-US" w:eastAsia="zh-CN"/>
              </w:rPr>
              <w:t>6.5%</w:t>
            </w:r>
            <w:r>
              <w:rPr>
                <w:rFonts w:hint="eastAsia" w:ascii="宋体" w:hAnsi="宋体" w:eastAsia="宋体" w:cs="宋体"/>
                <w:sz w:val="18"/>
                <w:szCs w:val="18"/>
                <w:vertAlign w:val="baseline"/>
              </w:rPr>
              <w:t>以上</w:t>
            </w:r>
            <w:r>
              <w:rPr>
                <w:rFonts w:hint="eastAsia" w:ascii="宋体" w:hAnsi="宋体" w:eastAsia="宋体" w:cs="宋体"/>
                <w:sz w:val="18"/>
                <w:szCs w:val="18"/>
                <w:vertAlign w:val="baseline"/>
                <w:lang w:val="en-US" w:eastAsia="zh-CN"/>
              </w:rPr>
              <w:t>8.5%</w:t>
            </w:r>
            <w:r>
              <w:rPr>
                <w:rFonts w:hint="eastAsia" w:ascii="宋体" w:hAnsi="宋体" w:eastAsia="宋体" w:cs="宋体"/>
                <w:sz w:val="18"/>
                <w:szCs w:val="18"/>
                <w:vertAlign w:val="baseline"/>
              </w:rPr>
              <w:t>以下的罚款</w:t>
            </w:r>
          </w:p>
        </w:tc>
        <w:tc>
          <w:tcPr>
            <w:tcW w:w="158" w:type="pct"/>
            <w:vMerge w:val="continue"/>
            <w:noWrap w:val="0"/>
            <w:tcMar>
              <w:top w:w="0" w:type="dxa"/>
              <w:left w:w="0" w:type="dxa"/>
              <w:bottom w:w="0" w:type="dxa"/>
              <w:right w:w="0" w:type="dxa"/>
            </w:tcMar>
            <w:vAlign w:val="center"/>
          </w:tcPr>
          <w:p w14:paraId="0CDFCF01">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rPr>
            </w:pPr>
          </w:p>
        </w:tc>
      </w:tr>
      <w:tr w14:paraId="7DA97A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0A79BC0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p>
        </w:tc>
        <w:tc>
          <w:tcPr>
            <w:tcW w:w="415" w:type="pct"/>
            <w:vMerge w:val="continue"/>
            <w:noWrap w:val="0"/>
            <w:tcMar>
              <w:top w:w="0" w:type="dxa"/>
              <w:left w:w="0" w:type="dxa"/>
              <w:bottom w:w="0" w:type="dxa"/>
              <w:right w:w="0" w:type="dxa"/>
            </w:tcMar>
            <w:vAlign w:val="center"/>
          </w:tcPr>
          <w:p w14:paraId="4BECE8D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2271168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2E42A1C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174" w:type="pct"/>
            <w:noWrap w:val="0"/>
            <w:tcMar>
              <w:top w:w="0" w:type="dxa"/>
              <w:left w:w="0" w:type="dxa"/>
              <w:bottom w:w="0" w:type="dxa"/>
              <w:right w:w="0" w:type="dxa"/>
            </w:tcMar>
            <w:vAlign w:val="center"/>
          </w:tcPr>
          <w:p w14:paraId="4DEF23D0">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严重</w:t>
            </w:r>
          </w:p>
        </w:tc>
        <w:tc>
          <w:tcPr>
            <w:tcW w:w="561" w:type="pct"/>
            <w:noWrap w:val="0"/>
            <w:tcMar>
              <w:top w:w="0" w:type="dxa"/>
              <w:left w:w="0" w:type="dxa"/>
              <w:bottom w:w="0" w:type="dxa"/>
              <w:right w:w="0" w:type="dxa"/>
            </w:tcMar>
            <w:vAlign w:val="center"/>
          </w:tcPr>
          <w:p w14:paraId="2CC31AB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rPr>
            </w:pPr>
            <w:r>
              <w:rPr>
                <w:rFonts w:hint="eastAsia" w:ascii="宋体" w:hAnsi="宋体" w:eastAsia="宋体" w:cs="宋体"/>
                <w:sz w:val="18"/>
                <w:szCs w:val="18"/>
                <w:vertAlign w:val="baseline"/>
              </w:rPr>
              <w:t>逾期6个月以上未改正的</w:t>
            </w:r>
          </w:p>
        </w:tc>
        <w:tc>
          <w:tcPr>
            <w:tcW w:w="873" w:type="pct"/>
            <w:noWrap w:val="0"/>
            <w:tcMar>
              <w:top w:w="0" w:type="dxa"/>
              <w:left w:w="0" w:type="dxa"/>
              <w:bottom w:w="0" w:type="dxa"/>
              <w:right w:w="0" w:type="dxa"/>
            </w:tcMar>
            <w:vAlign w:val="center"/>
          </w:tcPr>
          <w:p w14:paraId="6905EEE8">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sz w:val="18"/>
                <w:szCs w:val="18"/>
                <w:vertAlign w:val="baseline"/>
              </w:rPr>
            </w:pPr>
            <w:r>
              <w:rPr>
                <w:rFonts w:hint="eastAsia" w:ascii="宋体" w:hAnsi="宋体" w:eastAsia="宋体" w:cs="宋体"/>
                <w:sz w:val="18"/>
                <w:szCs w:val="18"/>
                <w:vertAlign w:val="baseline"/>
              </w:rPr>
              <w:t>处7万元以上10万元以下的罚款，对单位直接负责的主管人员和其他直接责任人员处单位罚款数额</w:t>
            </w:r>
            <w:r>
              <w:rPr>
                <w:rFonts w:hint="eastAsia" w:ascii="宋体" w:hAnsi="宋体" w:eastAsia="宋体" w:cs="宋体"/>
                <w:sz w:val="18"/>
                <w:szCs w:val="18"/>
                <w:vertAlign w:val="baseline"/>
                <w:lang w:val="en-US" w:eastAsia="zh-CN"/>
              </w:rPr>
              <w:t>8.5%</w:t>
            </w:r>
            <w:r>
              <w:rPr>
                <w:rFonts w:hint="eastAsia" w:ascii="宋体" w:hAnsi="宋体" w:eastAsia="宋体" w:cs="宋体"/>
                <w:sz w:val="18"/>
                <w:szCs w:val="18"/>
                <w:vertAlign w:val="baseline"/>
              </w:rPr>
              <w:t>以上</w:t>
            </w:r>
            <w:r>
              <w:rPr>
                <w:rFonts w:hint="eastAsia" w:ascii="宋体" w:hAnsi="宋体" w:eastAsia="宋体" w:cs="宋体"/>
                <w:sz w:val="18"/>
                <w:szCs w:val="18"/>
                <w:vertAlign w:val="baseline"/>
                <w:lang w:val="en-US" w:eastAsia="zh-CN"/>
              </w:rPr>
              <w:t>10%</w:t>
            </w:r>
            <w:r>
              <w:rPr>
                <w:rFonts w:hint="eastAsia" w:ascii="宋体" w:hAnsi="宋体" w:eastAsia="宋体" w:cs="宋体"/>
                <w:sz w:val="18"/>
                <w:szCs w:val="18"/>
                <w:vertAlign w:val="baseline"/>
              </w:rPr>
              <w:t>以下的罚款</w:t>
            </w:r>
          </w:p>
        </w:tc>
        <w:tc>
          <w:tcPr>
            <w:tcW w:w="158" w:type="pct"/>
            <w:vMerge w:val="continue"/>
            <w:noWrap w:val="0"/>
            <w:tcMar>
              <w:top w:w="0" w:type="dxa"/>
              <w:left w:w="0" w:type="dxa"/>
              <w:bottom w:w="0" w:type="dxa"/>
              <w:right w:w="0" w:type="dxa"/>
            </w:tcMar>
            <w:vAlign w:val="center"/>
          </w:tcPr>
          <w:p w14:paraId="18C560A0">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rPr>
            </w:pPr>
          </w:p>
        </w:tc>
      </w:tr>
      <w:tr w14:paraId="0EE948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156" w:type="pct"/>
            <w:vMerge w:val="restart"/>
            <w:noWrap w:val="0"/>
            <w:tcMar>
              <w:top w:w="0" w:type="dxa"/>
              <w:left w:w="0" w:type="dxa"/>
              <w:bottom w:w="0" w:type="dxa"/>
              <w:right w:w="0" w:type="dxa"/>
            </w:tcMar>
            <w:vAlign w:val="center"/>
          </w:tcPr>
          <w:p w14:paraId="795F6A41">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r>
              <w:rPr>
                <w:rFonts w:hint="eastAsia" w:ascii="宋体" w:hAnsi="宋体" w:eastAsia="宋体" w:cs="宋体"/>
                <w:sz w:val="18"/>
                <w:szCs w:val="18"/>
                <w:vertAlign w:val="baseline"/>
                <w:lang w:val="en-US" w:eastAsia="zh-CN"/>
              </w:rPr>
              <w:t>64</w:t>
            </w:r>
          </w:p>
        </w:tc>
        <w:tc>
          <w:tcPr>
            <w:tcW w:w="415" w:type="pct"/>
            <w:vMerge w:val="restart"/>
            <w:noWrap w:val="0"/>
            <w:tcMar>
              <w:top w:w="0" w:type="dxa"/>
              <w:left w:w="0" w:type="dxa"/>
              <w:bottom w:w="0" w:type="dxa"/>
              <w:right w:w="0" w:type="dxa"/>
            </w:tcMar>
            <w:vAlign w:val="center"/>
          </w:tcPr>
          <w:p w14:paraId="42DDA72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r>
              <w:rPr>
                <w:rFonts w:hint="eastAsia" w:ascii="宋体" w:hAnsi="宋体" w:eastAsia="宋体" w:cs="宋体"/>
                <w:color w:val="auto"/>
                <w:sz w:val="18"/>
                <w:szCs w:val="18"/>
                <w:vertAlign w:val="baseline"/>
                <w:lang w:val="en-US" w:eastAsia="zh-CN"/>
              </w:rPr>
              <w:t>对水利领域建设单位要求建筑设计单位或者建筑施工企业违反建筑工程质量、安全标准，降低工程质量行为的行政处罚</w:t>
            </w:r>
          </w:p>
        </w:tc>
        <w:tc>
          <w:tcPr>
            <w:tcW w:w="2168" w:type="pct"/>
            <w:vMerge w:val="restart"/>
            <w:noWrap w:val="0"/>
            <w:tcMar>
              <w:top w:w="0" w:type="dxa"/>
              <w:left w:w="0" w:type="dxa"/>
              <w:bottom w:w="0" w:type="dxa"/>
              <w:right w:w="0" w:type="dxa"/>
            </w:tcMar>
            <w:vAlign w:val="center"/>
          </w:tcPr>
          <w:p w14:paraId="4F80C61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r>
              <w:rPr>
                <w:rFonts w:hint="eastAsia" w:ascii="宋体" w:hAnsi="宋体" w:eastAsia="宋体" w:cs="宋体"/>
                <w:sz w:val="18"/>
                <w:szCs w:val="18"/>
                <w:vertAlign w:val="baseline"/>
                <w:lang w:val="en-US" w:eastAsia="zh-CN"/>
              </w:rPr>
              <w:t>《中华人民共和国建筑法》第七十二条 建设单位违反本法规定，要求建筑设计单位或者建筑施工企业违反建筑工程质量、安全标准，降低工程质量的，责令改正，可以处以罚款；构成犯罪的，依法追究刑事责任。</w:t>
            </w:r>
          </w:p>
        </w:tc>
        <w:tc>
          <w:tcPr>
            <w:tcW w:w="491" w:type="pct"/>
            <w:vMerge w:val="restart"/>
            <w:noWrap w:val="0"/>
            <w:tcMar>
              <w:top w:w="0" w:type="dxa"/>
              <w:left w:w="0" w:type="dxa"/>
              <w:bottom w:w="0" w:type="dxa"/>
              <w:right w:w="0" w:type="dxa"/>
            </w:tcMar>
            <w:vAlign w:val="center"/>
          </w:tcPr>
          <w:p w14:paraId="56BF54C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r>
              <w:rPr>
                <w:rFonts w:hint="eastAsia" w:ascii="宋体" w:hAnsi="宋体" w:eastAsia="宋体" w:cs="宋体"/>
                <w:sz w:val="18"/>
                <w:szCs w:val="18"/>
                <w:vertAlign w:val="baseline"/>
                <w:lang w:val="en-US" w:eastAsia="zh-CN"/>
              </w:rPr>
              <w:t>水利领域建设单位要求建筑设计单位或者建筑施工企业违反建筑工程质量、安全标准，降低工程质量的</w:t>
            </w:r>
          </w:p>
        </w:tc>
        <w:tc>
          <w:tcPr>
            <w:tcW w:w="174" w:type="pct"/>
            <w:noWrap w:val="0"/>
            <w:tcMar>
              <w:top w:w="0" w:type="dxa"/>
              <w:left w:w="0" w:type="dxa"/>
              <w:bottom w:w="0" w:type="dxa"/>
              <w:right w:w="0" w:type="dxa"/>
            </w:tcMar>
            <w:vAlign w:val="center"/>
          </w:tcPr>
          <w:p w14:paraId="761C6325">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轻微</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0EB0EDF5">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0D67FF25">
            <w:pPr>
              <w:spacing w:line="260" w:lineRule="exact"/>
              <w:rPr>
                <w:rFonts w:hint="eastAsia" w:ascii="宋体" w:hAnsi="宋体" w:eastAsia="宋体" w:cs="宋体"/>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06C0AB8D">
            <w:pPr>
              <w:snapToGrid/>
              <w:spacing w:line="24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463CDA7A">
            <w:pPr>
              <w:spacing w:line="240" w:lineRule="exact"/>
              <w:rPr>
                <w:rFonts w:hint="eastAsia" w:ascii="宋体" w:hAnsi="宋体" w:eastAsia="宋体" w:cs="宋体"/>
                <w:sz w:val="18"/>
                <w:szCs w:val="18"/>
                <w:vertAlign w:val="baseline"/>
              </w:rPr>
            </w:pPr>
          </w:p>
        </w:tc>
        <w:tc>
          <w:tcPr>
            <w:tcW w:w="158" w:type="pct"/>
            <w:vMerge w:val="restart"/>
            <w:noWrap w:val="0"/>
            <w:tcMar>
              <w:top w:w="0" w:type="dxa"/>
              <w:left w:w="0" w:type="dxa"/>
              <w:bottom w:w="0" w:type="dxa"/>
              <w:right w:w="0" w:type="dxa"/>
            </w:tcMar>
            <w:vAlign w:val="center"/>
          </w:tcPr>
          <w:p w14:paraId="6729632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rPr>
            </w:pPr>
          </w:p>
        </w:tc>
      </w:tr>
      <w:tr w14:paraId="5F7ADC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017" w:hRule="atLeast"/>
          <w:jc w:val="center"/>
        </w:trPr>
        <w:tc>
          <w:tcPr>
            <w:tcW w:w="156" w:type="pct"/>
            <w:vMerge w:val="continue"/>
            <w:noWrap w:val="0"/>
            <w:tcMar>
              <w:top w:w="0" w:type="dxa"/>
              <w:left w:w="0" w:type="dxa"/>
              <w:bottom w:w="0" w:type="dxa"/>
              <w:right w:w="0" w:type="dxa"/>
            </w:tcMar>
            <w:vAlign w:val="center"/>
          </w:tcPr>
          <w:p w14:paraId="2680BC78">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p>
        </w:tc>
        <w:tc>
          <w:tcPr>
            <w:tcW w:w="415" w:type="pct"/>
            <w:vMerge w:val="continue"/>
            <w:noWrap w:val="0"/>
            <w:tcMar>
              <w:top w:w="0" w:type="dxa"/>
              <w:left w:w="0" w:type="dxa"/>
              <w:bottom w:w="0" w:type="dxa"/>
              <w:right w:w="0" w:type="dxa"/>
            </w:tcMar>
            <w:vAlign w:val="center"/>
          </w:tcPr>
          <w:p w14:paraId="092ECD1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5FCFFDA7">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76CF9EF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174" w:type="pct"/>
            <w:noWrap w:val="0"/>
            <w:tcMar>
              <w:top w:w="0" w:type="dxa"/>
              <w:left w:w="0" w:type="dxa"/>
              <w:bottom w:w="0" w:type="dxa"/>
              <w:right w:w="0" w:type="dxa"/>
            </w:tcMar>
            <w:vAlign w:val="center"/>
          </w:tcPr>
          <w:p w14:paraId="33BEB9F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较轻</w:t>
            </w:r>
          </w:p>
        </w:tc>
        <w:tc>
          <w:tcPr>
            <w:tcW w:w="561" w:type="pct"/>
            <w:noWrap w:val="0"/>
            <w:tcMar>
              <w:top w:w="0" w:type="dxa"/>
              <w:left w:w="0" w:type="dxa"/>
              <w:bottom w:w="0" w:type="dxa"/>
              <w:right w:w="0" w:type="dxa"/>
            </w:tcMar>
            <w:vAlign w:val="center"/>
          </w:tcPr>
          <w:p w14:paraId="710BD40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rPr>
              <w:t>未涉及结构安全及重要使用功能的</w:t>
            </w:r>
          </w:p>
        </w:tc>
        <w:tc>
          <w:tcPr>
            <w:tcW w:w="873" w:type="pct"/>
            <w:noWrap w:val="0"/>
            <w:tcMar>
              <w:top w:w="0" w:type="dxa"/>
              <w:left w:w="0" w:type="dxa"/>
              <w:bottom w:w="0" w:type="dxa"/>
              <w:right w:w="0" w:type="dxa"/>
            </w:tcMar>
            <w:vAlign w:val="center"/>
          </w:tcPr>
          <w:p w14:paraId="4D5DD938">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rPr>
              <w:t>处20万元以上25万元以下的罚款，对单位直接负责的主管人员和其他直接责任人员处单位罚款数额</w:t>
            </w:r>
            <w:r>
              <w:rPr>
                <w:rFonts w:hint="eastAsia" w:ascii="宋体" w:hAnsi="宋体" w:eastAsia="宋体" w:cs="宋体"/>
                <w:sz w:val="18"/>
                <w:szCs w:val="18"/>
                <w:vertAlign w:val="baseline"/>
                <w:lang w:val="en-US" w:eastAsia="zh-CN"/>
              </w:rPr>
              <w:t>5%</w:t>
            </w:r>
            <w:r>
              <w:rPr>
                <w:rFonts w:hint="eastAsia" w:ascii="宋体" w:hAnsi="宋体" w:eastAsia="宋体" w:cs="宋体"/>
                <w:sz w:val="18"/>
                <w:szCs w:val="18"/>
                <w:vertAlign w:val="baseline"/>
              </w:rPr>
              <w:t>以上</w:t>
            </w:r>
            <w:r>
              <w:rPr>
                <w:rFonts w:hint="eastAsia" w:ascii="宋体" w:hAnsi="宋体" w:eastAsia="宋体" w:cs="宋体"/>
                <w:sz w:val="18"/>
                <w:szCs w:val="18"/>
                <w:vertAlign w:val="baseline"/>
                <w:lang w:val="en-US" w:eastAsia="zh-CN"/>
              </w:rPr>
              <w:t>6.5%</w:t>
            </w:r>
            <w:r>
              <w:rPr>
                <w:rFonts w:hint="eastAsia" w:ascii="宋体" w:hAnsi="宋体" w:eastAsia="宋体" w:cs="宋体"/>
                <w:sz w:val="18"/>
                <w:szCs w:val="18"/>
                <w:vertAlign w:val="baseline"/>
              </w:rPr>
              <w:t>以下的罚款</w:t>
            </w:r>
          </w:p>
        </w:tc>
        <w:tc>
          <w:tcPr>
            <w:tcW w:w="158" w:type="pct"/>
            <w:vMerge w:val="continue"/>
            <w:noWrap w:val="0"/>
            <w:tcMar>
              <w:top w:w="0" w:type="dxa"/>
              <w:left w:w="0" w:type="dxa"/>
              <w:bottom w:w="0" w:type="dxa"/>
              <w:right w:w="0" w:type="dxa"/>
            </w:tcMar>
            <w:vAlign w:val="center"/>
          </w:tcPr>
          <w:p w14:paraId="544EF11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rPr>
            </w:pPr>
          </w:p>
        </w:tc>
      </w:tr>
      <w:tr w14:paraId="010DD9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156" w:type="pct"/>
            <w:vMerge w:val="continue"/>
            <w:noWrap w:val="0"/>
            <w:tcMar>
              <w:top w:w="0" w:type="dxa"/>
              <w:left w:w="0" w:type="dxa"/>
              <w:bottom w:w="0" w:type="dxa"/>
              <w:right w:w="0" w:type="dxa"/>
            </w:tcMar>
            <w:vAlign w:val="center"/>
          </w:tcPr>
          <w:p w14:paraId="40C7967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p>
        </w:tc>
        <w:tc>
          <w:tcPr>
            <w:tcW w:w="415" w:type="pct"/>
            <w:vMerge w:val="continue"/>
            <w:noWrap w:val="0"/>
            <w:tcMar>
              <w:top w:w="0" w:type="dxa"/>
              <w:left w:w="0" w:type="dxa"/>
              <w:bottom w:w="0" w:type="dxa"/>
              <w:right w:w="0" w:type="dxa"/>
            </w:tcMar>
            <w:vAlign w:val="center"/>
          </w:tcPr>
          <w:p w14:paraId="2D8F0D8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5D9E77B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21BD0E0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174" w:type="pct"/>
            <w:noWrap w:val="0"/>
            <w:tcMar>
              <w:top w:w="0" w:type="dxa"/>
              <w:left w:w="0" w:type="dxa"/>
              <w:bottom w:w="0" w:type="dxa"/>
              <w:right w:w="0" w:type="dxa"/>
            </w:tcMar>
            <w:vAlign w:val="center"/>
          </w:tcPr>
          <w:p w14:paraId="2C0B86F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一般</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3C629A9E">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3D0AD743">
            <w:pPr>
              <w:spacing w:line="260" w:lineRule="exact"/>
              <w:rPr>
                <w:rFonts w:hint="eastAsia" w:ascii="宋体" w:hAnsi="宋体" w:eastAsia="宋体" w:cs="宋体"/>
                <w:kern w:val="2"/>
                <w:sz w:val="18"/>
                <w:szCs w:val="18"/>
                <w:vertAlign w:val="baseline"/>
                <w:lang w:val="en-US" w:eastAsia="zh-CN" w:bidi="ar-SA"/>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0BEE31A4">
            <w:pPr>
              <w:snapToGrid/>
              <w:spacing w:line="24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7A93EE71">
            <w:pPr>
              <w:spacing w:line="240" w:lineRule="exact"/>
              <w:rPr>
                <w:rFonts w:hint="eastAsia" w:ascii="宋体" w:hAnsi="宋体" w:eastAsia="宋体" w:cs="宋体"/>
                <w:kern w:val="2"/>
                <w:sz w:val="18"/>
                <w:szCs w:val="18"/>
                <w:vertAlign w:val="baseline"/>
                <w:lang w:val="en-US" w:eastAsia="zh-CN" w:bidi="ar-SA"/>
              </w:rPr>
            </w:pPr>
          </w:p>
        </w:tc>
        <w:tc>
          <w:tcPr>
            <w:tcW w:w="158" w:type="pct"/>
            <w:vMerge w:val="continue"/>
            <w:noWrap w:val="0"/>
            <w:tcMar>
              <w:top w:w="0" w:type="dxa"/>
              <w:left w:w="0" w:type="dxa"/>
              <w:bottom w:w="0" w:type="dxa"/>
              <w:right w:w="0" w:type="dxa"/>
            </w:tcMar>
            <w:vAlign w:val="center"/>
          </w:tcPr>
          <w:p w14:paraId="187B52F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rPr>
            </w:pPr>
          </w:p>
        </w:tc>
      </w:tr>
      <w:tr w14:paraId="505BE5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47E76C7D">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p>
        </w:tc>
        <w:tc>
          <w:tcPr>
            <w:tcW w:w="415" w:type="pct"/>
            <w:vMerge w:val="continue"/>
            <w:noWrap w:val="0"/>
            <w:tcMar>
              <w:top w:w="0" w:type="dxa"/>
              <w:left w:w="0" w:type="dxa"/>
              <w:bottom w:w="0" w:type="dxa"/>
              <w:right w:w="0" w:type="dxa"/>
            </w:tcMar>
            <w:vAlign w:val="center"/>
          </w:tcPr>
          <w:p w14:paraId="5613FAEC">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23558FC4">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51FF8C9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174" w:type="pct"/>
            <w:noWrap w:val="0"/>
            <w:tcMar>
              <w:top w:w="0" w:type="dxa"/>
              <w:left w:w="0" w:type="dxa"/>
              <w:bottom w:w="0" w:type="dxa"/>
              <w:right w:w="0" w:type="dxa"/>
            </w:tcMar>
            <w:vAlign w:val="center"/>
          </w:tcPr>
          <w:p w14:paraId="2FCE9CD0">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较重</w:t>
            </w:r>
          </w:p>
        </w:tc>
        <w:tc>
          <w:tcPr>
            <w:tcW w:w="561" w:type="pct"/>
            <w:noWrap w:val="0"/>
            <w:tcMar>
              <w:top w:w="0" w:type="dxa"/>
              <w:left w:w="0" w:type="dxa"/>
              <w:bottom w:w="0" w:type="dxa"/>
              <w:right w:w="0" w:type="dxa"/>
            </w:tcMar>
            <w:vAlign w:val="center"/>
          </w:tcPr>
          <w:p w14:paraId="33EF8DC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rPr>
              <w:t>涉及结构安全及重要使用功能的</w:t>
            </w:r>
          </w:p>
        </w:tc>
        <w:tc>
          <w:tcPr>
            <w:tcW w:w="873" w:type="pct"/>
            <w:noWrap w:val="0"/>
            <w:tcMar>
              <w:top w:w="0" w:type="dxa"/>
              <w:left w:w="0" w:type="dxa"/>
              <w:bottom w:w="0" w:type="dxa"/>
              <w:right w:w="0" w:type="dxa"/>
            </w:tcMar>
            <w:vAlign w:val="center"/>
          </w:tcPr>
          <w:p w14:paraId="4DB82913">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rPr>
              <w:t>处25万元以上40万元以下的罚款，对单位直接负责的主管人员和其他直接责任人员处单位罚款数额</w:t>
            </w:r>
            <w:r>
              <w:rPr>
                <w:rFonts w:hint="eastAsia" w:ascii="宋体" w:hAnsi="宋体" w:eastAsia="宋体" w:cs="宋体"/>
                <w:sz w:val="18"/>
                <w:szCs w:val="18"/>
                <w:vertAlign w:val="baseline"/>
                <w:lang w:val="en-US" w:eastAsia="zh-CN"/>
              </w:rPr>
              <w:t>6.5%</w:t>
            </w:r>
            <w:r>
              <w:rPr>
                <w:rFonts w:hint="eastAsia" w:ascii="宋体" w:hAnsi="宋体" w:eastAsia="宋体" w:cs="宋体"/>
                <w:sz w:val="18"/>
                <w:szCs w:val="18"/>
                <w:vertAlign w:val="baseline"/>
              </w:rPr>
              <w:t>以上</w:t>
            </w:r>
            <w:r>
              <w:rPr>
                <w:rFonts w:hint="eastAsia" w:ascii="宋体" w:hAnsi="宋体" w:eastAsia="宋体" w:cs="宋体"/>
                <w:sz w:val="18"/>
                <w:szCs w:val="18"/>
                <w:vertAlign w:val="baseline"/>
                <w:lang w:val="en-US" w:eastAsia="zh-CN"/>
              </w:rPr>
              <w:t>8.5%</w:t>
            </w:r>
            <w:r>
              <w:rPr>
                <w:rFonts w:hint="eastAsia" w:ascii="宋体" w:hAnsi="宋体" w:eastAsia="宋体" w:cs="宋体"/>
                <w:sz w:val="18"/>
                <w:szCs w:val="18"/>
                <w:vertAlign w:val="baseline"/>
              </w:rPr>
              <w:t>以下的罚款</w:t>
            </w:r>
          </w:p>
        </w:tc>
        <w:tc>
          <w:tcPr>
            <w:tcW w:w="158" w:type="pct"/>
            <w:vMerge w:val="continue"/>
            <w:noWrap w:val="0"/>
            <w:tcMar>
              <w:top w:w="0" w:type="dxa"/>
              <w:left w:w="0" w:type="dxa"/>
              <w:bottom w:w="0" w:type="dxa"/>
              <w:right w:w="0" w:type="dxa"/>
            </w:tcMar>
            <w:vAlign w:val="center"/>
          </w:tcPr>
          <w:p w14:paraId="2D9729B1">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rPr>
            </w:pPr>
          </w:p>
        </w:tc>
      </w:tr>
      <w:tr w14:paraId="59920B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767" w:hRule="atLeast"/>
          <w:jc w:val="center"/>
        </w:trPr>
        <w:tc>
          <w:tcPr>
            <w:tcW w:w="156" w:type="pct"/>
            <w:vMerge w:val="continue"/>
            <w:noWrap w:val="0"/>
            <w:tcMar>
              <w:top w:w="0" w:type="dxa"/>
              <w:left w:w="0" w:type="dxa"/>
              <w:bottom w:w="0" w:type="dxa"/>
              <w:right w:w="0" w:type="dxa"/>
            </w:tcMar>
            <w:vAlign w:val="center"/>
          </w:tcPr>
          <w:p w14:paraId="3BA47DC9">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p>
        </w:tc>
        <w:tc>
          <w:tcPr>
            <w:tcW w:w="415" w:type="pct"/>
            <w:vMerge w:val="continue"/>
            <w:noWrap w:val="0"/>
            <w:tcMar>
              <w:top w:w="0" w:type="dxa"/>
              <w:left w:w="0" w:type="dxa"/>
              <w:bottom w:w="0" w:type="dxa"/>
              <w:right w:w="0" w:type="dxa"/>
            </w:tcMar>
            <w:vAlign w:val="center"/>
          </w:tcPr>
          <w:p w14:paraId="761227B7">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32275AF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451912E7">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174" w:type="pct"/>
            <w:noWrap w:val="0"/>
            <w:tcMar>
              <w:top w:w="0" w:type="dxa"/>
              <w:left w:w="0" w:type="dxa"/>
              <w:bottom w:w="0" w:type="dxa"/>
              <w:right w:w="0" w:type="dxa"/>
            </w:tcMar>
            <w:vAlign w:val="center"/>
          </w:tcPr>
          <w:p w14:paraId="00B64BBB">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严重</w:t>
            </w:r>
          </w:p>
        </w:tc>
        <w:tc>
          <w:tcPr>
            <w:tcW w:w="561" w:type="pct"/>
            <w:noWrap w:val="0"/>
            <w:tcMar>
              <w:top w:w="0" w:type="dxa"/>
              <w:left w:w="0" w:type="dxa"/>
              <w:bottom w:w="0" w:type="dxa"/>
              <w:right w:w="0" w:type="dxa"/>
            </w:tcMar>
            <w:vAlign w:val="center"/>
          </w:tcPr>
          <w:p w14:paraId="54901F4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rPr>
              <w:t>涉及结构安全及重要使用功能造成严重缺陷，且经返修和加固处理仍不能满足安全使用要求；发生质量安全事故的</w:t>
            </w:r>
          </w:p>
        </w:tc>
        <w:tc>
          <w:tcPr>
            <w:tcW w:w="873" w:type="pct"/>
            <w:noWrap w:val="0"/>
            <w:tcMar>
              <w:top w:w="0" w:type="dxa"/>
              <w:left w:w="0" w:type="dxa"/>
              <w:bottom w:w="0" w:type="dxa"/>
              <w:right w:w="0" w:type="dxa"/>
            </w:tcMar>
            <w:vAlign w:val="center"/>
          </w:tcPr>
          <w:p w14:paraId="73031CAA">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rPr>
              <w:t>处40万元以上50万元以下的罚款，对单位直接负责的主管人员和其他直接责任人员处单位罚款数额</w:t>
            </w:r>
            <w:r>
              <w:rPr>
                <w:rFonts w:hint="eastAsia" w:ascii="宋体" w:hAnsi="宋体" w:eastAsia="宋体" w:cs="宋体"/>
                <w:sz w:val="18"/>
                <w:szCs w:val="18"/>
                <w:vertAlign w:val="baseline"/>
                <w:lang w:val="en-US" w:eastAsia="zh-CN"/>
              </w:rPr>
              <w:t>8.5%</w:t>
            </w:r>
            <w:r>
              <w:rPr>
                <w:rFonts w:hint="eastAsia" w:ascii="宋体" w:hAnsi="宋体" w:eastAsia="宋体" w:cs="宋体"/>
                <w:sz w:val="18"/>
                <w:szCs w:val="18"/>
                <w:vertAlign w:val="baseline"/>
              </w:rPr>
              <w:t>以上</w:t>
            </w:r>
            <w:r>
              <w:rPr>
                <w:rFonts w:hint="eastAsia" w:ascii="宋体" w:hAnsi="宋体" w:eastAsia="宋体" w:cs="宋体"/>
                <w:sz w:val="18"/>
                <w:szCs w:val="18"/>
                <w:vertAlign w:val="baseline"/>
                <w:lang w:val="en-US" w:eastAsia="zh-CN"/>
              </w:rPr>
              <w:t>10%</w:t>
            </w:r>
            <w:r>
              <w:rPr>
                <w:rFonts w:hint="eastAsia" w:ascii="宋体" w:hAnsi="宋体" w:eastAsia="宋体" w:cs="宋体"/>
                <w:sz w:val="18"/>
                <w:szCs w:val="18"/>
                <w:vertAlign w:val="baseline"/>
              </w:rPr>
              <w:t>以下的罚款</w:t>
            </w:r>
          </w:p>
        </w:tc>
        <w:tc>
          <w:tcPr>
            <w:tcW w:w="158" w:type="pct"/>
            <w:vMerge w:val="continue"/>
            <w:noWrap w:val="0"/>
            <w:tcMar>
              <w:top w:w="0" w:type="dxa"/>
              <w:left w:w="0" w:type="dxa"/>
              <w:bottom w:w="0" w:type="dxa"/>
              <w:right w:w="0" w:type="dxa"/>
            </w:tcMar>
            <w:vAlign w:val="center"/>
          </w:tcPr>
          <w:p w14:paraId="1C8DFBF8">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rPr>
            </w:pPr>
          </w:p>
        </w:tc>
      </w:tr>
      <w:tr w14:paraId="58217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156" w:type="pct"/>
            <w:vMerge w:val="restart"/>
            <w:noWrap w:val="0"/>
            <w:tcMar>
              <w:top w:w="0" w:type="dxa"/>
              <w:left w:w="0" w:type="dxa"/>
              <w:bottom w:w="0" w:type="dxa"/>
              <w:right w:w="0" w:type="dxa"/>
            </w:tcMar>
            <w:vAlign w:val="center"/>
          </w:tcPr>
          <w:p w14:paraId="3F4FACFC">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r>
              <w:rPr>
                <w:rFonts w:hint="eastAsia" w:ascii="宋体" w:hAnsi="宋体" w:eastAsia="宋体" w:cs="宋体"/>
                <w:sz w:val="18"/>
                <w:szCs w:val="18"/>
                <w:vertAlign w:val="baseline"/>
                <w:lang w:val="en-US" w:eastAsia="zh-CN"/>
              </w:rPr>
              <w:t>65</w:t>
            </w:r>
          </w:p>
        </w:tc>
        <w:tc>
          <w:tcPr>
            <w:tcW w:w="415" w:type="pct"/>
            <w:vMerge w:val="restart"/>
            <w:noWrap w:val="0"/>
            <w:tcMar>
              <w:top w:w="0" w:type="dxa"/>
              <w:left w:w="0" w:type="dxa"/>
              <w:bottom w:w="0" w:type="dxa"/>
              <w:right w:w="0" w:type="dxa"/>
            </w:tcMar>
            <w:vAlign w:val="center"/>
          </w:tcPr>
          <w:p w14:paraId="44DB543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r>
              <w:rPr>
                <w:rFonts w:hint="eastAsia" w:ascii="宋体" w:hAnsi="宋体" w:eastAsia="宋体" w:cs="宋体"/>
                <w:color w:val="auto"/>
                <w:sz w:val="18"/>
                <w:szCs w:val="18"/>
                <w:vertAlign w:val="baseline"/>
                <w:lang w:val="en-US" w:eastAsia="zh-CN"/>
              </w:rPr>
              <w:t>对在水利领域工程建设活动中索贿、受贿、行贿或者其他不正当利益行为的行政处罚</w:t>
            </w:r>
          </w:p>
        </w:tc>
        <w:tc>
          <w:tcPr>
            <w:tcW w:w="2168" w:type="pct"/>
            <w:vMerge w:val="restart"/>
            <w:noWrap w:val="0"/>
            <w:tcMar>
              <w:top w:w="0" w:type="dxa"/>
              <w:left w:w="0" w:type="dxa"/>
              <w:bottom w:w="0" w:type="dxa"/>
              <w:right w:w="0" w:type="dxa"/>
            </w:tcMar>
            <w:vAlign w:val="center"/>
          </w:tcPr>
          <w:p w14:paraId="788B24F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r>
              <w:rPr>
                <w:rFonts w:hint="eastAsia" w:ascii="宋体" w:hAnsi="宋体" w:eastAsia="宋体" w:cs="宋体"/>
                <w:sz w:val="18"/>
                <w:szCs w:val="18"/>
                <w:vertAlign w:val="baseline"/>
                <w:lang w:val="en-US" w:eastAsia="zh-CN"/>
              </w:rPr>
              <w:t>《中华人民共和国建筑法》第六十八条 在工程发包与承包中索贿、受贿、行贿，构成犯罪的，依法追究刑事责任；不构成犯罪的，分别处以罚款，没收贿赂的财物，对直接负责的主管人员和其他直接责任人员给予处分。</w:t>
            </w:r>
          </w:p>
          <w:p w14:paraId="47D765D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r>
              <w:rPr>
                <w:rFonts w:hint="eastAsia" w:ascii="宋体" w:hAnsi="宋体" w:eastAsia="宋体" w:cs="宋体"/>
                <w:sz w:val="18"/>
                <w:szCs w:val="18"/>
                <w:vertAlign w:val="baseline"/>
                <w:lang w:val="en-US" w:eastAsia="zh-CN"/>
              </w:rPr>
              <w:t>对在工程承包中行贿的承包单位，除依照前款规定处罚外，可以责令停业整顿，降低资质等级或者吊销资质证书。</w:t>
            </w:r>
          </w:p>
          <w:p w14:paraId="38358FD7">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r>
              <w:rPr>
                <w:rFonts w:hint="eastAsia" w:ascii="宋体" w:hAnsi="宋体" w:eastAsia="宋体" w:cs="宋体"/>
                <w:sz w:val="18"/>
                <w:szCs w:val="18"/>
                <w:vertAlign w:val="baseline"/>
                <w:lang w:val="en-US" w:eastAsia="zh-CN"/>
              </w:rPr>
              <w:t>《水利工程建设监理规定》第二十六条 项目法人及其工作人员收受监理单位贿赂、索取回扣或者其他不正当利益的，予以追缴，并处违法所得3倍以下且不超过3万元的罚款；构成犯罪的，依法追究有关责任人员的刑事责任。</w:t>
            </w:r>
          </w:p>
        </w:tc>
        <w:tc>
          <w:tcPr>
            <w:tcW w:w="491" w:type="pct"/>
            <w:vMerge w:val="restart"/>
            <w:noWrap w:val="0"/>
            <w:tcMar>
              <w:top w:w="0" w:type="dxa"/>
              <w:left w:w="0" w:type="dxa"/>
              <w:bottom w:w="0" w:type="dxa"/>
              <w:right w:w="0" w:type="dxa"/>
            </w:tcMar>
            <w:vAlign w:val="center"/>
          </w:tcPr>
          <w:p w14:paraId="280E4EE4">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r>
              <w:rPr>
                <w:rFonts w:hint="eastAsia" w:ascii="宋体" w:hAnsi="宋体" w:eastAsia="宋体" w:cs="宋体"/>
                <w:sz w:val="18"/>
                <w:szCs w:val="18"/>
                <w:vertAlign w:val="baseline"/>
                <w:lang w:val="en-US" w:eastAsia="zh-CN"/>
              </w:rPr>
              <w:t>在水利领域工程建设活动中索贿、受贿、行贿或者其他不正当利益的</w:t>
            </w:r>
          </w:p>
        </w:tc>
        <w:tc>
          <w:tcPr>
            <w:tcW w:w="174" w:type="pct"/>
            <w:noWrap w:val="0"/>
            <w:tcMar>
              <w:top w:w="0" w:type="dxa"/>
              <w:left w:w="0" w:type="dxa"/>
              <w:bottom w:w="0" w:type="dxa"/>
              <w:right w:w="0" w:type="dxa"/>
            </w:tcMar>
            <w:vAlign w:val="center"/>
          </w:tcPr>
          <w:p w14:paraId="140DC90A">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轻微</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2A1CD3D4">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4D250C19">
            <w:pPr>
              <w:spacing w:line="260" w:lineRule="exact"/>
              <w:rPr>
                <w:rFonts w:hint="eastAsia" w:ascii="宋体" w:hAnsi="宋体" w:eastAsia="宋体" w:cs="宋体"/>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57FCF5DA">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64F15EEC">
            <w:pPr>
              <w:spacing w:line="260" w:lineRule="exact"/>
              <w:rPr>
                <w:rFonts w:hint="eastAsia" w:ascii="宋体" w:hAnsi="宋体" w:eastAsia="宋体" w:cs="宋体"/>
                <w:sz w:val="18"/>
                <w:szCs w:val="18"/>
                <w:vertAlign w:val="baseline"/>
              </w:rPr>
            </w:pPr>
          </w:p>
        </w:tc>
        <w:tc>
          <w:tcPr>
            <w:tcW w:w="158" w:type="pct"/>
            <w:vMerge w:val="restart"/>
            <w:noWrap w:val="0"/>
            <w:tcMar>
              <w:top w:w="0" w:type="dxa"/>
              <w:left w:w="0" w:type="dxa"/>
              <w:bottom w:w="0" w:type="dxa"/>
              <w:right w:w="0" w:type="dxa"/>
            </w:tcMar>
            <w:vAlign w:val="center"/>
          </w:tcPr>
          <w:p w14:paraId="622E77A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rPr>
            </w:pPr>
          </w:p>
        </w:tc>
      </w:tr>
      <w:tr w14:paraId="5EB87E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6A3EAE7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p>
        </w:tc>
        <w:tc>
          <w:tcPr>
            <w:tcW w:w="415" w:type="pct"/>
            <w:vMerge w:val="continue"/>
            <w:noWrap w:val="0"/>
            <w:tcMar>
              <w:top w:w="0" w:type="dxa"/>
              <w:left w:w="0" w:type="dxa"/>
              <w:bottom w:w="0" w:type="dxa"/>
              <w:right w:w="0" w:type="dxa"/>
            </w:tcMar>
            <w:vAlign w:val="center"/>
          </w:tcPr>
          <w:p w14:paraId="2090423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635DA9A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6465A7A7">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174" w:type="pct"/>
            <w:noWrap w:val="0"/>
            <w:tcMar>
              <w:top w:w="0" w:type="dxa"/>
              <w:left w:w="0" w:type="dxa"/>
              <w:bottom w:w="0" w:type="dxa"/>
              <w:right w:w="0" w:type="dxa"/>
            </w:tcMar>
            <w:vAlign w:val="center"/>
          </w:tcPr>
          <w:p w14:paraId="333B8870">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较轻</w:t>
            </w:r>
          </w:p>
        </w:tc>
        <w:tc>
          <w:tcPr>
            <w:tcW w:w="561" w:type="pct"/>
            <w:noWrap w:val="0"/>
            <w:tcMar>
              <w:top w:w="0" w:type="dxa"/>
              <w:left w:w="0" w:type="dxa"/>
              <w:bottom w:w="0" w:type="dxa"/>
              <w:right w:w="0" w:type="dxa"/>
            </w:tcMar>
            <w:vAlign w:val="center"/>
          </w:tcPr>
          <w:p w14:paraId="6AE2ED2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rPr>
            </w:pPr>
            <w:r>
              <w:rPr>
                <w:rFonts w:hint="eastAsia" w:ascii="宋体" w:hAnsi="宋体" w:eastAsia="宋体" w:cs="宋体"/>
                <w:sz w:val="18"/>
                <w:szCs w:val="18"/>
                <w:vertAlign w:val="baseline"/>
              </w:rPr>
              <w:t>违法数额较小，且社会影响较小</w:t>
            </w:r>
          </w:p>
        </w:tc>
        <w:tc>
          <w:tcPr>
            <w:tcW w:w="873" w:type="pct"/>
            <w:noWrap w:val="0"/>
            <w:tcMar>
              <w:top w:w="0" w:type="dxa"/>
              <w:left w:w="0" w:type="dxa"/>
              <w:bottom w:w="0" w:type="dxa"/>
              <w:right w:w="0" w:type="dxa"/>
            </w:tcMar>
            <w:vAlign w:val="center"/>
          </w:tcPr>
          <w:p w14:paraId="3101CC6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rPr>
            </w:pPr>
            <w:r>
              <w:rPr>
                <w:rFonts w:hint="eastAsia" w:ascii="宋体" w:hAnsi="宋体" w:eastAsia="宋体" w:cs="宋体"/>
                <w:sz w:val="18"/>
                <w:szCs w:val="18"/>
                <w:vertAlign w:val="baseline"/>
              </w:rPr>
              <w:t>予以追缴，处违法所得1倍以下且不超过</w:t>
            </w:r>
            <w:r>
              <w:rPr>
                <w:rFonts w:hint="eastAsia" w:ascii="宋体" w:hAnsi="宋体" w:eastAsia="宋体" w:cs="宋体"/>
                <w:sz w:val="18"/>
                <w:szCs w:val="18"/>
                <w:vertAlign w:val="baseline"/>
                <w:lang w:val="en-US" w:eastAsia="zh-CN"/>
              </w:rPr>
              <w:t>1</w:t>
            </w:r>
            <w:r>
              <w:rPr>
                <w:rFonts w:hint="eastAsia" w:ascii="宋体" w:hAnsi="宋体" w:eastAsia="宋体" w:cs="宋体"/>
                <w:sz w:val="18"/>
                <w:szCs w:val="18"/>
                <w:vertAlign w:val="baseline"/>
              </w:rPr>
              <w:t>万元的罚款</w:t>
            </w:r>
          </w:p>
        </w:tc>
        <w:tc>
          <w:tcPr>
            <w:tcW w:w="158" w:type="pct"/>
            <w:vMerge w:val="continue"/>
            <w:noWrap w:val="0"/>
            <w:tcMar>
              <w:top w:w="0" w:type="dxa"/>
              <w:left w:w="0" w:type="dxa"/>
              <w:bottom w:w="0" w:type="dxa"/>
              <w:right w:w="0" w:type="dxa"/>
            </w:tcMar>
            <w:vAlign w:val="center"/>
          </w:tcPr>
          <w:p w14:paraId="2862055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rPr>
            </w:pPr>
          </w:p>
        </w:tc>
      </w:tr>
      <w:tr w14:paraId="739BF5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156" w:type="pct"/>
            <w:vMerge w:val="continue"/>
            <w:noWrap w:val="0"/>
            <w:tcMar>
              <w:top w:w="0" w:type="dxa"/>
              <w:left w:w="0" w:type="dxa"/>
              <w:bottom w:w="0" w:type="dxa"/>
              <w:right w:w="0" w:type="dxa"/>
            </w:tcMar>
            <w:vAlign w:val="center"/>
          </w:tcPr>
          <w:p w14:paraId="22BB1850">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p>
        </w:tc>
        <w:tc>
          <w:tcPr>
            <w:tcW w:w="415" w:type="pct"/>
            <w:vMerge w:val="continue"/>
            <w:noWrap w:val="0"/>
            <w:tcMar>
              <w:top w:w="0" w:type="dxa"/>
              <w:left w:w="0" w:type="dxa"/>
              <w:bottom w:w="0" w:type="dxa"/>
              <w:right w:w="0" w:type="dxa"/>
            </w:tcMar>
            <w:vAlign w:val="center"/>
          </w:tcPr>
          <w:p w14:paraId="61DEB6E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4F78C1B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394CA0F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174" w:type="pct"/>
            <w:noWrap w:val="0"/>
            <w:tcMar>
              <w:top w:w="0" w:type="dxa"/>
              <w:left w:w="0" w:type="dxa"/>
              <w:bottom w:w="0" w:type="dxa"/>
              <w:right w:w="0" w:type="dxa"/>
            </w:tcMar>
            <w:vAlign w:val="center"/>
          </w:tcPr>
          <w:p w14:paraId="1A2B1BB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一般</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0E3F39CF">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02B8C425">
            <w:pPr>
              <w:spacing w:line="260" w:lineRule="exact"/>
              <w:rPr>
                <w:rFonts w:hint="eastAsia" w:ascii="宋体" w:hAnsi="宋体" w:eastAsia="宋体" w:cs="宋体"/>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2AF243C5">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77B787AF">
            <w:pPr>
              <w:spacing w:line="260" w:lineRule="exact"/>
              <w:rPr>
                <w:rFonts w:hint="eastAsia" w:ascii="宋体" w:hAnsi="宋体" w:eastAsia="宋体" w:cs="宋体"/>
                <w:sz w:val="18"/>
                <w:szCs w:val="18"/>
                <w:vertAlign w:val="baseline"/>
              </w:rPr>
            </w:pPr>
          </w:p>
        </w:tc>
        <w:tc>
          <w:tcPr>
            <w:tcW w:w="158" w:type="pct"/>
            <w:vMerge w:val="continue"/>
            <w:noWrap w:val="0"/>
            <w:tcMar>
              <w:top w:w="0" w:type="dxa"/>
              <w:left w:w="0" w:type="dxa"/>
              <w:bottom w:w="0" w:type="dxa"/>
              <w:right w:w="0" w:type="dxa"/>
            </w:tcMar>
            <w:vAlign w:val="center"/>
          </w:tcPr>
          <w:p w14:paraId="0B4E73E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rPr>
            </w:pPr>
          </w:p>
        </w:tc>
      </w:tr>
      <w:tr w14:paraId="1B8394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063" w:hRule="atLeast"/>
          <w:jc w:val="center"/>
        </w:trPr>
        <w:tc>
          <w:tcPr>
            <w:tcW w:w="156" w:type="pct"/>
            <w:vMerge w:val="continue"/>
            <w:noWrap w:val="0"/>
            <w:tcMar>
              <w:top w:w="0" w:type="dxa"/>
              <w:left w:w="0" w:type="dxa"/>
              <w:bottom w:w="0" w:type="dxa"/>
              <w:right w:w="0" w:type="dxa"/>
            </w:tcMar>
            <w:vAlign w:val="center"/>
          </w:tcPr>
          <w:p w14:paraId="7D17CC7D">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p>
        </w:tc>
        <w:tc>
          <w:tcPr>
            <w:tcW w:w="415" w:type="pct"/>
            <w:vMerge w:val="continue"/>
            <w:noWrap w:val="0"/>
            <w:tcMar>
              <w:top w:w="0" w:type="dxa"/>
              <w:left w:w="0" w:type="dxa"/>
              <w:bottom w:w="0" w:type="dxa"/>
              <w:right w:w="0" w:type="dxa"/>
            </w:tcMar>
            <w:vAlign w:val="center"/>
          </w:tcPr>
          <w:p w14:paraId="7EE8EF2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2C36837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5B686AEC">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174" w:type="pct"/>
            <w:noWrap w:val="0"/>
            <w:tcMar>
              <w:top w:w="0" w:type="dxa"/>
              <w:left w:w="0" w:type="dxa"/>
              <w:bottom w:w="0" w:type="dxa"/>
              <w:right w:w="0" w:type="dxa"/>
            </w:tcMar>
            <w:vAlign w:val="center"/>
          </w:tcPr>
          <w:p w14:paraId="56ABE83C">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较重</w:t>
            </w:r>
          </w:p>
        </w:tc>
        <w:tc>
          <w:tcPr>
            <w:tcW w:w="561" w:type="pct"/>
            <w:noWrap w:val="0"/>
            <w:tcMar>
              <w:top w:w="0" w:type="dxa"/>
              <w:left w:w="0" w:type="dxa"/>
              <w:bottom w:w="0" w:type="dxa"/>
              <w:right w:w="0" w:type="dxa"/>
            </w:tcMar>
            <w:vAlign w:val="center"/>
          </w:tcPr>
          <w:p w14:paraId="08C69E1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rPr>
            </w:pPr>
            <w:r>
              <w:rPr>
                <w:rFonts w:hint="eastAsia" w:ascii="宋体" w:hAnsi="宋体" w:eastAsia="宋体" w:cs="宋体"/>
                <w:spacing w:val="-6"/>
                <w:sz w:val="18"/>
                <w:szCs w:val="18"/>
                <w:vertAlign w:val="baseline"/>
              </w:rPr>
              <w:t>项目法人及其工作人员收受监理单位贿赂、索取回扣的，但未为其创造效益的</w:t>
            </w:r>
          </w:p>
        </w:tc>
        <w:tc>
          <w:tcPr>
            <w:tcW w:w="873" w:type="pct"/>
            <w:noWrap w:val="0"/>
            <w:tcMar>
              <w:top w:w="0" w:type="dxa"/>
              <w:left w:w="0" w:type="dxa"/>
              <w:bottom w:w="0" w:type="dxa"/>
              <w:right w:w="0" w:type="dxa"/>
            </w:tcMar>
            <w:vAlign w:val="center"/>
          </w:tcPr>
          <w:p w14:paraId="2A3AF0B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rPr>
            </w:pPr>
            <w:r>
              <w:rPr>
                <w:rFonts w:hint="eastAsia" w:ascii="宋体" w:hAnsi="宋体" w:eastAsia="宋体" w:cs="宋体"/>
                <w:sz w:val="18"/>
                <w:szCs w:val="18"/>
                <w:vertAlign w:val="baseline"/>
              </w:rPr>
              <w:t>予以追缴，处违法所得1倍以上2倍以下且在</w:t>
            </w:r>
            <w:r>
              <w:rPr>
                <w:rFonts w:hint="eastAsia" w:ascii="宋体" w:hAnsi="宋体" w:eastAsia="宋体" w:cs="宋体"/>
                <w:sz w:val="18"/>
                <w:szCs w:val="18"/>
                <w:vertAlign w:val="baseline"/>
                <w:lang w:val="en-US" w:eastAsia="zh-CN"/>
              </w:rPr>
              <w:t>1</w:t>
            </w:r>
            <w:r>
              <w:rPr>
                <w:rFonts w:hint="eastAsia" w:ascii="宋体" w:hAnsi="宋体" w:eastAsia="宋体" w:cs="宋体"/>
                <w:sz w:val="18"/>
                <w:szCs w:val="18"/>
                <w:vertAlign w:val="baseline"/>
              </w:rPr>
              <w:t>万元以上</w:t>
            </w:r>
            <w:r>
              <w:rPr>
                <w:rFonts w:hint="eastAsia" w:ascii="宋体" w:hAnsi="宋体" w:eastAsia="宋体" w:cs="宋体"/>
                <w:sz w:val="18"/>
                <w:szCs w:val="18"/>
                <w:vertAlign w:val="baseline"/>
                <w:lang w:val="en-US" w:eastAsia="zh-CN"/>
              </w:rPr>
              <w:t>2</w:t>
            </w:r>
            <w:r>
              <w:rPr>
                <w:rFonts w:hint="eastAsia" w:ascii="宋体" w:hAnsi="宋体" w:eastAsia="宋体" w:cs="宋体"/>
                <w:sz w:val="18"/>
                <w:szCs w:val="18"/>
                <w:vertAlign w:val="baseline"/>
              </w:rPr>
              <w:t>万元以下的罚款</w:t>
            </w:r>
          </w:p>
        </w:tc>
        <w:tc>
          <w:tcPr>
            <w:tcW w:w="158" w:type="pct"/>
            <w:vMerge w:val="continue"/>
            <w:noWrap w:val="0"/>
            <w:tcMar>
              <w:top w:w="0" w:type="dxa"/>
              <w:left w:w="0" w:type="dxa"/>
              <w:bottom w:w="0" w:type="dxa"/>
              <w:right w:w="0" w:type="dxa"/>
            </w:tcMar>
            <w:vAlign w:val="center"/>
          </w:tcPr>
          <w:p w14:paraId="3FDCAA5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rPr>
            </w:pPr>
          </w:p>
        </w:tc>
      </w:tr>
      <w:tr w14:paraId="6BFD9A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100" w:hRule="atLeast"/>
          <w:jc w:val="center"/>
        </w:trPr>
        <w:tc>
          <w:tcPr>
            <w:tcW w:w="156" w:type="pct"/>
            <w:vMerge w:val="continue"/>
            <w:noWrap w:val="0"/>
            <w:tcMar>
              <w:top w:w="0" w:type="dxa"/>
              <w:left w:w="0" w:type="dxa"/>
              <w:bottom w:w="0" w:type="dxa"/>
              <w:right w:w="0" w:type="dxa"/>
            </w:tcMar>
            <w:vAlign w:val="center"/>
          </w:tcPr>
          <w:p w14:paraId="6CC70DF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p>
        </w:tc>
        <w:tc>
          <w:tcPr>
            <w:tcW w:w="415" w:type="pct"/>
            <w:vMerge w:val="continue"/>
            <w:noWrap w:val="0"/>
            <w:tcMar>
              <w:top w:w="0" w:type="dxa"/>
              <w:left w:w="0" w:type="dxa"/>
              <w:bottom w:w="0" w:type="dxa"/>
              <w:right w:w="0" w:type="dxa"/>
            </w:tcMar>
            <w:vAlign w:val="center"/>
          </w:tcPr>
          <w:p w14:paraId="3DC0EE7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52617F4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63EB086C">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174" w:type="pct"/>
            <w:noWrap w:val="0"/>
            <w:tcMar>
              <w:top w:w="0" w:type="dxa"/>
              <w:left w:w="0" w:type="dxa"/>
              <w:bottom w:w="0" w:type="dxa"/>
              <w:right w:w="0" w:type="dxa"/>
            </w:tcMar>
            <w:vAlign w:val="center"/>
          </w:tcPr>
          <w:p w14:paraId="2CF3ADDC">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严重</w:t>
            </w:r>
          </w:p>
        </w:tc>
        <w:tc>
          <w:tcPr>
            <w:tcW w:w="561" w:type="pct"/>
            <w:noWrap w:val="0"/>
            <w:tcMar>
              <w:top w:w="0" w:type="dxa"/>
              <w:left w:w="0" w:type="dxa"/>
              <w:bottom w:w="0" w:type="dxa"/>
              <w:right w:w="0" w:type="dxa"/>
            </w:tcMar>
            <w:vAlign w:val="center"/>
          </w:tcPr>
          <w:p w14:paraId="23AA07C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rPr>
            </w:pPr>
            <w:r>
              <w:rPr>
                <w:rFonts w:hint="eastAsia" w:ascii="宋体" w:hAnsi="宋体" w:eastAsia="宋体" w:cs="宋体"/>
                <w:sz w:val="18"/>
                <w:szCs w:val="18"/>
                <w:vertAlign w:val="baseline"/>
              </w:rPr>
              <w:t>项目法人及其工作人员收受监理单位贿赂并为其谋取不正当利益的</w:t>
            </w:r>
          </w:p>
        </w:tc>
        <w:tc>
          <w:tcPr>
            <w:tcW w:w="873" w:type="pct"/>
            <w:noWrap w:val="0"/>
            <w:tcMar>
              <w:top w:w="0" w:type="dxa"/>
              <w:left w:w="0" w:type="dxa"/>
              <w:bottom w:w="0" w:type="dxa"/>
              <w:right w:w="0" w:type="dxa"/>
            </w:tcMar>
            <w:vAlign w:val="center"/>
          </w:tcPr>
          <w:p w14:paraId="51073EC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rPr>
            </w:pPr>
            <w:r>
              <w:rPr>
                <w:rFonts w:hint="eastAsia" w:ascii="宋体" w:hAnsi="宋体" w:eastAsia="宋体" w:cs="宋体"/>
                <w:sz w:val="18"/>
                <w:szCs w:val="18"/>
                <w:vertAlign w:val="baseline"/>
              </w:rPr>
              <w:t>予以追缴，处违法所得2倍以上3倍以下且在</w:t>
            </w:r>
            <w:r>
              <w:rPr>
                <w:rFonts w:hint="eastAsia" w:ascii="宋体" w:hAnsi="宋体" w:eastAsia="宋体" w:cs="宋体"/>
                <w:sz w:val="18"/>
                <w:szCs w:val="18"/>
                <w:vertAlign w:val="baseline"/>
                <w:lang w:val="en-US" w:eastAsia="zh-CN"/>
              </w:rPr>
              <w:t>2</w:t>
            </w:r>
            <w:r>
              <w:rPr>
                <w:rFonts w:hint="eastAsia" w:ascii="宋体" w:hAnsi="宋体" w:eastAsia="宋体" w:cs="宋体"/>
                <w:sz w:val="18"/>
                <w:szCs w:val="18"/>
                <w:vertAlign w:val="baseline"/>
              </w:rPr>
              <w:t>万元以上</w:t>
            </w:r>
            <w:r>
              <w:rPr>
                <w:rFonts w:hint="eastAsia" w:ascii="宋体" w:hAnsi="宋体" w:eastAsia="宋体" w:cs="宋体"/>
                <w:sz w:val="18"/>
                <w:szCs w:val="18"/>
                <w:vertAlign w:val="baseline"/>
                <w:lang w:val="en-US" w:eastAsia="zh-CN"/>
              </w:rPr>
              <w:t>3</w:t>
            </w:r>
            <w:r>
              <w:rPr>
                <w:rFonts w:hint="eastAsia" w:ascii="宋体" w:hAnsi="宋体" w:eastAsia="宋体" w:cs="宋体"/>
                <w:sz w:val="18"/>
                <w:szCs w:val="18"/>
                <w:vertAlign w:val="baseline"/>
              </w:rPr>
              <w:t>万元以下的罚款</w:t>
            </w:r>
          </w:p>
        </w:tc>
        <w:tc>
          <w:tcPr>
            <w:tcW w:w="158" w:type="pct"/>
            <w:vMerge w:val="continue"/>
            <w:noWrap w:val="0"/>
            <w:tcMar>
              <w:top w:w="0" w:type="dxa"/>
              <w:left w:w="0" w:type="dxa"/>
              <w:bottom w:w="0" w:type="dxa"/>
              <w:right w:w="0" w:type="dxa"/>
            </w:tcMar>
            <w:vAlign w:val="center"/>
          </w:tcPr>
          <w:p w14:paraId="28A832EC">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rPr>
            </w:pPr>
          </w:p>
        </w:tc>
      </w:tr>
      <w:tr w14:paraId="18A2D1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156" w:type="pct"/>
            <w:vMerge w:val="restart"/>
            <w:noWrap w:val="0"/>
            <w:tcMar>
              <w:top w:w="0" w:type="dxa"/>
              <w:left w:w="0" w:type="dxa"/>
              <w:bottom w:w="0" w:type="dxa"/>
              <w:right w:w="0" w:type="dxa"/>
            </w:tcMar>
            <w:vAlign w:val="center"/>
          </w:tcPr>
          <w:p w14:paraId="4EBE9EB1">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r>
              <w:rPr>
                <w:rFonts w:hint="eastAsia" w:ascii="宋体" w:hAnsi="宋体" w:eastAsia="宋体" w:cs="宋体"/>
                <w:sz w:val="18"/>
                <w:szCs w:val="18"/>
                <w:shd w:val="clear" w:color="auto" w:fill="auto"/>
                <w:vertAlign w:val="baseline"/>
                <w:lang w:val="en-US" w:eastAsia="zh-CN"/>
              </w:rPr>
              <w:t>66</w:t>
            </w:r>
          </w:p>
        </w:tc>
        <w:tc>
          <w:tcPr>
            <w:tcW w:w="415" w:type="pct"/>
            <w:vMerge w:val="restart"/>
            <w:noWrap w:val="0"/>
            <w:tcMar>
              <w:top w:w="0" w:type="dxa"/>
              <w:left w:w="0" w:type="dxa"/>
              <w:bottom w:w="0" w:type="dxa"/>
              <w:right w:w="0" w:type="dxa"/>
            </w:tcMar>
            <w:vAlign w:val="center"/>
          </w:tcPr>
          <w:p w14:paraId="7F4E63CC">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r>
              <w:rPr>
                <w:rFonts w:hint="eastAsia" w:ascii="宋体" w:hAnsi="宋体" w:eastAsia="宋体" w:cs="宋体"/>
                <w:sz w:val="18"/>
                <w:szCs w:val="18"/>
                <w:vertAlign w:val="baseline"/>
                <w:lang w:val="en-US" w:eastAsia="zh-CN"/>
              </w:rPr>
              <w:t>对水利领域勘察、设计、施工、监理、质量检测单位超越本单位资质等级承揽工程或者未取得资质证书承揽工程等行为的行政处罚</w:t>
            </w:r>
          </w:p>
        </w:tc>
        <w:tc>
          <w:tcPr>
            <w:tcW w:w="2168" w:type="pct"/>
            <w:vMerge w:val="restart"/>
            <w:noWrap w:val="0"/>
            <w:tcMar>
              <w:top w:w="0" w:type="dxa"/>
              <w:left w:w="0" w:type="dxa"/>
              <w:bottom w:w="0" w:type="dxa"/>
              <w:right w:w="0" w:type="dxa"/>
            </w:tcMar>
            <w:vAlign w:val="center"/>
          </w:tcPr>
          <w:p w14:paraId="5A8AA09C">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r>
              <w:rPr>
                <w:rFonts w:hint="eastAsia" w:ascii="宋体" w:hAnsi="宋体" w:eastAsia="宋体" w:cs="宋体"/>
                <w:sz w:val="18"/>
                <w:szCs w:val="18"/>
                <w:vertAlign w:val="baseline"/>
                <w:lang w:val="en-US" w:eastAsia="zh-CN"/>
              </w:rPr>
              <w:t>《中华人民共和国建筑法》第六十五条 发包单位将工程发包给不具有相应资质条件的承包单位的，或者违反本法规定将建筑工程肢解发包的，责令改正，处以罚款。</w:t>
            </w:r>
          </w:p>
          <w:p w14:paraId="7C0EAF3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r>
              <w:rPr>
                <w:rFonts w:hint="eastAsia" w:ascii="宋体" w:hAnsi="宋体" w:eastAsia="宋体" w:cs="宋体"/>
                <w:sz w:val="18"/>
                <w:szCs w:val="18"/>
                <w:vertAlign w:val="baseline"/>
                <w:lang w:val="en-US" w:eastAsia="zh-CN"/>
              </w:rPr>
              <w:t>超越本单位资质等级承揽工程的，责令停止违法行为，处以罚款，可以责令停业整顿，降低资质等级；情节严重的，吊销资质证书；有违法所得的，予以没收。</w:t>
            </w:r>
          </w:p>
          <w:p w14:paraId="059C3DC7">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r>
              <w:rPr>
                <w:rFonts w:hint="eastAsia" w:ascii="宋体" w:hAnsi="宋体" w:eastAsia="宋体" w:cs="宋体"/>
                <w:sz w:val="18"/>
                <w:szCs w:val="18"/>
                <w:vertAlign w:val="baseline"/>
                <w:lang w:val="en-US" w:eastAsia="zh-CN"/>
              </w:rPr>
              <w:t>未取得资质证书承揽工程的，予以取缔，并处罚款；有违法所得的，予以没收。</w:t>
            </w:r>
          </w:p>
          <w:p w14:paraId="5582FF57">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r>
              <w:rPr>
                <w:rFonts w:hint="eastAsia" w:ascii="宋体" w:hAnsi="宋体" w:eastAsia="宋体" w:cs="宋体"/>
                <w:sz w:val="18"/>
                <w:szCs w:val="18"/>
                <w:vertAlign w:val="baseline"/>
                <w:lang w:val="en-US" w:eastAsia="zh-CN"/>
              </w:rPr>
              <w:t>以欺骗手段取得资质证书的，吊销资质证书，处以罚款；构成犯罪的，依法追究刑事责任。</w:t>
            </w:r>
          </w:p>
          <w:p w14:paraId="58575DC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r>
              <w:rPr>
                <w:rFonts w:hint="eastAsia" w:ascii="宋体" w:hAnsi="宋体" w:eastAsia="宋体" w:cs="宋体"/>
                <w:sz w:val="18"/>
                <w:szCs w:val="18"/>
                <w:vertAlign w:val="baseline"/>
                <w:lang w:val="en-US" w:eastAsia="zh-CN"/>
              </w:rPr>
              <w:t>《建设工程质量管理条例》第六十条 违反本条例规定，勘察、设计、施工、工程监理单位超越本单位资质等级承揽工程的，责令停止违法行为，对勘察、设计单位或者工程监理单位处合同约定的勘察费、设计费或者监理酬金1倍以上2倍以下的罚款；对施工单位处工程合同价款百分之二以上百分之四以下的罚款，可以责令停业整顿，降低资质等级；情节严重的，吊销资质证书；有违法所得的，予以没收。</w:t>
            </w:r>
          </w:p>
          <w:p w14:paraId="114188D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r>
              <w:rPr>
                <w:rFonts w:hint="eastAsia" w:ascii="宋体" w:hAnsi="宋体" w:eastAsia="宋体" w:cs="宋体"/>
                <w:sz w:val="18"/>
                <w:szCs w:val="18"/>
                <w:vertAlign w:val="baseline"/>
                <w:lang w:val="en-US" w:eastAsia="zh-CN"/>
              </w:rPr>
              <w:t>未取得资质证书承揽工程的，予以取缔，依照前款规定处以罚款；有违法所得的，予以没收。</w:t>
            </w:r>
          </w:p>
          <w:p w14:paraId="6C279CE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r>
              <w:rPr>
                <w:rFonts w:hint="eastAsia" w:ascii="宋体" w:hAnsi="宋体" w:eastAsia="宋体" w:cs="宋体"/>
                <w:sz w:val="18"/>
                <w:szCs w:val="18"/>
                <w:vertAlign w:val="baseline"/>
                <w:lang w:val="en-US" w:eastAsia="zh-CN"/>
              </w:rPr>
              <w:t>以欺骗手段取得资质证书承揽工程的，吊销资质证书，依照本条第一款规定处以罚款；有违法所得的，予以没收。</w:t>
            </w:r>
          </w:p>
          <w:p w14:paraId="0A56E024">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r>
              <w:rPr>
                <w:rFonts w:hint="eastAsia" w:ascii="宋体" w:hAnsi="宋体" w:eastAsia="宋体" w:cs="宋体"/>
                <w:sz w:val="18"/>
                <w:szCs w:val="18"/>
                <w:vertAlign w:val="baseline"/>
                <w:lang w:val="en-US" w:eastAsia="zh-CN"/>
              </w:rPr>
              <w:t>第七十三条 依照本条例规定，给予单位罚款处罚的，对单位直接负责的主管人员和其他直接责任人员处单位罚款数额百分之五以上百分之十以下的罚款。</w:t>
            </w:r>
          </w:p>
          <w:p w14:paraId="2CA76CC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r>
              <w:rPr>
                <w:rFonts w:hint="eastAsia" w:ascii="宋体" w:hAnsi="宋体" w:eastAsia="宋体" w:cs="宋体"/>
                <w:sz w:val="18"/>
                <w:szCs w:val="18"/>
                <w:vertAlign w:val="baseline"/>
                <w:lang w:val="en-US" w:eastAsia="zh-CN"/>
              </w:rPr>
              <w:t>《建设工程勘察设计管理条例》第八条 建设工程勘察、设计单位应当在其资质等级许可的范围内承揽建设工程勘察、设计业务。</w:t>
            </w:r>
          </w:p>
          <w:p w14:paraId="6C67C05C">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r>
              <w:rPr>
                <w:rFonts w:hint="eastAsia" w:ascii="宋体" w:hAnsi="宋体" w:eastAsia="宋体" w:cs="宋体"/>
                <w:sz w:val="18"/>
                <w:szCs w:val="18"/>
                <w:vertAlign w:val="baseline"/>
                <w:lang w:val="en-US" w:eastAsia="zh-CN"/>
              </w:rPr>
              <w:t>禁止建设工程勘察、设计单位超越其资质等级许可的范围或者以其他建设工程勘察、设计单位的名义承揽建设工程勘察、设计业务。禁止建设工程勘察、设计单位允许其他单位或者个人以本单位的名义承揽建设工程勘察、设计业务。</w:t>
            </w:r>
          </w:p>
          <w:p w14:paraId="1196963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r>
              <w:rPr>
                <w:rFonts w:hint="eastAsia" w:ascii="宋体" w:hAnsi="宋体" w:eastAsia="宋体" w:cs="宋体"/>
                <w:sz w:val="18"/>
                <w:szCs w:val="18"/>
                <w:vertAlign w:val="baseline"/>
                <w:lang w:val="en-US" w:eastAsia="zh-CN"/>
              </w:rPr>
              <w:t>第三十五条 违反本条例第八条规定的，责令停止违法行为，处合同约定的勘察费、设计费1倍以上2倍以下的罚款，有违法所得的，予以没收；可以责令停业整顿，降低资质等级；情节严重的，吊销资质证书。</w:t>
            </w:r>
          </w:p>
          <w:p w14:paraId="1DD2346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r>
              <w:rPr>
                <w:rFonts w:hint="eastAsia" w:ascii="宋体" w:hAnsi="宋体" w:eastAsia="宋体" w:cs="宋体"/>
                <w:sz w:val="18"/>
                <w:szCs w:val="18"/>
                <w:vertAlign w:val="baseline"/>
                <w:lang w:val="en-US" w:eastAsia="zh-CN"/>
              </w:rPr>
              <w:t>未取得资质证书承揽工程的，予以取缔，依照前款规定处以罚款；有违法所得的，予以没收。</w:t>
            </w:r>
          </w:p>
          <w:p w14:paraId="0139E967">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r>
              <w:rPr>
                <w:rFonts w:hint="eastAsia" w:ascii="宋体" w:hAnsi="宋体" w:eastAsia="宋体" w:cs="宋体"/>
                <w:sz w:val="18"/>
                <w:szCs w:val="18"/>
                <w:vertAlign w:val="baseline"/>
                <w:lang w:val="en-US" w:eastAsia="zh-CN"/>
              </w:rPr>
              <w:t>以欺骗手段取得资质证书承揽工程的，吊销资质证书，依照本条第一款规定处以罚款；有违法所得的，予以没收。</w:t>
            </w:r>
          </w:p>
          <w:p w14:paraId="1066A55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r>
              <w:rPr>
                <w:rFonts w:hint="eastAsia" w:ascii="宋体" w:hAnsi="宋体" w:eastAsia="宋体" w:cs="宋体"/>
                <w:sz w:val="18"/>
                <w:szCs w:val="18"/>
                <w:vertAlign w:val="baseline"/>
                <w:lang w:val="en-US" w:eastAsia="zh-CN"/>
              </w:rPr>
              <w:t>《水利工程质量管理规定》第六十二条 违反本规定，勘察、设计、施工、监理单位超越本单位资质等级承揽工程的，依照《建设工程质量管理条例》第六十条规定，由水行政主管部门或者流域管理机构依据职权责令停止违法行为，对勘察、设计或者监理单位处合同约定的勘察费、设计费或者监理酬金1倍以上2倍以下的罚款；对施工单位处工程合同价款2%以上4%以下的罚款；有违法所得的，予以没收。</w:t>
            </w:r>
          </w:p>
          <w:p w14:paraId="794D3A6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r>
              <w:rPr>
                <w:rFonts w:hint="eastAsia" w:ascii="宋体" w:hAnsi="宋体" w:eastAsia="宋体" w:cs="宋体"/>
                <w:sz w:val="18"/>
                <w:szCs w:val="18"/>
                <w:vertAlign w:val="baseline"/>
                <w:lang w:val="en-US" w:eastAsia="zh-CN"/>
              </w:rPr>
              <w:t>第七十三条 有关单位违反本规定，依法应当责令停业整顿、降低资质等级或者吊销资质证书的，依照《建设工程质量管理条例》第七十五条、《建设工程勘察设计管理条例》第四十二条的规定处罚。</w:t>
            </w:r>
          </w:p>
          <w:p w14:paraId="1B65722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r>
              <w:rPr>
                <w:rFonts w:hint="eastAsia" w:ascii="宋体" w:hAnsi="宋体" w:eastAsia="宋体" w:cs="宋体"/>
                <w:sz w:val="18"/>
                <w:szCs w:val="18"/>
                <w:vertAlign w:val="baseline"/>
                <w:lang w:val="en-US" w:eastAsia="zh-CN"/>
              </w:rPr>
              <w:t>依照《建设工程质量管理条例》给予单位罚款处罚的，对单位直接负责的主管人员和其他直接责任人员处单位罚款数额5%以上10%以下的罚款。</w:t>
            </w:r>
          </w:p>
          <w:p w14:paraId="542C87F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r>
              <w:rPr>
                <w:rFonts w:hint="eastAsia" w:ascii="宋体" w:hAnsi="宋体" w:eastAsia="宋体" w:cs="宋体"/>
                <w:sz w:val="18"/>
                <w:szCs w:val="18"/>
                <w:vertAlign w:val="baseline"/>
                <w:lang w:val="en-US" w:eastAsia="zh-CN"/>
              </w:rPr>
              <w:t>《水利工程建设监理规定》第二十七条  监理单位有下列行为之一的，依照《建设工程质量管理条例》第六十条、第六十一条、第六十二条、第六十七条、第六十八条处罚：</w:t>
            </w:r>
          </w:p>
          <w:p w14:paraId="09C7A9F7">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r>
              <w:rPr>
                <w:rFonts w:hint="eastAsia" w:ascii="宋体" w:hAnsi="宋体" w:eastAsia="宋体" w:cs="宋体"/>
                <w:sz w:val="18"/>
                <w:szCs w:val="18"/>
                <w:vertAlign w:val="baseline"/>
                <w:lang w:val="en-US" w:eastAsia="zh-CN"/>
              </w:rPr>
              <w:t>（一）超越本单位资质等级许可的业务范围承揽监理业务的；</w:t>
            </w:r>
          </w:p>
          <w:p w14:paraId="52839E0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r>
              <w:rPr>
                <w:rFonts w:hint="eastAsia" w:ascii="宋体" w:hAnsi="宋体" w:eastAsia="宋体" w:cs="宋体"/>
                <w:sz w:val="18"/>
                <w:szCs w:val="18"/>
                <w:vertAlign w:val="baseline"/>
                <w:lang w:val="en-US" w:eastAsia="zh-CN"/>
              </w:rPr>
              <w:t>（二）未取得相应资质等级证书承揽监理业务的；</w:t>
            </w:r>
          </w:p>
          <w:p w14:paraId="4B19A05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r>
              <w:rPr>
                <w:rFonts w:hint="eastAsia" w:ascii="宋体" w:hAnsi="宋体" w:eastAsia="宋体" w:cs="宋体"/>
                <w:sz w:val="18"/>
                <w:szCs w:val="18"/>
                <w:vertAlign w:val="baseline"/>
                <w:lang w:val="en-US" w:eastAsia="zh-CN"/>
              </w:rPr>
              <w:t>（三）以欺骗手段取得的资质等级证书承揽监理业务的。</w:t>
            </w:r>
          </w:p>
          <w:p w14:paraId="47EBC45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r>
              <w:rPr>
                <w:rFonts w:hint="eastAsia" w:ascii="宋体" w:hAnsi="宋体" w:eastAsia="宋体" w:cs="宋体"/>
                <w:sz w:val="18"/>
                <w:szCs w:val="18"/>
                <w:vertAlign w:val="baseline"/>
                <w:lang w:val="en-US" w:eastAsia="zh-CN"/>
              </w:rPr>
              <w:t>《水利工程质量检测管理规定》第二十四条 违反本规定，未取得相应的资质，擅自承担检测业务的，其检测报告无效，由县级以上人民政府水行政主管部门责令改正，可并处1万元以上3万元以下的罚款。</w:t>
            </w:r>
          </w:p>
          <w:p w14:paraId="41CFF7C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r>
              <w:rPr>
                <w:rFonts w:hint="eastAsia" w:ascii="宋体" w:hAnsi="宋体" w:eastAsia="宋体" w:cs="宋体"/>
                <w:sz w:val="18"/>
                <w:szCs w:val="18"/>
                <w:vertAlign w:val="baseline"/>
                <w:lang w:val="en-US" w:eastAsia="zh-CN"/>
              </w:rPr>
              <w:t>第二十六条 以欺骗、贿赂等不正当手段取得《资质等级证书》的，由审批机关予以撤销，3年内不得再次申请，可并处1万元以上3万元以下的罚款；构成犯罪的，依法追究刑事责任。</w:t>
            </w:r>
          </w:p>
          <w:p w14:paraId="329C2D2C">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r>
              <w:rPr>
                <w:rFonts w:hint="eastAsia" w:ascii="宋体" w:hAnsi="宋体" w:eastAsia="宋体" w:cs="宋体"/>
                <w:sz w:val="18"/>
                <w:szCs w:val="18"/>
                <w:vertAlign w:val="baseline"/>
                <w:lang w:val="en-US" w:eastAsia="zh-CN"/>
              </w:rPr>
              <w:t>第二十七条 检测单位违反本规定，有下列行为之一的，由县级以上人民政府水行政主管部门责令改正，有违法所得的，没收违法所得，可并处1万元以上3万元以下的罚款；构成犯罪的，依法追究刑事责任：</w:t>
            </w:r>
          </w:p>
          <w:p w14:paraId="0243AEA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r>
              <w:rPr>
                <w:rFonts w:hint="eastAsia" w:ascii="宋体" w:hAnsi="宋体" w:eastAsia="宋体" w:cs="宋体"/>
                <w:sz w:val="18"/>
                <w:szCs w:val="18"/>
                <w:vertAlign w:val="baseline"/>
                <w:lang w:val="en-US" w:eastAsia="zh-CN"/>
              </w:rPr>
              <w:t>（一）超出资质等级范围从事检测活动的；</w:t>
            </w:r>
          </w:p>
          <w:p w14:paraId="21A13CB4">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r>
              <w:rPr>
                <w:rFonts w:hint="eastAsia" w:ascii="宋体" w:hAnsi="宋体" w:eastAsia="宋体" w:cs="宋体"/>
                <w:sz w:val="18"/>
                <w:szCs w:val="18"/>
                <w:vertAlign w:val="baseline"/>
                <w:lang w:val="en-US" w:eastAsia="zh-CN"/>
              </w:rPr>
              <w:t>（二）涂改、倒卖、出租、出借或者以其他形式非法转让《资质等级证书》的。</w:t>
            </w:r>
          </w:p>
        </w:tc>
        <w:tc>
          <w:tcPr>
            <w:tcW w:w="491" w:type="pct"/>
            <w:vMerge w:val="restart"/>
            <w:noWrap w:val="0"/>
            <w:tcMar>
              <w:top w:w="0" w:type="dxa"/>
              <w:left w:w="0" w:type="dxa"/>
              <w:bottom w:w="0" w:type="dxa"/>
              <w:right w:w="0" w:type="dxa"/>
            </w:tcMar>
            <w:vAlign w:val="center"/>
          </w:tcPr>
          <w:p w14:paraId="74CD6704">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r>
              <w:rPr>
                <w:rFonts w:hint="eastAsia" w:ascii="宋体" w:hAnsi="宋体" w:eastAsia="宋体" w:cs="宋体"/>
                <w:sz w:val="18"/>
                <w:szCs w:val="18"/>
                <w:vertAlign w:val="baseline"/>
                <w:lang w:val="en-US" w:eastAsia="zh-CN"/>
              </w:rPr>
              <w:t>勘察、设计、施工、工程监理单位超越本单位资质等级承揽工程的</w:t>
            </w:r>
          </w:p>
        </w:tc>
        <w:tc>
          <w:tcPr>
            <w:tcW w:w="174" w:type="pct"/>
            <w:noWrap w:val="0"/>
            <w:tcMar>
              <w:top w:w="0" w:type="dxa"/>
              <w:left w:w="0" w:type="dxa"/>
              <w:bottom w:w="0" w:type="dxa"/>
              <w:right w:w="0" w:type="dxa"/>
            </w:tcMar>
            <w:vAlign w:val="center"/>
          </w:tcPr>
          <w:p w14:paraId="7AAFA2F1">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轻微</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2EAF1AE0">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1129763D">
            <w:pPr>
              <w:spacing w:line="260" w:lineRule="exact"/>
              <w:rPr>
                <w:rFonts w:hint="eastAsia" w:ascii="宋体" w:hAnsi="宋体" w:eastAsia="宋体" w:cs="宋体"/>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60FB8C67">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3A888239">
            <w:pPr>
              <w:spacing w:line="260" w:lineRule="exact"/>
              <w:rPr>
                <w:rFonts w:hint="eastAsia" w:ascii="宋体" w:hAnsi="宋体" w:eastAsia="宋体" w:cs="宋体"/>
                <w:sz w:val="18"/>
                <w:szCs w:val="18"/>
                <w:vertAlign w:val="baseline"/>
              </w:rPr>
            </w:pPr>
          </w:p>
        </w:tc>
        <w:tc>
          <w:tcPr>
            <w:tcW w:w="158" w:type="pct"/>
            <w:vMerge w:val="restart"/>
            <w:noWrap w:val="0"/>
            <w:tcMar>
              <w:top w:w="0" w:type="dxa"/>
              <w:left w:w="0" w:type="dxa"/>
              <w:bottom w:w="0" w:type="dxa"/>
              <w:right w:w="0" w:type="dxa"/>
            </w:tcMar>
            <w:vAlign w:val="center"/>
          </w:tcPr>
          <w:p w14:paraId="665285A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rPr>
            </w:pPr>
          </w:p>
        </w:tc>
      </w:tr>
      <w:tr w14:paraId="3362EF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43" w:hRule="atLeast"/>
          <w:jc w:val="center"/>
        </w:trPr>
        <w:tc>
          <w:tcPr>
            <w:tcW w:w="156" w:type="pct"/>
            <w:vMerge w:val="continue"/>
            <w:noWrap w:val="0"/>
            <w:tcMar>
              <w:top w:w="0" w:type="dxa"/>
              <w:left w:w="0" w:type="dxa"/>
              <w:bottom w:w="0" w:type="dxa"/>
              <w:right w:w="0" w:type="dxa"/>
            </w:tcMar>
            <w:vAlign w:val="center"/>
          </w:tcPr>
          <w:p w14:paraId="5E084A2D">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p>
        </w:tc>
        <w:tc>
          <w:tcPr>
            <w:tcW w:w="415" w:type="pct"/>
            <w:vMerge w:val="continue"/>
            <w:noWrap w:val="0"/>
            <w:tcMar>
              <w:top w:w="0" w:type="dxa"/>
              <w:left w:w="0" w:type="dxa"/>
              <w:bottom w:w="0" w:type="dxa"/>
              <w:right w:w="0" w:type="dxa"/>
            </w:tcMar>
            <w:vAlign w:val="center"/>
          </w:tcPr>
          <w:p w14:paraId="2DCB0A4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2F532A14">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0889DC9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174" w:type="pct"/>
            <w:noWrap w:val="0"/>
            <w:tcMar>
              <w:top w:w="0" w:type="dxa"/>
              <w:left w:w="0" w:type="dxa"/>
              <w:bottom w:w="0" w:type="dxa"/>
              <w:right w:w="0" w:type="dxa"/>
            </w:tcMar>
            <w:vAlign w:val="center"/>
          </w:tcPr>
          <w:p w14:paraId="68BB447B">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较轻</w:t>
            </w:r>
          </w:p>
        </w:tc>
        <w:tc>
          <w:tcPr>
            <w:tcW w:w="561" w:type="pct"/>
            <w:noWrap w:val="0"/>
            <w:tcMar>
              <w:top w:w="0" w:type="dxa"/>
              <w:left w:w="0" w:type="dxa"/>
              <w:bottom w:w="0" w:type="dxa"/>
              <w:right w:w="0" w:type="dxa"/>
            </w:tcMar>
            <w:vAlign w:val="center"/>
          </w:tcPr>
          <w:p w14:paraId="0333B4A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rPr>
            </w:pPr>
            <w:r>
              <w:rPr>
                <w:rFonts w:hint="eastAsia" w:ascii="宋体" w:hAnsi="宋体" w:eastAsia="宋体" w:cs="宋体"/>
                <w:sz w:val="18"/>
                <w:szCs w:val="18"/>
                <w:vertAlign w:val="baseline"/>
              </w:rPr>
              <w:t>承揽工程尚未实施的</w:t>
            </w:r>
          </w:p>
        </w:tc>
        <w:tc>
          <w:tcPr>
            <w:tcW w:w="873" w:type="pct"/>
            <w:noWrap w:val="0"/>
            <w:tcMar>
              <w:top w:w="0" w:type="dxa"/>
              <w:left w:w="0" w:type="dxa"/>
              <w:bottom w:w="0" w:type="dxa"/>
              <w:right w:w="0" w:type="dxa"/>
            </w:tcMar>
            <w:vAlign w:val="center"/>
          </w:tcPr>
          <w:p w14:paraId="63A1D55E">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sz w:val="18"/>
                <w:szCs w:val="18"/>
                <w:vertAlign w:val="baseline"/>
              </w:rPr>
            </w:pPr>
            <w:r>
              <w:rPr>
                <w:rFonts w:hint="eastAsia" w:ascii="宋体" w:hAnsi="宋体" w:eastAsia="宋体" w:cs="宋体"/>
                <w:sz w:val="18"/>
                <w:szCs w:val="18"/>
                <w:vertAlign w:val="baseline"/>
              </w:rPr>
              <w:t>对勘察、设计单位或者工程监理单位处合同约定的勘察费、设计费或监理酬金1倍以上1.3倍以下的罚款；对施工单位处工程合同价款</w:t>
            </w:r>
            <w:r>
              <w:rPr>
                <w:rFonts w:hint="eastAsia" w:ascii="宋体" w:hAnsi="宋体" w:eastAsia="宋体" w:cs="宋体"/>
                <w:sz w:val="18"/>
                <w:szCs w:val="18"/>
                <w:vertAlign w:val="baseline"/>
                <w:lang w:val="en-US" w:eastAsia="zh-CN"/>
              </w:rPr>
              <w:t>2%</w:t>
            </w:r>
            <w:r>
              <w:rPr>
                <w:rFonts w:hint="eastAsia" w:ascii="宋体" w:hAnsi="宋体" w:eastAsia="宋体" w:cs="宋体"/>
                <w:sz w:val="18"/>
                <w:szCs w:val="18"/>
                <w:vertAlign w:val="baseline"/>
              </w:rPr>
              <w:t>以上</w:t>
            </w:r>
            <w:r>
              <w:rPr>
                <w:rFonts w:hint="eastAsia" w:ascii="宋体" w:hAnsi="宋体" w:eastAsia="宋体" w:cs="宋体"/>
                <w:sz w:val="18"/>
                <w:szCs w:val="18"/>
                <w:vertAlign w:val="baseline"/>
                <w:lang w:val="en-US" w:eastAsia="zh-CN"/>
              </w:rPr>
              <w:t>2.5%</w:t>
            </w:r>
            <w:r>
              <w:rPr>
                <w:rFonts w:hint="eastAsia" w:ascii="宋体" w:hAnsi="宋体" w:eastAsia="宋体" w:cs="宋体"/>
                <w:sz w:val="18"/>
                <w:szCs w:val="18"/>
                <w:vertAlign w:val="baseline"/>
              </w:rPr>
              <w:t>以下的罚款；有违法所得的，予以没收；对单位直接负责主管人员和其他直接责任人员处单位罚款数额</w:t>
            </w:r>
            <w:r>
              <w:rPr>
                <w:rFonts w:hint="eastAsia" w:ascii="宋体" w:hAnsi="宋体" w:eastAsia="宋体" w:cs="宋体"/>
                <w:sz w:val="18"/>
                <w:szCs w:val="18"/>
                <w:vertAlign w:val="baseline"/>
                <w:lang w:val="en-US" w:eastAsia="zh-CN"/>
              </w:rPr>
              <w:t>5%</w:t>
            </w:r>
            <w:r>
              <w:rPr>
                <w:rFonts w:hint="eastAsia" w:ascii="宋体" w:hAnsi="宋体" w:eastAsia="宋体" w:cs="宋体"/>
                <w:sz w:val="18"/>
                <w:szCs w:val="18"/>
                <w:vertAlign w:val="baseline"/>
              </w:rPr>
              <w:t>以上</w:t>
            </w:r>
            <w:r>
              <w:rPr>
                <w:rFonts w:hint="eastAsia" w:ascii="宋体" w:hAnsi="宋体" w:eastAsia="宋体" w:cs="宋体"/>
                <w:sz w:val="18"/>
                <w:szCs w:val="18"/>
                <w:vertAlign w:val="baseline"/>
                <w:lang w:val="en-US" w:eastAsia="zh-CN"/>
              </w:rPr>
              <w:t>6.5%</w:t>
            </w:r>
            <w:r>
              <w:rPr>
                <w:rFonts w:hint="eastAsia" w:ascii="宋体" w:hAnsi="宋体" w:eastAsia="宋体" w:cs="宋体"/>
                <w:sz w:val="18"/>
                <w:szCs w:val="18"/>
                <w:vertAlign w:val="baseline"/>
              </w:rPr>
              <w:t>以下的罚款</w:t>
            </w:r>
          </w:p>
        </w:tc>
        <w:tc>
          <w:tcPr>
            <w:tcW w:w="158" w:type="pct"/>
            <w:vMerge w:val="continue"/>
            <w:noWrap w:val="0"/>
            <w:tcMar>
              <w:top w:w="0" w:type="dxa"/>
              <w:left w:w="0" w:type="dxa"/>
              <w:bottom w:w="0" w:type="dxa"/>
              <w:right w:w="0" w:type="dxa"/>
            </w:tcMar>
            <w:vAlign w:val="center"/>
          </w:tcPr>
          <w:p w14:paraId="67BB866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rPr>
            </w:pPr>
          </w:p>
        </w:tc>
      </w:tr>
      <w:tr w14:paraId="27FA82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270" w:hRule="atLeast"/>
          <w:jc w:val="center"/>
        </w:trPr>
        <w:tc>
          <w:tcPr>
            <w:tcW w:w="156" w:type="pct"/>
            <w:vMerge w:val="continue"/>
            <w:noWrap w:val="0"/>
            <w:tcMar>
              <w:top w:w="0" w:type="dxa"/>
              <w:left w:w="0" w:type="dxa"/>
              <w:bottom w:w="0" w:type="dxa"/>
              <w:right w:w="0" w:type="dxa"/>
            </w:tcMar>
            <w:vAlign w:val="center"/>
          </w:tcPr>
          <w:p w14:paraId="37B5F3ED">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p>
        </w:tc>
        <w:tc>
          <w:tcPr>
            <w:tcW w:w="415" w:type="pct"/>
            <w:vMerge w:val="continue"/>
            <w:noWrap w:val="0"/>
            <w:tcMar>
              <w:top w:w="0" w:type="dxa"/>
              <w:left w:w="0" w:type="dxa"/>
              <w:bottom w:w="0" w:type="dxa"/>
              <w:right w:w="0" w:type="dxa"/>
            </w:tcMar>
            <w:vAlign w:val="center"/>
          </w:tcPr>
          <w:p w14:paraId="74125F2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00FE2AD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4EB50B7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174" w:type="pct"/>
            <w:noWrap w:val="0"/>
            <w:tcMar>
              <w:top w:w="0" w:type="dxa"/>
              <w:left w:w="0" w:type="dxa"/>
              <w:bottom w:w="0" w:type="dxa"/>
              <w:right w:w="0" w:type="dxa"/>
            </w:tcMar>
            <w:vAlign w:val="center"/>
          </w:tcPr>
          <w:p w14:paraId="1ACA4FF1">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一般</w:t>
            </w:r>
          </w:p>
        </w:tc>
        <w:tc>
          <w:tcPr>
            <w:tcW w:w="561" w:type="pct"/>
            <w:noWrap w:val="0"/>
            <w:tcMar>
              <w:top w:w="0" w:type="dxa"/>
              <w:left w:w="0" w:type="dxa"/>
              <w:bottom w:w="0" w:type="dxa"/>
              <w:right w:w="0" w:type="dxa"/>
            </w:tcMar>
            <w:vAlign w:val="center"/>
          </w:tcPr>
          <w:p w14:paraId="5D6A44C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rPr>
            </w:pPr>
            <w:r>
              <w:rPr>
                <w:rFonts w:hint="eastAsia" w:ascii="宋体" w:hAnsi="宋体" w:eastAsia="宋体" w:cs="宋体"/>
                <w:sz w:val="18"/>
                <w:szCs w:val="18"/>
                <w:vertAlign w:val="baseline"/>
              </w:rPr>
              <w:t>承揽工程已经实施的</w:t>
            </w:r>
          </w:p>
        </w:tc>
        <w:tc>
          <w:tcPr>
            <w:tcW w:w="873" w:type="pct"/>
            <w:noWrap w:val="0"/>
            <w:tcMar>
              <w:top w:w="0" w:type="dxa"/>
              <w:left w:w="0" w:type="dxa"/>
              <w:bottom w:w="0" w:type="dxa"/>
              <w:right w:w="0" w:type="dxa"/>
            </w:tcMar>
            <w:vAlign w:val="center"/>
          </w:tcPr>
          <w:p w14:paraId="5EDB02ED">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sz w:val="18"/>
                <w:szCs w:val="18"/>
                <w:vertAlign w:val="baseline"/>
              </w:rPr>
            </w:pPr>
            <w:r>
              <w:rPr>
                <w:rFonts w:hint="eastAsia" w:ascii="宋体" w:hAnsi="宋体" w:eastAsia="宋体" w:cs="宋体"/>
                <w:sz w:val="18"/>
                <w:szCs w:val="18"/>
                <w:vertAlign w:val="baseline"/>
              </w:rPr>
              <w:t>对勘察、设计单位或者工程监理单位处合同约定的勘察费、设计费或监理酬金1.3倍以上1.7倍以下的罚款；对施工单位处工程合同价款</w:t>
            </w:r>
            <w:r>
              <w:rPr>
                <w:rFonts w:hint="eastAsia" w:ascii="宋体" w:hAnsi="宋体" w:eastAsia="宋体" w:cs="宋体"/>
                <w:sz w:val="18"/>
                <w:szCs w:val="18"/>
                <w:vertAlign w:val="baseline"/>
                <w:lang w:val="en-US" w:eastAsia="zh-CN"/>
              </w:rPr>
              <w:t>2.5%</w:t>
            </w:r>
            <w:r>
              <w:rPr>
                <w:rFonts w:hint="eastAsia" w:ascii="宋体" w:hAnsi="宋体" w:eastAsia="宋体" w:cs="宋体"/>
                <w:sz w:val="18"/>
                <w:szCs w:val="18"/>
                <w:vertAlign w:val="baseline"/>
              </w:rPr>
              <w:t>以上</w:t>
            </w:r>
            <w:r>
              <w:rPr>
                <w:rFonts w:hint="eastAsia" w:ascii="宋体" w:hAnsi="宋体" w:eastAsia="宋体" w:cs="宋体"/>
                <w:sz w:val="18"/>
                <w:szCs w:val="18"/>
                <w:vertAlign w:val="baseline"/>
                <w:lang w:val="en-US" w:eastAsia="zh-CN"/>
              </w:rPr>
              <w:t>3.5%</w:t>
            </w:r>
            <w:r>
              <w:rPr>
                <w:rFonts w:hint="eastAsia" w:ascii="宋体" w:hAnsi="宋体" w:eastAsia="宋体" w:cs="宋体"/>
                <w:sz w:val="18"/>
                <w:szCs w:val="18"/>
                <w:vertAlign w:val="baseline"/>
              </w:rPr>
              <w:t>以下的罚款；有违法所得的，予以没收；对单位直接负责主管人员和其他直接责任人员处单位罚款数额</w:t>
            </w:r>
            <w:r>
              <w:rPr>
                <w:rFonts w:hint="eastAsia" w:ascii="宋体" w:hAnsi="宋体" w:eastAsia="宋体" w:cs="宋体"/>
                <w:sz w:val="18"/>
                <w:szCs w:val="18"/>
                <w:vertAlign w:val="baseline"/>
                <w:lang w:val="en-US" w:eastAsia="zh-CN"/>
              </w:rPr>
              <w:t>6.5%</w:t>
            </w:r>
            <w:r>
              <w:rPr>
                <w:rFonts w:hint="eastAsia" w:ascii="宋体" w:hAnsi="宋体" w:eastAsia="宋体" w:cs="宋体"/>
                <w:sz w:val="18"/>
                <w:szCs w:val="18"/>
                <w:vertAlign w:val="baseline"/>
              </w:rPr>
              <w:t>以上</w:t>
            </w:r>
            <w:r>
              <w:rPr>
                <w:rFonts w:hint="eastAsia" w:ascii="宋体" w:hAnsi="宋体" w:eastAsia="宋体" w:cs="宋体"/>
                <w:sz w:val="18"/>
                <w:szCs w:val="18"/>
                <w:vertAlign w:val="baseline"/>
                <w:lang w:val="en-US" w:eastAsia="zh-CN"/>
              </w:rPr>
              <w:t>8.5%</w:t>
            </w:r>
            <w:r>
              <w:rPr>
                <w:rFonts w:hint="eastAsia" w:ascii="宋体" w:hAnsi="宋体" w:eastAsia="宋体" w:cs="宋体"/>
                <w:sz w:val="18"/>
                <w:szCs w:val="18"/>
                <w:vertAlign w:val="baseline"/>
              </w:rPr>
              <w:t>以下的罚款</w:t>
            </w:r>
          </w:p>
        </w:tc>
        <w:tc>
          <w:tcPr>
            <w:tcW w:w="158" w:type="pct"/>
            <w:vMerge w:val="continue"/>
            <w:noWrap w:val="0"/>
            <w:tcMar>
              <w:top w:w="0" w:type="dxa"/>
              <w:left w:w="0" w:type="dxa"/>
              <w:bottom w:w="0" w:type="dxa"/>
              <w:right w:w="0" w:type="dxa"/>
            </w:tcMar>
            <w:vAlign w:val="center"/>
          </w:tcPr>
          <w:p w14:paraId="575DB90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rPr>
            </w:pPr>
          </w:p>
        </w:tc>
      </w:tr>
      <w:tr w14:paraId="26CE6A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283" w:hRule="atLeast"/>
          <w:jc w:val="center"/>
        </w:trPr>
        <w:tc>
          <w:tcPr>
            <w:tcW w:w="156" w:type="pct"/>
            <w:vMerge w:val="restart"/>
            <w:noWrap w:val="0"/>
            <w:tcMar>
              <w:top w:w="0" w:type="dxa"/>
              <w:left w:w="0" w:type="dxa"/>
              <w:bottom w:w="0" w:type="dxa"/>
              <w:right w:w="0" w:type="dxa"/>
            </w:tcMar>
            <w:vAlign w:val="center"/>
          </w:tcPr>
          <w:p w14:paraId="4CF97B39">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r>
              <w:rPr>
                <w:rFonts w:hint="eastAsia" w:ascii="宋体" w:hAnsi="宋体" w:eastAsia="宋体" w:cs="宋体"/>
                <w:sz w:val="18"/>
                <w:szCs w:val="18"/>
                <w:vertAlign w:val="baseline"/>
                <w:lang w:val="en-US" w:eastAsia="zh-CN"/>
              </w:rPr>
              <w:t>66</w:t>
            </w:r>
          </w:p>
        </w:tc>
        <w:tc>
          <w:tcPr>
            <w:tcW w:w="415" w:type="pct"/>
            <w:vMerge w:val="restart"/>
            <w:noWrap w:val="0"/>
            <w:tcMar>
              <w:top w:w="0" w:type="dxa"/>
              <w:left w:w="0" w:type="dxa"/>
              <w:bottom w:w="0" w:type="dxa"/>
              <w:right w:w="0" w:type="dxa"/>
            </w:tcMar>
            <w:vAlign w:val="center"/>
          </w:tcPr>
          <w:p w14:paraId="7E55284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r>
              <w:rPr>
                <w:rFonts w:hint="eastAsia" w:ascii="宋体" w:hAnsi="宋体" w:eastAsia="宋体" w:cs="宋体"/>
                <w:sz w:val="18"/>
                <w:szCs w:val="18"/>
                <w:vertAlign w:val="baseline"/>
                <w:lang w:val="en-US" w:eastAsia="zh-CN"/>
              </w:rPr>
              <w:t>对水利领域勘察、设计、施工、监理、质量检测单位超越本单位资质等级承揽工程或者未取得资质证书承揽工程等行为的行政处罚</w:t>
            </w:r>
          </w:p>
        </w:tc>
        <w:tc>
          <w:tcPr>
            <w:tcW w:w="2168" w:type="pct"/>
            <w:vMerge w:val="continue"/>
            <w:noWrap w:val="0"/>
            <w:tcMar>
              <w:top w:w="0" w:type="dxa"/>
              <w:left w:w="0" w:type="dxa"/>
              <w:bottom w:w="0" w:type="dxa"/>
              <w:right w:w="0" w:type="dxa"/>
            </w:tcMar>
            <w:vAlign w:val="center"/>
          </w:tcPr>
          <w:p w14:paraId="5F1F2BDC">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491" w:type="pct"/>
            <w:vMerge w:val="restart"/>
            <w:noWrap w:val="0"/>
            <w:tcMar>
              <w:top w:w="0" w:type="dxa"/>
              <w:left w:w="0" w:type="dxa"/>
              <w:bottom w:w="0" w:type="dxa"/>
              <w:right w:w="0" w:type="dxa"/>
            </w:tcMar>
            <w:vAlign w:val="center"/>
          </w:tcPr>
          <w:p w14:paraId="01D99F2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r>
              <w:rPr>
                <w:rFonts w:hint="eastAsia" w:ascii="宋体" w:hAnsi="宋体" w:eastAsia="宋体" w:cs="宋体"/>
                <w:sz w:val="18"/>
                <w:szCs w:val="18"/>
                <w:vertAlign w:val="baseline"/>
                <w:lang w:val="en-US" w:eastAsia="zh-CN"/>
              </w:rPr>
              <w:t>勘察、设计、施工、工程监理单位超越本单位资质等级承揽工程的</w:t>
            </w:r>
          </w:p>
        </w:tc>
        <w:tc>
          <w:tcPr>
            <w:tcW w:w="174" w:type="pct"/>
            <w:vMerge w:val="restart"/>
            <w:noWrap w:val="0"/>
            <w:tcMar>
              <w:top w:w="0" w:type="dxa"/>
              <w:left w:w="0" w:type="dxa"/>
              <w:bottom w:w="0" w:type="dxa"/>
              <w:right w:w="0" w:type="dxa"/>
            </w:tcMar>
            <w:vAlign w:val="center"/>
          </w:tcPr>
          <w:p w14:paraId="4BCD365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较重</w:t>
            </w:r>
          </w:p>
        </w:tc>
        <w:tc>
          <w:tcPr>
            <w:tcW w:w="561" w:type="pct"/>
            <w:noWrap w:val="0"/>
            <w:tcMar>
              <w:top w:w="0" w:type="dxa"/>
              <w:left w:w="0" w:type="dxa"/>
              <w:bottom w:w="0" w:type="dxa"/>
              <w:right w:w="0" w:type="dxa"/>
            </w:tcMar>
            <w:vAlign w:val="center"/>
          </w:tcPr>
          <w:p w14:paraId="7FEAED6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rPr>
            </w:pPr>
            <w:r>
              <w:rPr>
                <w:rFonts w:hint="eastAsia" w:ascii="宋体" w:hAnsi="宋体" w:eastAsia="宋体" w:cs="宋体"/>
                <w:sz w:val="18"/>
                <w:szCs w:val="18"/>
                <w:vertAlign w:val="baseline"/>
              </w:rPr>
              <w:t>2年内2次及以上同类型违法的；造成严重社会影响的</w:t>
            </w:r>
          </w:p>
        </w:tc>
        <w:tc>
          <w:tcPr>
            <w:tcW w:w="873" w:type="pct"/>
            <w:noWrap w:val="0"/>
            <w:tcMar>
              <w:top w:w="0" w:type="dxa"/>
              <w:left w:w="0" w:type="dxa"/>
              <w:bottom w:w="0" w:type="dxa"/>
              <w:right w:w="0" w:type="dxa"/>
            </w:tcMar>
            <w:vAlign w:val="center"/>
          </w:tcPr>
          <w:p w14:paraId="7DAE5538">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sz w:val="18"/>
                <w:szCs w:val="18"/>
                <w:vertAlign w:val="baseline"/>
              </w:rPr>
            </w:pPr>
            <w:r>
              <w:rPr>
                <w:rFonts w:hint="eastAsia" w:ascii="宋体" w:hAnsi="宋体" w:eastAsia="宋体" w:cs="宋体"/>
                <w:sz w:val="18"/>
                <w:szCs w:val="18"/>
                <w:vertAlign w:val="baseline"/>
              </w:rPr>
              <w:t>对勘察、设计单位或者工程监理单位处合同约定的勘察费、设计费或监理酬金1.7倍以上2倍以下的罚款；对施工单位处工程合同价款</w:t>
            </w:r>
            <w:r>
              <w:rPr>
                <w:rFonts w:hint="eastAsia" w:ascii="宋体" w:hAnsi="宋体" w:eastAsia="宋体" w:cs="宋体"/>
                <w:sz w:val="18"/>
                <w:szCs w:val="18"/>
                <w:vertAlign w:val="baseline"/>
                <w:lang w:val="en-US" w:eastAsia="zh-CN"/>
              </w:rPr>
              <w:t>3.5%</w:t>
            </w:r>
            <w:r>
              <w:rPr>
                <w:rFonts w:hint="eastAsia" w:ascii="宋体" w:hAnsi="宋体" w:eastAsia="宋体" w:cs="宋体"/>
                <w:sz w:val="18"/>
                <w:szCs w:val="18"/>
                <w:vertAlign w:val="baseline"/>
              </w:rPr>
              <w:t>以上</w:t>
            </w:r>
            <w:r>
              <w:rPr>
                <w:rFonts w:hint="eastAsia" w:ascii="宋体" w:hAnsi="宋体" w:eastAsia="宋体" w:cs="宋体"/>
                <w:sz w:val="18"/>
                <w:szCs w:val="18"/>
                <w:vertAlign w:val="baseline"/>
                <w:lang w:val="en-US" w:eastAsia="zh-CN"/>
              </w:rPr>
              <w:t>4%</w:t>
            </w:r>
            <w:r>
              <w:rPr>
                <w:rFonts w:hint="eastAsia" w:ascii="宋体" w:hAnsi="宋体" w:eastAsia="宋体" w:cs="宋体"/>
                <w:sz w:val="18"/>
                <w:szCs w:val="18"/>
                <w:vertAlign w:val="baseline"/>
              </w:rPr>
              <w:t>以下的罚款；有违法所得的，予以没收；责令停业整顿30-60</w:t>
            </w:r>
            <w:r>
              <w:rPr>
                <w:rFonts w:hint="eastAsia" w:ascii="宋体" w:hAnsi="宋体" w:eastAsia="宋体" w:cs="宋体"/>
                <w:sz w:val="18"/>
                <w:szCs w:val="18"/>
                <w:vertAlign w:val="baseline"/>
                <w:lang w:eastAsia="zh-CN"/>
              </w:rPr>
              <w:t>日</w:t>
            </w:r>
            <w:r>
              <w:rPr>
                <w:rFonts w:hint="eastAsia" w:ascii="宋体" w:hAnsi="宋体" w:eastAsia="宋体" w:cs="宋体"/>
                <w:sz w:val="18"/>
                <w:szCs w:val="18"/>
                <w:vertAlign w:val="baseline"/>
              </w:rPr>
              <w:t>；对单位直接负责主管人员和其他直接责任人员处单位罚款数额</w:t>
            </w:r>
            <w:r>
              <w:rPr>
                <w:rFonts w:hint="eastAsia" w:ascii="宋体" w:hAnsi="宋体" w:eastAsia="宋体" w:cs="宋体"/>
                <w:sz w:val="18"/>
                <w:szCs w:val="18"/>
                <w:vertAlign w:val="baseline"/>
                <w:lang w:val="en-US" w:eastAsia="zh-CN"/>
              </w:rPr>
              <w:t>8.5%</w:t>
            </w:r>
            <w:r>
              <w:rPr>
                <w:rFonts w:hint="eastAsia" w:ascii="宋体" w:hAnsi="宋体" w:eastAsia="宋体" w:cs="宋体"/>
                <w:sz w:val="18"/>
                <w:szCs w:val="18"/>
                <w:vertAlign w:val="baseline"/>
              </w:rPr>
              <w:t>以上</w:t>
            </w:r>
            <w:r>
              <w:rPr>
                <w:rFonts w:hint="eastAsia" w:ascii="宋体" w:hAnsi="宋体" w:eastAsia="宋体" w:cs="宋体"/>
                <w:sz w:val="18"/>
                <w:szCs w:val="18"/>
                <w:vertAlign w:val="baseline"/>
                <w:lang w:val="en-US" w:eastAsia="zh-CN"/>
              </w:rPr>
              <w:t>10%</w:t>
            </w:r>
            <w:r>
              <w:rPr>
                <w:rFonts w:hint="eastAsia" w:ascii="宋体" w:hAnsi="宋体" w:eastAsia="宋体" w:cs="宋体"/>
                <w:sz w:val="18"/>
                <w:szCs w:val="18"/>
                <w:vertAlign w:val="baseline"/>
              </w:rPr>
              <w:t>以下的罚款</w:t>
            </w:r>
          </w:p>
        </w:tc>
        <w:tc>
          <w:tcPr>
            <w:tcW w:w="158" w:type="pct"/>
            <w:vMerge w:val="continue"/>
            <w:noWrap w:val="0"/>
            <w:tcMar>
              <w:top w:w="0" w:type="dxa"/>
              <w:left w:w="0" w:type="dxa"/>
              <w:bottom w:w="0" w:type="dxa"/>
              <w:right w:w="0" w:type="dxa"/>
            </w:tcMar>
            <w:vAlign w:val="center"/>
          </w:tcPr>
          <w:p w14:paraId="63C4CFD1">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rPr>
            </w:pPr>
          </w:p>
        </w:tc>
      </w:tr>
      <w:tr w14:paraId="23832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91" w:hRule="atLeast"/>
          <w:jc w:val="center"/>
        </w:trPr>
        <w:tc>
          <w:tcPr>
            <w:tcW w:w="156" w:type="pct"/>
            <w:vMerge w:val="continue"/>
            <w:noWrap w:val="0"/>
            <w:tcMar>
              <w:top w:w="0" w:type="dxa"/>
              <w:left w:w="0" w:type="dxa"/>
              <w:bottom w:w="0" w:type="dxa"/>
              <w:right w:w="0" w:type="dxa"/>
            </w:tcMar>
            <w:vAlign w:val="center"/>
          </w:tcPr>
          <w:p w14:paraId="33B9A71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p>
        </w:tc>
        <w:tc>
          <w:tcPr>
            <w:tcW w:w="415" w:type="pct"/>
            <w:vMerge w:val="continue"/>
            <w:noWrap w:val="0"/>
            <w:tcMar>
              <w:top w:w="0" w:type="dxa"/>
              <w:left w:w="0" w:type="dxa"/>
              <w:bottom w:w="0" w:type="dxa"/>
              <w:right w:w="0" w:type="dxa"/>
            </w:tcMar>
            <w:vAlign w:val="center"/>
          </w:tcPr>
          <w:p w14:paraId="592437D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261547F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6DA9EDE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174" w:type="pct"/>
            <w:vMerge w:val="continue"/>
            <w:noWrap w:val="0"/>
            <w:tcMar>
              <w:top w:w="0" w:type="dxa"/>
              <w:left w:w="0" w:type="dxa"/>
              <w:bottom w:w="0" w:type="dxa"/>
              <w:right w:w="0" w:type="dxa"/>
            </w:tcMar>
            <w:vAlign w:val="center"/>
          </w:tcPr>
          <w:p w14:paraId="7A5F5DC1">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p>
        </w:tc>
        <w:tc>
          <w:tcPr>
            <w:tcW w:w="561" w:type="pct"/>
            <w:noWrap w:val="0"/>
            <w:tcMar>
              <w:top w:w="0" w:type="dxa"/>
              <w:left w:w="0" w:type="dxa"/>
              <w:bottom w:w="0" w:type="dxa"/>
              <w:right w:w="0" w:type="dxa"/>
            </w:tcMar>
            <w:vAlign w:val="center"/>
          </w:tcPr>
          <w:p w14:paraId="6BD9C5FC">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rPr>
            </w:pPr>
            <w:r>
              <w:rPr>
                <w:rFonts w:hint="eastAsia" w:ascii="宋体" w:hAnsi="宋体" w:eastAsia="宋体" w:cs="宋体"/>
                <w:sz w:val="18"/>
                <w:szCs w:val="18"/>
                <w:vertAlign w:val="baseline"/>
              </w:rPr>
              <w:t>造成少于3人死亡，或者少于10人重伤，或者少于1000万元直接经济损失</w:t>
            </w:r>
          </w:p>
        </w:tc>
        <w:tc>
          <w:tcPr>
            <w:tcW w:w="873" w:type="pct"/>
            <w:noWrap w:val="0"/>
            <w:tcMar>
              <w:top w:w="0" w:type="dxa"/>
              <w:left w:w="0" w:type="dxa"/>
              <w:bottom w:w="0" w:type="dxa"/>
              <w:right w:w="0" w:type="dxa"/>
            </w:tcMar>
            <w:vAlign w:val="center"/>
          </w:tcPr>
          <w:p w14:paraId="49969966">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sz w:val="18"/>
                <w:szCs w:val="18"/>
                <w:vertAlign w:val="baseline"/>
              </w:rPr>
            </w:pPr>
            <w:r>
              <w:rPr>
                <w:rFonts w:hint="eastAsia" w:ascii="宋体" w:hAnsi="宋体" w:eastAsia="宋体" w:cs="宋体"/>
                <w:sz w:val="18"/>
                <w:szCs w:val="18"/>
                <w:vertAlign w:val="baseline"/>
              </w:rPr>
              <w:t>对勘察、设计单位或者工程监理单位处合同约定的勘察费、设计费或监理酬金2倍的罚款；对施工单位处工程合同价款</w:t>
            </w:r>
            <w:r>
              <w:rPr>
                <w:rFonts w:hint="eastAsia" w:ascii="宋体" w:hAnsi="宋体" w:eastAsia="宋体" w:cs="宋体"/>
                <w:sz w:val="18"/>
                <w:szCs w:val="18"/>
                <w:vertAlign w:val="baseline"/>
                <w:lang w:val="en-US" w:eastAsia="zh-CN"/>
              </w:rPr>
              <w:t>4%</w:t>
            </w:r>
            <w:r>
              <w:rPr>
                <w:rFonts w:hint="eastAsia" w:ascii="宋体" w:hAnsi="宋体" w:eastAsia="宋体" w:cs="宋体"/>
                <w:sz w:val="18"/>
                <w:szCs w:val="18"/>
                <w:vertAlign w:val="baseline"/>
              </w:rPr>
              <w:t>的罚款；有违法所得的，予以没收；责令停业整顿30-60</w:t>
            </w:r>
            <w:r>
              <w:rPr>
                <w:rFonts w:hint="eastAsia" w:ascii="宋体" w:hAnsi="宋体" w:eastAsia="宋体" w:cs="宋体"/>
                <w:sz w:val="18"/>
                <w:szCs w:val="18"/>
                <w:vertAlign w:val="baseline"/>
                <w:lang w:eastAsia="zh-CN"/>
              </w:rPr>
              <w:t>日</w:t>
            </w:r>
            <w:r>
              <w:rPr>
                <w:rFonts w:hint="eastAsia" w:ascii="宋体" w:hAnsi="宋体" w:eastAsia="宋体" w:cs="宋体"/>
                <w:sz w:val="18"/>
                <w:szCs w:val="18"/>
                <w:vertAlign w:val="baseline"/>
              </w:rPr>
              <w:t>；对单位直接负责主管人员和其他直接责任人员处单位罚款数额</w:t>
            </w:r>
            <w:r>
              <w:rPr>
                <w:rFonts w:hint="eastAsia" w:ascii="宋体" w:hAnsi="宋体" w:eastAsia="宋体" w:cs="宋体"/>
                <w:sz w:val="18"/>
                <w:szCs w:val="18"/>
                <w:vertAlign w:val="baseline"/>
                <w:lang w:val="en-US" w:eastAsia="zh-CN"/>
              </w:rPr>
              <w:t>10%</w:t>
            </w:r>
            <w:r>
              <w:rPr>
                <w:rFonts w:hint="eastAsia" w:ascii="宋体" w:hAnsi="宋体" w:eastAsia="宋体" w:cs="宋体"/>
                <w:sz w:val="18"/>
                <w:szCs w:val="18"/>
                <w:vertAlign w:val="baseline"/>
              </w:rPr>
              <w:t>的罚款</w:t>
            </w:r>
          </w:p>
        </w:tc>
        <w:tc>
          <w:tcPr>
            <w:tcW w:w="158" w:type="pct"/>
            <w:vMerge w:val="continue"/>
            <w:noWrap w:val="0"/>
            <w:tcMar>
              <w:top w:w="0" w:type="dxa"/>
              <w:left w:w="0" w:type="dxa"/>
              <w:bottom w:w="0" w:type="dxa"/>
              <w:right w:w="0" w:type="dxa"/>
            </w:tcMar>
            <w:vAlign w:val="center"/>
          </w:tcPr>
          <w:p w14:paraId="339A74BD">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rPr>
            </w:pPr>
          </w:p>
        </w:tc>
      </w:tr>
      <w:tr w14:paraId="449474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39" w:hRule="atLeast"/>
          <w:jc w:val="center"/>
        </w:trPr>
        <w:tc>
          <w:tcPr>
            <w:tcW w:w="156" w:type="pct"/>
            <w:vMerge w:val="continue"/>
            <w:noWrap w:val="0"/>
            <w:tcMar>
              <w:top w:w="0" w:type="dxa"/>
              <w:left w:w="0" w:type="dxa"/>
              <w:bottom w:w="0" w:type="dxa"/>
              <w:right w:w="0" w:type="dxa"/>
            </w:tcMar>
            <w:vAlign w:val="center"/>
          </w:tcPr>
          <w:p w14:paraId="7A4D1B2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p>
        </w:tc>
        <w:tc>
          <w:tcPr>
            <w:tcW w:w="415" w:type="pct"/>
            <w:vMerge w:val="continue"/>
            <w:noWrap w:val="0"/>
            <w:tcMar>
              <w:top w:w="0" w:type="dxa"/>
              <w:left w:w="0" w:type="dxa"/>
              <w:bottom w:w="0" w:type="dxa"/>
              <w:right w:w="0" w:type="dxa"/>
            </w:tcMar>
            <w:vAlign w:val="center"/>
          </w:tcPr>
          <w:p w14:paraId="0C0BFDC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3D850C7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4DA1C50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174" w:type="pct"/>
            <w:vMerge w:val="continue"/>
            <w:noWrap w:val="0"/>
            <w:tcMar>
              <w:top w:w="0" w:type="dxa"/>
              <w:left w:w="0" w:type="dxa"/>
              <w:bottom w:w="0" w:type="dxa"/>
              <w:right w:w="0" w:type="dxa"/>
            </w:tcMar>
            <w:vAlign w:val="center"/>
          </w:tcPr>
          <w:p w14:paraId="57A793E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p>
        </w:tc>
        <w:tc>
          <w:tcPr>
            <w:tcW w:w="561" w:type="pct"/>
            <w:noWrap w:val="0"/>
            <w:tcMar>
              <w:top w:w="0" w:type="dxa"/>
              <w:left w:w="0" w:type="dxa"/>
              <w:bottom w:w="0" w:type="dxa"/>
              <w:right w:w="0" w:type="dxa"/>
            </w:tcMar>
            <w:vAlign w:val="center"/>
          </w:tcPr>
          <w:p w14:paraId="1A2532B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rPr>
            </w:pPr>
            <w:r>
              <w:rPr>
                <w:rFonts w:hint="eastAsia" w:ascii="宋体" w:hAnsi="宋体" w:eastAsia="宋体" w:cs="宋体"/>
                <w:sz w:val="18"/>
                <w:szCs w:val="18"/>
                <w:vertAlign w:val="baseline"/>
              </w:rPr>
              <w:t>造成多于3人少于5人死亡，或者多于10人少于20人重伤，或者多于1000万元少于2000万元直接经济损失</w:t>
            </w:r>
          </w:p>
        </w:tc>
        <w:tc>
          <w:tcPr>
            <w:tcW w:w="873" w:type="pct"/>
            <w:noWrap w:val="0"/>
            <w:tcMar>
              <w:top w:w="0" w:type="dxa"/>
              <w:left w:w="0" w:type="dxa"/>
              <w:bottom w:w="0" w:type="dxa"/>
              <w:right w:w="0" w:type="dxa"/>
            </w:tcMar>
            <w:vAlign w:val="center"/>
          </w:tcPr>
          <w:p w14:paraId="2B790556">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sz w:val="18"/>
                <w:szCs w:val="18"/>
                <w:vertAlign w:val="baseline"/>
              </w:rPr>
            </w:pPr>
            <w:r>
              <w:rPr>
                <w:rFonts w:hint="eastAsia" w:ascii="宋体" w:hAnsi="宋体" w:eastAsia="宋体" w:cs="宋体"/>
                <w:sz w:val="18"/>
                <w:szCs w:val="18"/>
                <w:vertAlign w:val="baseline"/>
              </w:rPr>
              <w:t>对勘察、设计单位或者工程监理单位处合同约定的勘察费、设计费或者监理酬金2倍的罚款；对施工单位处工程合同价款</w:t>
            </w:r>
            <w:r>
              <w:rPr>
                <w:rFonts w:hint="eastAsia" w:ascii="宋体" w:hAnsi="宋体" w:eastAsia="宋体" w:cs="宋体"/>
                <w:sz w:val="18"/>
                <w:szCs w:val="18"/>
                <w:vertAlign w:val="baseline"/>
                <w:lang w:val="en-US" w:eastAsia="zh-CN"/>
              </w:rPr>
              <w:t>4%</w:t>
            </w:r>
            <w:r>
              <w:rPr>
                <w:rFonts w:hint="eastAsia" w:ascii="宋体" w:hAnsi="宋体" w:eastAsia="宋体" w:cs="宋体"/>
                <w:sz w:val="18"/>
                <w:szCs w:val="18"/>
                <w:vertAlign w:val="baseline"/>
              </w:rPr>
              <w:t>的罚款；有违法所得的，予以没收；责令停业整顿60-90</w:t>
            </w:r>
            <w:r>
              <w:rPr>
                <w:rFonts w:hint="eastAsia" w:ascii="宋体" w:hAnsi="宋体" w:eastAsia="宋体" w:cs="宋体"/>
                <w:sz w:val="18"/>
                <w:szCs w:val="18"/>
                <w:vertAlign w:val="baseline"/>
                <w:lang w:eastAsia="zh-CN"/>
              </w:rPr>
              <w:t>日</w:t>
            </w:r>
            <w:r>
              <w:rPr>
                <w:rFonts w:hint="eastAsia" w:ascii="宋体" w:hAnsi="宋体" w:eastAsia="宋体" w:cs="宋体"/>
                <w:sz w:val="18"/>
                <w:szCs w:val="18"/>
                <w:vertAlign w:val="baseline"/>
              </w:rPr>
              <w:t>；对单位直接负责主管人员和其他直接责任人员处单位罚款数额</w:t>
            </w:r>
            <w:r>
              <w:rPr>
                <w:rFonts w:hint="eastAsia" w:ascii="宋体" w:hAnsi="宋体" w:eastAsia="宋体" w:cs="宋体"/>
                <w:sz w:val="18"/>
                <w:szCs w:val="18"/>
                <w:vertAlign w:val="baseline"/>
                <w:lang w:val="en-US" w:eastAsia="zh-CN"/>
              </w:rPr>
              <w:t>10%</w:t>
            </w:r>
            <w:r>
              <w:rPr>
                <w:rFonts w:hint="eastAsia" w:ascii="宋体" w:hAnsi="宋体" w:eastAsia="宋体" w:cs="宋体"/>
                <w:sz w:val="18"/>
                <w:szCs w:val="18"/>
                <w:vertAlign w:val="baseline"/>
              </w:rPr>
              <w:t>的罚款</w:t>
            </w:r>
          </w:p>
        </w:tc>
        <w:tc>
          <w:tcPr>
            <w:tcW w:w="158" w:type="pct"/>
            <w:vMerge w:val="continue"/>
            <w:noWrap w:val="0"/>
            <w:tcMar>
              <w:top w:w="0" w:type="dxa"/>
              <w:left w:w="0" w:type="dxa"/>
              <w:bottom w:w="0" w:type="dxa"/>
              <w:right w:w="0" w:type="dxa"/>
            </w:tcMar>
            <w:vAlign w:val="center"/>
          </w:tcPr>
          <w:p w14:paraId="1D03D27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rPr>
            </w:pPr>
          </w:p>
        </w:tc>
      </w:tr>
      <w:tr w14:paraId="28CECE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10" w:hRule="atLeast"/>
          <w:jc w:val="center"/>
        </w:trPr>
        <w:tc>
          <w:tcPr>
            <w:tcW w:w="156" w:type="pct"/>
            <w:vMerge w:val="continue"/>
            <w:noWrap w:val="0"/>
            <w:tcMar>
              <w:top w:w="0" w:type="dxa"/>
              <w:left w:w="0" w:type="dxa"/>
              <w:bottom w:w="0" w:type="dxa"/>
              <w:right w:w="0" w:type="dxa"/>
            </w:tcMar>
            <w:vAlign w:val="center"/>
          </w:tcPr>
          <w:p w14:paraId="36811AE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p>
        </w:tc>
        <w:tc>
          <w:tcPr>
            <w:tcW w:w="415" w:type="pct"/>
            <w:vMerge w:val="continue"/>
            <w:noWrap w:val="0"/>
            <w:tcMar>
              <w:top w:w="0" w:type="dxa"/>
              <w:left w:w="0" w:type="dxa"/>
              <w:bottom w:w="0" w:type="dxa"/>
              <w:right w:w="0" w:type="dxa"/>
            </w:tcMar>
            <w:vAlign w:val="center"/>
          </w:tcPr>
          <w:p w14:paraId="304D2D7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798FD1F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3E90979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174" w:type="pct"/>
            <w:vMerge w:val="continue"/>
            <w:noWrap w:val="0"/>
            <w:tcMar>
              <w:top w:w="0" w:type="dxa"/>
              <w:left w:w="0" w:type="dxa"/>
              <w:bottom w:w="0" w:type="dxa"/>
              <w:right w:w="0" w:type="dxa"/>
            </w:tcMar>
            <w:vAlign w:val="center"/>
          </w:tcPr>
          <w:p w14:paraId="197A01B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p>
        </w:tc>
        <w:tc>
          <w:tcPr>
            <w:tcW w:w="561" w:type="pct"/>
            <w:noWrap w:val="0"/>
            <w:tcMar>
              <w:top w:w="0" w:type="dxa"/>
              <w:left w:w="0" w:type="dxa"/>
              <w:bottom w:w="0" w:type="dxa"/>
              <w:right w:w="0" w:type="dxa"/>
            </w:tcMar>
            <w:vAlign w:val="center"/>
          </w:tcPr>
          <w:p w14:paraId="7571679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rPr>
            </w:pPr>
            <w:r>
              <w:rPr>
                <w:rFonts w:hint="eastAsia" w:ascii="宋体" w:hAnsi="宋体" w:eastAsia="宋体" w:cs="宋体"/>
                <w:sz w:val="18"/>
                <w:szCs w:val="18"/>
                <w:vertAlign w:val="baseline"/>
              </w:rPr>
              <w:t>造成多于5人少于7人死亡，或者多于20人少于30人重伤，或者多于2000万元少于3000万元直接经济损失</w:t>
            </w:r>
          </w:p>
        </w:tc>
        <w:tc>
          <w:tcPr>
            <w:tcW w:w="873" w:type="pct"/>
            <w:noWrap w:val="0"/>
            <w:tcMar>
              <w:top w:w="0" w:type="dxa"/>
              <w:left w:w="0" w:type="dxa"/>
              <w:bottom w:w="0" w:type="dxa"/>
              <w:right w:w="0" w:type="dxa"/>
            </w:tcMar>
            <w:vAlign w:val="center"/>
          </w:tcPr>
          <w:p w14:paraId="4A0EB756">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sz w:val="18"/>
                <w:szCs w:val="18"/>
                <w:vertAlign w:val="baseline"/>
              </w:rPr>
            </w:pPr>
            <w:r>
              <w:rPr>
                <w:rFonts w:hint="eastAsia" w:ascii="宋体" w:hAnsi="宋体" w:eastAsia="宋体" w:cs="宋体"/>
                <w:sz w:val="18"/>
                <w:szCs w:val="18"/>
                <w:vertAlign w:val="baseline"/>
              </w:rPr>
              <w:t>对勘察、设计单位或者工程监理单位处合同约定的勘察费、设计费或者监理酬金2倍的罚款；对施工单位处工程合同价款</w:t>
            </w:r>
            <w:r>
              <w:rPr>
                <w:rFonts w:hint="eastAsia" w:ascii="宋体" w:hAnsi="宋体" w:eastAsia="宋体" w:cs="宋体"/>
                <w:sz w:val="18"/>
                <w:szCs w:val="18"/>
                <w:vertAlign w:val="baseline"/>
                <w:lang w:val="en-US" w:eastAsia="zh-CN"/>
              </w:rPr>
              <w:t>4%</w:t>
            </w:r>
            <w:r>
              <w:rPr>
                <w:rFonts w:hint="eastAsia" w:ascii="宋体" w:hAnsi="宋体" w:eastAsia="宋体" w:cs="宋体"/>
                <w:sz w:val="18"/>
                <w:szCs w:val="18"/>
                <w:vertAlign w:val="baseline"/>
              </w:rPr>
              <w:t>的罚款；有违法所得的，予以没收；责令停业整顿90-120</w:t>
            </w:r>
            <w:r>
              <w:rPr>
                <w:rFonts w:hint="eastAsia" w:ascii="宋体" w:hAnsi="宋体" w:eastAsia="宋体" w:cs="宋体"/>
                <w:sz w:val="18"/>
                <w:szCs w:val="18"/>
                <w:vertAlign w:val="baseline"/>
                <w:lang w:eastAsia="zh-CN"/>
              </w:rPr>
              <w:t>日</w:t>
            </w:r>
            <w:r>
              <w:rPr>
                <w:rFonts w:hint="eastAsia" w:ascii="宋体" w:hAnsi="宋体" w:eastAsia="宋体" w:cs="宋体"/>
                <w:sz w:val="18"/>
                <w:szCs w:val="18"/>
                <w:vertAlign w:val="baseline"/>
              </w:rPr>
              <w:t>；对单位直接负责主管人员和其他直接责任人员处单位罚款数额</w:t>
            </w:r>
            <w:r>
              <w:rPr>
                <w:rFonts w:hint="eastAsia" w:ascii="宋体" w:hAnsi="宋体" w:eastAsia="宋体" w:cs="宋体"/>
                <w:sz w:val="18"/>
                <w:szCs w:val="18"/>
                <w:vertAlign w:val="baseline"/>
                <w:lang w:val="en-US" w:eastAsia="zh-CN"/>
              </w:rPr>
              <w:t>10%</w:t>
            </w:r>
            <w:r>
              <w:rPr>
                <w:rFonts w:hint="eastAsia" w:ascii="宋体" w:hAnsi="宋体" w:eastAsia="宋体" w:cs="宋体"/>
                <w:sz w:val="18"/>
                <w:szCs w:val="18"/>
                <w:vertAlign w:val="baseline"/>
              </w:rPr>
              <w:t>的罚款</w:t>
            </w:r>
          </w:p>
        </w:tc>
        <w:tc>
          <w:tcPr>
            <w:tcW w:w="158" w:type="pct"/>
            <w:vMerge w:val="continue"/>
            <w:noWrap w:val="0"/>
            <w:tcMar>
              <w:top w:w="0" w:type="dxa"/>
              <w:left w:w="0" w:type="dxa"/>
              <w:bottom w:w="0" w:type="dxa"/>
              <w:right w:w="0" w:type="dxa"/>
            </w:tcMar>
            <w:vAlign w:val="center"/>
          </w:tcPr>
          <w:p w14:paraId="01B27E25">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rPr>
            </w:pPr>
          </w:p>
        </w:tc>
      </w:tr>
      <w:tr w14:paraId="2F4C89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937" w:hRule="atLeast"/>
          <w:jc w:val="center"/>
        </w:trPr>
        <w:tc>
          <w:tcPr>
            <w:tcW w:w="156" w:type="pct"/>
            <w:vMerge w:val="restart"/>
            <w:noWrap w:val="0"/>
            <w:tcMar>
              <w:top w:w="0" w:type="dxa"/>
              <w:left w:w="0" w:type="dxa"/>
              <w:bottom w:w="0" w:type="dxa"/>
              <w:right w:w="0" w:type="dxa"/>
            </w:tcMar>
            <w:vAlign w:val="center"/>
          </w:tcPr>
          <w:p w14:paraId="1168F9DC">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r>
              <w:rPr>
                <w:rFonts w:hint="eastAsia" w:ascii="宋体" w:hAnsi="宋体" w:eastAsia="宋体" w:cs="宋体"/>
                <w:sz w:val="18"/>
                <w:szCs w:val="18"/>
                <w:vertAlign w:val="baseline"/>
                <w:lang w:val="en-US" w:eastAsia="zh-CN"/>
              </w:rPr>
              <w:t>66</w:t>
            </w:r>
          </w:p>
        </w:tc>
        <w:tc>
          <w:tcPr>
            <w:tcW w:w="415" w:type="pct"/>
            <w:vMerge w:val="restart"/>
            <w:noWrap w:val="0"/>
            <w:tcMar>
              <w:top w:w="0" w:type="dxa"/>
              <w:left w:w="0" w:type="dxa"/>
              <w:bottom w:w="0" w:type="dxa"/>
              <w:right w:w="0" w:type="dxa"/>
            </w:tcMar>
            <w:vAlign w:val="center"/>
          </w:tcPr>
          <w:p w14:paraId="157871D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r>
              <w:rPr>
                <w:rFonts w:hint="eastAsia" w:ascii="宋体" w:hAnsi="宋体" w:eastAsia="宋体" w:cs="宋体"/>
                <w:sz w:val="18"/>
                <w:szCs w:val="18"/>
                <w:vertAlign w:val="baseline"/>
                <w:lang w:val="en-US" w:eastAsia="zh-CN"/>
              </w:rPr>
              <w:t>对水利领域勘察、设计、施工、监理、质量检测单位超越本单位资质等级承揽工程或者未取得资质证书承揽工程等行为的行政处罚</w:t>
            </w:r>
          </w:p>
        </w:tc>
        <w:tc>
          <w:tcPr>
            <w:tcW w:w="2168" w:type="pct"/>
            <w:vMerge w:val="continue"/>
            <w:noWrap w:val="0"/>
            <w:tcMar>
              <w:top w:w="0" w:type="dxa"/>
              <w:left w:w="0" w:type="dxa"/>
              <w:bottom w:w="0" w:type="dxa"/>
              <w:right w:w="0" w:type="dxa"/>
            </w:tcMar>
            <w:vAlign w:val="center"/>
          </w:tcPr>
          <w:p w14:paraId="4D794B9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491" w:type="pct"/>
            <w:vMerge w:val="restart"/>
            <w:noWrap w:val="0"/>
            <w:tcMar>
              <w:top w:w="0" w:type="dxa"/>
              <w:left w:w="0" w:type="dxa"/>
              <w:bottom w:w="0" w:type="dxa"/>
              <w:right w:w="0" w:type="dxa"/>
            </w:tcMar>
            <w:vAlign w:val="center"/>
          </w:tcPr>
          <w:p w14:paraId="7A71F627">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r>
              <w:rPr>
                <w:rFonts w:hint="eastAsia" w:ascii="宋体" w:hAnsi="宋体" w:eastAsia="宋体" w:cs="宋体"/>
                <w:sz w:val="18"/>
                <w:szCs w:val="18"/>
                <w:vertAlign w:val="baseline"/>
                <w:lang w:val="en-US" w:eastAsia="zh-CN"/>
              </w:rPr>
              <w:t>勘察、设计、施工、工程监理单位超越本单位资质等级承揽工程的</w:t>
            </w:r>
          </w:p>
        </w:tc>
        <w:tc>
          <w:tcPr>
            <w:tcW w:w="174" w:type="pct"/>
            <w:noWrap w:val="0"/>
            <w:tcMar>
              <w:top w:w="0" w:type="dxa"/>
              <w:left w:w="0" w:type="dxa"/>
              <w:bottom w:w="0" w:type="dxa"/>
              <w:right w:w="0" w:type="dxa"/>
            </w:tcMar>
            <w:vAlign w:val="center"/>
          </w:tcPr>
          <w:p w14:paraId="6B76AAF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r>
              <w:rPr>
                <w:rFonts w:hint="eastAsia" w:ascii="宋体" w:hAnsi="宋体" w:eastAsia="宋体" w:cs="宋体"/>
                <w:sz w:val="18"/>
                <w:szCs w:val="18"/>
                <w:vertAlign w:val="baseline"/>
                <w:lang w:val="en-US" w:eastAsia="zh-CN"/>
              </w:rPr>
              <w:t>较重</w:t>
            </w:r>
          </w:p>
        </w:tc>
        <w:tc>
          <w:tcPr>
            <w:tcW w:w="561" w:type="pct"/>
            <w:noWrap w:val="0"/>
            <w:tcMar>
              <w:top w:w="0" w:type="dxa"/>
              <w:left w:w="0" w:type="dxa"/>
              <w:bottom w:w="0" w:type="dxa"/>
              <w:right w:w="0" w:type="dxa"/>
            </w:tcMar>
            <w:vAlign w:val="center"/>
          </w:tcPr>
          <w:p w14:paraId="61BE2FAE">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sz w:val="18"/>
                <w:szCs w:val="18"/>
                <w:vertAlign w:val="baseline"/>
              </w:rPr>
            </w:pPr>
            <w:r>
              <w:rPr>
                <w:rFonts w:hint="eastAsia" w:ascii="宋体" w:hAnsi="宋体" w:eastAsia="宋体" w:cs="宋体"/>
                <w:sz w:val="18"/>
                <w:szCs w:val="18"/>
                <w:vertAlign w:val="baseline"/>
              </w:rPr>
              <w:t>造成多于7人少于10人死亡，或者多于30人少于50人重伤，或者多于3000万元少于5000万元直接经济损失</w:t>
            </w:r>
          </w:p>
        </w:tc>
        <w:tc>
          <w:tcPr>
            <w:tcW w:w="873" w:type="pct"/>
            <w:noWrap w:val="0"/>
            <w:tcMar>
              <w:top w:w="0" w:type="dxa"/>
              <w:left w:w="0" w:type="dxa"/>
              <w:bottom w:w="0" w:type="dxa"/>
              <w:right w:w="0" w:type="dxa"/>
            </w:tcMar>
            <w:vAlign w:val="center"/>
          </w:tcPr>
          <w:p w14:paraId="303DF712">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sz w:val="18"/>
                <w:szCs w:val="18"/>
                <w:vertAlign w:val="baseline"/>
              </w:rPr>
            </w:pPr>
            <w:r>
              <w:rPr>
                <w:rFonts w:hint="eastAsia" w:ascii="宋体" w:hAnsi="宋体" w:eastAsia="宋体" w:cs="宋体"/>
                <w:sz w:val="18"/>
                <w:szCs w:val="18"/>
                <w:vertAlign w:val="baseline"/>
              </w:rPr>
              <w:t>对勘察、设计单位或者工程监理单位处合同约定的勘察费、设计费或者监理酬金2倍的罚款；对施工单位处工程合同价款</w:t>
            </w:r>
            <w:r>
              <w:rPr>
                <w:rFonts w:hint="eastAsia" w:ascii="宋体" w:hAnsi="宋体" w:eastAsia="宋体" w:cs="宋体"/>
                <w:sz w:val="18"/>
                <w:szCs w:val="18"/>
                <w:vertAlign w:val="baseline"/>
                <w:lang w:val="en-US" w:eastAsia="zh-CN"/>
              </w:rPr>
              <w:t>4%</w:t>
            </w:r>
            <w:r>
              <w:rPr>
                <w:rFonts w:hint="eastAsia" w:ascii="宋体" w:hAnsi="宋体" w:eastAsia="宋体" w:cs="宋体"/>
                <w:sz w:val="18"/>
                <w:szCs w:val="18"/>
                <w:vertAlign w:val="baseline"/>
              </w:rPr>
              <w:t>的罚款；有违法所得的，予以没收；责令停业整顿120-180</w:t>
            </w:r>
            <w:r>
              <w:rPr>
                <w:rFonts w:hint="eastAsia" w:ascii="宋体" w:hAnsi="宋体" w:eastAsia="宋体" w:cs="宋体"/>
                <w:sz w:val="18"/>
                <w:szCs w:val="18"/>
                <w:vertAlign w:val="baseline"/>
                <w:lang w:eastAsia="zh-CN"/>
              </w:rPr>
              <w:t>日</w:t>
            </w:r>
            <w:r>
              <w:rPr>
                <w:rFonts w:hint="eastAsia" w:ascii="宋体" w:hAnsi="宋体" w:eastAsia="宋体" w:cs="宋体"/>
                <w:sz w:val="18"/>
                <w:szCs w:val="18"/>
                <w:vertAlign w:val="baseline"/>
              </w:rPr>
              <w:t>；对单位直接负责主管人员和其他直接责任人员处单位罚款数额</w:t>
            </w:r>
            <w:r>
              <w:rPr>
                <w:rFonts w:hint="eastAsia" w:ascii="宋体" w:hAnsi="宋体" w:eastAsia="宋体" w:cs="宋体"/>
                <w:sz w:val="18"/>
                <w:szCs w:val="18"/>
                <w:vertAlign w:val="baseline"/>
                <w:lang w:val="en-US" w:eastAsia="zh-CN"/>
              </w:rPr>
              <w:t>10%</w:t>
            </w:r>
            <w:r>
              <w:rPr>
                <w:rFonts w:hint="eastAsia" w:ascii="宋体" w:hAnsi="宋体" w:eastAsia="宋体" w:cs="宋体"/>
                <w:sz w:val="18"/>
                <w:szCs w:val="18"/>
                <w:vertAlign w:val="baseline"/>
              </w:rPr>
              <w:t>的罚款</w:t>
            </w:r>
          </w:p>
        </w:tc>
        <w:tc>
          <w:tcPr>
            <w:tcW w:w="158" w:type="pct"/>
            <w:vMerge w:val="continue"/>
            <w:noWrap w:val="0"/>
            <w:tcMar>
              <w:top w:w="0" w:type="dxa"/>
              <w:left w:w="0" w:type="dxa"/>
              <w:bottom w:w="0" w:type="dxa"/>
              <w:right w:w="0" w:type="dxa"/>
            </w:tcMar>
            <w:vAlign w:val="center"/>
          </w:tcPr>
          <w:p w14:paraId="4DE90C8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rPr>
            </w:pPr>
          </w:p>
        </w:tc>
      </w:tr>
      <w:tr w14:paraId="09D8ED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103" w:hRule="atLeast"/>
          <w:jc w:val="center"/>
        </w:trPr>
        <w:tc>
          <w:tcPr>
            <w:tcW w:w="156" w:type="pct"/>
            <w:vMerge w:val="continue"/>
            <w:noWrap w:val="0"/>
            <w:tcMar>
              <w:top w:w="0" w:type="dxa"/>
              <w:left w:w="0" w:type="dxa"/>
              <w:bottom w:w="0" w:type="dxa"/>
              <w:right w:w="0" w:type="dxa"/>
            </w:tcMar>
            <w:vAlign w:val="center"/>
          </w:tcPr>
          <w:p w14:paraId="1B2A696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p>
        </w:tc>
        <w:tc>
          <w:tcPr>
            <w:tcW w:w="415" w:type="pct"/>
            <w:vMerge w:val="continue"/>
            <w:noWrap w:val="0"/>
            <w:tcMar>
              <w:top w:w="0" w:type="dxa"/>
              <w:left w:w="0" w:type="dxa"/>
              <w:bottom w:w="0" w:type="dxa"/>
              <w:right w:w="0" w:type="dxa"/>
            </w:tcMar>
            <w:vAlign w:val="center"/>
          </w:tcPr>
          <w:p w14:paraId="01A3E81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205A2797">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4D304AE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174" w:type="pct"/>
            <w:vMerge w:val="restart"/>
            <w:noWrap w:val="0"/>
            <w:tcMar>
              <w:top w:w="0" w:type="dxa"/>
              <w:left w:w="0" w:type="dxa"/>
              <w:bottom w:w="0" w:type="dxa"/>
              <w:right w:w="0" w:type="dxa"/>
            </w:tcMar>
            <w:vAlign w:val="center"/>
          </w:tcPr>
          <w:p w14:paraId="21E40FA8">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严重</w:t>
            </w:r>
          </w:p>
        </w:tc>
        <w:tc>
          <w:tcPr>
            <w:tcW w:w="561" w:type="pct"/>
            <w:noWrap w:val="0"/>
            <w:tcMar>
              <w:top w:w="0" w:type="dxa"/>
              <w:left w:w="0" w:type="dxa"/>
              <w:bottom w:w="0" w:type="dxa"/>
              <w:right w:w="0" w:type="dxa"/>
            </w:tcMar>
            <w:vAlign w:val="center"/>
          </w:tcPr>
          <w:p w14:paraId="73A2400C">
            <w:pPr>
              <w:keepNext w:val="0"/>
              <w:keepLines w:val="0"/>
              <w:pageBreakBefore w:val="0"/>
              <w:widowControl w:val="0"/>
              <w:kinsoku/>
              <w:wordWrap/>
              <w:overflowPunct/>
              <w:topLinePunct w:val="0"/>
              <w:autoSpaceDE/>
              <w:autoSpaceDN/>
              <w:bidi w:val="0"/>
              <w:adjustRightInd/>
              <w:snapToGrid/>
              <w:spacing w:line="220" w:lineRule="exact"/>
              <w:jc w:val="both"/>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pacing w:val="-6"/>
                <w:sz w:val="18"/>
                <w:szCs w:val="18"/>
                <w:vertAlign w:val="baseline"/>
              </w:rPr>
              <w:t>造成一般及以上质量安全事故的；造成分部工程存在严重缺陷，经返修和加固处理仍不能满足安全使用要求的；造成单位（子单位）工程存在严重缺陷，经返修和加固处理仍不能满足安全使用要求的</w:t>
            </w:r>
          </w:p>
        </w:tc>
        <w:tc>
          <w:tcPr>
            <w:tcW w:w="873" w:type="pct"/>
            <w:noWrap w:val="0"/>
            <w:tcMar>
              <w:top w:w="0" w:type="dxa"/>
              <w:left w:w="0" w:type="dxa"/>
              <w:bottom w:w="0" w:type="dxa"/>
              <w:right w:w="0" w:type="dxa"/>
            </w:tcMar>
            <w:vAlign w:val="center"/>
          </w:tcPr>
          <w:p w14:paraId="764F6A6C">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kern w:val="2"/>
                <w:sz w:val="18"/>
                <w:szCs w:val="18"/>
                <w:vertAlign w:val="baseline"/>
                <w:lang w:val="en-US" w:eastAsia="zh-CN" w:bidi="ar-SA"/>
              </w:rPr>
              <w:t>对勘察、设计单位或者工程监理单位处合同约定的勘察费、设计费或者监理酬金2倍的罚款；对施工单位处工程合同价款4%的罚款；有违法所得的，予以没收；降低资质等级；对单位直接负责主管人员和其他直接责任人员处单位罚款数额10%的罚款</w:t>
            </w:r>
          </w:p>
        </w:tc>
        <w:tc>
          <w:tcPr>
            <w:tcW w:w="158" w:type="pct"/>
            <w:vMerge w:val="continue"/>
            <w:noWrap w:val="0"/>
            <w:tcMar>
              <w:top w:w="0" w:type="dxa"/>
              <w:left w:w="0" w:type="dxa"/>
              <w:bottom w:w="0" w:type="dxa"/>
              <w:right w:w="0" w:type="dxa"/>
            </w:tcMar>
            <w:vAlign w:val="center"/>
          </w:tcPr>
          <w:p w14:paraId="10D075E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rPr>
            </w:pPr>
          </w:p>
        </w:tc>
      </w:tr>
      <w:tr w14:paraId="789C4F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29F89EC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p>
        </w:tc>
        <w:tc>
          <w:tcPr>
            <w:tcW w:w="415" w:type="pct"/>
            <w:vMerge w:val="continue"/>
            <w:noWrap w:val="0"/>
            <w:tcMar>
              <w:top w:w="0" w:type="dxa"/>
              <w:left w:w="0" w:type="dxa"/>
              <w:bottom w:w="0" w:type="dxa"/>
              <w:right w:w="0" w:type="dxa"/>
            </w:tcMar>
            <w:vAlign w:val="center"/>
          </w:tcPr>
          <w:p w14:paraId="35495EF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6960180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rPr>
            </w:pPr>
          </w:p>
        </w:tc>
        <w:tc>
          <w:tcPr>
            <w:tcW w:w="491" w:type="pct"/>
            <w:vMerge w:val="continue"/>
            <w:noWrap w:val="0"/>
            <w:tcMar>
              <w:top w:w="0" w:type="dxa"/>
              <w:left w:w="0" w:type="dxa"/>
              <w:bottom w:w="0" w:type="dxa"/>
              <w:right w:w="0" w:type="dxa"/>
            </w:tcMar>
            <w:vAlign w:val="center"/>
          </w:tcPr>
          <w:p w14:paraId="0743F6B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rPr>
            </w:pPr>
          </w:p>
        </w:tc>
        <w:tc>
          <w:tcPr>
            <w:tcW w:w="174" w:type="pct"/>
            <w:vMerge w:val="continue"/>
            <w:noWrap w:val="0"/>
            <w:tcMar>
              <w:top w:w="0" w:type="dxa"/>
              <w:left w:w="0" w:type="dxa"/>
              <w:bottom w:w="0" w:type="dxa"/>
              <w:right w:w="0" w:type="dxa"/>
            </w:tcMar>
            <w:vAlign w:val="center"/>
          </w:tcPr>
          <w:p w14:paraId="7FBDFC1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p>
        </w:tc>
        <w:tc>
          <w:tcPr>
            <w:tcW w:w="561" w:type="pct"/>
            <w:noWrap w:val="0"/>
            <w:tcMar>
              <w:top w:w="0" w:type="dxa"/>
              <w:left w:w="0" w:type="dxa"/>
              <w:bottom w:w="0" w:type="dxa"/>
              <w:right w:w="0" w:type="dxa"/>
            </w:tcMar>
            <w:vAlign w:val="center"/>
          </w:tcPr>
          <w:p w14:paraId="649F354E">
            <w:pPr>
              <w:keepNext w:val="0"/>
              <w:keepLines w:val="0"/>
              <w:pageBreakBefore w:val="0"/>
              <w:widowControl w:val="0"/>
              <w:kinsoku/>
              <w:wordWrap/>
              <w:overflowPunct/>
              <w:topLinePunct w:val="0"/>
              <w:autoSpaceDE/>
              <w:autoSpaceDN/>
              <w:bidi w:val="0"/>
              <w:adjustRightInd/>
              <w:snapToGrid/>
              <w:spacing w:line="220" w:lineRule="exact"/>
              <w:jc w:val="both"/>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kern w:val="2"/>
                <w:sz w:val="18"/>
                <w:szCs w:val="18"/>
                <w:vertAlign w:val="baseline"/>
                <w:lang w:val="en-US" w:eastAsia="zh-CN" w:bidi="ar-SA"/>
              </w:rPr>
              <w:t>造成特别重大质量安全事故；或造成单位（子单位）工程存在严重缺陷，经返修和加固处理仍不能满足安全使用要求</w:t>
            </w:r>
          </w:p>
        </w:tc>
        <w:tc>
          <w:tcPr>
            <w:tcW w:w="873" w:type="pct"/>
            <w:noWrap w:val="0"/>
            <w:tcMar>
              <w:top w:w="0" w:type="dxa"/>
              <w:left w:w="0" w:type="dxa"/>
              <w:bottom w:w="0" w:type="dxa"/>
              <w:right w:w="0" w:type="dxa"/>
            </w:tcMar>
            <w:vAlign w:val="center"/>
          </w:tcPr>
          <w:p w14:paraId="5040B818">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kern w:val="2"/>
                <w:sz w:val="18"/>
                <w:szCs w:val="18"/>
                <w:vertAlign w:val="baseline"/>
                <w:lang w:val="en-US" w:eastAsia="zh-CN" w:bidi="ar-SA"/>
              </w:rPr>
              <w:t>对勘察、设计单位或者工程监理单位处合同约定的勘察费、设计费或者监理酬金2倍的罚款；对施工单位处工程合同价款4%的罚款；有违法所得的，予以没收；吊销资质证书；对单位直接负责主管人员和其他直接责任人员处单位罚款数额10%的罚款</w:t>
            </w:r>
          </w:p>
        </w:tc>
        <w:tc>
          <w:tcPr>
            <w:tcW w:w="158" w:type="pct"/>
            <w:vMerge w:val="continue"/>
            <w:noWrap w:val="0"/>
            <w:tcMar>
              <w:top w:w="0" w:type="dxa"/>
              <w:left w:w="0" w:type="dxa"/>
              <w:bottom w:w="0" w:type="dxa"/>
              <w:right w:w="0" w:type="dxa"/>
            </w:tcMar>
            <w:vAlign w:val="center"/>
          </w:tcPr>
          <w:p w14:paraId="7D18C115">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rPr>
            </w:pPr>
          </w:p>
        </w:tc>
      </w:tr>
      <w:tr w14:paraId="1A613D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156" w:type="pct"/>
            <w:vMerge w:val="continue"/>
            <w:noWrap w:val="0"/>
            <w:tcMar>
              <w:top w:w="0" w:type="dxa"/>
              <w:left w:w="0" w:type="dxa"/>
              <w:bottom w:w="0" w:type="dxa"/>
              <w:right w:w="0" w:type="dxa"/>
            </w:tcMar>
            <w:vAlign w:val="center"/>
          </w:tcPr>
          <w:p w14:paraId="4487B0A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2183423F">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kern w:val="2"/>
                <w:sz w:val="18"/>
                <w:szCs w:val="18"/>
                <w:vertAlign w:val="baseline"/>
                <w:lang w:val="en-US" w:eastAsia="zh-CN" w:bidi="ar-SA"/>
              </w:rPr>
            </w:pPr>
          </w:p>
        </w:tc>
        <w:tc>
          <w:tcPr>
            <w:tcW w:w="2168" w:type="pct"/>
            <w:vMerge w:val="continue"/>
            <w:noWrap w:val="0"/>
            <w:tcMar>
              <w:top w:w="0" w:type="dxa"/>
              <w:left w:w="0" w:type="dxa"/>
              <w:bottom w:w="0" w:type="dxa"/>
              <w:right w:w="0" w:type="dxa"/>
            </w:tcMar>
            <w:vAlign w:val="center"/>
          </w:tcPr>
          <w:p w14:paraId="3A70C57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kern w:val="2"/>
                <w:sz w:val="18"/>
                <w:szCs w:val="18"/>
                <w:vertAlign w:val="baseline"/>
                <w:lang w:val="en-US" w:eastAsia="zh-CN" w:bidi="ar-SA"/>
              </w:rPr>
            </w:pPr>
          </w:p>
        </w:tc>
        <w:tc>
          <w:tcPr>
            <w:tcW w:w="491" w:type="pct"/>
            <w:vMerge w:val="restart"/>
            <w:noWrap w:val="0"/>
            <w:tcMar>
              <w:top w:w="0" w:type="dxa"/>
              <w:left w:w="0" w:type="dxa"/>
              <w:bottom w:w="0" w:type="dxa"/>
              <w:right w:w="0" w:type="dxa"/>
            </w:tcMar>
            <w:vAlign w:val="center"/>
          </w:tcPr>
          <w:p w14:paraId="2356E5F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r>
              <w:rPr>
                <w:rFonts w:hint="eastAsia" w:ascii="宋体" w:hAnsi="宋体" w:eastAsia="宋体" w:cs="宋体"/>
                <w:sz w:val="18"/>
                <w:szCs w:val="18"/>
                <w:vertAlign w:val="baseline"/>
                <w:lang w:val="en-US" w:eastAsia="zh-CN"/>
              </w:rPr>
              <w:t>勘察、设计、施工、工程监理单位未取得资质证书承揽工程的</w:t>
            </w:r>
          </w:p>
        </w:tc>
        <w:tc>
          <w:tcPr>
            <w:tcW w:w="174" w:type="pct"/>
            <w:noWrap w:val="0"/>
            <w:tcMar>
              <w:top w:w="0" w:type="dxa"/>
              <w:left w:w="0" w:type="dxa"/>
              <w:bottom w:w="0" w:type="dxa"/>
              <w:right w:w="0" w:type="dxa"/>
            </w:tcMar>
            <w:vAlign w:val="center"/>
          </w:tcPr>
          <w:p w14:paraId="7C10E2C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轻微</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50E2B74E">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0ADF63F1">
            <w:pPr>
              <w:spacing w:line="260" w:lineRule="exact"/>
              <w:rPr>
                <w:rFonts w:hint="eastAsia" w:ascii="宋体" w:hAnsi="宋体" w:eastAsia="宋体" w:cs="宋体"/>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1CDD4DD2">
            <w:pPr>
              <w:snapToGrid/>
              <w:spacing w:line="24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54A4A29C">
            <w:pPr>
              <w:spacing w:line="240" w:lineRule="exact"/>
              <w:rPr>
                <w:rFonts w:hint="eastAsia" w:ascii="宋体" w:hAnsi="宋体" w:eastAsia="宋体" w:cs="宋体"/>
                <w:kern w:val="2"/>
                <w:sz w:val="18"/>
                <w:szCs w:val="18"/>
                <w:vertAlign w:val="baseline"/>
                <w:lang w:val="en-US" w:eastAsia="zh-CN" w:bidi="ar-SA"/>
              </w:rPr>
            </w:pPr>
          </w:p>
        </w:tc>
        <w:tc>
          <w:tcPr>
            <w:tcW w:w="158" w:type="pct"/>
            <w:vMerge w:val="restart"/>
            <w:noWrap w:val="0"/>
            <w:tcMar>
              <w:top w:w="0" w:type="dxa"/>
              <w:left w:w="0" w:type="dxa"/>
              <w:bottom w:w="0" w:type="dxa"/>
              <w:right w:w="0" w:type="dxa"/>
            </w:tcMar>
            <w:vAlign w:val="center"/>
          </w:tcPr>
          <w:p w14:paraId="1CA6005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rPr>
            </w:pPr>
          </w:p>
        </w:tc>
      </w:tr>
      <w:tr w14:paraId="2BA309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7F9D0B81">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7377D6B9">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FF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790E658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772E55B4">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174" w:type="pct"/>
            <w:noWrap w:val="0"/>
            <w:tcMar>
              <w:top w:w="0" w:type="dxa"/>
              <w:left w:w="0" w:type="dxa"/>
              <w:bottom w:w="0" w:type="dxa"/>
              <w:right w:w="0" w:type="dxa"/>
            </w:tcMar>
            <w:vAlign w:val="center"/>
          </w:tcPr>
          <w:p w14:paraId="3112B90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较轻</w:t>
            </w:r>
          </w:p>
        </w:tc>
        <w:tc>
          <w:tcPr>
            <w:tcW w:w="561" w:type="pct"/>
            <w:noWrap w:val="0"/>
            <w:tcMar>
              <w:top w:w="0" w:type="dxa"/>
              <w:left w:w="0" w:type="dxa"/>
              <w:bottom w:w="0" w:type="dxa"/>
              <w:right w:w="0" w:type="dxa"/>
            </w:tcMar>
            <w:vAlign w:val="center"/>
          </w:tcPr>
          <w:p w14:paraId="0B2604C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rPr>
            </w:pPr>
            <w:r>
              <w:rPr>
                <w:rFonts w:hint="eastAsia" w:ascii="宋体" w:hAnsi="宋体" w:eastAsia="宋体" w:cs="宋体"/>
                <w:sz w:val="18"/>
                <w:szCs w:val="18"/>
                <w:vertAlign w:val="baseline"/>
              </w:rPr>
              <w:t>承揽工程尚未实施的</w:t>
            </w:r>
          </w:p>
        </w:tc>
        <w:tc>
          <w:tcPr>
            <w:tcW w:w="873" w:type="pct"/>
            <w:noWrap w:val="0"/>
            <w:tcMar>
              <w:top w:w="0" w:type="dxa"/>
              <w:left w:w="0" w:type="dxa"/>
              <w:bottom w:w="0" w:type="dxa"/>
              <w:right w:w="0" w:type="dxa"/>
            </w:tcMar>
            <w:vAlign w:val="center"/>
          </w:tcPr>
          <w:p w14:paraId="0CFFC695">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kern w:val="2"/>
                <w:sz w:val="18"/>
                <w:szCs w:val="18"/>
                <w:vertAlign w:val="baseline"/>
                <w:lang w:val="en-US" w:eastAsia="zh-CN" w:bidi="ar-SA"/>
              </w:rPr>
              <w:t>对勘察、设计单位或者工程监理单位处合同约定的勘察费、设计费或监理酬金1倍以上1.3倍以下的罚款；对施工单位处工程合同价款2%以上2.5%以下的罚款；有违法所得的，予以没收；对单位直接负责主管人员和其他直接责任人员处单位罚款数额5%以上6.5%以下的罚款</w:t>
            </w:r>
          </w:p>
        </w:tc>
        <w:tc>
          <w:tcPr>
            <w:tcW w:w="158" w:type="pct"/>
            <w:vMerge w:val="continue"/>
            <w:noWrap w:val="0"/>
            <w:tcMar>
              <w:top w:w="0" w:type="dxa"/>
              <w:left w:w="0" w:type="dxa"/>
              <w:bottom w:w="0" w:type="dxa"/>
              <w:right w:w="0" w:type="dxa"/>
            </w:tcMar>
            <w:vAlign w:val="center"/>
          </w:tcPr>
          <w:p w14:paraId="5130F8F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rPr>
            </w:pPr>
          </w:p>
        </w:tc>
      </w:tr>
      <w:tr w14:paraId="6F8A7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656" w:hRule="atLeast"/>
          <w:jc w:val="center"/>
        </w:trPr>
        <w:tc>
          <w:tcPr>
            <w:tcW w:w="156" w:type="pct"/>
            <w:vMerge w:val="restart"/>
            <w:noWrap w:val="0"/>
            <w:tcMar>
              <w:top w:w="0" w:type="dxa"/>
              <w:left w:w="0" w:type="dxa"/>
              <w:bottom w:w="0" w:type="dxa"/>
              <w:right w:w="0" w:type="dxa"/>
            </w:tcMar>
            <w:vAlign w:val="center"/>
          </w:tcPr>
          <w:p w14:paraId="5750211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shd w:val="clear" w:color="auto" w:fill="auto"/>
                <w:vertAlign w:val="baseline"/>
                <w:lang w:val="en-US" w:eastAsia="zh-CN"/>
              </w:rPr>
            </w:pPr>
            <w:r>
              <w:rPr>
                <w:rFonts w:hint="eastAsia" w:ascii="宋体" w:hAnsi="宋体" w:eastAsia="宋体" w:cs="宋体"/>
                <w:sz w:val="18"/>
                <w:szCs w:val="18"/>
                <w:shd w:val="clear" w:color="auto" w:fill="auto"/>
                <w:vertAlign w:val="baseline"/>
                <w:lang w:val="en-US" w:eastAsia="zh-CN"/>
              </w:rPr>
              <w:t>66</w:t>
            </w:r>
          </w:p>
        </w:tc>
        <w:tc>
          <w:tcPr>
            <w:tcW w:w="415" w:type="pct"/>
            <w:vMerge w:val="restart"/>
            <w:noWrap w:val="0"/>
            <w:tcMar>
              <w:top w:w="0" w:type="dxa"/>
              <w:left w:w="0" w:type="dxa"/>
              <w:bottom w:w="0" w:type="dxa"/>
              <w:right w:w="0" w:type="dxa"/>
            </w:tcMar>
            <w:vAlign w:val="center"/>
          </w:tcPr>
          <w:p w14:paraId="4BCD3CCB">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FF0000"/>
                <w:sz w:val="18"/>
                <w:szCs w:val="18"/>
                <w:vertAlign w:val="baseline"/>
                <w:lang w:val="en-US" w:eastAsia="zh-CN"/>
              </w:rPr>
            </w:pPr>
            <w:r>
              <w:rPr>
                <w:rFonts w:hint="eastAsia" w:ascii="宋体" w:hAnsi="宋体" w:eastAsia="宋体" w:cs="宋体"/>
                <w:sz w:val="18"/>
                <w:szCs w:val="18"/>
                <w:vertAlign w:val="baseline"/>
                <w:lang w:val="en-US" w:eastAsia="zh-CN"/>
              </w:rPr>
              <w:t>对水利领域勘察、设计、施工、监理、质量检测单位超越本单位资质等级承揽工程或者未取得资质证书承揽工程等行为的行政处罚</w:t>
            </w:r>
          </w:p>
        </w:tc>
        <w:tc>
          <w:tcPr>
            <w:tcW w:w="2168" w:type="pct"/>
            <w:vMerge w:val="continue"/>
            <w:noWrap w:val="0"/>
            <w:tcMar>
              <w:top w:w="0" w:type="dxa"/>
              <w:left w:w="0" w:type="dxa"/>
              <w:bottom w:w="0" w:type="dxa"/>
              <w:right w:w="0" w:type="dxa"/>
            </w:tcMar>
            <w:vAlign w:val="center"/>
          </w:tcPr>
          <w:p w14:paraId="7AD2DD2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491" w:type="pct"/>
            <w:vMerge w:val="restart"/>
            <w:noWrap w:val="0"/>
            <w:tcMar>
              <w:top w:w="0" w:type="dxa"/>
              <w:left w:w="0" w:type="dxa"/>
              <w:bottom w:w="0" w:type="dxa"/>
              <w:right w:w="0" w:type="dxa"/>
            </w:tcMar>
            <w:vAlign w:val="center"/>
          </w:tcPr>
          <w:p w14:paraId="7D17A8CC">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r>
              <w:rPr>
                <w:rFonts w:hint="eastAsia" w:ascii="宋体" w:hAnsi="宋体" w:eastAsia="宋体" w:cs="宋体"/>
                <w:sz w:val="18"/>
                <w:szCs w:val="18"/>
                <w:vertAlign w:val="baseline"/>
                <w:lang w:val="en-US" w:eastAsia="zh-CN"/>
              </w:rPr>
              <w:t>勘察、设计、施工、工程监理单位未取得资质证书承揽工程的</w:t>
            </w:r>
          </w:p>
        </w:tc>
        <w:tc>
          <w:tcPr>
            <w:tcW w:w="174" w:type="pct"/>
            <w:noWrap w:val="0"/>
            <w:tcMar>
              <w:top w:w="0" w:type="dxa"/>
              <w:left w:w="0" w:type="dxa"/>
              <w:bottom w:w="0" w:type="dxa"/>
              <w:right w:w="0" w:type="dxa"/>
            </w:tcMar>
            <w:vAlign w:val="center"/>
          </w:tcPr>
          <w:p w14:paraId="30840E7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一般</w:t>
            </w:r>
          </w:p>
        </w:tc>
        <w:tc>
          <w:tcPr>
            <w:tcW w:w="561" w:type="pct"/>
            <w:noWrap w:val="0"/>
            <w:tcMar>
              <w:top w:w="0" w:type="dxa"/>
              <w:left w:w="0" w:type="dxa"/>
              <w:bottom w:w="0" w:type="dxa"/>
              <w:right w:w="0" w:type="dxa"/>
            </w:tcMar>
            <w:vAlign w:val="center"/>
          </w:tcPr>
          <w:p w14:paraId="440BA1E4">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rPr>
            </w:pPr>
            <w:r>
              <w:rPr>
                <w:rFonts w:hint="eastAsia" w:ascii="宋体" w:hAnsi="宋体" w:eastAsia="宋体" w:cs="宋体"/>
                <w:sz w:val="18"/>
                <w:szCs w:val="18"/>
                <w:vertAlign w:val="baseline"/>
              </w:rPr>
              <w:t>承揽工程已经实施的</w:t>
            </w:r>
          </w:p>
        </w:tc>
        <w:tc>
          <w:tcPr>
            <w:tcW w:w="873" w:type="pct"/>
            <w:noWrap w:val="0"/>
            <w:tcMar>
              <w:top w:w="0" w:type="dxa"/>
              <w:left w:w="0" w:type="dxa"/>
              <w:bottom w:w="0" w:type="dxa"/>
              <w:right w:w="0" w:type="dxa"/>
            </w:tcMar>
            <w:vAlign w:val="center"/>
          </w:tcPr>
          <w:p w14:paraId="2D27330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kern w:val="2"/>
                <w:sz w:val="18"/>
                <w:szCs w:val="18"/>
                <w:vertAlign w:val="baseline"/>
                <w:lang w:val="en-US" w:eastAsia="zh-CN" w:bidi="ar-SA"/>
              </w:rPr>
              <w:t>对勘察、设计单位或者工程监理单位处合同约定的勘察费、设计费或监理酬金1.3倍以上1.7倍以下的罚款；对施工单位处工程合同价款2.5%以上3.5%以下的罚款；有违法所得的，予以没收；对单位直接负责主管人员和其他直接责任人员处单位罚款数额6.5%以上8.5%以下的罚款</w:t>
            </w:r>
          </w:p>
        </w:tc>
        <w:tc>
          <w:tcPr>
            <w:tcW w:w="158" w:type="pct"/>
            <w:vMerge w:val="continue"/>
            <w:noWrap w:val="0"/>
            <w:tcMar>
              <w:top w:w="0" w:type="dxa"/>
              <w:left w:w="0" w:type="dxa"/>
              <w:bottom w:w="0" w:type="dxa"/>
              <w:right w:w="0" w:type="dxa"/>
            </w:tcMar>
            <w:vAlign w:val="center"/>
          </w:tcPr>
          <w:p w14:paraId="294D9C9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rPr>
            </w:pPr>
          </w:p>
        </w:tc>
      </w:tr>
      <w:tr w14:paraId="2E7E8E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682" w:hRule="atLeast"/>
          <w:jc w:val="center"/>
        </w:trPr>
        <w:tc>
          <w:tcPr>
            <w:tcW w:w="156" w:type="pct"/>
            <w:vMerge w:val="continue"/>
            <w:noWrap w:val="0"/>
            <w:tcMar>
              <w:top w:w="0" w:type="dxa"/>
              <w:left w:w="0" w:type="dxa"/>
              <w:bottom w:w="0" w:type="dxa"/>
              <w:right w:w="0" w:type="dxa"/>
            </w:tcMar>
            <w:vAlign w:val="center"/>
          </w:tcPr>
          <w:p w14:paraId="283DD40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61B2B9BF">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FF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020D4354">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68F3D50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174" w:type="pct"/>
            <w:noWrap w:val="0"/>
            <w:tcMar>
              <w:top w:w="0" w:type="dxa"/>
              <w:left w:w="0" w:type="dxa"/>
              <w:bottom w:w="0" w:type="dxa"/>
              <w:right w:w="0" w:type="dxa"/>
            </w:tcMar>
            <w:vAlign w:val="center"/>
          </w:tcPr>
          <w:p w14:paraId="6211ECC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较重</w:t>
            </w:r>
          </w:p>
        </w:tc>
        <w:tc>
          <w:tcPr>
            <w:tcW w:w="561" w:type="pct"/>
            <w:noWrap w:val="0"/>
            <w:tcMar>
              <w:top w:w="0" w:type="dxa"/>
              <w:left w:w="0" w:type="dxa"/>
              <w:bottom w:w="0" w:type="dxa"/>
              <w:right w:w="0" w:type="dxa"/>
            </w:tcMar>
            <w:vAlign w:val="center"/>
          </w:tcPr>
          <w:p w14:paraId="3CC5988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rPr>
            </w:pPr>
            <w:r>
              <w:rPr>
                <w:rFonts w:hint="eastAsia" w:ascii="宋体" w:hAnsi="宋体" w:eastAsia="宋体" w:cs="宋体"/>
                <w:sz w:val="18"/>
                <w:szCs w:val="18"/>
                <w:vertAlign w:val="baseline"/>
              </w:rPr>
              <w:t>2年内2次及以上同类型违法的；造成严重社会影响的</w:t>
            </w:r>
          </w:p>
        </w:tc>
        <w:tc>
          <w:tcPr>
            <w:tcW w:w="873" w:type="pct"/>
            <w:noWrap w:val="0"/>
            <w:tcMar>
              <w:top w:w="0" w:type="dxa"/>
              <w:left w:w="0" w:type="dxa"/>
              <w:bottom w:w="0" w:type="dxa"/>
              <w:right w:w="0" w:type="dxa"/>
            </w:tcMar>
            <w:vAlign w:val="center"/>
          </w:tcPr>
          <w:p w14:paraId="10D102C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kern w:val="2"/>
                <w:sz w:val="18"/>
                <w:szCs w:val="18"/>
                <w:vertAlign w:val="baseline"/>
                <w:lang w:val="en-US" w:eastAsia="zh-CN" w:bidi="ar-SA"/>
              </w:rPr>
              <w:t>对勘察、设计单位或者工程监理单位处合同约定的勘察费、设计费或监理酬金1.7倍以上2倍以下的罚款；对施工单位处工程合同价款3.5%以上4%以下的罚款；有违法所得的，予以没收；对单位直接负责主管人员和其他直接责任人员处单位罚款数额8.5%以上10%以下的罚款</w:t>
            </w:r>
          </w:p>
        </w:tc>
        <w:tc>
          <w:tcPr>
            <w:tcW w:w="158" w:type="pct"/>
            <w:vMerge w:val="continue"/>
            <w:noWrap w:val="0"/>
            <w:tcMar>
              <w:top w:w="0" w:type="dxa"/>
              <w:left w:w="0" w:type="dxa"/>
              <w:bottom w:w="0" w:type="dxa"/>
              <w:right w:w="0" w:type="dxa"/>
            </w:tcMar>
            <w:vAlign w:val="center"/>
          </w:tcPr>
          <w:p w14:paraId="5F7D83C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rPr>
            </w:pPr>
          </w:p>
        </w:tc>
      </w:tr>
      <w:tr w14:paraId="0C022C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034" w:hRule="atLeast"/>
          <w:jc w:val="center"/>
        </w:trPr>
        <w:tc>
          <w:tcPr>
            <w:tcW w:w="156" w:type="pct"/>
            <w:vMerge w:val="continue"/>
            <w:noWrap w:val="0"/>
            <w:tcMar>
              <w:top w:w="0" w:type="dxa"/>
              <w:left w:w="0" w:type="dxa"/>
              <w:bottom w:w="0" w:type="dxa"/>
              <w:right w:w="0" w:type="dxa"/>
            </w:tcMar>
            <w:vAlign w:val="center"/>
          </w:tcPr>
          <w:p w14:paraId="573C3AC5">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5C3837E5">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FF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6D5636D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7BA8A8E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174" w:type="pct"/>
            <w:noWrap w:val="0"/>
            <w:tcMar>
              <w:top w:w="0" w:type="dxa"/>
              <w:left w:w="0" w:type="dxa"/>
              <w:bottom w:w="0" w:type="dxa"/>
              <w:right w:w="0" w:type="dxa"/>
            </w:tcMar>
            <w:vAlign w:val="center"/>
          </w:tcPr>
          <w:p w14:paraId="1293A40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r>
              <w:rPr>
                <w:rFonts w:hint="eastAsia" w:ascii="宋体" w:hAnsi="宋体" w:eastAsia="宋体" w:cs="宋体"/>
                <w:sz w:val="18"/>
                <w:szCs w:val="18"/>
                <w:vertAlign w:val="baseline"/>
                <w:lang w:val="en-US" w:eastAsia="zh-CN"/>
              </w:rPr>
              <w:t>严重</w:t>
            </w:r>
          </w:p>
        </w:tc>
        <w:tc>
          <w:tcPr>
            <w:tcW w:w="561" w:type="pct"/>
            <w:noWrap w:val="0"/>
            <w:tcMar>
              <w:top w:w="0" w:type="dxa"/>
              <w:left w:w="0" w:type="dxa"/>
              <w:bottom w:w="0" w:type="dxa"/>
              <w:right w:w="0" w:type="dxa"/>
            </w:tcMar>
            <w:vAlign w:val="center"/>
          </w:tcPr>
          <w:p w14:paraId="46817A4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rPr>
            </w:pPr>
            <w:r>
              <w:rPr>
                <w:rFonts w:hint="eastAsia" w:ascii="宋体" w:hAnsi="宋体" w:eastAsia="宋体" w:cs="宋体"/>
                <w:sz w:val="18"/>
                <w:szCs w:val="18"/>
                <w:vertAlign w:val="baseline"/>
              </w:rPr>
              <w:t>造成一般及以上质量安全事故的；造成分部工程存在严重缺陷，经返修和加固处理仍不能满足安全使用要求的；造成单位（子单位）工程存在严重缺陷，经返修和加固处理仍不能满足安全使用要求的</w:t>
            </w:r>
          </w:p>
        </w:tc>
        <w:tc>
          <w:tcPr>
            <w:tcW w:w="873" w:type="pct"/>
            <w:noWrap w:val="0"/>
            <w:tcMar>
              <w:top w:w="0" w:type="dxa"/>
              <w:left w:w="0" w:type="dxa"/>
              <w:bottom w:w="0" w:type="dxa"/>
              <w:right w:w="0" w:type="dxa"/>
            </w:tcMar>
            <w:vAlign w:val="center"/>
          </w:tcPr>
          <w:p w14:paraId="2779512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kern w:val="2"/>
                <w:sz w:val="18"/>
                <w:szCs w:val="18"/>
                <w:vertAlign w:val="baseline"/>
                <w:lang w:val="en-US" w:eastAsia="zh-CN" w:bidi="ar-SA"/>
              </w:rPr>
              <w:t>对勘察、设计单位或者工程监理单位处合同约定的勘察费、设计费或者监理酬金2倍的罚款；对施工单位处工程合同价款4%的罚款；有违法所得的，予以没收；对单位直接负责主管人员和其他直接责任人员处单位罚款数额10%的罚款</w:t>
            </w:r>
          </w:p>
        </w:tc>
        <w:tc>
          <w:tcPr>
            <w:tcW w:w="158" w:type="pct"/>
            <w:vMerge w:val="continue"/>
            <w:noWrap w:val="0"/>
            <w:tcMar>
              <w:top w:w="0" w:type="dxa"/>
              <w:left w:w="0" w:type="dxa"/>
              <w:bottom w:w="0" w:type="dxa"/>
              <w:right w:w="0" w:type="dxa"/>
            </w:tcMar>
            <w:vAlign w:val="center"/>
          </w:tcPr>
          <w:p w14:paraId="7B53C9BC">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rPr>
            </w:pPr>
          </w:p>
        </w:tc>
      </w:tr>
      <w:tr w14:paraId="72AC55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restart"/>
            <w:noWrap w:val="0"/>
            <w:tcMar>
              <w:top w:w="0" w:type="dxa"/>
              <w:left w:w="0" w:type="dxa"/>
              <w:bottom w:w="0" w:type="dxa"/>
              <w:right w:w="0" w:type="dxa"/>
            </w:tcMar>
            <w:vAlign w:val="center"/>
          </w:tcPr>
          <w:p w14:paraId="139DD101">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shd w:val="clear" w:color="auto" w:fill="auto"/>
                <w:vertAlign w:val="baseline"/>
                <w:lang w:val="en-US" w:eastAsia="zh-CN"/>
              </w:rPr>
            </w:pPr>
            <w:r>
              <w:rPr>
                <w:rFonts w:hint="eastAsia" w:ascii="宋体" w:hAnsi="宋体" w:eastAsia="宋体" w:cs="宋体"/>
                <w:sz w:val="18"/>
                <w:szCs w:val="18"/>
                <w:shd w:val="clear" w:color="auto" w:fill="auto"/>
                <w:vertAlign w:val="baseline"/>
                <w:lang w:val="en-US" w:eastAsia="zh-CN"/>
              </w:rPr>
              <w:t>66</w:t>
            </w:r>
          </w:p>
        </w:tc>
        <w:tc>
          <w:tcPr>
            <w:tcW w:w="415" w:type="pct"/>
            <w:vMerge w:val="restart"/>
            <w:noWrap w:val="0"/>
            <w:tcMar>
              <w:top w:w="0" w:type="dxa"/>
              <w:left w:w="0" w:type="dxa"/>
              <w:bottom w:w="0" w:type="dxa"/>
              <w:right w:w="0" w:type="dxa"/>
            </w:tcMar>
            <w:vAlign w:val="center"/>
          </w:tcPr>
          <w:p w14:paraId="01C67739">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FF0000"/>
                <w:sz w:val="18"/>
                <w:szCs w:val="18"/>
                <w:vertAlign w:val="baseline"/>
                <w:lang w:val="en-US" w:eastAsia="zh-CN"/>
              </w:rPr>
            </w:pPr>
            <w:r>
              <w:rPr>
                <w:rFonts w:hint="eastAsia" w:ascii="宋体" w:hAnsi="宋体" w:eastAsia="宋体" w:cs="宋体"/>
                <w:sz w:val="18"/>
                <w:szCs w:val="18"/>
                <w:vertAlign w:val="baseline"/>
                <w:lang w:val="en-US" w:eastAsia="zh-CN"/>
              </w:rPr>
              <w:t>对水利领域勘察、设计、施工、监理、质量检测单位超越本单位资质等级承揽工程或者未取得资质证书承揽工程等行为的行政处罚</w:t>
            </w:r>
          </w:p>
        </w:tc>
        <w:tc>
          <w:tcPr>
            <w:tcW w:w="2168" w:type="pct"/>
            <w:vMerge w:val="continue"/>
            <w:noWrap w:val="0"/>
            <w:tcMar>
              <w:top w:w="0" w:type="dxa"/>
              <w:left w:w="0" w:type="dxa"/>
              <w:bottom w:w="0" w:type="dxa"/>
              <w:right w:w="0" w:type="dxa"/>
            </w:tcMar>
            <w:vAlign w:val="center"/>
          </w:tcPr>
          <w:p w14:paraId="3DB7A5E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491" w:type="pct"/>
            <w:vMerge w:val="restart"/>
            <w:noWrap w:val="0"/>
            <w:tcMar>
              <w:top w:w="0" w:type="dxa"/>
              <w:left w:w="0" w:type="dxa"/>
              <w:bottom w:w="0" w:type="dxa"/>
              <w:right w:w="0" w:type="dxa"/>
            </w:tcMar>
            <w:vAlign w:val="center"/>
          </w:tcPr>
          <w:p w14:paraId="2EEF969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r>
              <w:rPr>
                <w:rFonts w:hint="eastAsia" w:ascii="宋体" w:hAnsi="宋体" w:eastAsia="宋体" w:cs="宋体"/>
                <w:sz w:val="18"/>
                <w:szCs w:val="18"/>
                <w:vertAlign w:val="baseline"/>
                <w:lang w:val="en-US" w:eastAsia="zh-CN"/>
              </w:rPr>
              <w:t>勘察、设计、施工、工程监理单位以欺骗手段取得资质证书承揽工程的</w:t>
            </w:r>
          </w:p>
        </w:tc>
        <w:tc>
          <w:tcPr>
            <w:tcW w:w="174" w:type="pct"/>
            <w:noWrap w:val="0"/>
            <w:tcMar>
              <w:top w:w="0" w:type="dxa"/>
              <w:left w:w="0" w:type="dxa"/>
              <w:bottom w:w="0" w:type="dxa"/>
              <w:right w:w="0" w:type="dxa"/>
            </w:tcMar>
            <w:vAlign w:val="center"/>
          </w:tcPr>
          <w:p w14:paraId="4A1501D8">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轻微</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7EB2F30A">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2501395E">
            <w:pPr>
              <w:spacing w:line="260" w:lineRule="exact"/>
              <w:rPr>
                <w:rFonts w:hint="eastAsia" w:ascii="宋体" w:hAnsi="宋体" w:eastAsia="宋体" w:cs="宋体"/>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24A1BAC8">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370568B4">
            <w:pPr>
              <w:spacing w:line="260" w:lineRule="exact"/>
              <w:rPr>
                <w:rFonts w:hint="eastAsia" w:ascii="宋体" w:hAnsi="宋体" w:eastAsia="宋体" w:cs="宋体"/>
                <w:kern w:val="2"/>
                <w:sz w:val="18"/>
                <w:szCs w:val="18"/>
                <w:vertAlign w:val="baseline"/>
                <w:lang w:val="en-US" w:eastAsia="zh-CN" w:bidi="ar-SA"/>
              </w:rPr>
            </w:pPr>
          </w:p>
        </w:tc>
        <w:tc>
          <w:tcPr>
            <w:tcW w:w="158" w:type="pct"/>
            <w:vMerge w:val="restart"/>
            <w:noWrap w:val="0"/>
            <w:tcMar>
              <w:top w:w="0" w:type="dxa"/>
              <w:left w:w="0" w:type="dxa"/>
              <w:bottom w:w="0" w:type="dxa"/>
              <w:right w:w="0" w:type="dxa"/>
            </w:tcMar>
            <w:vAlign w:val="center"/>
          </w:tcPr>
          <w:p w14:paraId="197509C8">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rPr>
            </w:pPr>
          </w:p>
        </w:tc>
      </w:tr>
      <w:tr w14:paraId="45EDC9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25A0B338">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33502117">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FF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05186FE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0CC9854C">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174" w:type="pct"/>
            <w:noWrap w:val="0"/>
            <w:tcMar>
              <w:top w:w="0" w:type="dxa"/>
              <w:left w:w="0" w:type="dxa"/>
              <w:bottom w:w="0" w:type="dxa"/>
              <w:right w:w="0" w:type="dxa"/>
            </w:tcMar>
            <w:vAlign w:val="center"/>
          </w:tcPr>
          <w:p w14:paraId="1034BC0A">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较轻</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12D23855">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5212FF0E">
            <w:pPr>
              <w:spacing w:line="260" w:lineRule="exact"/>
              <w:rPr>
                <w:rFonts w:hint="eastAsia" w:ascii="宋体" w:hAnsi="宋体" w:eastAsia="宋体" w:cs="宋体"/>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51B721C3">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372A0A54">
            <w:pPr>
              <w:spacing w:line="260" w:lineRule="exact"/>
              <w:rPr>
                <w:rFonts w:hint="eastAsia" w:ascii="宋体" w:hAnsi="宋体" w:eastAsia="宋体" w:cs="宋体"/>
                <w:kern w:val="2"/>
                <w:sz w:val="18"/>
                <w:szCs w:val="18"/>
                <w:vertAlign w:val="baseline"/>
                <w:lang w:val="en-US" w:eastAsia="zh-CN" w:bidi="ar-SA"/>
              </w:rPr>
            </w:pPr>
          </w:p>
        </w:tc>
        <w:tc>
          <w:tcPr>
            <w:tcW w:w="158" w:type="pct"/>
            <w:vMerge w:val="continue"/>
            <w:noWrap w:val="0"/>
            <w:tcMar>
              <w:top w:w="0" w:type="dxa"/>
              <w:left w:w="0" w:type="dxa"/>
              <w:bottom w:w="0" w:type="dxa"/>
              <w:right w:w="0" w:type="dxa"/>
            </w:tcMar>
            <w:vAlign w:val="center"/>
          </w:tcPr>
          <w:p w14:paraId="5B6317A1">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rPr>
            </w:pPr>
          </w:p>
        </w:tc>
      </w:tr>
      <w:tr w14:paraId="3DBAF9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474" w:hRule="atLeast"/>
          <w:jc w:val="center"/>
        </w:trPr>
        <w:tc>
          <w:tcPr>
            <w:tcW w:w="156" w:type="pct"/>
            <w:vMerge w:val="continue"/>
            <w:noWrap w:val="0"/>
            <w:tcMar>
              <w:top w:w="0" w:type="dxa"/>
              <w:left w:w="0" w:type="dxa"/>
              <w:bottom w:w="0" w:type="dxa"/>
              <w:right w:w="0" w:type="dxa"/>
            </w:tcMar>
            <w:vAlign w:val="center"/>
          </w:tcPr>
          <w:p w14:paraId="44B2D8C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6BDF2889">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FF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11F3ED0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3218A0C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174" w:type="pct"/>
            <w:noWrap w:val="0"/>
            <w:tcMar>
              <w:top w:w="0" w:type="dxa"/>
              <w:left w:w="0" w:type="dxa"/>
              <w:bottom w:w="0" w:type="dxa"/>
              <w:right w:w="0" w:type="dxa"/>
            </w:tcMar>
            <w:vAlign w:val="center"/>
          </w:tcPr>
          <w:p w14:paraId="2056C84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一般</w:t>
            </w:r>
          </w:p>
        </w:tc>
        <w:tc>
          <w:tcPr>
            <w:tcW w:w="561" w:type="pct"/>
            <w:noWrap w:val="0"/>
            <w:tcMar>
              <w:top w:w="0" w:type="dxa"/>
              <w:left w:w="0" w:type="dxa"/>
              <w:bottom w:w="0" w:type="dxa"/>
              <w:right w:w="0" w:type="dxa"/>
            </w:tcMar>
            <w:vAlign w:val="center"/>
          </w:tcPr>
          <w:p w14:paraId="2F9B999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rPr>
              <w:t>承揽工程尚未实施的</w:t>
            </w:r>
          </w:p>
        </w:tc>
        <w:tc>
          <w:tcPr>
            <w:tcW w:w="873" w:type="pct"/>
            <w:noWrap w:val="0"/>
            <w:tcMar>
              <w:top w:w="0" w:type="dxa"/>
              <w:left w:w="0" w:type="dxa"/>
              <w:bottom w:w="0" w:type="dxa"/>
              <w:right w:w="0" w:type="dxa"/>
            </w:tcMar>
            <w:vAlign w:val="center"/>
          </w:tcPr>
          <w:p w14:paraId="67C7FCEF">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kern w:val="2"/>
                <w:sz w:val="18"/>
                <w:szCs w:val="18"/>
                <w:vertAlign w:val="baseline"/>
                <w:lang w:val="en-US" w:eastAsia="zh-CN" w:bidi="ar-SA"/>
              </w:rPr>
              <w:t>吊销资质证书；有违法所得的，予以没收；对勘察、设计单位或者工程监理单位处合同约定的勘察费、设计费或监理酬金1倍以上1.3倍以下的罚款；对施工单位处工程合同价款2%以上2.5%以下的罚款；对单位直接负责主管人员和其他直接责任人员处单位罚款数额5%以上6.5%以下的罚款</w:t>
            </w:r>
          </w:p>
        </w:tc>
        <w:tc>
          <w:tcPr>
            <w:tcW w:w="158" w:type="pct"/>
            <w:vMerge w:val="continue"/>
            <w:noWrap w:val="0"/>
            <w:tcMar>
              <w:top w:w="0" w:type="dxa"/>
              <w:left w:w="0" w:type="dxa"/>
              <w:bottom w:w="0" w:type="dxa"/>
              <w:right w:w="0" w:type="dxa"/>
            </w:tcMar>
            <w:vAlign w:val="center"/>
          </w:tcPr>
          <w:p w14:paraId="6C7B4F21">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rPr>
            </w:pPr>
          </w:p>
        </w:tc>
      </w:tr>
      <w:tr w14:paraId="1C362F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655" w:hRule="atLeast"/>
          <w:jc w:val="center"/>
        </w:trPr>
        <w:tc>
          <w:tcPr>
            <w:tcW w:w="156" w:type="pct"/>
            <w:vMerge w:val="continue"/>
            <w:noWrap w:val="0"/>
            <w:tcMar>
              <w:top w:w="0" w:type="dxa"/>
              <w:left w:w="0" w:type="dxa"/>
              <w:bottom w:w="0" w:type="dxa"/>
              <w:right w:w="0" w:type="dxa"/>
            </w:tcMar>
            <w:vAlign w:val="center"/>
          </w:tcPr>
          <w:p w14:paraId="513AF699">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527B4128">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FF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73BAC1B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09B9E95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174" w:type="pct"/>
            <w:noWrap w:val="0"/>
            <w:tcMar>
              <w:top w:w="0" w:type="dxa"/>
              <w:left w:w="0" w:type="dxa"/>
              <w:bottom w:w="0" w:type="dxa"/>
              <w:right w:w="0" w:type="dxa"/>
            </w:tcMar>
            <w:vAlign w:val="center"/>
          </w:tcPr>
          <w:p w14:paraId="48451569">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较重</w:t>
            </w:r>
          </w:p>
        </w:tc>
        <w:tc>
          <w:tcPr>
            <w:tcW w:w="561" w:type="pct"/>
            <w:noWrap w:val="0"/>
            <w:tcMar>
              <w:top w:w="0" w:type="dxa"/>
              <w:left w:w="0" w:type="dxa"/>
              <w:bottom w:w="0" w:type="dxa"/>
              <w:right w:w="0" w:type="dxa"/>
            </w:tcMar>
            <w:vAlign w:val="center"/>
          </w:tcPr>
          <w:p w14:paraId="7F8FC9B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rPr>
            </w:pPr>
            <w:r>
              <w:rPr>
                <w:rFonts w:hint="eastAsia" w:ascii="宋体" w:hAnsi="宋体" w:eastAsia="宋体" w:cs="宋体"/>
                <w:sz w:val="18"/>
                <w:szCs w:val="18"/>
                <w:vertAlign w:val="baseline"/>
              </w:rPr>
              <w:t>承揽工程形象进度未</w:t>
            </w:r>
          </w:p>
          <w:p w14:paraId="3B81D08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rPr>
            </w:pPr>
            <w:r>
              <w:rPr>
                <w:rFonts w:hint="eastAsia" w:ascii="宋体" w:hAnsi="宋体" w:eastAsia="宋体" w:cs="宋体"/>
                <w:sz w:val="18"/>
                <w:szCs w:val="18"/>
                <w:vertAlign w:val="baseline"/>
              </w:rPr>
              <w:t>超过50%的</w:t>
            </w:r>
          </w:p>
        </w:tc>
        <w:tc>
          <w:tcPr>
            <w:tcW w:w="873" w:type="pct"/>
            <w:noWrap w:val="0"/>
            <w:tcMar>
              <w:top w:w="0" w:type="dxa"/>
              <w:left w:w="0" w:type="dxa"/>
              <w:bottom w:w="0" w:type="dxa"/>
              <w:right w:w="0" w:type="dxa"/>
            </w:tcMar>
            <w:vAlign w:val="center"/>
          </w:tcPr>
          <w:p w14:paraId="6F2C205B">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kern w:val="2"/>
                <w:sz w:val="18"/>
                <w:szCs w:val="18"/>
                <w:vertAlign w:val="baseline"/>
                <w:lang w:val="en-US" w:eastAsia="zh-CN" w:bidi="ar-SA"/>
              </w:rPr>
              <w:t>吊销资质证书；有违法所得的，予以没收；对勘察、设计单位或者工程监理单位处合同约定的勘察费、设计费或监理酬金1.3倍以上1.7倍以下的罚款；对施工单位处工程合同价款2.5%以上3.5%以下的罚款；对单位直接负责主管人员和其他直接责任人员处单位罚款数额6.5%以上8.5%以下的罚款</w:t>
            </w:r>
          </w:p>
        </w:tc>
        <w:tc>
          <w:tcPr>
            <w:tcW w:w="158" w:type="pct"/>
            <w:vMerge w:val="continue"/>
            <w:noWrap w:val="0"/>
            <w:tcMar>
              <w:top w:w="0" w:type="dxa"/>
              <w:left w:w="0" w:type="dxa"/>
              <w:bottom w:w="0" w:type="dxa"/>
              <w:right w:w="0" w:type="dxa"/>
            </w:tcMar>
            <w:vAlign w:val="center"/>
          </w:tcPr>
          <w:p w14:paraId="43A57B3B">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rPr>
            </w:pPr>
          </w:p>
        </w:tc>
      </w:tr>
      <w:tr w14:paraId="3D0DD6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12" w:hRule="atLeast"/>
          <w:jc w:val="center"/>
        </w:trPr>
        <w:tc>
          <w:tcPr>
            <w:tcW w:w="156" w:type="pct"/>
            <w:vMerge w:val="continue"/>
            <w:noWrap w:val="0"/>
            <w:tcMar>
              <w:top w:w="0" w:type="dxa"/>
              <w:left w:w="0" w:type="dxa"/>
              <w:bottom w:w="0" w:type="dxa"/>
              <w:right w:w="0" w:type="dxa"/>
            </w:tcMar>
            <w:vAlign w:val="center"/>
          </w:tcPr>
          <w:p w14:paraId="2057DCBB">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47B96E1D">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FF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6A20906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5AC27A8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174" w:type="pct"/>
            <w:noWrap w:val="0"/>
            <w:tcMar>
              <w:top w:w="0" w:type="dxa"/>
              <w:left w:w="0" w:type="dxa"/>
              <w:bottom w:w="0" w:type="dxa"/>
              <w:right w:w="0" w:type="dxa"/>
            </w:tcMar>
            <w:vAlign w:val="center"/>
          </w:tcPr>
          <w:p w14:paraId="1C92240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严重</w:t>
            </w:r>
          </w:p>
        </w:tc>
        <w:tc>
          <w:tcPr>
            <w:tcW w:w="561" w:type="pct"/>
            <w:noWrap w:val="0"/>
            <w:tcMar>
              <w:top w:w="0" w:type="dxa"/>
              <w:left w:w="0" w:type="dxa"/>
              <w:bottom w:w="0" w:type="dxa"/>
              <w:right w:w="0" w:type="dxa"/>
            </w:tcMar>
            <w:vAlign w:val="center"/>
          </w:tcPr>
          <w:p w14:paraId="0505D69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rPr>
            </w:pPr>
            <w:r>
              <w:rPr>
                <w:rFonts w:hint="eastAsia" w:ascii="宋体" w:hAnsi="宋体" w:eastAsia="宋体" w:cs="宋体"/>
                <w:sz w:val="18"/>
                <w:szCs w:val="18"/>
                <w:vertAlign w:val="baseline"/>
              </w:rPr>
              <w:t>承揽工程形象进度超过50%的；发生质量安全事故的；造成严重社会影响的</w:t>
            </w:r>
          </w:p>
        </w:tc>
        <w:tc>
          <w:tcPr>
            <w:tcW w:w="873" w:type="pct"/>
            <w:noWrap w:val="0"/>
            <w:tcMar>
              <w:top w:w="0" w:type="dxa"/>
              <w:left w:w="0" w:type="dxa"/>
              <w:bottom w:w="0" w:type="dxa"/>
              <w:right w:w="0" w:type="dxa"/>
            </w:tcMar>
            <w:vAlign w:val="center"/>
          </w:tcPr>
          <w:p w14:paraId="67786F0D">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kern w:val="2"/>
                <w:sz w:val="18"/>
                <w:szCs w:val="18"/>
                <w:vertAlign w:val="baseline"/>
                <w:lang w:val="en-US" w:eastAsia="zh-CN" w:bidi="ar-SA"/>
              </w:rPr>
              <w:t>吊销资质证书；有违法所得的，予以没收；对勘察、设计单位或者工程监理单位处合同约定的勘察费、设计费或监理酬金1.7倍以上2倍以下的罚款；对施工单位处工程合同价款3.5%以上4%以下的罚款；对单位直接负责主管人员和其他直接责任人员处单位罚款数额8.5%以上10%以下的罚款</w:t>
            </w:r>
          </w:p>
        </w:tc>
        <w:tc>
          <w:tcPr>
            <w:tcW w:w="158" w:type="pct"/>
            <w:vMerge w:val="continue"/>
            <w:noWrap w:val="0"/>
            <w:tcMar>
              <w:top w:w="0" w:type="dxa"/>
              <w:left w:w="0" w:type="dxa"/>
              <w:bottom w:w="0" w:type="dxa"/>
              <w:right w:w="0" w:type="dxa"/>
            </w:tcMar>
            <w:vAlign w:val="center"/>
          </w:tcPr>
          <w:p w14:paraId="64FFEFD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rPr>
            </w:pPr>
          </w:p>
        </w:tc>
      </w:tr>
      <w:tr w14:paraId="0F8BF0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restart"/>
            <w:noWrap w:val="0"/>
            <w:tcMar>
              <w:top w:w="0" w:type="dxa"/>
              <w:left w:w="0" w:type="dxa"/>
              <w:bottom w:w="0" w:type="dxa"/>
              <w:right w:w="0" w:type="dxa"/>
            </w:tcMar>
            <w:vAlign w:val="center"/>
          </w:tcPr>
          <w:p w14:paraId="1E3C2490">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shd w:val="clear" w:color="auto" w:fill="auto"/>
                <w:vertAlign w:val="baseline"/>
                <w:lang w:val="en-US" w:eastAsia="zh-CN"/>
              </w:rPr>
            </w:pPr>
            <w:r>
              <w:rPr>
                <w:rFonts w:hint="eastAsia" w:ascii="宋体" w:hAnsi="宋体" w:eastAsia="宋体" w:cs="宋体"/>
                <w:sz w:val="18"/>
                <w:szCs w:val="18"/>
                <w:shd w:val="clear" w:color="auto" w:fill="auto"/>
                <w:vertAlign w:val="baseline"/>
                <w:lang w:val="en-US" w:eastAsia="zh-CN"/>
              </w:rPr>
              <w:t>67</w:t>
            </w:r>
          </w:p>
        </w:tc>
        <w:tc>
          <w:tcPr>
            <w:tcW w:w="415" w:type="pct"/>
            <w:vMerge w:val="restart"/>
            <w:noWrap w:val="0"/>
            <w:tcMar>
              <w:top w:w="0" w:type="dxa"/>
              <w:left w:w="0" w:type="dxa"/>
              <w:bottom w:w="0" w:type="dxa"/>
              <w:right w:w="0" w:type="dxa"/>
            </w:tcMar>
            <w:vAlign w:val="center"/>
          </w:tcPr>
          <w:p w14:paraId="25C44BAB">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对水利领域转让、出借资质证书或者以其他方式允许他人以本企业的名义承揽工程、投标等行为的行政处罚</w:t>
            </w:r>
          </w:p>
        </w:tc>
        <w:tc>
          <w:tcPr>
            <w:tcW w:w="2168" w:type="pct"/>
            <w:vMerge w:val="restart"/>
            <w:noWrap w:val="0"/>
            <w:tcMar>
              <w:top w:w="0" w:type="dxa"/>
              <w:left w:w="0" w:type="dxa"/>
              <w:bottom w:w="0" w:type="dxa"/>
              <w:right w:w="0" w:type="dxa"/>
            </w:tcMar>
            <w:vAlign w:val="center"/>
          </w:tcPr>
          <w:p w14:paraId="72793D70">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sz w:val="18"/>
                <w:szCs w:val="18"/>
                <w:vertAlign w:val="baseline"/>
                <w:lang w:val="en-US" w:eastAsia="zh-CN"/>
              </w:rPr>
            </w:pPr>
            <w:r>
              <w:rPr>
                <w:rFonts w:hint="eastAsia" w:ascii="宋体" w:hAnsi="宋体" w:eastAsia="宋体" w:cs="宋体"/>
                <w:sz w:val="18"/>
                <w:szCs w:val="18"/>
                <w:vertAlign w:val="baseline"/>
                <w:lang w:val="en-US" w:eastAsia="zh-CN"/>
              </w:rPr>
              <w:t>《中华人民共和国建筑法》第六十六条 建筑施工企业转让、出借资质证书或者以其他方式允许他人以本企业的名义承揽工程的，责令改正，没收违法所得，并处罚款，可以责令停业整顿，降低资质等级；情节严重的，吊销资质证书。对因该项承揽工程不符合规定的质量标准造成的损失，建筑施工企业与使用本企业名义的单位或者个人承担连带赔偿责任。</w:t>
            </w:r>
          </w:p>
          <w:p w14:paraId="3130AA52">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sz w:val="18"/>
                <w:szCs w:val="18"/>
                <w:vertAlign w:val="baseline"/>
                <w:lang w:val="en-US" w:eastAsia="zh-CN"/>
              </w:rPr>
            </w:pPr>
            <w:r>
              <w:rPr>
                <w:rFonts w:hint="eastAsia" w:ascii="宋体" w:hAnsi="宋体" w:eastAsia="宋体" w:cs="宋体"/>
                <w:sz w:val="18"/>
                <w:szCs w:val="18"/>
                <w:vertAlign w:val="baseline"/>
                <w:lang w:val="en-US" w:eastAsia="zh-CN"/>
              </w:rPr>
              <w:t>《建设工程质量管理条例》第六十一条 违反本条例规定，勘察、设计、施工、工程监理单位允许其他单位或者个人以本单位名义承揽工程的，责令改正，没收违法所得，对勘察、设计单位和工程监理单位处合同约定的勘察费、设计费和监理酬金1倍以上2倍以下的罚款；对施工单位处工程合同价款2%以上4%以下的罚款；可以责令停业整顿，降低资质等级；情节严重的，吊销资质证书。</w:t>
            </w:r>
          </w:p>
          <w:p w14:paraId="285E1308">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sz w:val="18"/>
                <w:szCs w:val="18"/>
                <w:vertAlign w:val="baseline"/>
                <w:lang w:val="en-US" w:eastAsia="zh-CN"/>
              </w:rPr>
            </w:pPr>
            <w:r>
              <w:rPr>
                <w:rFonts w:hint="eastAsia" w:ascii="宋体" w:hAnsi="宋体" w:eastAsia="宋体" w:cs="宋体"/>
                <w:sz w:val="18"/>
                <w:szCs w:val="18"/>
                <w:vertAlign w:val="baseline"/>
                <w:lang w:val="en-US" w:eastAsia="zh-CN"/>
              </w:rPr>
              <w:t>第七十三条 依照本条例规定，给予单位罚款处罚的，对单位直接负责的主管人员和其他直接责任人员处单位罚款数额百分之五以上百分之十以下的罚款。</w:t>
            </w:r>
          </w:p>
          <w:p w14:paraId="283A97A3">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sz w:val="18"/>
                <w:szCs w:val="18"/>
                <w:vertAlign w:val="baseline"/>
                <w:lang w:val="en-US" w:eastAsia="zh-CN"/>
              </w:rPr>
            </w:pPr>
            <w:r>
              <w:rPr>
                <w:rFonts w:hint="eastAsia" w:ascii="宋体" w:hAnsi="宋体" w:eastAsia="宋体" w:cs="宋体"/>
                <w:sz w:val="18"/>
                <w:szCs w:val="18"/>
                <w:vertAlign w:val="baseline"/>
                <w:lang w:val="en-US" w:eastAsia="zh-CN"/>
              </w:rPr>
              <w:t>《中华人民共和国招标投标法实施条例》第六十九条  出让或者出租资格、资质证书供他人投标的，依照法律、行政法规的规定给予行政处罚；构成犯罪的，依法追究刑事责任。</w:t>
            </w:r>
          </w:p>
          <w:p w14:paraId="5514635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r>
              <w:rPr>
                <w:rFonts w:hint="eastAsia" w:ascii="宋体" w:hAnsi="宋体" w:eastAsia="宋体" w:cs="宋体"/>
                <w:sz w:val="18"/>
                <w:szCs w:val="18"/>
                <w:vertAlign w:val="baseline"/>
                <w:lang w:val="en-US" w:eastAsia="zh-CN"/>
              </w:rPr>
              <w:t>《水利工程质量管理规定》第六十三条 违反本规定，勘察、设计、施工、监理单位允许其他单位或者个人以本单位名义承揽工程的，依照《建设工程质量管理条例》第六十一条规定，由水行政主管部门或者流域管理机构依据职权责令改正，没收违法所得，对勘察、设计或者监理单位处合同约定的勘察费、设计费或者监理酬金1倍以上2倍以下的罚款；对施工单位处工程合同价款2%以上4%以下的罚款。</w:t>
            </w:r>
          </w:p>
          <w:p w14:paraId="2916EC9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r>
              <w:rPr>
                <w:rFonts w:hint="eastAsia" w:ascii="宋体" w:hAnsi="宋体" w:eastAsia="宋体" w:cs="宋体"/>
                <w:sz w:val="18"/>
                <w:szCs w:val="18"/>
                <w:vertAlign w:val="baseline"/>
                <w:lang w:val="en-US" w:eastAsia="zh-CN"/>
              </w:rPr>
              <w:t>第七十三条 有关单位违反本规定，依法应当责令停业整顿、降低资质等级或者吊销资质证书的，依照《建设工程质量管理条例》第七十五条、《建设工程勘察设计管理条例》第四十二条的规定处罚。</w:t>
            </w:r>
          </w:p>
          <w:p w14:paraId="271DB92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r>
              <w:rPr>
                <w:rFonts w:hint="eastAsia" w:ascii="宋体" w:hAnsi="宋体" w:eastAsia="宋体" w:cs="宋体"/>
                <w:sz w:val="18"/>
                <w:szCs w:val="18"/>
                <w:vertAlign w:val="baseline"/>
                <w:lang w:val="en-US" w:eastAsia="zh-CN"/>
              </w:rPr>
              <w:t>依照《建设工程质量管理条例》给予单位罚款处罚的，对单位直接负责的主管人员和其他直接责任人员处单位罚款数额5%以上10%以下的罚款。</w:t>
            </w:r>
          </w:p>
          <w:p w14:paraId="66D91847">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r>
              <w:rPr>
                <w:rFonts w:hint="eastAsia" w:ascii="宋体" w:hAnsi="宋体" w:eastAsia="宋体" w:cs="宋体"/>
                <w:sz w:val="18"/>
                <w:szCs w:val="18"/>
                <w:vertAlign w:val="baseline"/>
                <w:lang w:val="en-US" w:eastAsia="zh-CN"/>
              </w:rPr>
              <w:t>《水利工程建设监理规定》第二十七条 监理单位有下列行为之一的，依照《建设工程质量管理条例》第六十条、第六十一条、第六十二条、第六十七条、第六十八条处罚：</w:t>
            </w:r>
          </w:p>
          <w:p w14:paraId="59FDE47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r>
              <w:rPr>
                <w:rFonts w:hint="eastAsia" w:ascii="宋体" w:hAnsi="宋体" w:eastAsia="宋体" w:cs="宋体"/>
                <w:sz w:val="18"/>
                <w:szCs w:val="18"/>
                <w:vertAlign w:val="baseline"/>
                <w:lang w:val="en-US" w:eastAsia="zh-CN"/>
              </w:rPr>
              <w:t>（四）允许其他单位或者个人以本单位名义承揽监理业务的；</w:t>
            </w:r>
          </w:p>
          <w:p w14:paraId="103C869C">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r>
              <w:rPr>
                <w:rFonts w:hint="eastAsia" w:ascii="宋体" w:hAnsi="宋体" w:eastAsia="宋体" w:cs="宋体"/>
                <w:sz w:val="18"/>
                <w:szCs w:val="18"/>
                <w:vertAlign w:val="baseline"/>
                <w:lang w:val="en-US" w:eastAsia="zh-CN"/>
              </w:rPr>
              <w:t>《水利工程质量检测管理规定》第二十七条 检测单位违反本规定，有下列行为之一的，由县级以上人民政府水行政主管部门责令改正，有违法所得的，没收违法所得，可并处1万元以上3万元以下的罚款；构成犯罪的，依法追究刑事责任：</w:t>
            </w:r>
          </w:p>
          <w:p w14:paraId="49FDB7A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r>
              <w:rPr>
                <w:rFonts w:hint="eastAsia" w:ascii="宋体" w:hAnsi="宋体" w:eastAsia="宋体" w:cs="宋体"/>
                <w:sz w:val="18"/>
                <w:szCs w:val="18"/>
                <w:vertAlign w:val="baseline"/>
                <w:lang w:val="en-US" w:eastAsia="zh-CN"/>
              </w:rPr>
              <w:t>（二）涂改、倒卖、出租、出借或者以其他形式非法转让《资质等级证书》的；</w:t>
            </w:r>
          </w:p>
          <w:p w14:paraId="162D0A1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r>
              <w:rPr>
                <w:rFonts w:hint="eastAsia" w:ascii="宋体" w:hAnsi="宋体" w:eastAsia="宋体" w:cs="宋体"/>
                <w:sz w:val="18"/>
                <w:szCs w:val="18"/>
                <w:vertAlign w:val="baseline"/>
                <w:lang w:val="en-US" w:eastAsia="zh-CN"/>
              </w:rPr>
              <w:t>（八）转包、违规分包检测业务的。</w:t>
            </w:r>
          </w:p>
        </w:tc>
        <w:tc>
          <w:tcPr>
            <w:tcW w:w="491" w:type="pct"/>
            <w:vMerge w:val="restart"/>
            <w:noWrap w:val="0"/>
            <w:tcMar>
              <w:top w:w="0" w:type="dxa"/>
              <w:left w:w="0" w:type="dxa"/>
              <w:bottom w:w="0" w:type="dxa"/>
              <w:right w:w="0" w:type="dxa"/>
            </w:tcMar>
            <w:vAlign w:val="center"/>
          </w:tcPr>
          <w:p w14:paraId="5EC69FF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r>
              <w:rPr>
                <w:rFonts w:hint="eastAsia" w:ascii="宋体" w:hAnsi="宋体" w:eastAsia="宋体" w:cs="宋体"/>
                <w:sz w:val="18"/>
                <w:szCs w:val="18"/>
                <w:vertAlign w:val="baseline"/>
                <w:lang w:val="en-US" w:eastAsia="zh-CN"/>
              </w:rPr>
              <w:t>水利领域转让、出借资质证书或者以其他方式允许他人以本企业的名义承揽工程、投标等行为的</w:t>
            </w:r>
          </w:p>
        </w:tc>
        <w:tc>
          <w:tcPr>
            <w:tcW w:w="174" w:type="pct"/>
            <w:noWrap w:val="0"/>
            <w:tcMar>
              <w:top w:w="0" w:type="dxa"/>
              <w:left w:w="0" w:type="dxa"/>
              <w:bottom w:w="0" w:type="dxa"/>
              <w:right w:w="0" w:type="dxa"/>
            </w:tcMar>
            <w:vAlign w:val="center"/>
          </w:tcPr>
          <w:p w14:paraId="7E7CFA5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轻微</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1E227A16">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53257ED6">
            <w:pPr>
              <w:spacing w:line="260" w:lineRule="exact"/>
              <w:rPr>
                <w:rFonts w:hint="eastAsia" w:ascii="宋体" w:hAnsi="宋体" w:eastAsia="宋体" w:cs="宋体"/>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23BB70BA">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272B52B6">
            <w:pPr>
              <w:spacing w:line="260" w:lineRule="exact"/>
              <w:rPr>
                <w:rFonts w:hint="eastAsia" w:ascii="宋体" w:hAnsi="宋体" w:eastAsia="宋体" w:cs="宋体"/>
                <w:kern w:val="2"/>
                <w:sz w:val="18"/>
                <w:szCs w:val="18"/>
                <w:vertAlign w:val="baseline"/>
                <w:lang w:val="en-US" w:eastAsia="zh-CN" w:bidi="ar-SA"/>
              </w:rPr>
            </w:pPr>
          </w:p>
        </w:tc>
        <w:tc>
          <w:tcPr>
            <w:tcW w:w="158" w:type="pct"/>
            <w:vMerge w:val="restart"/>
            <w:noWrap w:val="0"/>
            <w:tcMar>
              <w:top w:w="0" w:type="dxa"/>
              <w:left w:w="0" w:type="dxa"/>
              <w:bottom w:w="0" w:type="dxa"/>
              <w:right w:w="0" w:type="dxa"/>
            </w:tcMar>
            <w:vAlign w:val="center"/>
          </w:tcPr>
          <w:p w14:paraId="1708BBB0">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rPr>
            </w:pPr>
          </w:p>
        </w:tc>
      </w:tr>
      <w:tr w14:paraId="0811D5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602" w:hRule="atLeast"/>
          <w:jc w:val="center"/>
        </w:trPr>
        <w:tc>
          <w:tcPr>
            <w:tcW w:w="156" w:type="pct"/>
            <w:vMerge w:val="continue"/>
            <w:noWrap w:val="0"/>
            <w:tcMar>
              <w:top w:w="0" w:type="dxa"/>
              <w:left w:w="0" w:type="dxa"/>
              <w:bottom w:w="0" w:type="dxa"/>
              <w:right w:w="0" w:type="dxa"/>
            </w:tcMar>
            <w:vAlign w:val="center"/>
          </w:tcPr>
          <w:p w14:paraId="63DA3D3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62CFCD93">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FF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3BF82A6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1246F96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174" w:type="pct"/>
            <w:noWrap w:val="0"/>
            <w:tcMar>
              <w:top w:w="0" w:type="dxa"/>
              <w:left w:w="0" w:type="dxa"/>
              <w:bottom w:w="0" w:type="dxa"/>
              <w:right w:w="0" w:type="dxa"/>
            </w:tcMar>
            <w:vAlign w:val="center"/>
          </w:tcPr>
          <w:p w14:paraId="060EC33B">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较轻</w:t>
            </w:r>
          </w:p>
        </w:tc>
        <w:tc>
          <w:tcPr>
            <w:tcW w:w="561" w:type="pct"/>
            <w:noWrap w:val="0"/>
            <w:tcMar>
              <w:top w:w="0" w:type="dxa"/>
              <w:left w:w="0" w:type="dxa"/>
              <w:bottom w:w="0" w:type="dxa"/>
              <w:right w:w="0" w:type="dxa"/>
            </w:tcMar>
            <w:vAlign w:val="center"/>
          </w:tcPr>
          <w:p w14:paraId="23B7560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rPr>
            </w:pPr>
            <w:r>
              <w:rPr>
                <w:rFonts w:hint="eastAsia" w:ascii="宋体" w:hAnsi="宋体" w:eastAsia="宋体" w:cs="宋体"/>
                <w:sz w:val="18"/>
                <w:szCs w:val="18"/>
                <w:vertAlign w:val="baseline"/>
              </w:rPr>
              <w:t>承揽工程尚未实施的</w:t>
            </w:r>
          </w:p>
        </w:tc>
        <w:tc>
          <w:tcPr>
            <w:tcW w:w="873" w:type="pct"/>
            <w:noWrap w:val="0"/>
            <w:tcMar>
              <w:top w:w="0" w:type="dxa"/>
              <w:left w:w="0" w:type="dxa"/>
              <w:bottom w:w="0" w:type="dxa"/>
              <w:right w:w="0" w:type="dxa"/>
            </w:tcMar>
            <w:vAlign w:val="center"/>
          </w:tcPr>
          <w:p w14:paraId="67FA58E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kern w:val="2"/>
                <w:sz w:val="18"/>
                <w:szCs w:val="18"/>
                <w:vertAlign w:val="baseline"/>
                <w:lang w:val="en-US" w:eastAsia="zh-CN" w:bidi="ar-SA"/>
              </w:rPr>
              <w:t>没收违法所得；对勘察、设计单位或者工程监理单位处合同约定的勘察费、设计费或监理酬金1倍以上1.3倍以下的罚款；对施工单位处工程合同价款2%以上2.5%以下的罚款；对单位直接负责主管人员和其他直接责任人员处单位罚款数额5%以上6.5%以下的罚款</w:t>
            </w:r>
          </w:p>
        </w:tc>
        <w:tc>
          <w:tcPr>
            <w:tcW w:w="158" w:type="pct"/>
            <w:vMerge w:val="continue"/>
            <w:noWrap w:val="0"/>
            <w:tcMar>
              <w:top w:w="0" w:type="dxa"/>
              <w:left w:w="0" w:type="dxa"/>
              <w:bottom w:w="0" w:type="dxa"/>
              <w:right w:w="0" w:type="dxa"/>
            </w:tcMar>
            <w:vAlign w:val="center"/>
          </w:tcPr>
          <w:p w14:paraId="127FE2C0">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rPr>
            </w:pPr>
          </w:p>
        </w:tc>
      </w:tr>
      <w:tr w14:paraId="446002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614" w:hRule="atLeast"/>
          <w:jc w:val="center"/>
        </w:trPr>
        <w:tc>
          <w:tcPr>
            <w:tcW w:w="156" w:type="pct"/>
            <w:vMerge w:val="continue"/>
            <w:noWrap w:val="0"/>
            <w:tcMar>
              <w:top w:w="0" w:type="dxa"/>
              <w:left w:w="0" w:type="dxa"/>
              <w:bottom w:w="0" w:type="dxa"/>
              <w:right w:w="0" w:type="dxa"/>
            </w:tcMar>
            <w:vAlign w:val="center"/>
          </w:tcPr>
          <w:p w14:paraId="49305C0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28EB1D00">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FF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423643D7">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08AEB8E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174" w:type="pct"/>
            <w:noWrap w:val="0"/>
            <w:tcMar>
              <w:top w:w="0" w:type="dxa"/>
              <w:left w:w="0" w:type="dxa"/>
              <w:bottom w:w="0" w:type="dxa"/>
              <w:right w:w="0" w:type="dxa"/>
            </w:tcMar>
            <w:vAlign w:val="center"/>
          </w:tcPr>
          <w:p w14:paraId="4648D010">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一般</w:t>
            </w:r>
          </w:p>
        </w:tc>
        <w:tc>
          <w:tcPr>
            <w:tcW w:w="561" w:type="pct"/>
            <w:noWrap w:val="0"/>
            <w:tcMar>
              <w:top w:w="0" w:type="dxa"/>
              <w:left w:w="0" w:type="dxa"/>
              <w:bottom w:w="0" w:type="dxa"/>
              <w:right w:w="0" w:type="dxa"/>
            </w:tcMar>
            <w:vAlign w:val="center"/>
          </w:tcPr>
          <w:p w14:paraId="6BA2040C">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rPr>
            </w:pPr>
            <w:r>
              <w:rPr>
                <w:rFonts w:hint="eastAsia" w:ascii="宋体" w:hAnsi="宋体" w:eastAsia="宋体" w:cs="宋体"/>
                <w:sz w:val="18"/>
                <w:szCs w:val="18"/>
                <w:vertAlign w:val="baseline"/>
              </w:rPr>
              <w:t>承揽工程已经实施的</w:t>
            </w:r>
          </w:p>
        </w:tc>
        <w:tc>
          <w:tcPr>
            <w:tcW w:w="873" w:type="pct"/>
            <w:noWrap w:val="0"/>
            <w:tcMar>
              <w:top w:w="0" w:type="dxa"/>
              <w:left w:w="0" w:type="dxa"/>
              <w:bottom w:w="0" w:type="dxa"/>
              <w:right w:w="0" w:type="dxa"/>
            </w:tcMar>
            <w:vAlign w:val="center"/>
          </w:tcPr>
          <w:p w14:paraId="146983E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kern w:val="2"/>
                <w:sz w:val="18"/>
                <w:szCs w:val="18"/>
                <w:vertAlign w:val="baseline"/>
                <w:lang w:val="en-US" w:eastAsia="zh-CN" w:bidi="ar-SA"/>
              </w:rPr>
              <w:t>没收违法所得；对勘察、设计单位或者工程监理单位处合同约定的勘察费、设计费或监理酬金1.3倍以上1.7倍以下的罚款。对施工单位处工程合同价款2.5%以上3.5%以下的罚款；对单位直接负责主管人员和其他直接责任人员处单位罚款数额6.5%以上8.5%以下的罚款</w:t>
            </w:r>
          </w:p>
        </w:tc>
        <w:tc>
          <w:tcPr>
            <w:tcW w:w="158" w:type="pct"/>
            <w:vMerge w:val="continue"/>
            <w:noWrap w:val="0"/>
            <w:tcMar>
              <w:top w:w="0" w:type="dxa"/>
              <w:left w:w="0" w:type="dxa"/>
              <w:bottom w:w="0" w:type="dxa"/>
              <w:right w:w="0" w:type="dxa"/>
            </w:tcMar>
            <w:vAlign w:val="center"/>
          </w:tcPr>
          <w:p w14:paraId="16B8832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rPr>
            </w:pPr>
          </w:p>
        </w:tc>
      </w:tr>
      <w:tr w14:paraId="702637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758" w:hRule="atLeast"/>
          <w:jc w:val="center"/>
        </w:trPr>
        <w:tc>
          <w:tcPr>
            <w:tcW w:w="156" w:type="pct"/>
            <w:vMerge w:val="continue"/>
            <w:noWrap w:val="0"/>
            <w:tcMar>
              <w:top w:w="0" w:type="dxa"/>
              <w:left w:w="0" w:type="dxa"/>
              <w:bottom w:w="0" w:type="dxa"/>
              <w:right w:w="0" w:type="dxa"/>
            </w:tcMar>
            <w:vAlign w:val="center"/>
          </w:tcPr>
          <w:p w14:paraId="550B2489">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2CC66961">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FF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1C25F4C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1F8A24C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174" w:type="pct"/>
            <w:noWrap w:val="0"/>
            <w:tcMar>
              <w:top w:w="0" w:type="dxa"/>
              <w:left w:w="0" w:type="dxa"/>
              <w:bottom w:w="0" w:type="dxa"/>
              <w:right w:w="0" w:type="dxa"/>
            </w:tcMar>
            <w:vAlign w:val="center"/>
          </w:tcPr>
          <w:p w14:paraId="0DF25FE8">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较重</w:t>
            </w:r>
          </w:p>
        </w:tc>
        <w:tc>
          <w:tcPr>
            <w:tcW w:w="561" w:type="pct"/>
            <w:noWrap w:val="0"/>
            <w:tcMar>
              <w:top w:w="0" w:type="dxa"/>
              <w:left w:w="0" w:type="dxa"/>
              <w:bottom w:w="0" w:type="dxa"/>
              <w:right w:w="0" w:type="dxa"/>
            </w:tcMar>
            <w:vAlign w:val="center"/>
          </w:tcPr>
          <w:p w14:paraId="054A424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rPr>
            </w:pPr>
            <w:r>
              <w:rPr>
                <w:rFonts w:hint="eastAsia" w:ascii="宋体" w:hAnsi="宋体" w:eastAsia="宋体" w:cs="宋体"/>
                <w:sz w:val="18"/>
                <w:szCs w:val="18"/>
                <w:vertAlign w:val="baseline"/>
              </w:rPr>
              <w:t>2年内2次及以上同类型违法的；造成严重社会影响的</w:t>
            </w:r>
          </w:p>
        </w:tc>
        <w:tc>
          <w:tcPr>
            <w:tcW w:w="873" w:type="pct"/>
            <w:noWrap w:val="0"/>
            <w:tcMar>
              <w:top w:w="0" w:type="dxa"/>
              <w:left w:w="0" w:type="dxa"/>
              <w:bottom w:w="0" w:type="dxa"/>
              <w:right w:w="0" w:type="dxa"/>
            </w:tcMar>
            <w:vAlign w:val="center"/>
          </w:tcPr>
          <w:p w14:paraId="1928AEC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kern w:val="2"/>
                <w:sz w:val="18"/>
                <w:szCs w:val="18"/>
                <w:vertAlign w:val="baseline"/>
                <w:lang w:val="en-US" w:eastAsia="zh-CN" w:bidi="ar-SA"/>
              </w:rPr>
              <w:t>没收违法所得；对勘察、设计单位或者工程监理单位处合同约定的勘察费、设计费或监理酬金1.7倍以上2倍以下的罚款；对施工单位处工程合同价款3.5%以上4%以下的罚款。责令停业整顿30-60日；对单位直接负责主管人员和其他直接责任人员处单位罚款数额8.5%以上10%以下的罚款</w:t>
            </w:r>
          </w:p>
        </w:tc>
        <w:tc>
          <w:tcPr>
            <w:tcW w:w="158" w:type="pct"/>
            <w:vMerge w:val="continue"/>
            <w:noWrap w:val="0"/>
            <w:tcMar>
              <w:top w:w="0" w:type="dxa"/>
              <w:left w:w="0" w:type="dxa"/>
              <w:bottom w:w="0" w:type="dxa"/>
              <w:right w:w="0" w:type="dxa"/>
            </w:tcMar>
            <w:vAlign w:val="center"/>
          </w:tcPr>
          <w:p w14:paraId="309C20A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rPr>
            </w:pPr>
          </w:p>
        </w:tc>
      </w:tr>
      <w:tr w14:paraId="4489DE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77" w:hRule="atLeast"/>
          <w:jc w:val="center"/>
        </w:trPr>
        <w:tc>
          <w:tcPr>
            <w:tcW w:w="156" w:type="pct"/>
            <w:vMerge w:val="restart"/>
            <w:noWrap w:val="0"/>
            <w:tcMar>
              <w:top w:w="0" w:type="dxa"/>
              <w:left w:w="0" w:type="dxa"/>
              <w:bottom w:w="0" w:type="dxa"/>
              <w:right w:w="0" w:type="dxa"/>
            </w:tcMar>
            <w:vAlign w:val="center"/>
          </w:tcPr>
          <w:p w14:paraId="4141F99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shd w:val="clear" w:color="auto" w:fill="auto"/>
                <w:vertAlign w:val="baseline"/>
                <w:lang w:val="en-US" w:eastAsia="zh-CN"/>
              </w:rPr>
            </w:pPr>
            <w:r>
              <w:rPr>
                <w:rFonts w:hint="eastAsia" w:ascii="宋体" w:hAnsi="宋体" w:eastAsia="宋体" w:cs="宋体"/>
                <w:sz w:val="18"/>
                <w:szCs w:val="18"/>
                <w:shd w:val="clear" w:color="auto" w:fill="auto"/>
                <w:vertAlign w:val="baseline"/>
                <w:lang w:val="en-US" w:eastAsia="zh-CN"/>
              </w:rPr>
              <w:t>67</w:t>
            </w:r>
          </w:p>
        </w:tc>
        <w:tc>
          <w:tcPr>
            <w:tcW w:w="415" w:type="pct"/>
            <w:vMerge w:val="restart"/>
            <w:noWrap w:val="0"/>
            <w:tcMar>
              <w:top w:w="0" w:type="dxa"/>
              <w:left w:w="0" w:type="dxa"/>
              <w:bottom w:w="0" w:type="dxa"/>
              <w:right w:w="0" w:type="dxa"/>
            </w:tcMar>
            <w:vAlign w:val="center"/>
          </w:tcPr>
          <w:p w14:paraId="58CDC4D7">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FF0000"/>
                <w:sz w:val="18"/>
                <w:szCs w:val="18"/>
                <w:vertAlign w:val="baseline"/>
                <w:lang w:val="en-US" w:eastAsia="zh-CN"/>
              </w:rPr>
            </w:pPr>
            <w:r>
              <w:rPr>
                <w:rFonts w:hint="eastAsia" w:ascii="宋体" w:hAnsi="宋体" w:eastAsia="宋体" w:cs="宋体"/>
                <w:color w:val="000000"/>
                <w:sz w:val="18"/>
                <w:szCs w:val="18"/>
                <w:vertAlign w:val="baseline"/>
                <w:lang w:val="en-US" w:eastAsia="zh-CN"/>
              </w:rPr>
              <w:t>对水利领域转让、出借资质证书或者以其他方式允许他人以本企业的名义承揽工程、投标等行为的行政处罚</w:t>
            </w:r>
          </w:p>
        </w:tc>
        <w:tc>
          <w:tcPr>
            <w:tcW w:w="2168" w:type="pct"/>
            <w:vMerge w:val="continue"/>
            <w:noWrap w:val="0"/>
            <w:tcMar>
              <w:top w:w="0" w:type="dxa"/>
              <w:left w:w="0" w:type="dxa"/>
              <w:bottom w:w="0" w:type="dxa"/>
              <w:right w:w="0" w:type="dxa"/>
            </w:tcMar>
            <w:vAlign w:val="center"/>
          </w:tcPr>
          <w:p w14:paraId="69BBE1E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491" w:type="pct"/>
            <w:vMerge w:val="restart"/>
            <w:noWrap w:val="0"/>
            <w:tcMar>
              <w:top w:w="0" w:type="dxa"/>
              <w:left w:w="0" w:type="dxa"/>
              <w:bottom w:w="0" w:type="dxa"/>
              <w:right w:w="0" w:type="dxa"/>
            </w:tcMar>
            <w:vAlign w:val="center"/>
          </w:tcPr>
          <w:p w14:paraId="4D9EE42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r>
              <w:rPr>
                <w:rFonts w:hint="eastAsia" w:ascii="宋体" w:hAnsi="宋体" w:eastAsia="宋体" w:cs="宋体"/>
                <w:sz w:val="18"/>
                <w:szCs w:val="18"/>
                <w:vertAlign w:val="baseline"/>
                <w:lang w:val="en-US" w:eastAsia="zh-CN"/>
              </w:rPr>
              <w:t>水利领域转让、出借资质证书或者以其他方式允许他人以本企业的名义承揽工程、投标等行为的</w:t>
            </w:r>
          </w:p>
        </w:tc>
        <w:tc>
          <w:tcPr>
            <w:tcW w:w="174" w:type="pct"/>
            <w:vMerge w:val="restart"/>
            <w:noWrap w:val="0"/>
            <w:tcMar>
              <w:top w:w="0" w:type="dxa"/>
              <w:left w:w="0" w:type="dxa"/>
              <w:bottom w:w="0" w:type="dxa"/>
              <w:right w:w="0" w:type="dxa"/>
            </w:tcMar>
            <w:vAlign w:val="center"/>
          </w:tcPr>
          <w:p w14:paraId="5187CB7D">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r>
              <w:rPr>
                <w:rFonts w:hint="eastAsia" w:ascii="宋体" w:hAnsi="宋体" w:eastAsia="宋体" w:cs="宋体"/>
                <w:sz w:val="18"/>
                <w:szCs w:val="18"/>
                <w:vertAlign w:val="baseline"/>
                <w:lang w:val="en-US" w:eastAsia="zh-CN"/>
              </w:rPr>
              <w:t>较重</w:t>
            </w:r>
          </w:p>
        </w:tc>
        <w:tc>
          <w:tcPr>
            <w:tcW w:w="561" w:type="pct"/>
            <w:noWrap w:val="0"/>
            <w:tcMar>
              <w:top w:w="0" w:type="dxa"/>
              <w:left w:w="0" w:type="dxa"/>
              <w:bottom w:w="0" w:type="dxa"/>
              <w:right w:w="0" w:type="dxa"/>
            </w:tcMar>
            <w:vAlign w:val="center"/>
          </w:tcPr>
          <w:p w14:paraId="7DD1F5E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rPr>
            </w:pPr>
            <w:r>
              <w:rPr>
                <w:rFonts w:hint="eastAsia" w:ascii="宋体" w:hAnsi="宋体" w:eastAsia="宋体" w:cs="宋体"/>
                <w:sz w:val="18"/>
                <w:szCs w:val="18"/>
                <w:vertAlign w:val="baseline"/>
              </w:rPr>
              <w:t>造成少于3人死亡，或者少于10人重伤，或者少于1000万元直接经济损失</w:t>
            </w:r>
          </w:p>
        </w:tc>
        <w:tc>
          <w:tcPr>
            <w:tcW w:w="873" w:type="pct"/>
            <w:noWrap w:val="0"/>
            <w:tcMar>
              <w:top w:w="0" w:type="dxa"/>
              <w:left w:w="0" w:type="dxa"/>
              <w:bottom w:w="0" w:type="dxa"/>
              <w:right w:w="0" w:type="dxa"/>
            </w:tcMar>
            <w:vAlign w:val="center"/>
          </w:tcPr>
          <w:p w14:paraId="6B7C05B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kern w:val="2"/>
                <w:sz w:val="18"/>
                <w:szCs w:val="18"/>
                <w:vertAlign w:val="baseline"/>
                <w:lang w:val="en-US" w:eastAsia="zh-CN" w:bidi="ar-SA"/>
              </w:rPr>
              <w:t>没收违法所得；对勘察、设计单位或者工程监理单位处合同约定的勘察费、设计费或监理酬金2倍的罚款；对施工单位处工程合同价款4%的罚款；责令停业整顿30-60日；对单位直接负责主管人员和其他直接责任人员处单位罚款数额10%的罚款</w:t>
            </w:r>
          </w:p>
        </w:tc>
        <w:tc>
          <w:tcPr>
            <w:tcW w:w="158" w:type="pct"/>
            <w:vMerge w:val="continue"/>
            <w:noWrap w:val="0"/>
            <w:tcMar>
              <w:top w:w="0" w:type="dxa"/>
              <w:left w:w="0" w:type="dxa"/>
              <w:bottom w:w="0" w:type="dxa"/>
              <w:right w:w="0" w:type="dxa"/>
            </w:tcMar>
            <w:vAlign w:val="center"/>
          </w:tcPr>
          <w:p w14:paraId="0626515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rPr>
            </w:pPr>
          </w:p>
        </w:tc>
      </w:tr>
      <w:tr w14:paraId="3EFF45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127" w:hRule="atLeast"/>
          <w:jc w:val="center"/>
        </w:trPr>
        <w:tc>
          <w:tcPr>
            <w:tcW w:w="156" w:type="pct"/>
            <w:vMerge w:val="continue"/>
            <w:noWrap w:val="0"/>
            <w:tcMar>
              <w:top w:w="0" w:type="dxa"/>
              <w:left w:w="0" w:type="dxa"/>
              <w:bottom w:w="0" w:type="dxa"/>
              <w:right w:w="0" w:type="dxa"/>
            </w:tcMar>
            <w:vAlign w:val="center"/>
          </w:tcPr>
          <w:p w14:paraId="71A4439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103DF287">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FF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249310C4">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42F937E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174" w:type="pct"/>
            <w:vMerge w:val="continue"/>
            <w:noWrap w:val="0"/>
            <w:tcMar>
              <w:top w:w="0" w:type="dxa"/>
              <w:left w:w="0" w:type="dxa"/>
              <w:bottom w:w="0" w:type="dxa"/>
              <w:right w:w="0" w:type="dxa"/>
            </w:tcMar>
            <w:vAlign w:val="center"/>
          </w:tcPr>
          <w:p w14:paraId="3DB0743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p>
        </w:tc>
        <w:tc>
          <w:tcPr>
            <w:tcW w:w="561" w:type="pct"/>
            <w:noWrap w:val="0"/>
            <w:tcMar>
              <w:top w:w="0" w:type="dxa"/>
              <w:left w:w="0" w:type="dxa"/>
              <w:bottom w:w="0" w:type="dxa"/>
              <w:right w:w="0" w:type="dxa"/>
            </w:tcMar>
            <w:vAlign w:val="center"/>
          </w:tcPr>
          <w:p w14:paraId="3204315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rPr>
            </w:pPr>
            <w:r>
              <w:rPr>
                <w:rFonts w:hint="eastAsia" w:ascii="宋体" w:hAnsi="宋体" w:eastAsia="宋体" w:cs="宋体"/>
                <w:sz w:val="18"/>
                <w:szCs w:val="18"/>
                <w:vertAlign w:val="baseline"/>
              </w:rPr>
              <w:t>造成多于3人少于5人死亡，或者多于10人少于20人重伤，或者多于1000万元少于2000万元直接经济损失</w:t>
            </w:r>
          </w:p>
        </w:tc>
        <w:tc>
          <w:tcPr>
            <w:tcW w:w="873" w:type="pct"/>
            <w:noWrap w:val="0"/>
            <w:tcMar>
              <w:top w:w="0" w:type="dxa"/>
              <w:left w:w="0" w:type="dxa"/>
              <w:bottom w:w="0" w:type="dxa"/>
              <w:right w:w="0" w:type="dxa"/>
            </w:tcMar>
            <w:vAlign w:val="center"/>
          </w:tcPr>
          <w:p w14:paraId="06D1D19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kern w:val="2"/>
                <w:sz w:val="18"/>
                <w:szCs w:val="18"/>
                <w:vertAlign w:val="baseline"/>
                <w:lang w:val="en-US" w:eastAsia="zh-CN" w:bidi="ar-SA"/>
              </w:rPr>
              <w:t>没收违法所得；对勘察、设计单位或者工程监理单位处合同约定的勘察费、设计费或监理酬金 2 倍的罚款；对施工单位处工程合同价款4%的罚款；责令停业整顿60-90日；对单位直接负责主管人员和其他直接责任人员处单位罚款数额10%的罚款</w:t>
            </w:r>
          </w:p>
        </w:tc>
        <w:tc>
          <w:tcPr>
            <w:tcW w:w="158" w:type="pct"/>
            <w:vMerge w:val="continue"/>
            <w:noWrap w:val="0"/>
            <w:tcMar>
              <w:top w:w="0" w:type="dxa"/>
              <w:left w:w="0" w:type="dxa"/>
              <w:bottom w:w="0" w:type="dxa"/>
              <w:right w:w="0" w:type="dxa"/>
            </w:tcMar>
            <w:vAlign w:val="center"/>
          </w:tcPr>
          <w:p w14:paraId="51D4F095">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rPr>
            </w:pPr>
          </w:p>
        </w:tc>
      </w:tr>
      <w:tr w14:paraId="3DAE2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16" w:hRule="atLeast"/>
          <w:jc w:val="center"/>
        </w:trPr>
        <w:tc>
          <w:tcPr>
            <w:tcW w:w="156" w:type="pct"/>
            <w:vMerge w:val="continue"/>
            <w:noWrap w:val="0"/>
            <w:tcMar>
              <w:top w:w="0" w:type="dxa"/>
              <w:left w:w="0" w:type="dxa"/>
              <w:bottom w:w="0" w:type="dxa"/>
              <w:right w:w="0" w:type="dxa"/>
            </w:tcMar>
            <w:vAlign w:val="center"/>
          </w:tcPr>
          <w:p w14:paraId="4ADA1001">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1C5B8DCB">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FF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3325D9E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4061525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174" w:type="pct"/>
            <w:vMerge w:val="continue"/>
            <w:noWrap w:val="0"/>
            <w:tcMar>
              <w:top w:w="0" w:type="dxa"/>
              <w:left w:w="0" w:type="dxa"/>
              <w:bottom w:w="0" w:type="dxa"/>
              <w:right w:w="0" w:type="dxa"/>
            </w:tcMar>
            <w:vAlign w:val="center"/>
          </w:tcPr>
          <w:p w14:paraId="28FC1C1A">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p>
        </w:tc>
        <w:tc>
          <w:tcPr>
            <w:tcW w:w="561" w:type="pct"/>
            <w:noWrap w:val="0"/>
            <w:tcMar>
              <w:top w:w="0" w:type="dxa"/>
              <w:left w:w="0" w:type="dxa"/>
              <w:bottom w:w="0" w:type="dxa"/>
              <w:right w:w="0" w:type="dxa"/>
            </w:tcMar>
            <w:vAlign w:val="center"/>
          </w:tcPr>
          <w:p w14:paraId="11A8835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rPr>
            </w:pPr>
            <w:r>
              <w:rPr>
                <w:rFonts w:hint="eastAsia" w:ascii="宋体" w:hAnsi="宋体" w:eastAsia="宋体" w:cs="宋体"/>
                <w:sz w:val="18"/>
                <w:szCs w:val="18"/>
                <w:vertAlign w:val="baseline"/>
              </w:rPr>
              <w:t>造成多于5人少于7人死亡，或者多于20人少于30人重伤，或者多于2000万元少于3000万元直接经济损失</w:t>
            </w:r>
          </w:p>
        </w:tc>
        <w:tc>
          <w:tcPr>
            <w:tcW w:w="873" w:type="pct"/>
            <w:noWrap w:val="0"/>
            <w:tcMar>
              <w:top w:w="0" w:type="dxa"/>
              <w:left w:w="0" w:type="dxa"/>
              <w:bottom w:w="0" w:type="dxa"/>
              <w:right w:w="0" w:type="dxa"/>
            </w:tcMar>
            <w:vAlign w:val="center"/>
          </w:tcPr>
          <w:p w14:paraId="449CD49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kern w:val="2"/>
                <w:sz w:val="18"/>
                <w:szCs w:val="18"/>
                <w:vertAlign w:val="baseline"/>
                <w:lang w:val="en-US" w:eastAsia="zh-CN" w:bidi="ar-SA"/>
              </w:rPr>
              <w:t>没收违法所得；对勘察、设计单位或者工程监理单位处合同约定的勘察费、设计费或监理酬金2倍的罚款；对施工单位处工程合同价款4%的罚款；责令停业整顿90-120日；对单位直接负责主管人员和其他直接责任人员处单位罚款数额10%的罚款</w:t>
            </w:r>
          </w:p>
        </w:tc>
        <w:tc>
          <w:tcPr>
            <w:tcW w:w="158" w:type="pct"/>
            <w:vMerge w:val="continue"/>
            <w:noWrap w:val="0"/>
            <w:tcMar>
              <w:top w:w="0" w:type="dxa"/>
              <w:left w:w="0" w:type="dxa"/>
              <w:bottom w:w="0" w:type="dxa"/>
              <w:right w:w="0" w:type="dxa"/>
            </w:tcMar>
            <w:vAlign w:val="center"/>
          </w:tcPr>
          <w:p w14:paraId="72F16815">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rPr>
            </w:pPr>
          </w:p>
        </w:tc>
      </w:tr>
      <w:tr w14:paraId="511450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233" w:hRule="atLeast"/>
          <w:jc w:val="center"/>
        </w:trPr>
        <w:tc>
          <w:tcPr>
            <w:tcW w:w="156" w:type="pct"/>
            <w:vMerge w:val="continue"/>
            <w:noWrap w:val="0"/>
            <w:tcMar>
              <w:top w:w="0" w:type="dxa"/>
              <w:left w:w="0" w:type="dxa"/>
              <w:bottom w:w="0" w:type="dxa"/>
              <w:right w:w="0" w:type="dxa"/>
            </w:tcMar>
            <w:vAlign w:val="center"/>
          </w:tcPr>
          <w:p w14:paraId="225A09B9">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313FEB25">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FF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4C56E1C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2D1F512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lang w:val="en-US" w:eastAsia="zh-CN"/>
              </w:rPr>
            </w:pPr>
          </w:p>
        </w:tc>
        <w:tc>
          <w:tcPr>
            <w:tcW w:w="174" w:type="pct"/>
            <w:vMerge w:val="continue"/>
            <w:noWrap w:val="0"/>
            <w:tcMar>
              <w:top w:w="0" w:type="dxa"/>
              <w:left w:w="0" w:type="dxa"/>
              <w:bottom w:w="0" w:type="dxa"/>
              <w:right w:w="0" w:type="dxa"/>
            </w:tcMar>
            <w:vAlign w:val="center"/>
          </w:tcPr>
          <w:p w14:paraId="4D3EA62D">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p>
        </w:tc>
        <w:tc>
          <w:tcPr>
            <w:tcW w:w="561" w:type="pct"/>
            <w:noWrap w:val="0"/>
            <w:tcMar>
              <w:top w:w="0" w:type="dxa"/>
              <w:left w:w="0" w:type="dxa"/>
              <w:bottom w:w="0" w:type="dxa"/>
              <w:right w:w="0" w:type="dxa"/>
            </w:tcMar>
            <w:vAlign w:val="center"/>
          </w:tcPr>
          <w:p w14:paraId="1754B0B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vertAlign w:val="baseline"/>
              </w:rPr>
            </w:pPr>
            <w:r>
              <w:rPr>
                <w:rFonts w:hint="eastAsia" w:ascii="宋体" w:hAnsi="宋体" w:eastAsia="宋体" w:cs="宋体"/>
                <w:sz w:val="18"/>
                <w:szCs w:val="18"/>
                <w:vertAlign w:val="baseline"/>
              </w:rPr>
              <w:t>造成多于7人少于10人死亡，或者多于30人少于50人重伤，或者多于3000万元少于5000万元直接经济损失</w:t>
            </w:r>
          </w:p>
        </w:tc>
        <w:tc>
          <w:tcPr>
            <w:tcW w:w="873" w:type="pct"/>
            <w:noWrap w:val="0"/>
            <w:tcMar>
              <w:top w:w="0" w:type="dxa"/>
              <w:left w:w="0" w:type="dxa"/>
              <w:bottom w:w="0" w:type="dxa"/>
              <w:right w:w="0" w:type="dxa"/>
            </w:tcMar>
            <w:vAlign w:val="center"/>
          </w:tcPr>
          <w:p w14:paraId="0E1DAB2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kern w:val="2"/>
                <w:sz w:val="18"/>
                <w:szCs w:val="18"/>
                <w:vertAlign w:val="baseline"/>
                <w:lang w:val="en-US" w:eastAsia="zh-CN" w:bidi="ar-SA"/>
              </w:rPr>
              <w:t>没收违法所得；对勘察、设计单位或者工程监理单位处合同约定的勘察费、设计费或监理酬金2倍的罚款；对施工单位处工程合同价款4%的罚款；责令停业整顿120-180日；对单位直接负责主管人员和其他直接责任人员处单位罚款数额10%的罚款</w:t>
            </w:r>
          </w:p>
        </w:tc>
        <w:tc>
          <w:tcPr>
            <w:tcW w:w="158" w:type="pct"/>
            <w:vMerge w:val="continue"/>
            <w:noWrap w:val="0"/>
            <w:tcMar>
              <w:top w:w="0" w:type="dxa"/>
              <w:left w:w="0" w:type="dxa"/>
              <w:bottom w:w="0" w:type="dxa"/>
              <w:right w:w="0" w:type="dxa"/>
            </w:tcMar>
            <w:vAlign w:val="center"/>
          </w:tcPr>
          <w:p w14:paraId="4D18FF2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rPr>
            </w:pPr>
          </w:p>
        </w:tc>
      </w:tr>
      <w:tr w14:paraId="71F88E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401" w:hRule="atLeast"/>
          <w:jc w:val="center"/>
        </w:trPr>
        <w:tc>
          <w:tcPr>
            <w:tcW w:w="156" w:type="pct"/>
            <w:vMerge w:val="restart"/>
            <w:noWrap w:val="0"/>
            <w:tcMar>
              <w:top w:w="0" w:type="dxa"/>
              <w:left w:w="0" w:type="dxa"/>
              <w:bottom w:w="0" w:type="dxa"/>
              <w:right w:w="0" w:type="dxa"/>
            </w:tcMar>
            <w:vAlign w:val="center"/>
          </w:tcPr>
          <w:p w14:paraId="5B5025E5">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r>
              <w:rPr>
                <w:rFonts w:hint="eastAsia" w:ascii="宋体" w:hAnsi="宋体" w:eastAsia="宋体" w:cs="宋体"/>
                <w:color w:val="000000"/>
                <w:sz w:val="18"/>
                <w:szCs w:val="18"/>
                <w:shd w:val="clear" w:color="auto" w:fill="auto"/>
                <w:vertAlign w:val="baseline"/>
                <w:lang w:val="en-US" w:eastAsia="zh-CN"/>
              </w:rPr>
              <w:t>67</w:t>
            </w:r>
          </w:p>
        </w:tc>
        <w:tc>
          <w:tcPr>
            <w:tcW w:w="415" w:type="pct"/>
            <w:vMerge w:val="restart"/>
            <w:noWrap w:val="0"/>
            <w:tcMar>
              <w:top w:w="0" w:type="dxa"/>
              <w:left w:w="0" w:type="dxa"/>
              <w:bottom w:w="0" w:type="dxa"/>
              <w:right w:w="0" w:type="dxa"/>
            </w:tcMar>
            <w:vAlign w:val="center"/>
          </w:tcPr>
          <w:p w14:paraId="68382A15">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对水利领域转让、出借资质证书或者以其他方式允许他人以本企业的名义承揽工程、投标等行为的行政处罚</w:t>
            </w:r>
          </w:p>
        </w:tc>
        <w:tc>
          <w:tcPr>
            <w:tcW w:w="2168" w:type="pct"/>
            <w:vMerge w:val="continue"/>
            <w:noWrap w:val="0"/>
            <w:tcMar>
              <w:top w:w="0" w:type="dxa"/>
              <w:left w:w="0" w:type="dxa"/>
              <w:bottom w:w="0" w:type="dxa"/>
              <w:right w:w="0" w:type="dxa"/>
            </w:tcMar>
            <w:vAlign w:val="center"/>
          </w:tcPr>
          <w:p w14:paraId="69395E6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restart"/>
            <w:noWrap w:val="0"/>
            <w:tcMar>
              <w:top w:w="0" w:type="dxa"/>
              <w:left w:w="0" w:type="dxa"/>
              <w:bottom w:w="0" w:type="dxa"/>
              <w:right w:w="0" w:type="dxa"/>
            </w:tcMar>
            <w:vAlign w:val="center"/>
          </w:tcPr>
          <w:p w14:paraId="6FB7E5F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sz w:val="18"/>
                <w:szCs w:val="18"/>
                <w:vertAlign w:val="baseline"/>
                <w:lang w:val="en-US" w:eastAsia="zh-CN"/>
              </w:rPr>
              <w:t>水利领域转让、出借资质证书或者以其他方式允许他人以本企业的名义承揽工程、投标等行为的</w:t>
            </w:r>
          </w:p>
        </w:tc>
        <w:tc>
          <w:tcPr>
            <w:tcW w:w="174" w:type="pct"/>
            <w:vMerge w:val="restart"/>
            <w:noWrap w:val="0"/>
            <w:tcMar>
              <w:top w:w="0" w:type="dxa"/>
              <w:left w:w="0" w:type="dxa"/>
              <w:bottom w:w="0" w:type="dxa"/>
              <w:right w:w="0" w:type="dxa"/>
            </w:tcMar>
            <w:vAlign w:val="center"/>
          </w:tcPr>
          <w:p w14:paraId="13A21C1A">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严重</w:t>
            </w:r>
          </w:p>
        </w:tc>
        <w:tc>
          <w:tcPr>
            <w:tcW w:w="561" w:type="pct"/>
            <w:noWrap w:val="0"/>
            <w:tcMar>
              <w:top w:w="0" w:type="dxa"/>
              <w:left w:w="0" w:type="dxa"/>
              <w:bottom w:w="0" w:type="dxa"/>
              <w:right w:w="0" w:type="dxa"/>
            </w:tcMar>
            <w:vAlign w:val="center"/>
          </w:tcPr>
          <w:p w14:paraId="7B18B1B1">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造成重大质量安全事故的；或造成分部工程存在严重缺陷，经返修和加固处理仍不能满足安全使用要求</w:t>
            </w:r>
          </w:p>
        </w:tc>
        <w:tc>
          <w:tcPr>
            <w:tcW w:w="873" w:type="pct"/>
            <w:noWrap w:val="0"/>
            <w:tcMar>
              <w:top w:w="0" w:type="dxa"/>
              <w:left w:w="0" w:type="dxa"/>
              <w:bottom w:w="0" w:type="dxa"/>
              <w:right w:w="0" w:type="dxa"/>
            </w:tcMar>
            <w:vAlign w:val="center"/>
          </w:tcPr>
          <w:p w14:paraId="3AFF93EB">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没收违法所得；对勘察、设计单位或者工程监理单位处合同约定的勘察费、设计费或监理酬金2倍的罚款；对施工单位处工程合同价款4%的罚款；降低资质等级；对单位直接负责主管人员和其他直接责任人员处单位罚款数额10%的罚款</w:t>
            </w:r>
          </w:p>
        </w:tc>
        <w:tc>
          <w:tcPr>
            <w:tcW w:w="158" w:type="pct"/>
            <w:vMerge w:val="continue"/>
            <w:noWrap w:val="0"/>
            <w:tcMar>
              <w:top w:w="0" w:type="dxa"/>
              <w:left w:w="0" w:type="dxa"/>
              <w:bottom w:w="0" w:type="dxa"/>
              <w:right w:w="0" w:type="dxa"/>
            </w:tcMar>
            <w:vAlign w:val="center"/>
          </w:tcPr>
          <w:p w14:paraId="1272C87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7E020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617" w:hRule="atLeast"/>
          <w:jc w:val="center"/>
        </w:trPr>
        <w:tc>
          <w:tcPr>
            <w:tcW w:w="156" w:type="pct"/>
            <w:vMerge w:val="continue"/>
            <w:noWrap w:val="0"/>
            <w:tcMar>
              <w:top w:w="0" w:type="dxa"/>
              <w:left w:w="0" w:type="dxa"/>
              <w:bottom w:w="0" w:type="dxa"/>
              <w:right w:w="0" w:type="dxa"/>
            </w:tcMar>
            <w:vAlign w:val="center"/>
          </w:tcPr>
          <w:p w14:paraId="346B3F41">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5A0A6432">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5F69239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5E6CF44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vMerge w:val="continue"/>
            <w:noWrap w:val="0"/>
            <w:tcMar>
              <w:top w:w="0" w:type="dxa"/>
              <w:left w:w="0" w:type="dxa"/>
              <w:bottom w:w="0" w:type="dxa"/>
              <w:right w:w="0" w:type="dxa"/>
            </w:tcMar>
            <w:vAlign w:val="center"/>
          </w:tcPr>
          <w:p w14:paraId="734F38A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lang w:val="en-US" w:eastAsia="zh-CN"/>
              </w:rPr>
            </w:pPr>
          </w:p>
        </w:tc>
        <w:tc>
          <w:tcPr>
            <w:tcW w:w="561" w:type="pct"/>
            <w:noWrap w:val="0"/>
            <w:tcMar>
              <w:top w:w="0" w:type="dxa"/>
              <w:left w:w="0" w:type="dxa"/>
              <w:bottom w:w="0" w:type="dxa"/>
              <w:right w:w="0" w:type="dxa"/>
            </w:tcMar>
            <w:vAlign w:val="center"/>
          </w:tcPr>
          <w:p w14:paraId="0DA1ABD9">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造成特别重大质量安全事故的；或造成单位（子单位）工程存在严重缺陷，经返修和加固处理仍不能满足安全使用要求</w:t>
            </w:r>
          </w:p>
        </w:tc>
        <w:tc>
          <w:tcPr>
            <w:tcW w:w="873" w:type="pct"/>
            <w:noWrap w:val="0"/>
            <w:tcMar>
              <w:top w:w="0" w:type="dxa"/>
              <w:left w:w="0" w:type="dxa"/>
              <w:bottom w:w="0" w:type="dxa"/>
              <w:right w:w="0" w:type="dxa"/>
            </w:tcMar>
            <w:vAlign w:val="center"/>
          </w:tcPr>
          <w:p w14:paraId="26701440">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没收违法所得；对勘察、设计单位或者工程监理单位处合同约定的勘察费、设计费或监理酬金2倍的罚款；对施工单位处工程合同价款4%的罚款；吊销资质证书；对单位直接负责主管人员和其他直接责任人员处单位罚款数额10%的罚款</w:t>
            </w:r>
          </w:p>
        </w:tc>
        <w:tc>
          <w:tcPr>
            <w:tcW w:w="158" w:type="pct"/>
            <w:vMerge w:val="continue"/>
            <w:noWrap w:val="0"/>
            <w:tcMar>
              <w:top w:w="0" w:type="dxa"/>
              <w:left w:w="0" w:type="dxa"/>
              <w:bottom w:w="0" w:type="dxa"/>
              <w:right w:w="0" w:type="dxa"/>
            </w:tcMar>
            <w:vAlign w:val="center"/>
          </w:tcPr>
          <w:p w14:paraId="57F5CFB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4AB421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restart"/>
            <w:noWrap w:val="0"/>
            <w:tcMar>
              <w:top w:w="0" w:type="dxa"/>
              <w:left w:w="0" w:type="dxa"/>
              <w:bottom w:w="0" w:type="dxa"/>
              <w:right w:w="0" w:type="dxa"/>
            </w:tcMar>
            <w:vAlign w:val="center"/>
          </w:tcPr>
          <w:p w14:paraId="2B4D604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r>
              <w:rPr>
                <w:rFonts w:hint="eastAsia" w:ascii="宋体" w:hAnsi="宋体" w:eastAsia="宋体" w:cs="宋体"/>
                <w:color w:val="000000"/>
                <w:sz w:val="18"/>
                <w:szCs w:val="18"/>
                <w:shd w:val="clear" w:color="auto" w:fill="auto"/>
                <w:vertAlign w:val="baseline"/>
                <w:lang w:val="en-US" w:eastAsia="zh-CN"/>
              </w:rPr>
              <w:t>68</w:t>
            </w:r>
          </w:p>
        </w:tc>
        <w:tc>
          <w:tcPr>
            <w:tcW w:w="415" w:type="pct"/>
            <w:vMerge w:val="restart"/>
            <w:noWrap w:val="0"/>
            <w:tcMar>
              <w:top w:w="0" w:type="dxa"/>
              <w:left w:w="0" w:type="dxa"/>
              <w:bottom w:w="0" w:type="dxa"/>
              <w:right w:w="0" w:type="dxa"/>
            </w:tcMar>
            <w:vAlign w:val="center"/>
          </w:tcPr>
          <w:p w14:paraId="06ED67AE">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对水利领域将工程勘察、设计转包，承包的工程转包、转让或者违法分包，转让工程监理业务等行为的行政处罚</w:t>
            </w:r>
          </w:p>
        </w:tc>
        <w:tc>
          <w:tcPr>
            <w:tcW w:w="2168" w:type="pct"/>
            <w:vMerge w:val="restart"/>
            <w:noWrap w:val="0"/>
            <w:tcMar>
              <w:top w:w="0" w:type="dxa"/>
              <w:left w:w="0" w:type="dxa"/>
              <w:bottom w:w="0" w:type="dxa"/>
              <w:right w:w="0" w:type="dxa"/>
            </w:tcMar>
            <w:vAlign w:val="center"/>
          </w:tcPr>
          <w:p w14:paraId="5401039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《中华人民共和国建筑法》第六十七条 承包单位将承包的工程转包的，或者违反本法规定进行分包的，责令改正，没收违法所得，并处罚款，可以责令停业整顿，降低资质等级；情节严重的，吊销资质证书。</w:t>
            </w:r>
          </w:p>
          <w:p w14:paraId="59D9D567">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承包单位有前款规定的违法行为的，对因转包工程或者违法分包的工程不符合规定的质量标准造成的损失，与接受转包或者分包的单位承担连带赔偿责任。</w:t>
            </w:r>
          </w:p>
          <w:p w14:paraId="101AC48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《中华人民共和国招标投标法》第五十八条 中标人将中标项目转让给他人的，将中标项目肢解后分别转让给他人的，违反本法规定将中标项目的部分主体、关键性工作分包给他人的，或者分包人再次分包的，转让、分包无效，处转让、分包项目金额千分之五以上千分之十以下的罚款；有违法所得的，并处没收违法所得；可以责令停业整顿；情节严重的，由工商行政管理机关吊销营业执照。</w:t>
            </w:r>
          </w:p>
          <w:p w14:paraId="201DCFB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《建设工程质量管理条例》第六十二条 违反本条例规定，承包单位将承包的工程转包或者违法分包的，责令改正，没收违法所得，对勘察、设计单位处合同约定的勘察费、设计费25%以上50%以下的罚款；对施工单位处工程合同价款0.5%以上1%以下的罚款；可以责令停业整顿，降低资质等级；情节严重的，吊销资质证书。</w:t>
            </w:r>
          </w:p>
          <w:p w14:paraId="3ED4A0E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工程监理单位转让工程监理业务的，责令改正，没收违法所得，处合同约定的监理酬金25%以上50%以下的罚款；可以责令停业整顿，降低资质等级；情节严重的，吊销资质证书。</w:t>
            </w:r>
          </w:p>
          <w:p w14:paraId="385C3D7F">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第七十三条  依照本条例规定，给予单位罚款处罚的，对单位直接负责的主管人员和其他直接责任人员处单位罚款数额5%以上10%以下的罚款。</w:t>
            </w:r>
          </w:p>
          <w:p w14:paraId="2891D24A">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《建设工程勘察设计管理条例》第三十九条 违反本条例规定，建设工程勘察、设计单位将所承揽的建设工程勘察、设计转包的，责令改正，没收违法所得，处合同约定的勘察费、设计费25%以上50%以下的罚款，可以责令停业整顿，降低资质等级；情节严重的，吊销资质证书。</w:t>
            </w:r>
          </w:p>
          <w:p w14:paraId="10E7667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《中华人民共和国招标投标法实施条例》第七十六条 中标人将中标项目转让给他人的，将中标项目肢解后分别转让给他人的，违反招标投标法和本条例规定将中标项目的部分主体、关键性工作分包给他人的，或者分包人再次分包的，转让、分包无效，处转让、分包项目金额5‰以上10‰以下的罚款；有违法所得的，并处没收违法所得；可以责令停业整顿；情节严重的，由工商行政管理机关吊销营业执照。</w:t>
            </w:r>
          </w:p>
          <w:p w14:paraId="578B1E0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《工程建设项目施工招标投标办法》第八十二条 中标人将中标项目转让给他人的，将中标项目肢解后分别转让给他人的，违法将中标项目的部分主体、关键性工作分包给他人的，或者分包人再次分包的，转让、分包无效，有关行政监督部门处转让、分包项目金额千分之五以上千分之十以下的罚款；有违法所得的，并处没收违法所得；可以责令停业整顿；情节严重的，由工商行政管理机关吊销营业执照。</w:t>
            </w:r>
          </w:p>
          <w:p w14:paraId="2BBF311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《水利工程质量管理规定》第六十四条 违反本规定，承包单位将承包的工程转包或者违法分包的，依照《建设工程质量管理条例》第六十二条规定，由水行政主管部门或者流域管理机构依据职权责令改正，没收违法所得，对勘察、设计单位处合同约定的勘察费、设计费25%以上50%以下的罚款；对施工单位处工程合同价款0.5%以上1%以下的罚款。</w:t>
            </w:r>
          </w:p>
          <w:p w14:paraId="424F725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监理单位转让工程监理业务的，依照《建设工程质量管理条例》第六十二条规定，由水行政主管部门或者流域管理机构依据职权责令改正，没收违法所得，处合同约定的监理酬金25%以上50%以下的罚款。</w:t>
            </w:r>
          </w:p>
          <w:p w14:paraId="45BED62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第七十三条第二款 依照《建设工程质量管理条例》给予单位罚款处罚的，对单位直接负责的主管人员和其他直接责任人员处单位罚款数额5%以上10%以下的罚款。</w:t>
            </w:r>
          </w:p>
          <w:p w14:paraId="7D0BE95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《水利工程建设监理规定》第二十七条 监理单位有下列行为之一的，依照《建设工程质量管理条例》第六十条、第六十一条、第六十二条、第六十七条、第六十八条处罚：</w:t>
            </w:r>
          </w:p>
          <w:p w14:paraId="665F07B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（五）转让监理业务的。</w:t>
            </w:r>
          </w:p>
        </w:tc>
        <w:tc>
          <w:tcPr>
            <w:tcW w:w="491" w:type="pct"/>
            <w:vMerge w:val="restart"/>
            <w:noWrap w:val="0"/>
            <w:tcMar>
              <w:top w:w="0" w:type="dxa"/>
              <w:left w:w="0" w:type="dxa"/>
              <w:bottom w:w="0" w:type="dxa"/>
              <w:right w:w="0" w:type="dxa"/>
            </w:tcMar>
            <w:vAlign w:val="center"/>
          </w:tcPr>
          <w:p w14:paraId="4E8D09F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水利领域将工程勘察、设计转包，承包单位将承包的工程转包或者违法分包的</w:t>
            </w:r>
          </w:p>
        </w:tc>
        <w:tc>
          <w:tcPr>
            <w:tcW w:w="174" w:type="pct"/>
            <w:noWrap w:val="0"/>
            <w:tcMar>
              <w:top w:w="0" w:type="dxa"/>
              <w:left w:w="0" w:type="dxa"/>
              <w:bottom w:w="0" w:type="dxa"/>
              <w:right w:w="0" w:type="dxa"/>
            </w:tcMar>
            <w:vAlign w:val="center"/>
          </w:tcPr>
          <w:p w14:paraId="1618E5DD">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轻微</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7B63CB63">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28C50CCE">
            <w:pPr>
              <w:spacing w:line="260" w:lineRule="exact"/>
              <w:rPr>
                <w:rFonts w:hint="eastAsia" w:ascii="宋体" w:hAnsi="宋体" w:eastAsia="宋体" w:cs="宋体"/>
                <w:color w:val="000000"/>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42D9837F">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02972169">
            <w:pPr>
              <w:spacing w:line="260" w:lineRule="exact"/>
              <w:rPr>
                <w:rFonts w:hint="eastAsia" w:ascii="宋体" w:hAnsi="宋体" w:eastAsia="宋体" w:cs="宋体"/>
                <w:color w:val="000000"/>
                <w:kern w:val="2"/>
                <w:sz w:val="18"/>
                <w:szCs w:val="18"/>
                <w:vertAlign w:val="baseline"/>
                <w:lang w:val="en-US" w:eastAsia="zh-CN" w:bidi="ar-SA"/>
              </w:rPr>
            </w:pPr>
          </w:p>
        </w:tc>
        <w:tc>
          <w:tcPr>
            <w:tcW w:w="158" w:type="pct"/>
            <w:vMerge w:val="restart"/>
            <w:noWrap w:val="0"/>
            <w:tcMar>
              <w:top w:w="0" w:type="dxa"/>
              <w:left w:w="0" w:type="dxa"/>
              <w:bottom w:w="0" w:type="dxa"/>
              <w:right w:w="0" w:type="dxa"/>
            </w:tcMar>
            <w:vAlign w:val="center"/>
          </w:tcPr>
          <w:p w14:paraId="20BDD458">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5C219E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916" w:hRule="atLeast"/>
          <w:jc w:val="center"/>
        </w:trPr>
        <w:tc>
          <w:tcPr>
            <w:tcW w:w="156" w:type="pct"/>
            <w:vMerge w:val="continue"/>
            <w:noWrap w:val="0"/>
            <w:tcMar>
              <w:top w:w="0" w:type="dxa"/>
              <w:left w:w="0" w:type="dxa"/>
              <w:bottom w:w="0" w:type="dxa"/>
              <w:right w:w="0" w:type="dxa"/>
            </w:tcMar>
            <w:vAlign w:val="center"/>
          </w:tcPr>
          <w:p w14:paraId="25CA3DD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19C29130">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3125AFC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0876EC2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0FFE5C6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较轻</w:t>
            </w:r>
          </w:p>
        </w:tc>
        <w:tc>
          <w:tcPr>
            <w:tcW w:w="561" w:type="pct"/>
            <w:noWrap w:val="0"/>
            <w:tcMar>
              <w:top w:w="0" w:type="dxa"/>
              <w:left w:w="0" w:type="dxa"/>
              <w:bottom w:w="0" w:type="dxa"/>
              <w:right w:w="0" w:type="dxa"/>
            </w:tcMar>
            <w:vAlign w:val="center"/>
          </w:tcPr>
          <w:p w14:paraId="32659DD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工程尚未实施的</w:t>
            </w:r>
          </w:p>
        </w:tc>
        <w:tc>
          <w:tcPr>
            <w:tcW w:w="873" w:type="pct"/>
            <w:noWrap w:val="0"/>
            <w:tcMar>
              <w:top w:w="0" w:type="dxa"/>
              <w:left w:w="0" w:type="dxa"/>
              <w:bottom w:w="0" w:type="dxa"/>
              <w:right w:w="0" w:type="dxa"/>
            </w:tcMar>
            <w:vAlign w:val="center"/>
          </w:tcPr>
          <w:p w14:paraId="26BF730C">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没收违法所得；对勘察、设计单位处合同约定的勘察费、设计费25%以上32.5%以下的罚款；对施工单位处工程合同价款0.5%以上0.65%以下的罚款；对单位直接负责主管人员和其他直接责任人员处单位罚款数额5%以上6.5%以下的罚款</w:t>
            </w:r>
          </w:p>
        </w:tc>
        <w:tc>
          <w:tcPr>
            <w:tcW w:w="158" w:type="pct"/>
            <w:vMerge w:val="continue"/>
            <w:noWrap w:val="0"/>
            <w:tcMar>
              <w:top w:w="0" w:type="dxa"/>
              <w:left w:w="0" w:type="dxa"/>
              <w:bottom w:w="0" w:type="dxa"/>
              <w:right w:w="0" w:type="dxa"/>
            </w:tcMar>
            <w:vAlign w:val="center"/>
          </w:tcPr>
          <w:p w14:paraId="2A224555">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78EA07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246" w:hRule="atLeast"/>
          <w:jc w:val="center"/>
        </w:trPr>
        <w:tc>
          <w:tcPr>
            <w:tcW w:w="156" w:type="pct"/>
            <w:vMerge w:val="restart"/>
            <w:noWrap w:val="0"/>
            <w:tcMar>
              <w:top w:w="0" w:type="dxa"/>
              <w:left w:w="0" w:type="dxa"/>
              <w:bottom w:w="0" w:type="dxa"/>
              <w:right w:w="0" w:type="dxa"/>
            </w:tcMar>
            <w:vAlign w:val="center"/>
          </w:tcPr>
          <w:p w14:paraId="3025C418">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default" w:ascii="宋体" w:hAnsi="宋体" w:eastAsia="宋体" w:cs="宋体"/>
                <w:color w:val="000000"/>
                <w:sz w:val="18"/>
                <w:szCs w:val="18"/>
                <w:shd w:val="clear" w:color="auto" w:fill="auto"/>
                <w:vertAlign w:val="baseline"/>
                <w:lang w:val="en-US" w:eastAsia="zh-CN"/>
              </w:rPr>
            </w:pPr>
            <w:r>
              <w:rPr>
                <w:rFonts w:hint="eastAsia" w:ascii="宋体" w:hAnsi="宋体" w:eastAsia="宋体" w:cs="宋体"/>
                <w:color w:val="000000"/>
                <w:sz w:val="18"/>
                <w:szCs w:val="18"/>
                <w:shd w:val="clear" w:color="auto" w:fill="auto"/>
                <w:vertAlign w:val="baseline"/>
                <w:lang w:val="en-US" w:eastAsia="zh-CN"/>
              </w:rPr>
              <w:t>68</w:t>
            </w:r>
          </w:p>
        </w:tc>
        <w:tc>
          <w:tcPr>
            <w:tcW w:w="415" w:type="pct"/>
            <w:vMerge w:val="restart"/>
            <w:noWrap w:val="0"/>
            <w:tcMar>
              <w:top w:w="0" w:type="dxa"/>
              <w:left w:w="0" w:type="dxa"/>
              <w:bottom w:w="0" w:type="dxa"/>
              <w:right w:w="0" w:type="dxa"/>
            </w:tcMar>
            <w:vAlign w:val="center"/>
          </w:tcPr>
          <w:p w14:paraId="510BBA9B">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对水利领域将工程勘察、设计转包，承包的工程转包、转让或者违法分包，转让工程监理业务等行为的行政处罚</w:t>
            </w:r>
          </w:p>
        </w:tc>
        <w:tc>
          <w:tcPr>
            <w:tcW w:w="2168" w:type="pct"/>
            <w:vMerge w:val="continue"/>
            <w:noWrap w:val="0"/>
            <w:tcMar>
              <w:top w:w="0" w:type="dxa"/>
              <w:left w:w="0" w:type="dxa"/>
              <w:bottom w:w="0" w:type="dxa"/>
              <w:right w:w="0" w:type="dxa"/>
            </w:tcMar>
            <w:vAlign w:val="center"/>
          </w:tcPr>
          <w:p w14:paraId="79CB3D8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restart"/>
            <w:noWrap w:val="0"/>
            <w:tcMar>
              <w:top w:w="0" w:type="dxa"/>
              <w:left w:w="0" w:type="dxa"/>
              <w:bottom w:w="0" w:type="dxa"/>
              <w:right w:w="0" w:type="dxa"/>
            </w:tcMar>
            <w:vAlign w:val="center"/>
          </w:tcPr>
          <w:p w14:paraId="4E80D55C">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水利领域将工程勘察、设计转包，承包单位将承包的工程转包或者违法分包的</w:t>
            </w:r>
          </w:p>
        </w:tc>
        <w:tc>
          <w:tcPr>
            <w:tcW w:w="174" w:type="pct"/>
            <w:noWrap w:val="0"/>
            <w:tcMar>
              <w:top w:w="0" w:type="dxa"/>
              <w:left w:w="0" w:type="dxa"/>
              <w:bottom w:w="0" w:type="dxa"/>
              <w:right w:w="0" w:type="dxa"/>
            </w:tcMar>
            <w:vAlign w:val="center"/>
          </w:tcPr>
          <w:p w14:paraId="134FD75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一般</w:t>
            </w:r>
          </w:p>
        </w:tc>
        <w:tc>
          <w:tcPr>
            <w:tcW w:w="561" w:type="pct"/>
            <w:noWrap w:val="0"/>
            <w:tcMar>
              <w:top w:w="0" w:type="dxa"/>
              <w:left w:w="0" w:type="dxa"/>
              <w:bottom w:w="0" w:type="dxa"/>
              <w:right w:w="0" w:type="dxa"/>
            </w:tcMar>
            <w:vAlign w:val="center"/>
          </w:tcPr>
          <w:p w14:paraId="4F7E7A57">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工程已经实施的</w:t>
            </w:r>
          </w:p>
        </w:tc>
        <w:tc>
          <w:tcPr>
            <w:tcW w:w="873" w:type="pct"/>
            <w:noWrap w:val="0"/>
            <w:tcMar>
              <w:top w:w="0" w:type="dxa"/>
              <w:left w:w="0" w:type="dxa"/>
              <w:bottom w:w="0" w:type="dxa"/>
              <w:right w:w="0" w:type="dxa"/>
            </w:tcMar>
            <w:vAlign w:val="center"/>
          </w:tcPr>
          <w:p w14:paraId="5197B75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没收违法所得；对勘察、设计单位处合同约定的勘察费、设计费32.5%以上4%十二点五以下的罚款；对施工单位处工程合同价款0.65%以上0.85%以下的罚款；对单位直接负责主管人员和其他直接责任人员处单位罚款数额6.5%以上8.5%以下的罚款</w:t>
            </w:r>
          </w:p>
        </w:tc>
        <w:tc>
          <w:tcPr>
            <w:tcW w:w="158" w:type="pct"/>
            <w:vMerge w:val="continue"/>
            <w:noWrap w:val="0"/>
            <w:tcMar>
              <w:top w:w="0" w:type="dxa"/>
              <w:left w:w="0" w:type="dxa"/>
              <w:bottom w:w="0" w:type="dxa"/>
              <w:right w:w="0" w:type="dxa"/>
            </w:tcMar>
            <w:vAlign w:val="center"/>
          </w:tcPr>
          <w:p w14:paraId="0420C87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738756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151" w:hRule="atLeast"/>
          <w:jc w:val="center"/>
        </w:trPr>
        <w:tc>
          <w:tcPr>
            <w:tcW w:w="156" w:type="pct"/>
            <w:vMerge w:val="continue"/>
            <w:noWrap w:val="0"/>
            <w:tcMar>
              <w:top w:w="0" w:type="dxa"/>
              <w:left w:w="0" w:type="dxa"/>
              <w:bottom w:w="0" w:type="dxa"/>
              <w:right w:w="0" w:type="dxa"/>
            </w:tcMar>
            <w:vAlign w:val="center"/>
          </w:tcPr>
          <w:p w14:paraId="6390F58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580DE0DB">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51702DF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674E603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vMerge w:val="restart"/>
            <w:noWrap w:val="0"/>
            <w:tcMar>
              <w:top w:w="0" w:type="dxa"/>
              <w:left w:w="0" w:type="dxa"/>
              <w:bottom w:w="0" w:type="dxa"/>
              <w:right w:w="0" w:type="dxa"/>
            </w:tcMar>
            <w:vAlign w:val="center"/>
          </w:tcPr>
          <w:p w14:paraId="46BFE1B9">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较重</w:t>
            </w:r>
          </w:p>
        </w:tc>
        <w:tc>
          <w:tcPr>
            <w:tcW w:w="561" w:type="pct"/>
            <w:noWrap w:val="0"/>
            <w:tcMar>
              <w:top w:w="0" w:type="dxa"/>
              <w:left w:w="0" w:type="dxa"/>
              <w:bottom w:w="0" w:type="dxa"/>
              <w:right w:w="0" w:type="dxa"/>
            </w:tcMar>
            <w:vAlign w:val="center"/>
          </w:tcPr>
          <w:p w14:paraId="214159A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2年内2次及以上同类型违法的；造成严重社会影响的</w:t>
            </w:r>
          </w:p>
        </w:tc>
        <w:tc>
          <w:tcPr>
            <w:tcW w:w="873" w:type="pct"/>
            <w:noWrap w:val="0"/>
            <w:tcMar>
              <w:top w:w="0" w:type="dxa"/>
              <w:left w:w="0" w:type="dxa"/>
              <w:bottom w:w="0" w:type="dxa"/>
              <w:right w:w="0" w:type="dxa"/>
            </w:tcMar>
            <w:vAlign w:val="center"/>
          </w:tcPr>
          <w:p w14:paraId="57CC4CB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没收违法所得；对勘察、设计单位处合同约定的勘察费、设计费42.5%以上50%以下的罚款；对施工单位处工程合同价款0.85%以上1%以下的罚款；责令停业整顿30-60日；对单位直接负责主管人员和其他直接责任人员处单位罚款数额8.5%以上10%以下的罚款</w:t>
            </w:r>
          </w:p>
        </w:tc>
        <w:tc>
          <w:tcPr>
            <w:tcW w:w="158" w:type="pct"/>
            <w:vMerge w:val="continue"/>
            <w:noWrap w:val="0"/>
            <w:tcMar>
              <w:top w:w="0" w:type="dxa"/>
              <w:left w:w="0" w:type="dxa"/>
              <w:bottom w:w="0" w:type="dxa"/>
              <w:right w:w="0" w:type="dxa"/>
            </w:tcMar>
            <w:vAlign w:val="center"/>
          </w:tcPr>
          <w:p w14:paraId="5979C65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6B4CE5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959" w:hRule="atLeast"/>
          <w:jc w:val="center"/>
        </w:trPr>
        <w:tc>
          <w:tcPr>
            <w:tcW w:w="156" w:type="pct"/>
            <w:vMerge w:val="continue"/>
            <w:noWrap w:val="0"/>
            <w:tcMar>
              <w:top w:w="0" w:type="dxa"/>
              <w:left w:w="0" w:type="dxa"/>
              <w:bottom w:w="0" w:type="dxa"/>
              <w:right w:w="0" w:type="dxa"/>
            </w:tcMar>
            <w:vAlign w:val="center"/>
          </w:tcPr>
          <w:p w14:paraId="254D642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1B2D8921">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7448999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428D7AA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vMerge w:val="continue"/>
            <w:noWrap w:val="0"/>
            <w:tcMar>
              <w:top w:w="0" w:type="dxa"/>
              <w:left w:w="0" w:type="dxa"/>
              <w:bottom w:w="0" w:type="dxa"/>
              <w:right w:w="0" w:type="dxa"/>
            </w:tcMar>
            <w:vAlign w:val="center"/>
          </w:tcPr>
          <w:p w14:paraId="0D276520">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lang w:val="en-US" w:eastAsia="zh-CN"/>
              </w:rPr>
            </w:pPr>
          </w:p>
        </w:tc>
        <w:tc>
          <w:tcPr>
            <w:tcW w:w="561" w:type="pct"/>
            <w:noWrap w:val="0"/>
            <w:tcMar>
              <w:top w:w="0" w:type="dxa"/>
              <w:left w:w="0" w:type="dxa"/>
              <w:bottom w:w="0" w:type="dxa"/>
              <w:right w:w="0" w:type="dxa"/>
            </w:tcMar>
            <w:vAlign w:val="center"/>
          </w:tcPr>
          <w:p w14:paraId="23BAFE5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造成少于3人死亡，或者少于10人重伤，或者少于1000万元直接经济损失</w:t>
            </w:r>
          </w:p>
        </w:tc>
        <w:tc>
          <w:tcPr>
            <w:tcW w:w="873" w:type="pct"/>
            <w:noWrap w:val="0"/>
            <w:tcMar>
              <w:top w:w="0" w:type="dxa"/>
              <w:left w:w="0" w:type="dxa"/>
              <w:bottom w:w="0" w:type="dxa"/>
              <w:right w:w="0" w:type="dxa"/>
            </w:tcMar>
            <w:vAlign w:val="center"/>
          </w:tcPr>
          <w:p w14:paraId="780DBB4C">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没收违法所得；对勘察、设计单位处合同约定的勘察费、设计费50%的罚款；对施工单位处工程合同价款1%的罚款；责令停业整顿30-60日；对单位直接负责主管人员和其他直接责任人员处单位罚款数额10%的罚款</w:t>
            </w:r>
          </w:p>
        </w:tc>
        <w:tc>
          <w:tcPr>
            <w:tcW w:w="158" w:type="pct"/>
            <w:vMerge w:val="continue"/>
            <w:noWrap w:val="0"/>
            <w:tcMar>
              <w:top w:w="0" w:type="dxa"/>
              <w:left w:w="0" w:type="dxa"/>
              <w:bottom w:w="0" w:type="dxa"/>
              <w:right w:w="0" w:type="dxa"/>
            </w:tcMar>
            <w:vAlign w:val="center"/>
          </w:tcPr>
          <w:p w14:paraId="10D88489">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418CDD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74" w:hRule="atLeast"/>
          <w:jc w:val="center"/>
        </w:trPr>
        <w:tc>
          <w:tcPr>
            <w:tcW w:w="156" w:type="pct"/>
            <w:vMerge w:val="continue"/>
            <w:noWrap w:val="0"/>
            <w:tcMar>
              <w:top w:w="0" w:type="dxa"/>
              <w:left w:w="0" w:type="dxa"/>
              <w:bottom w:w="0" w:type="dxa"/>
              <w:right w:w="0" w:type="dxa"/>
            </w:tcMar>
            <w:vAlign w:val="center"/>
          </w:tcPr>
          <w:p w14:paraId="1E8ADE9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197C2ADD">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5F8FEBC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6A164DD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vMerge w:val="continue"/>
            <w:noWrap w:val="0"/>
            <w:tcMar>
              <w:top w:w="0" w:type="dxa"/>
              <w:left w:w="0" w:type="dxa"/>
              <w:bottom w:w="0" w:type="dxa"/>
              <w:right w:w="0" w:type="dxa"/>
            </w:tcMar>
            <w:vAlign w:val="center"/>
          </w:tcPr>
          <w:p w14:paraId="746833C8">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lang w:val="en-US" w:eastAsia="zh-CN"/>
              </w:rPr>
            </w:pPr>
          </w:p>
        </w:tc>
        <w:tc>
          <w:tcPr>
            <w:tcW w:w="561" w:type="pct"/>
            <w:noWrap w:val="0"/>
            <w:tcMar>
              <w:top w:w="0" w:type="dxa"/>
              <w:left w:w="0" w:type="dxa"/>
              <w:bottom w:w="0" w:type="dxa"/>
              <w:right w:w="0" w:type="dxa"/>
            </w:tcMar>
            <w:vAlign w:val="center"/>
          </w:tcPr>
          <w:p w14:paraId="5228D9B4">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造成多于3人少于5人死亡，或者多于10人少于20人重伤，或者多于1000万元少于2000万元直接经济损失</w:t>
            </w:r>
          </w:p>
        </w:tc>
        <w:tc>
          <w:tcPr>
            <w:tcW w:w="873" w:type="pct"/>
            <w:noWrap w:val="0"/>
            <w:tcMar>
              <w:top w:w="0" w:type="dxa"/>
              <w:left w:w="0" w:type="dxa"/>
              <w:bottom w:w="0" w:type="dxa"/>
              <w:right w:w="0" w:type="dxa"/>
            </w:tcMar>
            <w:vAlign w:val="center"/>
          </w:tcPr>
          <w:p w14:paraId="7985388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没收违法所得；对勘察、设计单位处合同约定的勘察费、设计费50%的罚款；对施工单位处工程合同价款1%的罚款；责令停业整顿60-90日；对单位直接负责主管人员和其他直接责任人员处单位罚款数额10%的罚款</w:t>
            </w:r>
          </w:p>
        </w:tc>
        <w:tc>
          <w:tcPr>
            <w:tcW w:w="158" w:type="pct"/>
            <w:vMerge w:val="continue"/>
            <w:noWrap w:val="0"/>
            <w:tcMar>
              <w:top w:w="0" w:type="dxa"/>
              <w:left w:w="0" w:type="dxa"/>
              <w:bottom w:w="0" w:type="dxa"/>
              <w:right w:w="0" w:type="dxa"/>
            </w:tcMar>
            <w:vAlign w:val="center"/>
          </w:tcPr>
          <w:p w14:paraId="3DE72A3C">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70B0C4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126" w:hRule="atLeast"/>
          <w:jc w:val="center"/>
        </w:trPr>
        <w:tc>
          <w:tcPr>
            <w:tcW w:w="156" w:type="pct"/>
            <w:vMerge w:val="restart"/>
            <w:noWrap w:val="0"/>
            <w:tcMar>
              <w:top w:w="0" w:type="dxa"/>
              <w:left w:w="0" w:type="dxa"/>
              <w:bottom w:w="0" w:type="dxa"/>
              <w:right w:w="0" w:type="dxa"/>
            </w:tcMar>
            <w:vAlign w:val="center"/>
          </w:tcPr>
          <w:p w14:paraId="1DDAA5A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default" w:ascii="宋体" w:hAnsi="宋体" w:eastAsia="宋体" w:cs="宋体"/>
                <w:color w:val="000000"/>
                <w:sz w:val="18"/>
                <w:szCs w:val="18"/>
                <w:shd w:val="clear" w:color="auto" w:fill="auto"/>
                <w:vertAlign w:val="baseline"/>
                <w:lang w:val="en-US" w:eastAsia="zh-CN"/>
              </w:rPr>
            </w:pPr>
            <w:r>
              <w:rPr>
                <w:rFonts w:hint="eastAsia" w:ascii="宋体" w:hAnsi="宋体" w:eastAsia="宋体" w:cs="宋体"/>
                <w:color w:val="000000"/>
                <w:sz w:val="18"/>
                <w:szCs w:val="18"/>
                <w:shd w:val="clear" w:color="auto" w:fill="auto"/>
                <w:vertAlign w:val="baseline"/>
                <w:lang w:val="en-US" w:eastAsia="zh-CN"/>
              </w:rPr>
              <w:t>68</w:t>
            </w:r>
          </w:p>
        </w:tc>
        <w:tc>
          <w:tcPr>
            <w:tcW w:w="415" w:type="pct"/>
            <w:vMerge w:val="restart"/>
            <w:noWrap w:val="0"/>
            <w:tcMar>
              <w:top w:w="0" w:type="dxa"/>
              <w:left w:w="0" w:type="dxa"/>
              <w:bottom w:w="0" w:type="dxa"/>
              <w:right w:w="0" w:type="dxa"/>
            </w:tcMar>
            <w:vAlign w:val="center"/>
          </w:tcPr>
          <w:p w14:paraId="0E8D3930">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对水利领域将工程勘察、设计转包，承包的工程转包、转让或者违法分包，转让工程监理业务等行为的行政处罚</w:t>
            </w:r>
          </w:p>
        </w:tc>
        <w:tc>
          <w:tcPr>
            <w:tcW w:w="2168" w:type="pct"/>
            <w:vMerge w:val="continue"/>
            <w:noWrap w:val="0"/>
            <w:tcMar>
              <w:top w:w="0" w:type="dxa"/>
              <w:left w:w="0" w:type="dxa"/>
              <w:bottom w:w="0" w:type="dxa"/>
              <w:right w:w="0" w:type="dxa"/>
            </w:tcMar>
            <w:vAlign w:val="center"/>
          </w:tcPr>
          <w:p w14:paraId="279EFEC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restart"/>
            <w:noWrap w:val="0"/>
            <w:tcMar>
              <w:top w:w="0" w:type="dxa"/>
              <w:left w:w="0" w:type="dxa"/>
              <w:bottom w:w="0" w:type="dxa"/>
              <w:right w:w="0" w:type="dxa"/>
            </w:tcMar>
            <w:vAlign w:val="center"/>
          </w:tcPr>
          <w:p w14:paraId="57056ED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水利领域将工程勘察、设计转包，承包单位将承包的工程转包或者违法分包的</w:t>
            </w:r>
          </w:p>
        </w:tc>
        <w:tc>
          <w:tcPr>
            <w:tcW w:w="174" w:type="pct"/>
            <w:vMerge w:val="restart"/>
            <w:noWrap w:val="0"/>
            <w:tcMar>
              <w:top w:w="0" w:type="dxa"/>
              <w:left w:w="0" w:type="dxa"/>
              <w:bottom w:w="0" w:type="dxa"/>
              <w:right w:w="0" w:type="dxa"/>
            </w:tcMar>
            <w:vAlign w:val="center"/>
          </w:tcPr>
          <w:p w14:paraId="6E7A2D60">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较重</w:t>
            </w:r>
          </w:p>
        </w:tc>
        <w:tc>
          <w:tcPr>
            <w:tcW w:w="561" w:type="pct"/>
            <w:noWrap w:val="0"/>
            <w:tcMar>
              <w:top w:w="0" w:type="dxa"/>
              <w:left w:w="0" w:type="dxa"/>
              <w:bottom w:w="0" w:type="dxa"/>
              <w:right w:w="0" w:type="dxa"/>
            </w:tcMar>
            <w:vAlign w:val="center"/>
          </w:tcPr>
          <w:p w14:paraId="09F16910">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造成多于5人少于7人死亡，或者多于20人少于30人重伤或者多于2000万元少于3000万元直接经济损失</w:t>
            </w:r>
          </w:p>
        </w:tc>
        <w:tc>
          <w:tcPr>
            <w:tcW w:w="873" w:type="pct"/>
            <w:noWrap w:val="0"/>
            <w:tcMar>
              <w:top w:w="0" w:type="dxa"/>
              <w:left w:w="0" w:type="dxa"/>
              <w:bottom w:w="0" w:type="dxa"/>
              <w:right w:w="0" w:type="dxa"/>
            </w:tcMar>
            <w:vAlign w:val="center"/>
          </w:tcPr>
          <w:p w14:paraId="207FAE75">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没收违法所得；对勘察、设计单位处合同约定的勘察费、设计费50%的罚款；对施工单位处工程合同价款1%的罚款；责令停业整顿90-120日；对单位直接负责主管人员和其他直接责任人员处单位罚款数额10%的罚款</w:t>
            </w:r>
          </w:p>
        </w:tc>
        <w:tc>
          <w:tcPr>
            <w:tcW w:w="158" w:type="pct"/>
            <w:vMerge w:val="continue"/>
            <w:noWrap w:val="0"/>
            <w:tcMar>
              <w:top w:w="0" w:type="dxa"/>
              <w:left w:w="0" w:type="dxa"/>
              <w:bottom w:w="0" w:type="dxa"/>
              <w:right w:w="0" w:type="dxa"/>
            </w:tcMar>
            <w:vAlign w:val="center"/>
          </w:tcPr>
          <w:p w14:paraId="47EAEA0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535508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127" w:hRule="atLeast"/>
          <w:jc w:val="center"/>
        </w:trPr>
        <w:tc>
          <w:tcPr>
            <w:tcW w:w="156" w:type="pct"/>
            <w:vMerge w:val="continue"/>
            <w:noWrap w:val="0"/>
            <w:tcMar>
              <w:top w:w="0" w:type="dxa"/>
              <w:left w:w="0" w:type="dxa"/>
              <w:bottom w:w="0" w:type="dxa"/>
              <w:right w:w="0" w:type="dxa"/>
            </w:tcMar>
            <w:vAlign w:val="center"/>
          </w:tcPr>
          <w:p w14:paraId="5C502239">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7BFC20CD">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646EEF8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6E8CD9D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vMerge w:val="continue"/>
            <w:noWrap w:val="0"/>
            <w:tcMar>
              <w:top w:w="0" w:type="dxa"/>
              <w:left w:w="0" w:type="dxa"/>
              <w:bottom w:w="0" w:type="dxa"/>
              <w:right w:w="0" w:type="dxa"/>
            </w:tcMar>
            <w:vAlign w:val="center"/>
          </w:tcPr>
          <w:p w14:paraId="69516C6C">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lang w:val="en-US" w:eastAsia="zh-CN"/>
              </w:rPr>
            </w:pPr>
          </w:p>
        </w:tc>
        <w:tc>
          <w:tcPr>
            <w:tcW w:w="561" w:type="pct"/>
            <w:noWrap w:val="0"/>
            <w:tcMar>
              <w:top w:w="0" w:type="dxa"/>
              <w:left w:w="0" w:type="dxa"/>
              <w:bottom w:w="0" w:type="dxa"/>
              <w:right w:w="0" w:type="dxa"/>
            </w:tcMar>
            <w:vAlign w:val="center"/>
          </w:tcPr>
          <w:p w14:paraId="1F25F3C8">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造成多于7人少于10人死亡，或者多于30人少于50人重伤，或者多于3000万元少于5000万元直接经济损失</w:t>
            </w:r>
          </w:p>
        </w:tc>
        <w:tc>
          <w:tcPr>
            <w:tcW w:w="873" w:type="pct"/>
            <w:noWrap w:val="0"/>
            <w:tcMar>
              <w:top w:w="0" w:type="dxa"/>
              <w:left w:w="0" w:type="dxa"/>
              <w:bottom w:w="0" w:type="dxa"/>
              <w:right w:w="0" w:type="dxa"/>
            </w:tcMar>
            <w:vAlign w:val="center"/>
          </w:tcPr>
          <w:p w14:paraId="625DCE6D">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没收违法所得；对勘察、设计单位处合同约定的勘察费、设计费50%的罚款；对施工单位处工程合同价款1%的罚款；责令停业整顿120-180日；对单位直接负责主管人员和其他直接责任人员处单位罚款数额10%的罚款</w:t>
            </w:r>
          </w:p>
        </w:tc>
        <w:tc>
          <w:tcPr>
            <w:tcW w:w="158" w:type="pct"/>
            <w:vMerge w:val="continue"/>
            <w:noWrap w:val="0"/>
            <w:tcMar>
              <w:top w:w="0" w:type="dxa"/>
              <w:left w:w="0" w:type="dxa"/>
              <w:bottom w:w="0" w:type="dxa"/>
              <w:right w:w="0" w:type="dxa"/>
            </w:tcMar>
            <w:vAlign w:val="center"/>
          </w:tcPr>
          <w:p w14:paraId="613E0465">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0676A4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171" w:hRule="atLeast"/>
          <w:jc w:val="center"/>
        </w:trPr>
        <w:tc>
          <w:tcPr>
            <w:tcW w:w="156" w:type="pct"/>
            <w:vMerge w:val="continue"/>
            <w:noWrap w:val="0"/>
            <w:tcMar>
              <w:top w:w="0" w:type="dxa"/>
              <w:left w:w="0" w:type="dxa"/>
              <w:bottom w:w="0" w:type="dxa"/>
              <w:right w:w="0" w:type="dxa"/>
            </w:tcMar>
            <w:vAlign w:val="center"/>
          </w:tcPr>
          <w:p w14:paraId="4EB5FC7D">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2DF25F8E">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47D1AC0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5401254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vMerge w:val="restart"/>
            <w:noWrap w:val="0"/>
            <w:tcMar>
              <w:top w:w="0" w:type="dxa"/>
              <w:left w:w="0" w:type="dxa"/>
              <w:bottom w:w="0" w:type="dxa"/>
              <w:right w:w="0" w:type="dxa"/>
            </w:tcMar>
            <w:vAlign w:val="center"/>
          </w:tcPr>
          <w:p w14:paraId="58F2F75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严重</w:t>
            </w:r>
          </w:p>
        </w:tc>
        <w:tc>
          <w:tcPr>
            <w:tcW w:w="561" w:type="pct"/>
            <w:noWrap w:val="0"/>
            <w:tcMar>
              <w:top w:w="0" w:type="dxa"/>
              <w:left w:w="0" w:type="dxa"/>
              <w:bottom w:w="0" w:type="dxa"/>
              <w:right w:w="0" w:type="dxa"/>
            </w:tcMar>
            <w:vAlign w:val="center"/>
          </w:tcPr>
          <w:p w14:paraId="221F25FB">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造成重大质量安全事故的；或造成分部工程存在严重缺陷，经返修和加固处理仍不能满足安全使用要求</w:t>
            </w:r>
          </w:p>
        </w:tc>
        <w:tc>
          <w:tcPr>
            <w:tcW w:w="873" w:type="pct"/>
            <w:noWrap w:val="0"/>
            <w:tcMar>
              <w:top w:w="0" w:type="dxa"/>
              <w:left w:w="0" w:type="dxa"/>
              <w:bottom w:w="0" w:type="dxa"/>
              <w:right w:w="0" w:type="dxa"/>
            </w:tcMar>
            <w:vAlign w:val="center"/>
          </w:tcPr>
          <w:p w14:paraId="3CFA6433">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没收违法所得；对勘察、设计单位处合同约定的勘察费、设计费50%的罚款；对施工单位处工程合同价款1%的罚款；降低资质等级；对单位直接负责主管人员和其他直接责任人员处单位罚款数额10%的罚款</w:t>
            </w:r>
          </w:p>
        </w:tc>
        <w:tc>
          <w:tcPr>
            <w:tcW w:w="158" w:type="pct"/>
            <w:vMerge w:val="continue"/>
            <w:noWrap w:val="0"/>
            <w:tcMar>
              <w:top w:w="0" w:type="dxa"/>
              <w:left w:w="0" w:type="dxa"/>
              <w:bottom w:w="0" w:type="dxa"/>
              <w:right w:w="0" w:type="dxa"/>
            </w:tcMar>
            <w:vAlign w:val="center"/>
          </w:tcPr>
          <w:p w14:paraId="3882FB1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3DE092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156" w:hRule="atLeast"/>
          <w:jc w:val="center"/>
        </w:trPr>
        <w:tc>
          <w:tcPr>
            <w:tcW w:w="156" w:type="pct"/>
            <w:vMerge w:val="continue"/>
            <w:noWrap w:val="0"/>
            <w:tcMar>
              <w:top w:w="0" w:type="dxa"/>
              <w:left w:w="0" w:type="dxa"/>
              <w:bottom w:w="0" w:type="dxa"/>
              <w:right w:w="0" w:type="dxa"/>
            </w:tcMar>
            <w:vAlign w:val="center"/>
          </w:tcPr>
          <w:p w14:paraId="7BB4D41D">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15013D22">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4ECCB23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7BE51EC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vMerge w:val="continue"/>
            <w:noWrap w:val="0"/>
            <w:tcMar>
              <w:top w:w="0" w:type="dxa"/>
              <w:left w:w="0" w:type="dxa"/>
              <w:bottom w:w="0" w:type="dxa"/>
              <w:right w:w="0" w:type="dxa"/>
            </w:tcMar>
            <w:vAlign w:val="center"/>
          </w:tcPr>
          <w:p w14:paraId="4A33C9F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lang w:val="en-US" w:eastAsia="zh-CN"/>
              </w:rPr>
            </w:pPr>
          </w:p>
        </w:tc>
        <w:tc>
          <w:tcPr>
            <w:tcW w:w="561" w:type="pct"/>
            <w:noWrap w:val="0"/>
            <w:tcMar>
              <w:top w:w="0" w:type="dxa"/>
              <w:left w:w="0" w:type="dxa"/>
              <w:bottom w:w="0" w:type="dxa"/>
              <w:right w:w="0" w:type="dxa"/>
            </w:tcMar>
            <w:vAlign w:val="center"/>
          </w:tcPr>
          <w:p w14:paraId="789446D0">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rPr>
              <w:t>造成特别重大质量安全事故的；或造成单位（子单位）工程存在严重缺陷，经返修和加固处理仍不能满足安全使用</w:t>
            </w:r>
            <w:r>
              <w:rPr>
                <w:rFonts w:hint="eastAsia" w:ascii="宋体" w:hAnsi="宋体" w:eastAsia="宋体" w:cs="宋体"/>
                <w:color w:val="000000"/>
                <w:sz w:val="18"/>
                <w:szCs w:val="18"/>
                <w:vertAlign w:val="baseline"/>
                <w:lang w:val="en-US" w:eastAsia="zh-CN"/>
              </w:rPr>
              <w:t>要求</w:t>
            </w:r>
          </w:p>
        </w:tc>
        <w:tc>
          <w:tcPr>
            <w:tcW w:w="873" w:type="pct"/>
            <w:noWrap w:val="0"/>
            <w:tcMar>
              <w:top w:w="0" w:type="dxa"/>
              <w:left w:w="0" w:type="dxa"/>
              <w:bottom w:w="0" w:type="dxa"/>
              <w:right w:w="0" w:type="dxa"/>
            </w:tcMar>
            <w:vAlign w:val="center"/>
          </w:tcPr>
          <w:p w14:paraId="2E4EA499">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没收违法所得；对勘察、设计单位处合同约定的勘察费、设计费50%的罚款；对施工单位处工程合同价款1%的罚款；吊销资质证书；对单位直接负责主管人员和其他直接责任人员处单位罚款数额10%的罚款</w:t>
            </w:r>
          </w:p>
        </w:tc>
        <w:tc>
          <w:tcPr>
            <w:tcW w:w="158" w:type="pct"/>
            <w:vMerge w:val="continue"/>
            <w:noWrap w:val="0"/>
            <w:tcMar>
              <w:top w:w="0" w:type="dxa"/>
              <w:left w:w="0" w:type="dxa"/>
              <w:bottom w:w="0" w:type="dxa"/>
              <w:right w:w="0" w:type="dxa"/>
            </w:tcMar>
            <w:vAlign w:val="center"/>
          </w:tcPr>
          <w:p w14:paraId="6F2C192B">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3ED06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jc w:val="center"/>
        </w:trPr>
        <w:tc>
          <w:tcPr>
            <w:tcW w:w="156" w:type="pct"/>
            <w:vMerge w:val="restart"/>
            <w:noWrap w:val="0"/>
            <w:tcMar>
              <w:top w:w="0" w:type="dxa"/>
              <w:left w:w="0" w:type="dxa"/>
              <w:bottom w:w="0" w:type="dxa"/>
              <w:right w:w="0" w:type="dxa"/>
            </w:tcMar>
            <w:vAlign w:val="center"/>
          </w:tcPr>
          <w:p w14:paraId="02E2871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default" w:ascii="宋体" w:hAnsi="宋体" w:eastAsia="宋体" w:cs="宋体"/>
                <w:color w:val="000000"/>
                <w:sz w:val="18"/>
                <w:szCs w:val="18"/>
                <w:shd w:val="clear" w:color="auto" w:fill="auto"/>
                <w:vertAlign w:val="baseline"/>
                <w:lang w:val="en-US" w:eastAsia="zh-CN"/>
              </w:rPr>
            </w:pPr>
            <w:r>
              <w:rPr>
                <w:rFonts w:hint="eastAsia" w:ascii="宋体" w:hAnsi="宋体" w:eastAsia="宋体" w:cs="宋体"/>
                <w:color w:val="000000"/>
                <w:sz w:val="18"/>
                <w:szCs w:val="18"/>
                <w:shd w:val="clear" w:color="auto" w:fill="auto"/>
                <w:vertAlign w:val="baseline"/>
                <w:lang w:val="en-US" w:eastAsia="zh-CN"/>
              </w:rPr>
              <w:t>68</w:t>
            </w:r>
          </w:p>
        </w:tc>
        <w:tc>
          <w:tcPr>
            <w:tcW w:w="415" w:type="pct"/>
            <w:vMerge w:val="restart"/>
            <w:noWrap w:val="0"/>
            <w:tcMar>
              <w:top w:w="0" w:type="dxa"/>
              <w:left w:w="0" w:type="dxa"/>
              <w:bottom w:w="0" w:type="dxa"/>
              <w:right w:w="0" w:type="dxa"/>
            </w:tcMar>
            <w:vAlign w:val="center"/>
          </w:tcPr>
          <w:p w14:paraId="34762558">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对水利领域将工程勘察、设计转包，承包的工程转包、转让或者违法分包，转让工程监理业务等行为的行政处罚</w:t>
            </w:r>
          </w:p>
        </w:tc>
        <w:tc>
          <w:tcPr>
            <w:tcW w:w="2168" w:type="pct"/>
            <w:vMerge w:val="continue"/>
            <w:noWrap w:val="0"/>
            <w:tcMar>
              <w:top w:w="0" w:type="dxa"/>
              <w:left w:w="0" w:type="dxa"/>
              <w:bottom w:w="0" w:type="dxa"/>
              <w:right w:w="0" w:type="dxa"/>
            </w:tcMar>
            <w:vAlign w:val="center"/>
          </w:tcPr>
          <w:p w14:paraId="39DCDAC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restart"/>
            <w:noWrap w:val="0"/>
            <w:tcMar>
              <w:top w:w="0" w:type="dxa"/>
              <w:left w:w="0" w:type="dxa"/>
              <w:bottom w:w="0" w:type="dxa"/>
              <w:right w:w="0" w:type="dxa"/>
            </w:tcMar>
            <w:vAlign w:val="center"/>
          </w:tcPr>
          <w:p w14:paraId="70C7BC0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工程监理单位转让工程监理业务的</w:t>
            </w:r>
          </w:p>
        </w:tc>
        <w:tc>
          <w:tcPr>
            <w:tcW w:w="174" w:type="pct"/>
            <w:noWrap w:val="0"/>
            <w:tcMar>
              <w:top w:w="0" w:type="dxa"/>
              <w:left w:w="0" w:type="dxa"/>
              <w:bottom w:w="0" w:type="dxa"/>
              <w:right w:w="0" w:type="dxa"/>
            </w:tcMar>
            <w:vAlign w:val="center"/>
          </w:tcPr>
          <w:p w14:paraId="0A36C41B">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轻微</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1892FBD3">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37D91589">
            <w:pPr>
              <w:spacing w:line="260" w:lineRule="exact"/>
              <w:rPr>
                <w:rFonts w:hint="eastAsia" w:ascii="宋体" w:hAnsi="宋体" w:eastAsia="宋体" w:cs="宋体"/>
                <w:color w:val="000000"/>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0CDC48A4">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0DB29BF4">
            <w:pPr>
              <w:spacing w:line="260" w:lineRule="exact"/>
              <w:rPr>
                <w:rFonts w:hint="eastAsia" w:ascii="宋体" w:hAnsi="宋体" w:eastAsia="宋体" w:cs="宋体"/>
                <w:color w:val="000000"/>
                <w:kern w:val="2"/>
                <w:sz w:val="18"/>
                <w:szCs w:val="18"/>
                <w:vertAlign w:val="baseline"/>
                <w:lang w:val="en-US" w:eastAsia="zh-CN" w:bidi="ar-SA"/>
              </w:rPr>
            </w:pPr>
          </w:p>
        </w:tc>
        <w:tc>
          <w:tcPr>
            <w:tcW w:w="158" w:type="pct"/>
            <w:vMerge w:val="restart"/>
            <w:noWrap w:val="0"/>
            <w:tcMar>
              <w:top w:w="0" w:type="dxa"/>
              <w:left w:w="0" w:type="dxa"/>
              <w:bottom w:w="0" w:type="dxa"/>
              <w:right w:w="0" w:type="dxa"/>
            </w:tcMar>
            <w:vAlign w:val="center"/>
          </w:tcPr>
          <w:p w14:paraId="2A437158">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01ACA2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890" w:hRule="atLeast"/>
          <w:jc w:val="center"/>
        </w:trPr>
        <w:tc>
          <w:tcPr>
            <w:tcW w:w="156" w:type="pct"/>
            <w:vMerge w:val="continue"/>
            <w:noWrap w:val="0"/>
            <w:tcMar>
              <w:top w:w="0" w:type="dxa"/>
              <w:left w:w="0" w:type="dxa"/>
              <w:bottom w:w="0" w:type="dxa"/>
              <w:right w:w="0" w:type="dxa"/>
            </w:tcMar>
            <w:vAlign w:val="center"/>
          </w:tcPr>
          <w:p w14:paraId="0F328548">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7C435FAC">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3B65B3A4">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4916912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54D9866A">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较轻</w:t>
            </w:r>
          </w:p>
        </w:tc>
        <w:tc>
          <w:tcPr>
            <w:tcW w:w="561" w:type="pct"/>
            <w:noWrap w:val="0"/>
            <w:tcMar>
              <w:top w:w="0" w:type="dxa"/>
              <w:left w:w="0" w:type="dxa"/>
              <w:bottom w:w="0" w:type="dxa"/>
              <w:right w:w="0" w:type="dxa"/>
            </w:tcMar>
            <w:vAlign w:val="center"/>
          </w:tcPr>
          <w:p w14:paraId="3432837D">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监理业务尚未实施的</w:t>
            </w:r>
          </w:p>
        </w:tc>
        <w:tc>
          <w:tcPr>
            <w:tcW w:w="873" w:type="pct"/>
            <w:noWrap w:val="0"/>
            <w:tcMar>
              <w:top w:w="0" w:type="dxa"/>
              <w:left w:w="0" w:type="dxa"/>
              <w:bottom w:w="0" w:type="dxa"/>
              <w:right w:w="0" w:type="dxa"/>
            </w:tcMar>
            <w:vAlign w:val="center"/>
          </w:tcPr>
          <w:p w14:paraId="29752A05">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没收违法所得；对工程监理单位处合同约定的监理酬金25%以上32.5%以下的罚款，对单位直接负责的主管人员和其他直接责任人员处单位罚款数额5%以上6.5%以下的罚款</w:t>
            </w:r>
          </w:p>
        </w:tc>
        <w:tc>
          <w:tcPr>
            <w:tcW w:w="158" w:type="pct"/>
            <w:vMerge w:val="continue"/>
            <w:noWrap w:val="0"/>
            <w:tcMar>
              <w:top w:w="0" w:type="dxa"/>
              <w:left w:w="0" w:type="dxa"/>
              <w:bottom w:w="0" w:type="dxa"/>
              <w:right w:w="0" w:type="dxa"/>
            </w:tcMar>
            <w:vAlign w:val="center"/>
          </w:tcPr>
          <w:p w14:paraId="66F2B91C">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6FDC8D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111" w:hRule="atLeast"/>
          <w:jc w:val="center"/>
        </w:trPr>
        <w:tc>
          <w:tcPr>
            <w:tcW w:w="156" w:type="pct"/>
            <w:vMerge w:val="continue"/>
            <w:noWrap w:val="0"/>
            <w:tcMar>
              <w:top w:w="0" w:type="dxa"/>
              <w:left w:w="0" w:type="dxa"/>
              <w:bottom w:w="0" w:type="dxa"/>
              <w:right w:w="0" w:type="dxa"/>
            </w:tcMar>
            <w:vAlign w:val="center"/>
          </w:tcPr>
          <w:p w14:paraId="0C8D5DB9">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63ACD439">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6AA97A6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152AAF1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0D71A8C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一般</w:t>
            </w:r>
          </w:p>
        </w:tc>
        <w:tc>
          <w:tcPr>
            <w:tcW w:w="561" w:type="pct"/>
            <w:noWrap w:val="0"/>
            <w:tcMar>
              <w:top w:w="0" w:type="dxa"/>
              <w:left w:w="0" w:type="dxa"/>
              <w:bottom w:w="0" w:type="dxa"/>
              <w:right w:w="0" w:type="dxa"/>
            </w:tcMar>
            <w:vAlign w:val="center"/>
          </w:tcPr>
          <w:p w14:paraId="58FE8F26">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监理业务已经实施的</w:t>
            </w:r>
          </w:p>
        </w:tc>
        <w:tc>
          <w:tcPr>
            <w:tcW w:w="873" w:type="pct"/>
            <w:noWrap w:val="0"/>
            <w:tcMar>
              <w:top w:w="0" w:type="dxa"/>
              <w:left w:w="0" w:type="dxa"/>
              <w:bottom w:w="0" w:type="dxa"/>
              <w:right w:w="0" w:type="dxa"/>
            </w:tcMar>
            <w:vAlign w:val="center"/>
          </w:tcPr>
          <w:p w14:paraId="1D00F5F3">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没收违法所得；对工程监理单位处合同约定的监理酬金32.5%以上42.5%以下的罚款，对单位直接负责的主管人员和其他直接责任人员处单位罚款数额6.5%以上8.5%以下的罚款</w:t>
            </w:r>
          </w:p>
        </w:tc>
        <w:tc>
          <w:tcPr>
            <w:tcW w:w="158" w:type="pct"/>
            <w:vMerge w:val="continue"/>
            <w:noWrap w:val="0"/>
            <w:tcMar>
              <w:top w:w="0" w:type="dxa"/>
              <w:left w:w="0" w:type="dxa"/>
              <w:bottom w:w="0" w:type="dxa"/>
              <w:right w:w="0" w:type="dxa"/>
            </w:tcMar>
            <w:vAlign w:val="center"/>
          </w:tcPr>
          <w:p w14:paraId="347343A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5D0E60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293" w:hRule="atLeast"/>
          <w:jc w:val="center"/>
        </w:trPr>
        <w:tc>
          <w:tcPr>
            <w:tcW w:w="156" w:type="pct"/>
            <w:vMerge w:val="continue"/>
            <w:noWrap w:val="0"/>
            <w:tcMar>
              <w:top w:w="0" w:type="dxa"/>
              <w:left w:w="0" w:type="dxa"/>
              <w:bottom w:w="0" w:type="dxa"/>
              <w:right w:w="0" w:type="dxa"/>
            </w:tcMar>
            <w:vAlign w:val="center"/>
          </w:tcPr>
          <w:p w14:paraId="56A43B8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550F4493">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5C451D1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4725F1F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vMerge w:val="restart"/>
            <w:noWrap w:val="0"/>
            <w:tcMar>
              <w:top w:w="0" w:type="dxa"/>
              <w:left w:w="0" w:type="dxa"/>
              <w:bottom w:w="0" w:type="dxa"/>
              <w:right w:w="0" w:type="dxa"/>
            </w:tcMar>
            <w:vAlign w:val="center"/>
          </w:tcPr>
          <w:p w14:paraId="4B06ED40">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sz w:val="18"/>
                <w:szCs w:val="18"/>
                <w:vertAlign w:val="baseline"/>
                <w:lang w:val="en-US" w:eastAsia="zh-CN"/>
              </w:rPr>
              <w:t>较重</w:t>
            </w:r>
          </w:p>
        </w:tc>
        <w:tc>
          <w:tcPr>
            <w:tcW w:w="561" w:type="pct"/>
            <w:noWrap w:val="0"/>
            <w:tcMar>
              <w:top w:w="0" w:type="dxa"/>
              <w:left w:w="0" w:type="dxa"/>
              <w:bottom w:w="0" w:type="dxa"/>
              <w:right w:w="0" w:type="dxa"/>
            </w:tcMar>
            <w:vAlign w:val="center"/>
          </w:tcPr>
          <w:p w14:paraId="5973A9D7">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2年内2次及以上同类型违法的；造成严重社会影响的</w:t>
            </w:r>
          </w:p>
        </w:tc>
        <w:tc>
          <w:tcPr>
            <w:tcW w:w="873" w:type="pct"/>
            <w:noWrap w:val="0"/>
            <w:tcMar>
              <w:top w:w="0" w:type="dxa"/>
              <w:left w:w="0" w:type="dxa"/>
              <w:bottom w:w="0" w:type="dxa"/>
              <w:right w:w="0" w:type="dxa"/>
            </w:tcMar>
            <w:vAlign w:val="center"/>
          </w:tcPr>
          <w:p w14:paraId="23A813E0">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没收违法所得；对工程监理单位处合同约定的监理酬金40.5%以上50%以下的罚款；责令停业整顿30-60日；对单位直接负责的主管人员和其他直接责任人员处单位罚款数额8.5%以上10%以下的罚款</w:t>
            </w:r>
          </w:p>
        </w:tc>
        <w:tc>
          <w:tcPr>
            <w:tcW w:w="158" w:type="pct"/>
            <w:vMerge w:val="continue"/>
            <w:noWrap w:val="0"/>
            <w:tcMar>
              <w:top w:w="0" w:type="dxa"/>
              <w:left w:w="0" w:type="dxa"/>
              <w:bottom w:w="0" w:type="dxa"/>
              <w:right w:w="0" w:type="dxa"/>
            </w:tcMar>
            <w:vAlign w:val="center"/>
          </w:tcPr>
          <w:p w14:paraId="26030EC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0FEB5B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625" w:hRule="atLeast"/>
          <w:jc w:val="center"/>
        </w:trPr>
        <w:tc>
          <w:tcPr>
            <w:tcW w:w="156" w:type="pct"/>
            <w:vMerge w:val="continue"/>
            <w:noWrap w:val="0"/>
            <w:tcMar>
              <w:top w:w="0" w:type="dxa"/>
              <w:left w:w="0" w:type="dxa"/>
              <w:bottom w:w="0" w:type="dxa"/>
              <w:right w:w="0" w:type="dxa"/>
            </w:tcMar>
            <w:vAlign w:val="center"/>
          </w:tcPr>
          <w:p w14:paraId="4C74B3B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0BEC0B18">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15CD187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35CFBEB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vMerge w:val="continue"/>
            <w:noWrap w:val="0"/>
            <w:tcMar>
              <w:top w:w="0" w:type="dxa"/>
              <w:left w:w="0" w:type="dxa"/>
              <w:bottom w:w="0" w:type="dxa"/>
              <w:right w:w="0" w:type="dxa"/>
            </w:tcMar>
            <w:vAlign w:val="center"/>
          </w:tcPr>
          <w:p w14:paraId="640B183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lang w:val="en-US" w:eastAsia="zh-CN"/>
              </w:rPr>
            </w:pPr>
          </w:p>
        </w:tc>
        <w:tc>
          <w:tcPr>
            <w:tcW w:w="561" w:type="pct"/>
            <w:noWrap w:val="0"/>
            <w:tcMar>
              <w:top w:w="0" w:type="dxa"/>
              <w:left w:w="0" w:type="dxa"/>
              <w:bottom w:w="0" w:type="dxa"/>
              <w:right w:w="0" w:type="dxa"/>
            </w:tcMar>
            <w:vAlign w:val="center"/>
          </w:tcPr>
          <w:p w14:paraId="6F65D479">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造成少于3人死亡，或者少于10人重伤，或者少于1000万元直接经济损失</w:t>
            </w:r>
          </w:p>
        </w:tc>
        <w:tc>
          <w:tcPr>
            <w:tcW w:w="873" w:type="pct"/>
            <w:noWrap w:val="0"/>
            <w:tcMar>
              <w:top w:w="0" w:type="dxa"/>
              <w:left w:w="0" w:type="dxa"/>
              <w:bottom w:w="0" w:type="dxa"/>
              <w:right w:w="0" w:type="dxa"/>
            </w:tcMar>
            <w:vAlign w:val="center"/>
          </w:tcPr>
          <w:p w14:paraId="2C5EABCA">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没收违法所得；对工程监理单位处合同约定的监理酬金50%的罚款；责令停业整顿30-60日；对单位直接负责的主管人员和其他直接责任人员处单位罚款数额10%的罚款</w:t>
            </w:r>
          </w:p>
        </w:tc>
        <w:tc>
          <w:tcPr>
            <w:tcW w:w="158" w:type="pct"/>
            <w:vMerge w:val="continue"/>
            <w:noWrap w:val="0"/>
            <w:tcMar>
              <w:top w:w="0" w:type="dxa"/>
              <w:left w:w="0" w:type="dxa"/>
              <w:bottom w:w="0" w:type="dxa"/>
              <w:right w:w="0" w:type="dxa"/>
            </w:tcMar>
            <w:vAlign w:val="center"/>
          </w:tcPr>
          <w:p w14:paraId="52722E9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054B3D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restart"/>
            <w:noWrap w:val="0"/>
            <w:tcMar>
              <w:top w:w="0" w:type="dxa"/>
              <w:left w:w="0" w:type="dxa"/>
              <w:bottom w:w="0" w:type="dxa"/>
              <w:right w:w="0" w:type="dxa"/>
            </w:tcMar>
            <w:vAlign w:val="center"/>
          </w:tcPr>
          <w:p w14:paraId="4705889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default" w:ascii="宋体" w:hAnsi="宋体" w:eastAsia="宋体" w:cs="宋体"/>
                <w:color w:val="000000"/>
                <w:sz w:val="18"/>
                <w:szCs w:val="18"/>
                <w:shd w:val="clear" w:color="auto" w:fill="auto"/>
                <w:vertAlign w:val="baseline"/>
                <w:lang w:val="en-US" w:eastAsia="zh-CN"/>
              </w:rPr>
            </w:pPr>
            <w:r>
              <w:rPr>
                <w:rFonts w:hint="eastAsia" w:ascii="宋体" w:hAnsi="宋体" w:eastAsia="宋体" w:cs="宋体"/>
                <w:color w:val="000000"/>
                <w:sz w:val="18"/>
                <w:szCs w:val="18"/>
                <w:shd w:val="clear" w:color="auto" w:fill="auto"/>
                <w:vertAlign w:val="baseline"/>
                <w:lang w:val="en-US" w:eastAsia="zh-CN"/>
              </w:rPr>
              <w:t>68</w:t>
            </w:r>
          </w:p>
        </w:tc>
        <w:tc>
          <w:tcPr>
            <w:tcW w:w="415" w:type="pct"/>
            <w:vMerge w:val="restart"/>
            <w:noWrap w:val="0"/>
            <w:tcMar>
              <w:top w:w="0" w:type="dxa"/>
              <w:left w:w="0" w:type="dxa"/>
              <w:bottom w:w="0" w:type="dxa"/>
              <w:right w:w="0" w:type="dxa"/>
            </w:tcMar>
            <w:vAlign w:val="center"/>
          </w:tcPr>
          <w:p w14:paraId="4ADE46FE">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对水利领域将工程勘察、设计转包，承包的工程转包、转让或者违法分包，转让工程监理业务等行为的行政处罚</w:t>
            </w:r>
          </w:p>
        </w:tc>
        <w:tc>
          <w:tcPr>
            <w:tcW w:w="2168" w:type="pct"/>
            <w:vMerge w:val="continue"/>
            <w:noWrap w:val="0"/>
            <w:tcMar>
              <w:top w:w="0" w:type="dxa"/>
              <w:left w:w="0" w:type="dxa"/>
              <w:bottom w:w="0" w:type="dxa"/>
              <w:right w:w="0" w:type="dxa"/>
            </w:tcMar>
            <w:vAlign w:val="center"/>
          </w:tcPr>
          <w:p w14:paraId="526AF7BC">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restart"/>
            <w:noWrap w:val="0"/>
            <w:tcMar>
              <w:top w:w="0" w:type="dxa"/>
              <w:left w:w="0" w:type="dxa"/>
              <w:bottom w:w="0" w:type="dxa"/>
              <w:right w:w="0" w:type="dxa"/>
            </w:tcMar>
            <w:vAlign w:val="center"/>
          </w:tcPr>
          <w:p w14:paraId="01405854">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工程监理单位转让工程监理业务的</w:t>
            </w:r>
          </w:p>
        </w:tc>
        <w:tc>
          <w:tcPr>
            <w:tcW w:w="174" w:type="pct"/>
            <w:vMerge w:val="restart"/>
            <w:noWrap w:val="0"/>
            <w:tcMar>
              <w:top w:w="0" w:type="dxa"/>
              <w:left w:w="0" w:type="dxa"/>
              <w:bottom w:w="0" w:type="dxa"/>
              <w:right w:w="0" w:type="dxa"/>
            </w:tcMar>
            <w:vAlign w:val="center"/>
          </w:tcPr>
          <w:p w14:paraId="5031AD10">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较重</w:t>
            </w:r>
          </w:p>
        </w:tc>
        <w:tc>
          <w:tcPr>
            <w:tcW w:w="561" w:type="pct"/>
            <w:noWrap w:val="0"/>
            <w:tcMar>
              <w:top w:w="0" w:type="dxa"/>
              <w:left w:w="0" w:type="dxa"/>
              <w:bottom w:w="0" w:type="dxa"/>
              <w:right w:w="0" w:type="dxa"/>
            </w:tcMar>
            <w:vAlign w:val="center"/>
          </w:tcPr>
          <w:p w14:paraId="2CC61DA0">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造成多于3人少于5人死亡，或者多于10人少于20人重伤，或者多于1000万元少于2000万元直接经济损失</w:t>
            </w:r>
          </w:p>
        </w:tc>
        <w:tc>
          <w:tcPr>
            <w:tcW w:w="873" w:type="pct"/>
            <w:noWrap w:val="0"/>
            <w:tcMar>
              <w:top w:w="0" w:type="dxa"/>
              <w:left w:w="0" w:type="dxa"/>
              <w:bottom w:w="0" w:type="dxa"/>
              <w:right w:w="0" w:type="dxa"/>
            </w:tcMar>
            <w:vAlign w:val="center"/>
          </w:tcPr>
          <w:p w14:paraId="1EABB59E">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没收违法所得；对工程监理单位处合同约定的监理酬金50%的罚款；责令停业整顿60-90日；对单位直接负责的主管人员和其他直接责任人员处单位罚款数额10%的罚款</w:t>
            </w:r>
          </w:p>
        </w:tc>
        <w:tc>
          <w:tcPr>
            <w:tcW w:w="158" w:type="pct"/>
            <w:vMerge w:val="continue"/>
            <w:noWrap w:val="0"/>
            <w:tcMar>
              <w:top w:w="0" w:type="dxa"/>
              <w:left w:w="0" w:type="dxa"/>
              <w:bottom w:w="0" w:type="dxa"/>
              <w:right w:w="0" w:type="dxa"/>
            </w:tcMar>
            <w:vAlign w:val="center"/>
          </w:tcPr>
          <w:p w14:paraId="39B72C2B">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12A6A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63A4ABAD">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0A907B69">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0DC22F6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19AA350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vMerge w:val="continue"/>
            <w:noWrap w:val="0"/>
            <w:tcMar>
              <w:top w:w="0" w:type="dxa"/>
              <w:left w:w="0" w:type="dxa"/>
              <w:bottom w:w="0" w:type="dxa"/>
              <w:right w:w="0" w:type="dxa"/>
            </w:tcMar>
            <w:vAlign w:val="center"/>
          </w:tcPr>
          <w:p w14:paraId="15FF5CA9">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lang w:val="en-US" w:eastAsia="zh-CN"/>
              </w:rPr>
            </w:pPr>
          </w:p>
        </w:tc>
        <w:tc>
          <w:tcPr>
            <w:tcW w:w="561" w:type="pct"/>
            <w:noWrap w:val="0"/>
            <w:tcMar>
              <w:top w:w="0" w:type="dxa"/>
              <w:left w:w="0" w:type="dxa"/>
              <w:bottom w:w="0" w:type="dxa"/>
              <w:right w:w="0" w:type="dxa"/>
            </w:tcMar>
            <w:vAlign w:val="center"/>
          </w:tcPr>
          <w:p w14:paraId="11DB41CB">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造成多于5人少于7人死亡，或者多于20人少于30人重伤，或者多于2000万元少于3000万元直接经济损失</w:t>
            </w:r>
          </w:p>
        </w:tc>
        <w:tc>
          <w:tcPr>
            <w:tcW w:w="873" w:type="pct"/>
            <w:noWrap w:val="0"/>
            <w:tcMar>
              <w:top w:w="0" w:type="dxa"/>
              <w:left w:w="0" w:type="dxa"/>
              <w:bottom w:w="0" w:type="dxa"/>
              <w:right w:w="0" w:type="dxa"/>
            </w:tcMar>
            <w:vAlign w:val="center"/>
          </w:tcPr>
          <w:p w14:paraId="2BED6577">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没收违法所得；对工程监理单位处合同约定的监理酬金50%的罚款；责令停业整顿90-120日；对单位直接负责的主管人员和其他直接责任人员处单位罚款数额10%的罚款</w:t>
            </w:r>
          </w:p>
        </w:tc>
        <w:tc>
          <w:tcPr>
            <w:tcW w:w="158" w:type="pct"/>
            <w:vMerge w:val="continue"/>
            <w:noWrap w:val="0"/>
            <w:tcMar>
              <w:top w:w="0" w:type="dxa"/>
              <w:left w:w="0" w:type="dxa"/>
              <w:bottom w:w="0" w:type="dxa"/>
              <w:right w:w="0" w:type="dxa"/>
            </w:tcMar>
            <w:vAlign w:val="center"/>
          </w:tcPr>
          <w:p w14:paraId="6C4FF1CA">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7B10DD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47C5BBFB">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6B681FDC">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7C740B7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5372F61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vMerge w:val="continue"/>
            <w:noWrap w:val="0"/>
            <w:tcMar>
              <w:top w:w="0" w:type="dxa"/>
              <w:left w:w="0" w:type="dxa"/>
              <w:bottom w:w="0" w:type="dxa"/>
              <w:right w:w="0" w:type="dxa"/>
            </w:tcMar>
            <w:vAlign w:val="center"/>
          </w:tcPr>
          <w:p w14:paraId="223BF80D">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lang w:val="en-US" w:eastAsia="zh-CN"/>
              </w:rPr>
            </w:pPr>
          </w:p>
        </w:tc>
        <w:tc>
          <w:tcPr>
            <w:tcW w:w="561" w:type="pct"/>
            <w:noWrap w:val="0"/>
            <w:tcMar>
              <w:top w:w="0" w:type="dxa"/>
              <w:left w:w="0" w:type="dxa"/>
              <w:bottom w:w="0" w:type="dxa"/>
              <w:right w:w="0" w:type="dxa"/>
            </w:tcMar>
            <w:vAlign w:val="center"/>
          </w:tcPr>
          <w:p w14:paraId="28C9F790">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造成多于7人少于10人死亡，或者多于30人少于50人重伤，或者多于3000万元少于5000万元直接经济损失</w:t>
            </w:r>
          </w:p>
        </w:tc>
        <w:tc>
          <w:tcPr>
            <w:tcW w:w="873" w:type="pct"/>
            <w:noWrap w:val="0"/>
            <w:tcMar>
              <w:top w:w="0" w:type="dxa"/>
              <w:left w:w="0" w:type="dxa"/>
              <w:bottom w:w="0" w:type="dxa"/>
              <w:right w:w="0" w:type="dxa"/>
            </w:tcMar>
            <w:vAlign w:val="center"/>
          </w:tcPr>
          <w:p w14:paraId="47ED24AE">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没收违法所得；对工程监理单位处合同约定的监理酬金50%的罚款；责令停业整顿120-180日；对单位直接负责的主管人员和其他直接责任人员处单位罚款数额10%的罚款</w:t>
            </w:r>
          </w:p>
        </w:tc>
        <w:tc>
          <w:tcPr>
            <w:tcW w:w="158" w:type="pct"/>
            <w:vMerge w:val="continue"/>
            <w:noWrap w:val="0"/>
            <w:tcMar>
              <w:top w:w="0" w:type="dxa"/>
              <w:left w:w="0" w:type="dxa"/>
              <w:bottom w:w="0" w:type="dxa"/>
              <w:right w:w="0" w:type="dxa"/>
            </w:tcMar>
            <w:vAlign w:val="center"/>
          </w:tcPr>
          <w:p w14:paraId="631A36BB">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3F617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610" w:hRule="atLeast"/>
          <w:jc w:val="center"/>
        </w:trPr>
        <w:tc>
          <w:tcPr>
            <w:tcW w:w="156" w:type="pct"/>
            <w:vMerge w:val="continue"/>
            <w:noWrap w:val="0"/>
            <w:tcMar>
              <w:top w:w="0" w:type="dxa"/>
              <w:left w:w="0" w:type="dxa"/>
              <w:bottom w:w="0" w:type="dxa"/>
              <w:right w:w="0" w:type="dxa"/>
            </w:tcMar>
            <w:vAlign w:val="center"/>
          </w:tcPr>
          <w:p w14:paraId="04303095">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55E5C803">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23DF2B8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5E46836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vMerge w:val="restart"/>
            <w:noWrap w:val="0"/>
            <w:tcMar>
              <w:top w:w="0" w:type="dxa"/>
              <w:left w:w="0" w:type="dxa"/>
              <w:bottom w:w="0" w:type="dxa"/>
              <w:right w:w="0" w:type="dxa"/>
            </w:tcMar>
            <w:vAlign w:val="center"/>
          </w:tcPr>
          <w:p w14:paraId="70A1A34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严重</w:t>
            </w:r>
          </w:p>
        </w:tc>
        <w:tc>
          <w:tcPr>
            <w:tcW w:w="561" w:type="pct"/>
            <w:noWrap w:val="0"/>
            <w:tcMar>
              <w:top w:w="0" w:type="dxa"/>
              <w:left w:w="0" w:type="dxa"/>
              <w:bottom w:w="0" w:type="dxa"/>
              <w:right w:w="0" w:type="dxa"/>
            </w:tcMar>
            <w:vAlign w:val="center"/>
          </w:tcPr>
          <w:p w14:paraId="5C07C7AC">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造成重大质量安全事故的；或造成分部工程存在严重缺陷，经返修和加固处理仍不能满足安全使用要求</w:t>
            </w:r>
          </w:p>
        </w:tc>
        <w:tc>
          <w:tcPr>
            <w:tcW w:w="873" w:type="pct"/>
            <w:noWrap w:val="0"/>
            <w:tcMar>
              <w:top w:w="0" w:type="dxa"/>
              <w:left w:w="0" w:type="dxa"/>
              <w:bottom w:w="0" w:type="dxa"/>
              <w:right w:w="0" w:type="dxa"/>
            </w:tcMar>
            <w:vAlign w:val="center"/>
          </w:tcPr>
          <w:p w14:paraId="53448E75">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没收违法所得；对工程监理单位处合同约定的监理酬金50%的罚款；降低资质等级；对单位直接负责的主管人员和其他直接责任人员处单位罚款数额10%</w:t>
            </w:r>
          </w:p>
        </w:tc>
        <w:tc>
          <w:tcPr>
            <w:tcW w:w="158" w:type="pct"/>
            <w:vMerge w:val="continue"/>
            <w:noWrap w:val="0"/>
            <w:tcMar>
              <w:top w:w="0" w:type="dxa"/>
              <w:left w:w="0" w:type="dxa"/>
              <w:bottom w:w="0" w:type="dxa"/>
              <w:right w:w="0" w:type="dxa"/>
            </w:tcMar>
            <w:vAlign w:val="center"/>
          </w:tcPr>
          <w:p w14:paraId="147B89A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5CF8D4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846" w:hRule="atLeast"/>
          <w:jc w:val="center"/>
        </w:trPr>
        <w:tc>
          <w:tcPr>
            <w:tcW w:w="156" w:type="pct"/>
            <w:vMerge w:val="continue"/>
            <w:noWrap w:val="0"/>
            <w:tcMar>
              <w:top w:w="0" w:type="dxa"/>
              <w:left w:w="0" w:type="dxa"/>
              <w:bottom w:w="0" w:type="dxa"/>
              <w:right w:w="0" w:type="dxa"/>
            </w:tcMar>
            <w:vAlign w:val="center"/>
          </w:tcPr>
          <w:p w14:paraId="28681DF5">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28F81410">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3940495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574FCCC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vMerge w:val="continue"/>
            <w:noWrap w:val="0"/>
            <w:tcMar>
              <w:top w:w="0" w:type="dxa"/>
              <w:left w:w="0" w:type="dxa"/>
              <w:bottom w:w="0" w:type="dxa"/>
              <w:right w:w="0" w:type="dxa"/>
            </w:tcMar>
            <w:vAlign w:val="center"/>
          </w:tcPr>
          <w:p w14:paraId="722CCE3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lang w:val="en-US" w:eastAsia="zh-CN"/>
              </w:rPr>
            </w:pPr>
          </w:p>
        </w:tc>
        <w:tc>
          <w:tcPr>
            <w:tcW w:w="561" w:type="pct"/>
            <w:noWrap w:val="0"/>
            <w:tcMar>
              <w:top w:w="0" w:type="dxa"/>
              <w:left w:w="0" w:type="dxa"/>
              <w:bottom w:w="0" w:type="dxa"/>
              <w:right w:w="0" w:type="dxa"/>
            </w:tcMar>
            <w:vAlign w:val="center"/>
          </w:tcPr>
          <w:p w14:paraId="705377B6">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造成特别重大质量安全事故的；或造成单位（子单位）工程存在严重缺陷，经返修和加固处理仍不能满足安全使用要求</w:t>
            </w:r>
          </w:p>
        </w:tc>
        <w:tc>
          <w:tcPr>
            <w:tcW w:w="873" w:type="pct"/>
            <w:noWrap w:val="0"/>
            <w:tcMar>
              <w:top w:w="0" w:type="dxa"/>
              <w:left w:w="0" w:type="dxa"/>
              <w:bottom w:w="0" w:type="dxa"/>
              <w:right w:w="0" w:type="dxa"/>
            </w:tcMar>
            <w:vAlign w:val="center"/>
          </w:tcPr>
          <w:p w14:paraId="7D069068">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没收违法所得；对工程监理单位处合同约定的监理酬金50%的罚款；吊销资质证书；对单位直接负责的主管人员和其他直接责任人员处单位罚款数额10%的罚款</w:t>
            </w:r>
          </w:p>
        </w:tc>
        <w:tc>
          <w:tcPr>
            <w:tcW w:w="158" w:type="pct"/>
            <w:vMerge w:val="continue"/>
            <w:noWrap w:val="0"/>
            <w:tcMar>
              <w:top w:w="0" w:type="dxa"/>
              <w:left w:w="0" w:type="dxa"/>
              <w:bottom w:w="0" w:type="dxa"/>
              <w:right w:w="0" w:type="dxa"/>
            </w:tcMar>
            <w:vAlign w:val="center"/>
          </w:tcPr>
          <w:p w14:paraId="5A7C7F1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5C5AFF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restart"/>
            <w:noWrap w:val="0"/>
            <w:tcMar>
              <w:top w:w="0" w:type="dxa"/>
              <w:left w:w="0" w:type="dxa"/>
              <w:bottom w:w="0" w:type="dxa"/>
              <w:right w:w="0" w:type="dxa"/>
            </w:tcMar>
            <w:vAlign w:val="center"/>
          </w:tcPr>
          <w:p w14:paraId="1C0BCA1D">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r>
              <w:rPr>
                <w:rFonts w:hint="eastAsia" w:ascii="宋体" w:hAnsi="宋体" w:eastAsia="宋体" w:cs="宋体"/>
                <w:color w:val="000000"/>
                <w:sz w:val="18"/>
                <w:szCs w:val="18"/>
                <w:shd w:val="clear" w:color="auto" w:fill="auto"/>
                <w:vertAlign w:val="baseline"/>
                <w:lang w:val="en-US" w:eastAsia="zh-CN"/>
              </w:rPr>
              <w:t>69</w:t>
            </w:r>
          </w:p>
        </w:tc>
        <w:tc>
          <w:tcPr>
            <w:tcW w:w="415" w:type="pct"/>
            <w:vMerge w:val="restart"/>
            <w:noWrap w:val="0"/>
            <w:tcMar>
              <w:top w:w="0" w:type="dxa"/>
              <w:left w:w="0" w:type="dxa"/>
              <w:bottom w:w="0" w:type="dxa"/>
              <w:right w:w="0" w:type="dxa"/>
            </w:tcMar>
            <w:vAlign w:val="center"/>
          </w:tcPr>
          <w:p w14:paraId="3DABEFBA">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对水利领域勘察、设计单位未依据项目批准文件，相关规划，国家规定的勘察、设计深度要求编制水利工程勘察、设计文件行为的行政处罚</w:t>
            </w:r>
          </w:p>
        </w:tc>
        <w:tc>
          <w:tcPr>
            <w:tcW w:w="2168" w:type="pct"/>
            <w:vMerge w:val="restart"/>
            <w:noWrap w:val="0"/>
            <w:tcMar>
              <w:top w:w="0" w:type="dxa"/>
              <w:left w:w="0" w:type="dxa"/>
              <w:bottom w:w="0" w:type="dxa"/>
              <w:right w:w="0" w:type="dxa"/>
            </w:tcMar>
            <w:vAlign w:val="center"/>
          </w:tcPr>
          <w:p w14:paraId="276FAB5C">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《建设工程勘察设计管理条例》第四十条 违反本条例规定，勘察、设计单位未依据项目批准文件，城乡规划及专业规划，国家规定的建设工程勘察、设计深度要求编制建设工程勘察、设计文件的，责令限期改正；逾期不改正的，处10万元以上30万元以下的罚款；造成工程质量事故或者环境污染和生态破坏的，责令停业整顿，降低资质等级；情节严重的，吊销资质证书；造成损失的，依法承担赔偿责任。</w:t>
            </w:r>
          </w:p>
          <w:p w14:paraId="6F3D16A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《水利工程质量管理规定》第六十五条 违反本规定，勘察、设计单位未依据项目批准文件，相关规划，国家规定的勘察、设计深度要求编制水利工程勘察、设计文件的，依照《建设工程勘察设计管理条例》第四十条规定，由水行政主管部门或者流域管理机构依据职权责令限期改正；逾期不改正的，处10万元以上30万元以下的罚款；造成损失的，依法承担赔偿责任。</w:t>
            </w:r>
          </w:p>
        </w:tc>
        <w:tc>
          <w:tcPr>
            <w:tcW w:w="491" w:type="pct"/>
            <w:vMerge w:val="restart"/>
            <w:noWrap w:val="0"/>
            <w:tcMar>
              <w:top w:w="0" w:type="dxa"/>
              <w:left w:w="0" w:type="dxa"/>
              <w:bottom w:w="0" w:type="dxa"/>
              <w:right w:w="0" w:type="dxa"/>
            </w:tcMar>
            <w:vAlign w:val="center"/>
          </w:tcPr>
          <w:p w14:paraId="144384B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水利领域勘察、设计单位未依据项目批准文件，相关规划，国家规定的勘察、设计深度要求编制水利工程勘察、设计文件的</w:t>
            </w:r>
          </w:p>
        </w:tc>
        <w:tc>
          <w:tcPr>
            <w:tcW w:w="174" w:type="pct"/>
            <w:noWrap w:val="0"/>
            <w:tcMar>
              <w:top w:w="0" w:type="dxa"/>
              <w:left w:w="0" w:type="dxa"/>
              <w:bottom w:w="0" w:type="dxa"/>
              <w:right w:w="0" w:type="dxa"/>
            </w:tcMar>
            <w:vAlign w:val="center"/>
          </w:tcPr>
          <w:p w14:paraId="40C84F7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轻微</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1EC03848">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2D5C1F87">
            <w:pPr>
              <w:spacing w:line="260" w:lineRule="exact"/>
              <w:rPr>
                <w:rFonts w:hint="eastAsia" w:ascii="宋体" w:hAnsi="宋体" w:eastAsia="宋体" w:cs="宋体"/>
                <w:color w:val="000000"/>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36E54BD8">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32D8FAC6">
            <w:pPr>
              <w:spacing w:line="260" w:lineRule="exact"/>
              <w:rPr>
                <w:rFonts w:hint="eastAsia" w:ascii="宋体" w:hAnsi="宋体" w:eastAsia="宋体" w:cs="宋体"/>
                <w:color w:val="000000"/>
                <w:kern w:val="2"/>
                <w:sz w:val="18"/>
                <w:szCs w:val="18"/>
                <w:vertAlign w:val="baseline"/>
                <w:lang w:val="en-US" w:eastAsia="zh-CN" w:bidi="ar-SA"/>
              </w:rPr>
            </w:pPr>
          </w:p>
        </w:tc>
        <w:tc>
          <w:tcPr>
            <w:tcW w:w="158" w:type="pct"/>
            <w:vMerge w:val="restart"/>
            <w:noWrap w:val="0"/>
            <w:tcMar>
              <w:top w:w="0" w:type="dxa"/>
              <w:left w:w="0" w:type="dxa"/>
              <w:bottom w:w="0" w:type="dxa"/>
              <w:right w:w="0" w:type="dxa"/>
            </w:tcMar>
            <w:vAlign w:val="center"/>
          </w:tcPr>
          <w:p w14:paraId="23E1719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37EB05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15C9E8F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494C9867">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252C0B0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3E7C9E2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428BE4F5">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较轻</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123FB897">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6DAD2E7F">
            <w:pPr>
              <w:spacing w:line="260" w:lineRule="exact"/>
              <w:rPr>
                <w:rFonts w:hint="eastAsia" w:ascii="宋体" w:hAnsi="宋体" w:eastAsia="宋体" w:cs="宋体"/>
                <w:color w:val="000000"/>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6DBF574F">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2CC2CF9E">
            <w:pPr>
              <w:spacing w:line="260" w:lineRule="exact"/>
              <w:rPr>
                <w:rFonts w:hint="eastAsia" w:ascii="宋体" w:hAnsi="宋体" w:eastAsia="宋体" w:cs="宋体"/>
                <w:color w:val="000000"/>
                <w:kern w:val="2"/>
                <w:sz w:val="18"/>
                <w:szCs w:val="18"/>
                <w:vertAlign w:val="baseline"/>
                <w:lang w:val="en-US" w:eastAsia="zh-CN" w:bidi="ar-SA"/>
              </w:rPr>
            </w:pPr>
          </w:p>
        </w:tc>
        <w:tc>
          <w:tcPr>
            <w:tcW w:w="158" w:type="pct"/>
            <w:vMerge w:val="continue"/>
            <w:noWrap w:val="0"/>
            <w:tcMar>
              <w:top w:w="0" w:type="dxa"/>
              <w:left w:w="0" w:type="dxa"/>
              <w:bottom w:w="0" w:type="dxa"/>
              <w:right w:w="0" w:type="dxa"/>
            </w:tcMar>
            <w:vAlign w:val="center"/>
          </w:tcPr>
          <w:p w14:paraId="2FF57FB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56DDD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1CF9E00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7FC5E960">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50680B9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354FEED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5A4CEB2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一般</w:t>
            </w:r>
          </w:p>
        </w:tc>
        <w:tc>
          <w:tcPr>
            <w:tcW w:w="561" w:type="pct"/>
            <w:noWrap w:val="0"/>
            <w:tcMar>
              <w:top w:w="0" w:type="dxa"/>
              <w:left w:w="0" w:type="dxa"/>
              <w:bottom w:w="0" w:type="dxa"/>
              <w:right w:w="0" w:type="dxa"/>
            </w:tcMar>
            <w:vAlign w:val="center"/>
          </w:tcPr>
          <w:p w14:paraId="5EA40B1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sz w:val="18"/>
                <w:szCs w:val="18"/>
                <w:vertAlign w:val="baseline"/>
              </w:rPr>
              <w:t>逾期不改正的</w:t>
            </w:r>
          </w:p>
        </w:tc>
        <w:tc>
          <w:tcPr>
            <w:tcW w:w="873" w:type="pct"/>
            <w:noWrap w:val="0"/>
            <w:tcMar>
              <w:top w:w="0" w:type="dxa"/>
              <w:left w:w="0" w:type="dxa"/>
              <w:bottom w:w="0" w:type="dxa"/>
              <w:right w:w="0" w:type="dxa"/>
            </w:tcMar>
            <w:vAlign w:val="center"/>
          </w:tcPr>
          <w:p w14:paraId="3B08741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处10万元以上30万元以下的罚款</w:t>
            </w:r>
          </w:p>
        </w:tc>
        <w:tc>
          <w:tcPr>
            <w:tcW w:w="158" w:type="pct"/>
            <w:vMerge w:val="continue"/>
            <w:noWrap w:val="0"/>
            <w:tcMar>
              <w:top w:w="0" w:type="dxa"/>
              <w:left w:w="0" w:type="dxa"/>
              <w:bottom w:w="0" w:type="dxa"/>
              <w:right w:w="0" w:type="dxa"/>
            </w:tcMar>
            <w:vAlign w:val="center"/>
          </w:tcPr>
          <w:p w14:paraId="5706E56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414934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888" w:hRule="atLeast"/>
          <w:jc w:val="center"/>
        </w:trPr>
        <w:tc>
          <w:tcPr>
            <w:tcW w:w="156" w:type="pct"/>
            <w:vMerge w:val="continue"/>
            <w:noWrap w:val="0"/>
            <w:tcMar>
              <w:top w:w="0" w:type="dxa"/>
              <w:left w:w="0" w:type="dxa"/>
              <w:bottom w:w="0" w:type="dxa"/>
              <w:right w:w="0" w:type="dxa"/>
            </w:tcMar>
            <w:vAlign w:val="center"/>
          </w:tcPr>
          <w:p w14:paraId="486BF66C">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3E138F67">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500562E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69860EA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452A8BE8">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较重</w:t>
            </w:r>
          </w:p>
        </w:tc>
        <w:tc>
          <w:tcPr>
            <w:tcW w:w="561" w:type="pct"/>
            <w:noWrap w:val="0"/>
            <w:tcMar>
              <w:top w:w="0" w:type="dxa"/>
              <w:left w:w="0" w:type="dxa"/>
              <w:bottom w:w="0" w:type="dxa"/>
              <w:right w:w="0" w:type="dxa"/>
            </w:tcMar>
            <w:vAlign w:val="center"/>
          </w:tcPr>
          <w:p w14:paraId="381EA00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造成工程质量事故或者环境污染和生态破坏的</w:t>
            </w:r>
          </w:p>
        </w:tc>
        <w:tc>
          <w:tcPr>
            <w:tcW w:w="873" w:type="pct"/>
            <w:noWrap w:val="0"/>
            <w:tcMar>
              <w:top w:w="0" w:type="dxa"/>
              <w:left w:w="0" w:type="dxa"/>
              <w:bottom w:w="0" w:type="dxa"/>
              <w:right w:w="0" w:type="dxa"/>
            </w:tcMar>
            <w:vAlign w:val="center"/>
          </w:tcPr>
          <w:p w14:paraId="07D17A9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责令停业整顿直至改正违法行为，降低资质等级</w:t>
            </w:r>
          </w:p>
        </w:tc>
        <w:tc>
          <w:tcPr>
            <w:tcW w:w="158" w:type="pct"/>
            <w:vMerge w:val="continue"/>
            <w:noWrap w:val="0"/>
            <w:tcMar>
              <w:top w:w="0" w:type="dxa"/>
              <w:left w:w="0" w:type="dxa"/>
              <w:bottom w:w="0" w:type="dxa"/>
              <w:right w:w="0" w:type="dxa"/>
            </w:tcMar>
            <w:vAlign w:val="center"/>
          </w:tcPr>
          <w:p w14:paraId="4CB50EFD">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611251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0862FC28">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6264B36D">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60CADE4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7D883A9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4B38D3E8">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严重</w:t>
            </w:r>
          </w:p>
        </w:tc>
        <w:tc>
          <w:tcPr>
            <w:tcW w:w="561" w:type="pct"/>
            <w:noWrap w:val="0"/>
            <w:tcMar>
              <w:top w:w="0" w:type="dxa"/>
              <w:left w:w="0" w:type="dxa"/>
              <w:bottom w:w="0" w:type="dxa"/>
              <w:right w:w="0" w:type="dxa"/>
            </w:tcMar>
            <w:vAlign w:val="center"/>
          </w:tcPr>
          <w:p w14:paraId="34DE51E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情节严重的</w:t>
            </w:r>
          </w:p>
        </w:tc>
        <w:tc>
          <w:tcPr>
            <w:tcW w:w="873" w:type="pct"/>
            <w:noWrap w:val="0"/>
            <w:tcMar>
              <w:top w:w="0" w:type="dxa"/>
              <w:left w:w="0" w:type="dxa"/>
              <w:bottom w:w="0" w:type="dxa"/>
              <w:right w:w="0" w:type="dxa"/>
            </w:tcMar>
            <w:vAlign w:val="center"/>
          </w:tcPr>
          <w:p w14:paraId="605BB09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吊销资质证书</w:t>
            </w:r>
          </w:p>
        </w:tc>
        <w:tc>
          <w:tcPr>
            <w:tcW w:w="158" w:type="pct"/>
            <w:vMerge w:val="continue"/>
            <w:noWrap w:val="0"/>
            <w:tcMar>
              <w:top w:w="0" w:type="dxa"/>
              <w:left w:w="0" w:type="dxa"/>
              <w:bottom w:w="0" w:type="dxa"/>
              <w:right w:w="0" w:type="dxa"/>
            </w:tcMar>
            <w:vAlign w:val="center"/>
          </w:tcPr>
          <w:p w14:paraId="23E46375">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6334DC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restart"/>
            <w:noWrap w:val="0"/>
            <w:tcMar>
              <w:top w:w="0" w:type="dxa"/>
              <w:left w:w="0" w:type="dxa"/>
              <w:bottom w:w="0" w:type="dxa"/>
              <w:right w:w="0" w:type="dxa"/>
            </w:tcMar>
            <w:vAlign w:val="center"/>
          </w:tcPr>
          <w:p w14:paraId="095736B1">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default" w:ascii="宋体" w:hAnsi="宋体" w:eastAsia="宋体" w:cs="宋体"/>
                <w:color w:val="000000"/>
                <w:sz w:val="18"/>
                <w:szCs w:val="18"/>
                <w:shd w:val="clear" w:color="auto" w:fill="auto"/>
                <w:vertAlign w:val="baseline"/>
                <w:lang w:val="en-US" w:eastAsia="zh-CN"/>
              </w:rPr>
            </w:pPr>
            <w:r>
              <w:rPr>
                <w:rFonts w:hint="eastAsia" w:ascii="宋体" w:hAnsi="宋体" w:eastAsia="宋体" w:cs="宋体"/>
                <w:color w:val="000000"/>
                <w:sz w:val="18"/>
                <w:szCs w:val="18"/>
                <w:shd w:val="clear" w:color="auto" w:fill="auto"/>
                <w:vertAlign w:val="baseline"/>
                <w:lang w:val="en-US" w:eastAsia="zh-CN"/>
              </w:rPr>
              <w:t>70</w:t>
            </w:r>
          </w:p>
        </w:tc>
        <w:tc>
          <w:tcPr>
            <w:tcW w:w="415" w:type="pct"/>
            <w:vMerge w:val="restart"/>
            <w:noWrap w:val="0"/>
            <w:tcMar>
              <w:top w:w="0" w:type="dxa"/>
              <w:left w:w="0" w:type="dxa"/>
              <w:bottom w:w="0" w:type="dxa"/>
              <w:right w:w="0" w:type="dxa"/>
            </w:tcMar>
            <w:vAlign w:val="center"/>
          </w:tcPr>
          <w:p w14:paraId="0403987E">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auto"/>
                <w:sz w:val="18"/>
                <w:szCs w:val="18"/>
                <w:vertAlign w:val="baseline"/>
                <w:lang w:val="en-US" w:eastAsia="zh-CN"/>
              </w:rPr>
              <w:t>对水利领域由于项目法人以及咨询、勘测、设计、监理、施工、设备和原材料等供应单位责任造成工程质量事故行为的行政处罚</w:t>
            </w:r>
          </w:p>
        </w:tc>
        <w:tc>
          <w:tcPr>
            <w:tcW w:w="2168" w:type="pct"/>
            <w:vMerge w:val="restart"/>
            <w:noWrap w:val="0"/>
            <w:tcMar>
              <w:top w:w="0" w:type="dxa"/>
              <w:left w:w="0" w:type="dxa"/>
              <w:bottom w:w="0" w:type="dxa"/>
              <w:right w:w="0" w:type="dxa"/>
            </w:tcMar>
            <w:vAlign w:val="center"/>
          </w:tcPr>
          <w:p w14:paraId="101F06E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《水利工程质量事故处理暂行规定》第三十一条 由于项目法人责任酿成质量事故，令其立即整改；造成较大以上质量事故的，进行通报批评、调整项目法人；对有关责任人处以行政处分；构成犯罪的，移送司法机关依法处理。</w:t>
            </w:r>
          </w:p>
          <w:p w14:paraId="5BE36C9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第三十二条 由于监理单位责任造成质量事故，令其立即整改并可处以罚款；造成较大以上质量事故的，处以罚款、通报批评、停业整顿、降低资质等级、直至吊销水利工程监理资质证书；对主要责任人处以行政处分、取消监理从业资格、收缴监理工程师资格证书、监理岗位证书；构成犯罪的，移送司法机关依法处理。</w:t>
            </w:r>
          </w:p>
          <w:p w14:paraId="5F3CA5E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第三十三条 由于咨询、勘测、设计单位责任造成质量事故，令其立即整改并可处以罚款；造成较大以上质量事故的，处以通报批评、停业整顿、降低资质等级、吊销水利工程勘测、设计资格；对主要责任人处以行政处分、取消水利工程勘测、设计执业资格；构成犯罪的，移送司法机关依法处理。</w:t>
            </w:r>
          </w:p>
          <w:p w14:paraId="27955617">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第三十四条 由于施工单位责任造成质量事故，令其立即自筹资金进行事故处理，并处以罚款；造成较大以上质量事故的，处以通报批评、停业整顿、降低资质等级、直至吊销资质证书；对主要责任人处以行政处分、取消水利工程施工执业资格；构成犯罪的，移送司法机关依法处理。</w:t>
            </w:r>
          </w:p>
          <w:p w14:paraId="6F70A09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第三十五条 由于设备、原材料等供应单位责任造成质量事故，对其进行通报批评、罚款；构成犯罪的，移送司法机关依法处理。</w:t>
            </w:r>
          </w:p>
        </w:tc>
        <w:tc>
          <w:tcPr>
            <w:tcW w:w="491" w:type="pct"/>
            <w:vMerge w:val="restart"/>
            <w:noWrap w:val="0"/>
            <w:tcMar>
              <w:top w:w="0" w:type="dxa"/>
              <w:left w:w="0" w:type="dxa"/>
              <w:bottom w:w="0" w:type="dxa"/>
              <w:right w:w="0" w:type="dxa"/>
            </w:tcMar>
            <w:vAlign w:val="center"/>
          </w:tcPr>
          <w:p w14:paraId="1A49D71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水利领域由于项目法人以及咨询、勘测、设计、监理、施工、设备和原材料等供应单位责任造成工程质量事故的</w:t>
            </w:r>
          </w:p>
        </w:tc>
        <w:tc>
          <w:tcPr>
            <w:tcW w:w="174" w:type="pct"/>
            <w:noWrap w:val="0"/>
            <w:tcMar>
              <w:top w:w="0" w:type="dxa"/>
              <w:left w:w="0" w:type="dxa"/>
              <w:bottom w:w="0" w:type="dxa"/>
              <w:right w:w="0" w:type="dxa"/>
            </w:tcMar>
            <w:vAlign w:val="center"/>
          </w:tcPr>
          <w:p w14:paraId="1E158AF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轻微</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470F786C">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39D3A590">
            <w:pPr>
              <w:spacing w:line="260" w:lineRule="exact"/>
              <w:rPr>
                <w:rFonts w:hint="eastAsia" w:ascii="宋体" w:hAnsi="宋体" w:eastAsia="宋体" w:cs="宋体"/>
                <w:color w:val="000000"/>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595F88CF">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2570E6EC">
            <w:pPr>
              <w:spacing w:line="260" w:lineRule="exact"/>
              <w:rPr>
                <w:rFonts w:hint="eastAsia" w:ascii="宋体" w:hAnsi="宋体" w:eastAsia="宋体" w:cs="宋体"/>
                <w:color w:val="000000"/>
                <w:kern w:val="2"/>
                <w:sz w:val="18"/>
                <w:szCs w:val="18"/>
                <w:vertAlign w:val="baseline"/>
                <w:lang w:val="en-US" w:eastAsia="zh-CN" w:bidi="ar-SA"/>
              </w:rPr>
            </w:pPr>
          </w:p>
        </w:tc>
        <w:tc>
          <w:tcPr>
            <w:tcW w:w="158" w:type="pct"/>
            <w:vMerge w:val="restart"/>
            <w:noWrap w:val="0"/>
            <w:tcMar>
              <w:top w:w="0" w:type="dxa"/>
              <w:left w:w="0" w:type="dxa"/>
              <w:bottom w:w="0" w:type="dxa"/>
              <w:right w:w="0" w:type="dxa"/>
            </w:tcMar>
            <w:vAlign w:val="center"/>
          </w:tcPr>
          <w:p w14:paraId="7857C6E1">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41713F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970" w:hRule="atLeast"/>
          <w:jc w:val="center"/>
        </w:trPr>
        <w:tc>
          <w:tcPr>
            <w:tcW w:w="156" w:type="pct"/>
            <w:vMerge w:val="continue"/>
            <w:noWrap w:val="0"/>
            <w:tcMar>
              <w:top w:w="0" w:type="dxa"/>
              <w:left w:w="0" w:type="dxa"/>
              <w:bottom w:w="0" w:type="dxa"/>
              <w:right w:w="0" w:type="dxa"/>
            </w:tcMar>
            <w:vAlign w:val="center"/>
          </w:tcPr>
          <w:p w14:paraId="2C998AB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00C62753">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7BF25BF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7B382F9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3F1FB6E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较轻</w:t>
            </w:r>
          </w:p>
        </w:tc>
        <w:tc>
          <w:tcPr>
            <w:tcW w:w="561" w:type="pct"/>
            <w:noWrap w:val="0"/>
            <w:tcMar>
              <w:top w:w="0" w:type="dxa"/>
              <w:left w:w="0" w:type="dxa"/>
              <w:bottom w:w="0" w:type="dxa"/>
              <w:right w:w="0" w:type="dxa"/>
            </w:tcMar>
            <w:vAlign w:val="center"/>
          </w:tcPr>
          <w:p w14:paraId="1415D9FF">
            <w:pPr>
              <w:pStyle w:val="10"/>
              <w:keepNext w:val="0"/>
              <w:keepLines w:val="0"/>
              <w:pageBreakBefore w:val="0"/>
              <w:widowControl w:val="0"/>
              <w:kinsoku/>
              <w:wordWrap/>
              <w:overflowPunct/>
              <w:topLinePunct w:val="0"/>
              <w:autoSpaceDE/>
              <w:autoSpaceDN/>
              <w:bidi w:val="0"/>
              <w:adjustRightInd/>
              <w:snapToGrid/>
              <w:spacing w:beforeAutospacing="0" w:afterAutospacing="0" w:line="280" w:lineRule="exact"/>
              <w:jc w:val="both"/>
              <w:rPr>
                <w:rFonts w:hint="eastAsia" w:ascii="宋体" w:hAnsi="宋体" w:eastAsia="宋体" w:cs="宋体"/>
                <w:color w:val="auto"/>
                <w:kern w:val="0"/>
                <w:sz w:val="18"/>
                <w:szCs w:val="18"/>
                <w:lang w:val="en-US" w:eastAsia="zh-CN" w:bidi="ar-SA"/>
              </w:rPr>
            </w:pPr>
            <w:r>
              <w:rPr>
                <w:rFonts w:hint="eastAsia" w:ascii="宋体" w:hAnsi="宋体" w:eastAsia="宋体" w:cs="宋体"/>
                <w:color w:val="auto"/>
                <w:sz w:val="18"/>
                <w:szCs w:val="18"/>
              </w:rPr>
              <w:t>发生一般质量事故的</w:t>
            </w:r>
          </w:p>
        </w:tc>
        <w:tc>
          <w:tcPr>
            <w:tcW w:w="873" w:type="pct"/>
            <w:noWrap w:val="0"/>
            <w:tcMar>
              <w:top w:w="0" w:type="dxa"/>
              <w:left w:w="0" w:type="dxa"/>
              <w:bottom w:w="0" w:type="dxa"/>
              <w:right w:w="0" w:type="dxa"/>
            </w:tcMar>
            <w:vAlign w:val="center"/>
          </w:tcPr>
          <w:p w14:paraId="59DE682A">
            <w:pPr>
              <w:pStyle w:val="10"/>
              <w:keepNext w:val="0"/>
              <w:keepLines w:val="0"/>
              <w:pageBreakBefore w:val="0"/>
              <w:widowControl w:val="0"/>
              <w:kinsoku/>
              <w:wordWrap/>
              <w:overflowPunct/>
              <w:topLinePunct w:val="0"/>
              <w:autoSpaceDE/>
              <w:autoSpaceDN/>
              <w:bidi w:val="0"/>
              <w:adjustRightInd/>
              <w:snapToGrid/>
              <w:spacing w:beforeAutospacing="0" w:afterAutospacing="0" w:line="280" w:lineRule="exact"/>
              <w:jc w:val="both"/>
              <w:rPr>
                <w:rFonts w:hint="eastAsia" w:ascii="宋体" w:hAnsi="宋体" w:eastAsia="宋体" w:cs="宋体"/>
                <w:color w:val="auto"/>
                <w:kern w:val="0"/>
                <w:sz w:val="18"/>
                <w:szCs w:val="18"/>
                <w:lang w:val="en-US" w:eastAsia="zh-CN" w:bidi="ar-SA"/>
              </w:rPr>
            </w:pPr>
            <w:r>
              <w:rPr>
                <w:rFonts w:hint="eastAsia" w:ascii="宋体" w:hAnsi="宋体" w:eastAsia="宋体" w:cs="宋体"/>
                <w:color w:val="auto"/>
                <w:sz w:val="18"/>
                <w:szCs w:val="18"/>
              </w:rPr>
              <w:t>对业主单位责令整改；对监理单位责令整改并可处以罚款；对咨询、勘测、设计单位责令整改并可处以罚款；对施工单位责令进行事故处理，并处以罚款；对设备、原材料等供应单位进行通报批评、罚款</w:t>
            </w:r>
          </w:p>
        </w:tc>
        <w:tc>
          <w:tcPr>
            <w:tcW w:w="158" w:type="pct"/>
            <w:vMerge w:val="continue"/>
            <w:noWrap w:val="0"/>
            <w:tcMar>
              <w:top w:w="0" w:type="dxa"/>
              <w:left w:w="0" w:type="dxa"/>
              <w:bottom w:w="0" w:type="dxa"/>
              <w:right w:w="0" w:type="dxa"/>
            </w:tcMar>
            <w:vAlign w:val="center"/>
          </w:tcPr>
          <w:p w14:paraId="3ED87A5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6A2291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603" w:hRule="atLeast"/>
          <w:jc w:val="center"/>
        </w:trPr>
        <w:tc>
          <w:tcPr>
            <w:tcW w:w="156" w:type="pct"/>
            <w:vMerge w:val="continue"/>
            <w:noWrap w:val="0"/>
            <w:tcMar>
              <w:top w:w="0" w:type="dxa"/>
              <w:left w:w="0" w:type="dxa"/>
              <w:bottom w:w="0" w:type="dxa"/>
              <w:right w:w="0" w:type="dxa"/>
            </w:tcMar>
            <w:vAlign w:val="center"/>
          </w:tcPr>
          <w:p w14:paraId="5DEF2EA1">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14B71F49">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4E2762C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240FEBC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18B8F1B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一般</w:t>
            </w:r>
          </w:p>
        </w:tc>
        <w:tc>
          <w:tcPr>
            <w:tcW w:w="561" w:type="pct"/>
            <w:noWrap w:val="0"/>
            <w:tcMar>
              <w:top w:w="0" w:type="dxa"/>
              <w:left w:w="0" w:type="dxa"/>
              <w:bottom w:w="0" w:type="dxa"/>
              <w:right w:w="0" w:type="dxa"/>
            </w:tcMar>
            <w:vAlign w:val="center"/>
          </w:tcPr>
          <w:p w14:paraId="4D15C013">
            <w:pPr>
              <w:pStyle w:val="10"/>
              <w:keepNext w:val="0"/>
              <w:keepLines w:val="0"/>
              <w:pageBreakBefore w:val="0"/>
              <w:widowControl w:val="0"/>
              <w:kinsoku/>
              <w:wordWrap/>
              <w:overflowPunct/>
              <w:topLinePunct w:val="0"/>
              <w:autoSpaceDE/>
              <w:autoSpaceDN/>
              <w:bidi w:val="0"/>
              <w:adjustRightInd/>
              <w:snapToGrid/>
              <w:spacing w:beforeAutospacing="0" w:afterAutospacing="0" w:line="280" w:lineRule="exact"/>
              <w:jc w:val="both"/>
              <w:rPr>
                <w:rFonts w:hint="eastAsia" w:ascii="宋体" w:hAnsi="宋体" w:eastAsia="宋体" w:cs="宋体"/>
                <w:color w:val="auto"/>
                <w:kern w:val="0"/>
                <w:sz w:val="18"/>
                <w:szCs w:val="18"/>
                <w:lang w:val="en-US" w:eastAsia="zh-CN" w:bidi="ar-SA"/>
              </w:rPr>
            </w:pPr>
            <w:r>
              <w:rPr>
                <w:rFonts w:hint="eastAsia" w:ascii="宋体" w:hAnsi="宋体" w:eastAsia="宋体" w:cs="宋体"/>
                <w:color w:val="auto"/>
                <w:sz w:val="18"/>
                <w:szCs w:val="18"/>
              </w:rPr>
              <w:t>发生较大质量事故的</w:t>
            </w:r>
          </w:p>
        </w:tc>
        <w:tc>
          <w:tcPr>
            <w:tcW w:w="873" w:type="pct"/>
            <w:noWrap w:val="0"/>
            <w:tcMar>
              <w:top w:w="0" w:type="dxa"/>
              <w:left w:w="0" w:type="dxa"/>
              <w:bottom w:w="0" w:type="dxa"/>
              <w:right w:w="0" w:type="dxa"/>
            </w:tcMar>
            <w:vAlign w:val="center"/>
          </w:tcPr>
          <w:p w14:paraId="4EBE493B">
            <w:pPr>
              <w:pStyle w:val="10"/>
              <w:keepNext w:val="0"/>
              <w:keepLines w:val="0"/>
              <w:pageBreakBefore w:val="0"/>
              <w:widowControl w:val="0"/>
              <w:kinsoku/>
              <w:wordWrap/>
              <w:overflowPunct/>
              <w:topLinePunct w:val="0"/>
              <w:autoSpaceDE/>
              <w:autoSpaceDN/>
              <w:bidi w:val="0"/>
              <w:adjustRightInd/>
              <w:snapToGrid/>
              <w:spacing w:beforeAutospacing="0" w:afterAutospacing="0" w:line="280" w:lineRule="exact"/>
              <w:jc w:val="both"/>
              <w:textAlignment w:val="auto"/>
              <w:rPr>
                <w:rFonts w:hint="eastAsia" w:ascii="宋体" w:hAnsi="宋体" w:eastAsia="宋体" w:cs="宋体"/>
                <w:color w:val="auto"/>
                <w:kern w:val="0"/>
                <w:sz w:val="18"/>
                <w:szCs w:val="18"/>
                <w:lang w:val="en-US" w:eastAsia="zh-CN" w:bidi="ar-SA"/>
              </w:rPr>
            </w:pPr>
            <w:r>
              <w:rPr>
                <w:rFonts w:hint="eastAsia" w:ascii="宋体" w:hAnsi="宋体" w:eastAsia="宋体" w:cs="宋体"/>
                <w:color w:val="auto"/>
                <w:sz w:val="18"/>
                <w:szCs w:val="18"/>
              </w:rPr>
              <w:t>对业主单位责令整改，予以通报批评；对监理单位责令整改并可处以罚款，予以通报批评；对咨询、勘测、设计单位责令整改并可处以罚款，予以通报批评；对施工单位责令进行事故处理，并处以罚款，予以通报批评；对设备、原材料等供应单位进行通报批评、罚款</w:t>
            </w:r>
          </w:p>
        </w:tc>
        <w:tc>
          <w:tcPr>
            <w:tcW w:w="158" w:type="pct"/>
            <w:vMerge w:val="continue"/>
            <w:noWrap w:val="0"/>
            <w:tcMar>
              <w:top w:w="0" w:type="dxa"/>
              <w:left w:w="0" w:type="dxa"/>
              <w:bottom w:w="0" w:type="dxa"/>
              <w:right w:w="0" w:type="dxa"/>
            </w:tcMar>
            <w:vAlign w:val="center"/>
          </w:tcPr>
          <w:p w14:paraId="0B8EBCAB">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2C9802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43" w:hRule="atLeast"/>
          <w:jc w:val="center"/>
        </w:trPr>
        <w:tc>
          <w:tcPr>
            <w:tcW w:w="156" w:type="pct"/>
            <w:vMerge w:val="restart"/>
            <w:noWrap w:val="0"/>
            <w:tcMar>
              <w:top w:w="0" w:type="dxa"/>
              <w:left w:w="0" w:type="dxa"/>
              <w:bottom w:w="0" w:type="dxa"/>
              <w:right w:w="0" w:type="dxa"/>
            </w:tcMar>
            <w:vAlign w:val="center"/>
          </w:tcPr>
          <w:p w14:paraId="2943B3D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default" w:ascii="宋体" w:hAnsi="宋体" w:eastAsia="宋体" w:cs="宋体"/>
                <w:color w:val="000000"/>
                <w:sz w:val="18"/>
                <w:szCs w:val="18"/>
                <w:shd w:val="clear" w:color="auto" w:fill="auto"/>
                <w:vertAlign w:val="baseline"/>
                <w:lang w:val="en-US" w:eastAsia="zh-CN"/>
              </w:rPr>
            </w:pPr>
            <w:r>
              <w:rPr>
                <w:rFonts w:hint="eastAsia" w:ascii="宋体" w:hAnsi="宋体" w:eastAsia="宋体" w:cs="宋体"/>
                <w:color w:val="000000"/>
                <w:sz w:val="18"/>
                <w:szCs w:val="18"/>
                <w:shd w:val="clear" w:color="auto" w:fill="auto"/>
                <w:vertAlign w:val="baseline"/>
                <w:lang w:val="en-US" w:eastAsia="zh-CN"/>
              </w:rPr>
              <w:t>70</w:t>
            </w:r>
          </w:p>
        </w:tc>
        <w:tc>
          <w:tcPr>
            <w:tcW w:w="415" w:type="pct"/>
            <w:vMerge w:val="restart"/>
            <w:noWrap w:val="0"/>
            <w:tcMar>
              <w:top w:w="0" w:type="dxa"/>
              <w:left w:w="0" w:type="dxa"/>
              <w:bottom w:w="0" w:type="dxa"/>
              <w:right w:w="0" w:type="dxa"/>
            </w:tcMar>
            <w:vAlign w:val="center"/>
          </w:tcPr>
          <w:p w14:paraId="28D017FA">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auto"/>
                <w:sz w:val="18"/>
                <w:szCs w:val="18"/>
                <w:vertAlign w:val="baseline"/>
                <w:lang w:val="en-US" w:eastAsia="zh-CN"/>
              </w:rPr>
              <w:t>对水利领域由于项目法人以及咨询、勘测、设计、监理、施工、设备和原材料等供应单位责任造成工程质量事故行为的行政处罚</w:t>
            </w:r>
          </w:p>
        </w:tc>
        <w:tc>
          <w:tcPr>
            <w:tcW w:w="2168" w:type="pct"/>
            <w:vMerge w:val="continue"/>
            <w:noWrap w:val="0"/>
            <w:tcMar>
              <w:top w:w="0" w:type="dxa"/>
              <w:left w:w="0" w:type="dxa"/>
              <w:bottom w:w="0" w:type="dxa"/>
              <w:right w:w="0" w:type="dxa"/>
            </w:tcMar>
            <w:vAlign w:val="center"/>
          </w:tcPr>
          <w:p w14:paraId="3F5E141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restart"/>
            <w:noWrap w:val="0"/>
            <w:tcMar>
              <w:top w:w="0" w:type="dxa"/>
              <w:left w:w="0" w:type="dxa"/>
              <w:bottom w:w="0" w:type="dxa"/>
              <w:right w:w="0" w:type="dxa"/>
            </w:tcMar>
            <w:vAlign w:val="center"/>
          </w:tcPr>
          <w:p w14:paraId="23A93454">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水利领域由于项目法人以及咨询、勘测、设计、监理、施工、设备和原材料等供应单位责任造成工程质量事故的</w:t>
            </w:r>
          </w:p>
        </w:tc>
        <w:tc>
          <w:tcPr>
            <w:tcW w:w="174" w:type="pct"/>
            <w:noWrap w:val="0"/>
            <w:tcMar>
              <w:top w:w="0" w:type="dxa"/>
              <w:left w:w="0" w:type="dxa"/>
              <w:bottom w:w="0" w:type="dxa"/>
              <w:right w:w="0" w:type="dxa"/>
            </w:tcMar>
            <w:vAlign w:val="center"/>
          </w:tcPr>
          <w:p w14:paraId="0D3580D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较重</w:t>
            </w:r>
          </w:p>
        </w:tc>
        <w:tc>
          <w:tcPr>
            <w:tcW w:w="561" w:type="pct"/>
            <w:noWrap w:val="0"/>
            <w:tcMar>
              <w:top w:w="0" w:type="dxa"/>
              <w:left w:w="0" w:type="dxa"/>
              <w:bottom w:w="0" w:type="dxa"/>
              <w:right w:w="0" w:type="dxa"/>
            </w:tcMar>
            <w:vAlign w:val="center"/>
          </w:tcPr>
          <w:p w14:paraId="28EF63C0">
            <w:pPr>
              <w:pStyle w:val="10"/>
              <w:keepNext w:val="0"/>
              <w:keepLines w:val="0"/>
              <w:pageBreakBefore w:val="0"/>
              <w:widowControl w:val="0"/>
              <w:kinsoku/>
              <w:wordWrap/>
              <w:overflowPunct/>
              <w:topLinePunct w:val="0"/>
              <w:autoSpaceDE/>
              <w:autoSpaceDN/>
              <w:bidi w:val="0"/>
              <w:adjustRightInd/>
              <w:snapToGrid/>
              <w:spacing w:beforeAutospacing="0" w:afterAutospacing="0" w:line="260" w:lineRule="exact"/>
              <w:jc w:val="both"/>
              <w:rPr>
                <w:rFonts w:hint="eastAsia" w:ascii="宋体" w:hAnsi="宋体" w:eastAsia="宋体" w:cs="宋体"/>
                <w:color w:val="auto"/>
                <w:kern w:val="0"/>
                <w:sz w:val="18"/>
                <w:szCs w:val="18"/>
                <w:lang w:val="en-US" w:eastAsia="zh-CN" w:bidi="ar-SA"/>
              </w:rPr>
            </w:pPr>
            <w:r>
              <w:rPr>
                <w:rFonts w:hint="eastAsia" w:ascii="宋体" w:hAnsi="宋体" w:eastAsia="宋体" w:cs="宋体"/>
                <w:color w:val="auto"/>
                <w:sz w:val="18"/>
                <w:szCs w:val="18"/>
              </w:rPr>
              <w:t>大体积混凝土、金结制作和机电安装工程直接损失500万元以上1750万元以下，或者土石方工程、混凝土薄壁工程直接损失100万元以上550万元以下的</w:t>
            </w:r>
          </w:p>
        </w:tc>
        <w:tc>
          <w:tcPr>
            <w:tcW w:w="873" w:type="pct"/>
            <w:noWrap w:val="0"/>
            <w:tcMar>
              <w:top w:w="0" w:type="dxa"/>
              <w:left w:w="0" w:type="dxa"/>
              <w:bottom w:w="0" w:type="dxa"/>
              <w:right w:w="0" w:type="dxa"/>
            </w:tcMar>
            <w:vAlign w:val="center"/>
          </w:tcPr>
          <w:p w14:paraId="60C8904F">
            <w:pPr>
              <w:pStyle w:val="10"/>
              <w:keepNext w:val="0"/>
              <w:keepLines w:val="0"/>
              <w:pageBreakBefore w:val="0"/>
              <w:widowControl w:val="0"/>
              <w:kinsoku/>
              <w:wordWrap/>
              <w:overflowPunct/>
              <w:topLinePunct w:val="0"/>
              <w:autoSpaceDE/>
              <w:autoSpaceDN/>
              <w:bidi w:val="0"/>
              <w:adjustRightInd/>
              <w:snapToGrid/>
              <w:spacing w:beforeAutospacing="0" w:afterAutospacing="0" w:line="260" w:lineRule="exact"/>
              <w:jc w:val="both"/>
              <w:textAlignment w:val="auto"/>
              <w:rPr>
                <w:rFonts w:hint="eastAsia" w:ascii="宋体" w:hAnsi="宋体" w:eastAsia="宋体" w:cs="宋体"/>
                <w:color w:val="auto"/>
                <w:kern w:val="0"/>
                <w:sz w:val="18"/>
                <w:szCs w:val="18"/>
                <w:lang w:val="en-US" w:eastAsia="zh-CN" w:bidi="ar-SA"/>
              </w:rPr>
            </w:pPr>
            <w:r>
              <w:rPr>
                <w:rFonts w:hint="eastAsia" w:ascii="宋体" w:hAnsi="宋体" w:eastAsia="宋体" w:cs="宋体"/>
                <w:color w:val="auto"/>
                <w:sz w:val="18"/>
                <w:szCs w:val="18"/>
              </w:rPr>
              <w:t>对业主单位责令整改，调整项目法人；对监理单位责令整改并可处以罚款，建议发证机关责令停业整顿；对咨询、勘测、设计单位责令整改并可处以罚款，建议发证机关责令停业整顿；对施工单位责令进行事故处理，并处以罚款，建议发证机关责令停业整顿；对设备、原材料等供应单位进行通报批评、罚款</w:t>
            </w:r>
          </w:p>
        </w:tc>
        <w:tc>
          <w:tcPr>
            <w:tcW w:w="158" w:type="pct"/>
            <w:vMerge w:val="continue"/>
            <w:noWrap w:val="0"/>
            <w:tcMar>
              <w:top w:w="0" w:type="dxa"/>
              <w:left w:w="0" w:type="dxa"/>
              <w:bottom w:w="0" w:type="dxa"/>
              <w:right w:w="0" w:type="dxa"/>
            </w:tcMar>
            <w:vAlign w:val="center"/>
          </w:tcPr>
          <w:p w14:paraId="4F7D9AAC">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194450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278" w:hRule="atLeast"/>
          <w:jc w:val="center"/>
        </w:trPr>
        <w:tc>
          <w:tcPr>
            <w:tcW w:w="156" w:type="pct"/>
            <w:vMerge w:val="continue"/>
            <w:noWrap w:val="0"/>
            <w:tcMar>
              <w:top w:w="0" w:type="dxa"/>
              <w:left w:w="0" w:type="dxa"/>
              <w:bottom w:w="0" w:type="dxa"/>
              <w:right w:w="0" w:type="dxa"/>
            </w:tcMar>
            <w:vAlign w:val="center"/>
          </w:tcPr>
          <w:p w14:paraId="5379557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4B8CFB66">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585FFD7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3270422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411DE52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严重</w:t>
            </w:r>
          </w:p>
        </w:tc>
        <w:tc>
          <w:tcPr>
            <w:tcW w:w="561" w:type="pct"/>
            <w:noWrap w:val="0"/>
            <w:tcMar>
              <w:top w:w="0" w:type="dxa"/>
              <w:left w:w="0" w:type="dxa"/>
              <w:bottom w:w="0" w:type="dxa"/>
              <w:right w:w="0" w:type="dxa"/>
            </w:tcMar>
            <w:vAlign w:val="center"/>
          </w:tcPr>
          <w:p w14:paraId="10B6625D">
            <w:pPr>
              <w:pStyle w:val="10"/>
              <w:keepNext w:val="0"/>
              <w:keepLines w:val="0"/>
              <w:pageBreakBefore w:val="0"/>
              <w:widowControl w:val="0"/>
              <w:kinsoku/>
              <w:wordWrap/>
              <w:overflowPunct/>
              <w:topLinePunct w:val="0"/>
              <w:autoSpaceDE/>
              <w:autoSpaceDN/>
              <w:bidi w:val="0"/>
              <w:adjustRightInd/>
              <w:snapToGrid/>
              <w:spacing w:beforeAutospacing="0" w:afterAutospacing="0" w:line="260" w:lineRule="exact"/>
              <w:jc w:val="both"/>
              <w:rPr>
                <w:rFonts w:hint="eastAsia" w:ascii="宋体" w:hAnsi="宋体" w:eastAsia="宋体" w:cs="宋体"/>
                <w:color w:val="auto"/>
                <w:kern w:val="0"/>
                <w:sz w:val="18"/>
                <w:szCs w:val="18"/>
                <w:lang w:val="en-US" w:eastAsia="zh-CN" w:bidi="ar-SA"/>
              </w:rPr>
            </w:pPr>
            <w:r>
              <w:rPr>
                <w:rFonts w:hint="eastAsia" w:ascii="宋体" w:hAnsi="宋体" w:eastAsia="宋体" w:cs="宋体"/>
                <w:color w:val="auto"/>
                <w:sz w:val="18"/>
                <w:szCs w:val="18"/>
              </w:rPr>
              <w:t>大体积混凝土、金结制作和机电安装工程直接损失1750万元以上3000万元以下，或者土石方工程、混凝土薄壁工程直接损失550万元以上1000万元以下的，或者发生重大质量事故以上的。</w:t>
            </w:r>
          </w:p>
        </w:tc>
        <w:tc>
          <w:tcPr>
            <w:tcW w:w="873" w:type="pct"/>
            <w:noWrap w:val="0"/>
            <w:tcMar>
              <w:top w:w="0" w:type="dxa"/>
              <w:left w:w="0" w:type="dxa"/>
              <w:bottom w:w="0" w:type="dxa"/>
              <w:right w:w="0" w:type="dxa"/>
            </w:tcMar>
            <w:vAlign w:val="center"/>
          </w:tcPr>
          <w:p w14:paraId="6B7501ED">
            <w:pPr>
              <w:pStyle w:val="10"/>
              <w:keepNext w:val="0"/>
              <w:keepLines w:val="0"/>
              <w:pageBreakBefore w:val="0"/>
              <w:widowControl w:val="0"/>
              <w:kinsoku/>
              <w:wordWrap/>
              <w:overflowPunct/>
              <w:topLinePunct w:val="0"/>
              <w:autoSpaceDE/>
              <w:autoSpaceDN/>
              <w:bidi w:val="0"/>
              <w:adjustRightInd/>
              <w:snapToGrid/>
              <w:spacing w:beforeAutospacing="0" w:afterAutospacing="0" w:line="260" w:lineRule="exact"/>
              <w:jc w:val="both"/>
              <w:textAlignment w:val="auto"/>
              <w:rPr>
                <w:rFonts w:hint="eastAsia" w:ascii="宋体" w:hAnsi="宋体" w:eastAsia="宋体" w:cs="宋体"/>
                <w:color w:val="auto"/>
                <w:kern w:val="0"/>
                <w:sz w:val="18"/>
                <w:szCs w:val="18"/>
                <w:lang w:val="en-US" w:eastAsia="zh-CN" w:bidi="ar-SA"/>
              </w:rPr>
            </w:pPr>
            <w:r>
              <w:rPr>
                <w:rFonts w:hint="eastAsia" w:ascii="宋体" w:hAnsi="宋体" w:eastAsia="宋体" w:cs="宋体"/>
                <w:color w:val="auto"/>
                <w:sz w:val="18"/>
                <w:szCs w:val="18"/>
              </w:rPr>
              <w:t>对业主单位责令整改，调整项目法人；对监理单位责令整改并可处以罚款，建议发证机关降低资质等级或吊销水利工程监理资质证书；对咨询、勘测、设计单位责令整改并可处以罚款，建议发证机关降低资质等级或吊销水利工程勘测、设计资格；对施工单位责令进行事故处理，并处以罚款，建议发证机关降低资质等级或吊销资质证书；对设备、原材料等供应单位进行通报批评、罚款</w:t>
            </w:r>
          </w:p>
        </w:tc>
        <w:tc>
          <w:tcPr>
            <w:tcW w:w="158" w:type="pct"/>
            <w:vMerge w:val="continue"/>
            <w:noWrap w:val="0"/>
            <w:tcMar>
              <w:top w:w="0" w:type="dxa"/>
              <w:left w:w="0" w:type="dxa"/>
              <w:bottom w:w="0" w:type="dxa"/>
              <w:right w:w="0" w:type="dxa"/>
            </w:tcMar>
            <w:vAlign w:val="center"/>
          </w:tcPr>
          <w:p w14:paraId="0515EBD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7904C2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restart"/>
            <w:noWrap w:val="0"/>
            <w:tcMar>
              <w:top w:w="0" w:type="dxa"/>
              <w:left w:w="0" w:type="dxa"/>
              <w:bottom w:w="0" w:type="dxa"/>
              <w:right w:w="0" w:type="dxa"/>
            </w:tcMar>
            <w:vAlign w:val="center"/>
          </w:tcPr>
          <w:p w14:paraId="1625FCA8">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r>
              <w:rPr>
                <w:rFonts w:hint="eastAsia" w:ascii="宋体" w:hAnsi="宋体" w:eastAsia="宋体" w:cs="宋体"/>
                <w:color w:val="000000"/>
                <w:sz w:val="18"/>
                <w:szCs w:val="18"/>
                <w:shd w:val="clear" w:color="auto" w:fill="auto"/>
                <w:vertAlign w:val="baseline"/>
                <w:lang w:val="en-US" w:eastAsia="zh-CN"/>
              </w:rPr>
              <w:t>71</w:t>
            </w:r>
          </w:p>
        </w:tc>
        <w:tc>
          <w:tcPr>
            <w:tcW w:w="415" w:type="pct"/>
            <w:vMerge w:val="restart"/>
            <w:noWrap w:val="0"/>
            <w:tcMar>
              <w:top w:w="0" w:type="dxa"/>
              <w:left w:w="0" w:type="dxa"/>
              <w:bottom w:w="0" w:type="dxa"/>
              <w:right w:w="0" w:type="dxa"/>
            </w:tcMar>
            <w:vAlign w:val="center"/>
          </w:tcPr>
          <w:p w14:paraId="70FA318D">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auto"/>
                <w:sz w:val="18"/>
                <w:szCs w:val="18"/>
                <w:vertAlign w:val="baseline"/>
                <w:lang w:val="en-US" w:eastAsia="zh-CN"/>
              </w:rPr>
              <w:t>对水利工程建设项目法人以及其他参建单位提交验收资料不真实导致验收结论有误行为的行政处罚</w:t>
            </w:r>
          </w:p>
        </w:tc>
        <w:tc>
          <w:tcPr>
            <w:tcW w:w="2168" w:type="pct"/>
            <w:vMerge w:val="restart"/>
            <w:noWrap w:val="0"/>
            <w:tcMar>
              <w:top w:w="0" w:type="dxa"/>
              <w:left w:w="0" w:type="dxa"/>
              <w:bottom w:w="0" w:type="dxa"/>
              <w:right w:w="0" w:type="dxa"/>
            </w:tcMar>
            <w:vAlign w:val="center"/>
          </w:tcPr>
          <w:p w14:paraId="3D12A83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《水利工程建设项目验收管理规定》第四十二条 项目法人以及其他参建单位提交验收资料不真实导致验收结论有误的，由提交不真实验收资料的单位承担责任。竣工验收主持单位收回验收鉴定书，对责任单位予以通报批评；造成严重后果的，依照有关法律法规处罚。</w:t>
            </w:r>
          </w:p>
        </w:tc>
        <w:tc>
          <w:tcPr>
            <w:tcW w:w="491" w:type="pct"/>
            <w:vMerge w:val="restart"/>
            <w:noWrap w:val="0"/>
            <w:tcMar>
              <w:top w:w="0" w:type="dxa"/>
              <w:left w:w="0" w:type="dxa"/>
              <w:bottom w:w="0" w:type="dxa"/>
              <w:right w:w="0" w:type="dxa"/>
            </w:tcMar>
            <w:vAlign w:val="center"/>
          </w:tcPr>
          <w:p w14:paraId="4071539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水利工程建设项目法人以及其他参建单位提交验收资料不真实导致验收结论有误的</w:t>
            </w:r>
          </w:p>
        </w:tc>
        <w:tc>
          <w:tcPr>
            <w:tcW w:w="174" w:type="pct"/>
            <w:noWrap w:val="0"/>
            <w:tcMar>
              <w:top w:w="0" w:type="dxa"/>
              <w:left w:w="0" w:type="dxa"/>
              <w:bottom w:w="0" w:type="dxa"/>
              <w:right w:w="0" w:type="dxa"/>
            </w:tcMar>
            <w:vAlign w:val="center"/>
          </w:tcPr>
          <w:p w14:paraId="76021068">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轻微</w:t>
            </w:r>
          </w:p>
        </w:tc>
        <w:tc>
          <w:tcPr>
            <w:tcW w:w="561" w:type="pct"/>
            <w:vMerge w:val="restar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1972D7A1">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4DFD9E14">
            <w:pPr>
              <w:spacing w:line="260" w:lineRule="exact"/>
              <w:rPr>
                <w:rFonts w:hint="eastAsia" w:ascii="宋体" w:hAnsi="宋体" w:eastAsia="宋体" w:cs="宋体"/>
                <w:kern w:val="2"/>
                <w:sz w:val="18"/>
                <w:szCs w:val="18"/>
                <w:vertAlign w:val="baseline"/>
                <w:lang w:val="en-US" w:eastAsia="zh-CN" w:bidi="ar-SA"/>
              </w:rPr>
            </w:pPr>
          </w:p>
        </w:tc>
        <w:tc>
          <w:tcPr>
            <w:tcW w:w="873" w:type="pct"/>
            <w:vMerge w:val="restart"/>
            <w:noWrap w:val="0"/>
            <w:tcMar>
              <w:top w:w="0" w:type="dxa"/>
              <w:left w:w="0" w:type="dxa"/>
              <w:bottom w:w="0" w:type="dxa"/>
              <w:right w:w="0" w:type="dxa"/>
            </w:tcMar>
            <w:vAlign w:val="center"/>
          </w:tcPr>
          <w:p w14:paraId="2CC93A0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予以通报批评</w:t>
            </w:r>
          </w:p>
        </w:tc>
        <w:tc>
          <w:tcPr>
            <w:tcW w:w="158" w:type="pct"/>
            <w:vMerge w:val="restart"/>
            <w:noWrap w:val="0"/>
            <w:tcMar>
              <w:top w:w="0" w:type="dxa"/>
              <w:left w:w="0" w:type="dxa"/>
              <w:bottom w:w="0" w:type="dxa"/>
              <w:right w:w="0" w:type="dxa"/>
            </w:tcMar>
            <w:vAlign w:val="center"/>
          </w:tcPr>
          <w:p w14:paraId="50D00B58">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6922AC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7B3CE4F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3B0AD531">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0B42E29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5BF31C3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54775885">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较轻</w:t>
            </w:r>
          </w:p>
        </w:tc>
        <w:tc>
          <w:tcPr>
            <w:tcW w:w="561" w:type="pct"/>
            <w:vMerge w:val="continue"/>
            <w:noWrap w:val="0"/>
            <w:tcMar>
              <w:top w:w="0" w:type="dxa"/>
              <w:left w:w="0" w:type="dxa"/>
              <w:bottom w:w="0" w:type="dxa"/>
              <w:right w:w="0" w:type="dxa"/>
            </w:tcMar>
            <w:vAlign w:val="center"/>
          </w:tcPr>
          <w:p w14:paraId="0BE3A197">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p>
        </w:tc>
        <w:tc>
          <w:tcPr>
            <w:tcW w:w="873" w:type="pct"/>
            <w:vMerge w:val="continue"/>
            <w:noWrap w:val="0"/>
            <w:tcMar>
              <w:top w:w="0" w:type="dxa"/>
              <w:left w:w="0" w:type="dxa"/>
              <w:bottom w:w="0" w:type="dxa"/>
              <w:right w:w="0" w:type="dxa"/>
            </w:tcMar>
            <w:vAlign w:val="center"/>
          </w:tcPr>
          <w:p w14:paraId="1ADF1E8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p>
        </w:tc>
        <w:tc>
          <w:tcPr>
            <w:tcW w:w="158" w:type="pct"/>
            <w:vMerge w:val="continue"/>
            <w:noWrap w:val="0"/>
            <w:tcMar>
              <w:top w:w="0" w:type="dxa"/>
              <w:left w:w="0" w:type="dxa"/>
              <w:bottom w:w="0" w:type="dxa"/>
              <w:right w:w="0" w:type="dxa"/>
            </w:tcMar>
            <w:vAlign w:val="center"/>
          </w:tcPr>
          <w:p w14:paraId="0DA813CD">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73A05A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2756706A">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29B4CB5C">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6DDF3B97">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33A7901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7E2C2B39">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一般</w:t>
            </w:r>
          </w:p>
        </w:tc>
        <w:tc>
          <w:tcPr>
            <w:tcW w:w="561" w:type="pct"/>
            <w:vMerge w:val="continue"/>
            <w:noWrap w:val="0"/>
            <w:tcMar>
              <w:top w:w="0" w:type="dxa"/>
              <w:left w:w="0" w:type="dxa"/>
              <w:bottom w:w="0" w:type="dxa"/>
              <w:right w:w="0" w:type="dxa"/>
            </w:tcMar>
            <w:vAlign w:val="center"/>
          </w:tcPr>
          <w:p w14:paraId="399BE9EC">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p>
        </w:tc>
        <w:tc>
          <w:tcPr>
            <w:tcW w:w="873" w:type="pct"/>
            <w:vMerge w:val="continue"/>
            <w:noWrap w:val="0"/>
            <w:tcMar>
              <w:top w:w="0" w:type="dxa"/>
              <w:left w:w="0" w:type="dxa"/>
              <w:bottom w:w="0" w:type="dxa"/>
              <w:right w:w="0" w:type="dxa"/>
            </w:tcMar>
            <w:vAlign w:val="center"/>
          </w:tcPr>
          <w:p w14:paraId="589B5E2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p>
        </w:tc>
        <w:tc>
          <w:tcPr>
            <w:tcW w:w="158" w:type="pct"/>
            <w:vMerge w:val="continue"/>
            <w:noWrap w:val="0"/>
            <w:tcMar>
              <w:top w:w="0" w:type="dxa"/>
              <w:left w:w="0" w:type="dxa"/>
              <w:bottom w:w="0" w:type="dxa"/>
              <w:right w:w="0" w:type="dxa"/>
            </w:tcMar>
            <w:vAlign w:val="center"/>
          </w:tcPr>
          <w:p w14:paraId="40CA7F1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04E3FD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50E01B3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4135E4B5">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5B068A0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1B9EC08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73275D2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较重</w:t>
            </w:r>
          </w:p>
        </w:tc>
        <w:tc>
          <w:tcPr>
            <w:tcW w:w="561" w:type="pct"/>
            <w:vMerge w:val="continue"/>
            <w:noWrap w:val="0"/>
            <w:tcMar>
              <w:top w:w="0" w:type="dxa"/>
              <w:left w:w="0" w:type="dxa"/>
              <w:bottom w:w="0" w:type="dxa"/>
              <w:right w:w="0" w:type="dxa"/>
            </w:tcMar>
            <w:vAlign w:val="center"/>
          </w:tcPr>
          <w:p w14:paraId="79BA6C2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p>
        </w:tc>
        <w:tc>
          <w:tcPr>
            <w:tcW w:w="873" w:type="pct"/>
            <w:vMerge w:val="continue"/>
            <w:noWrap w:val="0"/>
            <w:tcMar>
              <w:top w:w="0" w:type="dxa"/>
              <w:left w:w="0" w:type="dxa"/>
              <w:bottom w:w="0" w:type="dxa"/>
              <w:right w:w="0" w:type="dxa"/>
            </w:tcMar>
            <w:vAlign w:val="center"/>
          </w:tcPr>
          <w:p w14:paraId="7DA59EC4">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p>
        </w:tc>
        <w:tc>
          <w:tcPr>
            <w:tcW w:w="158" w:type="pct"/>
            <w:vMerge w:val="continue"/>
            <w:noWrap w:val="0"/>
            <w:tcMar>
              <w:top w:w="0" w:type="dxa"/>
              <w:left w:w="0" w:type="dxa"/>
              <w:bottom w:w="0" w:type="dxa"/>
              <w:right w:w="0" w:type="dxa"/>
            </w:tcMar>
            <w:vAlign w:val="center"/>
          </w:tcPr>
          <w:p w14:paraId="3E64157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2E1243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7C153CA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74CB9626">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1F6E514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17E722D7">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20FD341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严重</w:t>
            </w:r>
          </w:p>
        </w:tc>
        <w:tc>
          <w:tcPr>
            <w:tcW w:w="561" w:type="pct"/>
            <w:vMerge w:val="continue"/>
            <w:noWrap w:val="0"/>
            <w:tcMar>
              <w:top w:w="0" w:type="dxa"/>
              <w:left w:w="0" w:type="dxa"/>
              <w:bottom w:w="0" w:type="dxa"/>
              <w:right w:w="0" w:type="dxa"/>
            </w:tcMar>
            <w:vAlign w:val="center"/>
          </w:tcPr>
          <w:p w14:paraId="61DD2DA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p>
        </w:tc>
        <w:tc>
          <w:tcPr>
            <w:tcW w:w="873" w:type="pct"/>
            <w:vMerge w:val="continue"/>
            <w:noWrap w:val="0"/>
            <w:tcMar>
              <w:top w:w="0" w:type="dxa"/>
              <w:left w:w="0" w:type="dxa"/>
              <w:bottom w:w="0" w:type="dxa"/>
              <w:right w:w="0" w:type="dxa"/>
            </w:tcMar>
            <w:vAlign w:val="center"/>
          </w:tcPr>
          <w:p w14:paraId="44AB86B7">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p>
        </w:tc>
        <w:tc>
          <w:tcPr>
            <w:tcW w:w="158" w:type="pct"/>
            <w:vMerge w:val="continue"/>
            <w:noWrap w:val="0"/>
            <w:tcMar>
              <w:top w:w="0" w:type="dxa"/>
              <w:left w:w="0" w:type="dxa"/>
              <w:bottom w:w="0" w:type="dxa"/>
              <w:right w:w="0" w:type="dxa"/>
            </w:tcMar>
            <w:vAlign w:val="center"/>
          </w:tcPr>
          <w:p w14:paraId="401039F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45C67E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restart"/>
            <w:noWrap w:val="0"/>
            <w:tcMar>
              <w:top w:w="0" w:type="dxa"/>
              <w:left w:w="0" w:type="dxa"/>
              <w:bottom w:w="0" w:type="dxa"/>
              <w:right w:w="0" w:type="dxa"/>
            </w:tcMar>
            <w:vAlign w:val="center"/>
          </w:tcPr>
          <w:p w14:paraId="6949A935">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r>
              <w:rPr>
                <w:rFonts w:hint="eastAsia" w:ascii="宋体" w:hAnsi="宋体" w:eastAsia="宋体" w:cs="宋体"/>
                <w:color w:val="000000"/>
                <w:sz w:val="18"/>
                <w:szCs w:val="18"/>
                <w:shd w:val="clear" w:color="auto" w:fill="auto"/>
                <w:vertAlign w:val="baseline"/>
                <w:lang w:val="en-US" w:eastAsia="zh-CN"/>
              </w:rPr>
              <w:t>72</w:t>
            </w:r>
          </w:p>
        </w:tc>
        <w:tc>
          <w:tcPr>
            <w:tcW w:w="415" w:type="pct"/>
            <w:vMerge w:val="restart"/>
            <w:noWrap w:val="0"/>
            <w:tcMar>
              <w:top w:w="0" w:type="dxa"/>
              <w:left w:w="0" w:type="dxa"/>
              <w:bottom w:w="0" w:type="dxa"/>
              <w:right w:w="0" w:type="dxa"/>
            </w:tcMar>
            <w:vAlign w:val="center"/>
          </w:tcPr>
          <w:p w14:paraId="48097023">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auto"/>
                <w:sz w:val="18"/>
                <w:szCs w:val="18"/>
                <w:vertAlign w:val="baseline"/>
                <w:lang w:val="en-US" w:eastAsia="zh-CN"/>
              </w:rPr>
              <w:t>对水利领域参加验收的专家在验收工作中玩忽职守、徇私舞弊行为的行政处罚</w:t>
            </w:r>
          </w:p>
        </w:tc>
        <w:tc>
          <w:tcPr>
            <w:tcW w:w="2168" w:type="pct"/>
            <w:vMerge w:val="restart"/>
            <w:noWrap w:val="0"/>
            <w:tcMar>
              <w:top w:w="0" w:type="dxa"/>
              <w:left w:w="0" w:type="dxa"/>
              <w:bottom w:w="0" w:type="dxa"/>
              <w:right w:w="0" w:type="dxa"/>
            </w:tcMar>
            <w:vAlign w:val="center"/>
          </w:tcPr>
          <w:p w14:paraId="4E8EACD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《水利工程建设项目验收管理规定》第四十三条 参加验收的专家在验收工作中玩忽职守、徇私舞弊的，由验收监督管理机关予以通报批评；情节严重的，取消其参加验收的资格；构成犯罪的，依法追究刑事责任。</w:t>
            </w:r>
          </w:p>
        </w:tc>
        <w:tc>
          <w:tcPr>
            <w:tcW w:w="491" w:type="pct"/>
            <w:vMerge w:val="restart"/>
            <w:noWrap w:val="0"/>
            <w:tcMar>
              <w:top w:w="0" w:type="dxa"/>
              <w:left w:w="0" w:type="dxa"/>
              <w:bottom w:w="0" w:type="dxa"/>
              <w:right w:w="0" w:type="dxa"/>
            </w:tcMar>
            <w:vAlign w:val="center"/>
          </w:tcPr>
          <w:p w14:paraId="39F96947">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水利领域参加验收的专家在验收工作中玩忽职守、徇私舞弊的</w:t>
            </w:r>
          </w:p>
        </w:tc>
        <w:tc>
          <w:tcPr>
            <w:tcW w:w="174" w:type="pct"/>
            <w:noWrap w:val="0"/>
            <w:tcMar>
              <w:top w:w="0" w:type="dxa"/>
              <w:left w:w="0" w:type="dxa"/>
              <w:bottom w:w="0" w:type="dxa"/>
              <w:right w:w="0" w:type="dxa"/>
            </w:tcMar>
            <w:vAlign w:val="center"/>
          </w:tcPr>
          <w:p w14:paraId="6C3E22F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轻微</w:t>
            </w:r>
          </w:p>
        </w:tc>
        <w:tc>
          <w:tcPr>
            <w:tcW w:w="561" w:type="pct"/>
            <w:vMerge w:val="restar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0B348D26">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26B15BE9">
            <w:pPr>
              <w:spacing w:line="260" w:lineRule="exact"/>
              <w:rPr>
                <w:rFonts w:hint="eastAsia" w:ascii="宋体" w:hAnsi="宋体" w:eastAsia="宋体" w:cs="宋体"/>
                <w:kern w:val="2"/>
                <w:sz w:val="18"/>
                <w:szCs w:val="18"/>
                <w:vertAlign w:val="baseline"/>
                <w:lang w:val="en-US" w:eastAsia="zh-CN" w:bidi="ar-SA"/>
              </w:rPr>
            </w:pPr>
          </w:p>
        </w:tc>
        <w:tc>
          <w:tcPr>
            <w:tcW w:w="873" w:type="pct"/>
            <w:vMerge w:val="restart"/>
            <w:noWrap w:val="0"/>
            <w:tcMar>
              <w:top w:w="0" w:type="dxa"/>
              <w:left w:w="0" w:type="dxa"/>
              <w:bottom w:w="0" w:type="dxa"/>
              <w:right w:w="0" w:type="dxa"/>
            </w:tcMar>
            <w:vAlign w:val="center"/>
          </w:tcPr>
          <w:p w14:paraId="5EA0DE2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予以通报批评；情节严重的，取消其参加验收的资格</w:t>
            </w:r>
          </w:p>
        </w:tc>
        <w:tc>
          <w:tcPr>
            <w:tcW w:w="158" w:type="pct"/>
            <w:vMerge w:val="restart"/>
            <w:noWrap w:val="0"/>
            <w:tcMar>
              <w:top w:w="0" w:type="dxa"/>
              <w:left w:w="0" w:type="dxa"/>
              <w:bottom w:w="0" w:type="dxa"/>
              <w:right w:w="0" w:type="dxa"/>
            </w:tcMar>
            <w:vAlign w:val="center"/>
          </w:tcPr>
          <w:p w14:paraId="0B4A9A2D">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1F83E4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3B10690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49A7B52C">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628CCC94">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04C8D7A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2FB34EE8">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较轻</w:t>
            </w:r>
          </w:p>
        </w:tc>
        <w:tc>
          <w:tcPr>
            <w:tcW w:w="561" w:type="pct"/>
            <w:vMerge w:val="continue"/>
            <w:noWrap w:val="0"/>
            <w:tcMar>
              <w:top w:w="0" w:type="dxa"/>
              <w:left w:w="0" w:type="dxa"/>
              <w:bottom w:w="0" w:type="dxa"/>
              <w:right w:w="0" w:type="dxa"/>
            </w:tcMar>
            <w:vAlign w:val="center"/>
          </w:tcPr>
          <w:p w14:paraId="27C2324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p>
        </w:tc>
        <w:tc>
          <w:tcPr>
            <w:tcW w:w="873" w:type="pct"/>
            <w:vMerge w:val="continue"/>
            <w:noWrap w:val="0"/>
            <w:tcMar>
              <w:top w:w="0" w:type="dxa"/>
              <w:left w:w="0" w:type="dxa"/>
              <w:bottom w:w="0" w:type="dxa"/>
              <w:right w:w="0" w:type="dxa"/>
            </w:tcMar>
            <w:vAlign w:val="center"/>
          </w:tcPr>
          <w:p w14:paraId="4A5EA0AC">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p>
        </w:tc>
        <w:tc>
          <w:tcPr>
            <w:tcW w:w="158" w:type="pct"/>
            <w:vMerge w:val="continue"/>
            <w:noWrap w:val="0"/>
            <w:tcMar>
              <w:top w:w="0" w:type="dxa"/>
              <w:left w:w="0" w:type="dxa"/>
              <w:bottom w:w="0" w:type="dxa"/>
              <w:right w:w="0" w:type="dxa"/>
            </w:tcMar>
            <w:vAlign w:val="center"/>
          </w:tcPr>
          <w:p w14:paraId="5855BCE1">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00E260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55A6CDB5">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12D5012F">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79BFF797">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44646F8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0E962D1B">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一般</w:t>
            </w:r>
          </w:p>
        </w:tc>
        <w:tc>
          <w:tcPr>
            <w:tcW w:w="561" w:type="pct"/>
            <w:vMerge w:val="continue"/>
            <w:noWrap w:val="0"/>
            <w:tcMar>
              <w:top w:w="0" w:type="dxa"/>
              <w:left w:w="0" w:type="dxa"/>
              <w:bottom w:w="0" w:type="dxa"/>
              <w:right w:w="0" w:type="dxa"/>
            </w:tcMar>
            <w:vAlign w:val="center"/>
          </w:tcPr>
          <w:p w14:paraId="2F638BF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p>
        </w:tc>
        <w:tc>
          <w:tcPr>
            <w:tcW w:w="873" w:type="pct"/>
            <w:vMerge w:val="continue"/>
            <w:noWrap w:val="0"/>
            <w:tcMar>
              <w:top w:w="0" w:type="dxa"/>
              <w:left w:w="0" w:type="dxa"/>
              <w:bottom w:w="0" w:type="dxa"/>
              <w:right w:w="0" w:type="dxa"/>
            </w:tcMar>
            <w:vAlign w:val="center"/>
          </w:tcPr>
          <w:p w14:paraId="71FD18F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p>
        </w:tc>
        <w:tc>
          <w:tcPr>
            <w:tcW w:w="158" w:type="pct"/>
            <w:vMerge w:val="continue"/>
            <w:noWrap w:val="0"/>
            <w:tcMar>
              <w:top w:w="0" w:type="dxa"/>
              <w:left w:w="0" w:type="dxa"/>
              <w:bottom w:w="0" w:type="dxa"/>
              <w:right w:w="0" w:type="dxa"/>
            </w:tcMar>
            <w:vAlign w:val="center"/>
          </w:tcPr>
          <w:p w14:paraId="53A7691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65B697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54399EC9">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41E3A199">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7EC5B06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296DBAD7">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08694B7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较重</w:t>
            </w:r>
          </w:p>
        </w:tc>
        <w:tc>
          <w:tcPr>
            <w:tcW w:w="561" w:type="pct"/>
            <w:vMerge w:val="continue"/>
            <w:noWrap w:val="0"/>
            <w:tcMar>
              <w:top w:w="0" w:type="dxa"/>
              <w:left w:w="0" w:type="dxa"/>
              <w:bottom w:w="0" w:type="dxa"/>
              <w:right w:w="0" w:type="dxa"/>
            </w:tcMar>
            <w:vAlign w:val="center"/>
          </w:tcPr>
          <w:p w14:paraId="4888CE4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p>
        </w:tc>
        <w:tc>
          <w:tcPr>
            <w:tcW w:w="873" w:type="pct"/>
            <w:vMerge w:val="continue"/>
            <w:noWrap w:val="0"/>
            <w:tcMar>
              <w:top w:w="0" w:type="dxa"/>
              <w:left w:w="0" w:type="dxa"/>
              <w:bottom w:w="0" w:type="dxa"/>
              <w:right w:w="0" w:type="dxa"/>
            </w:tcMar>
            <w:vAlign w:val="center"/>
          </w:tcPr>
          <w:p w14:paraId="38EE237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p>
        </w:tc>
        <w:tc>
          <w:tcPr>
            <w:tcW w:w="158" w:type="pct"/>
            <w:vMerge w:val="continue"/>
            <w:noWrap w:val="0"/>
            <w:tcMar>
              <w:top w:w="0" w:type="dxa"/>
              <w:left w:w="0" w:type="dxa"/>
              <w:bottom w:w="0" w:type="dxa"/>
              <w:right w:w="0" w:type="dxa"/>
            </w:tcMar>
            <w:vAlign w:val="center"/>
          </w:tcPr>
          <w:p w14:paraId="285717F1">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421719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7CF49BA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09C665D5">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374EF70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1C7195C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028CCB08">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严重</w:t>
            </w:r>
          </w:p>
        </w:tc>
        <w:tc>
          <w:tcPr>
            <w:tcW w:w="561" w:type="pct"/>
            <w:vMerge w:val="continue"/>
            <w:noWrap w:val="0"/>
            <w:tcMar>
              <w:top w:w="0" w:type="dxa"/>
              <w:left w:w="0" w:type="dxa"/>
              <w:bottom w:w="0" w:type="dxa"/>
              <w:right w:w="0" w:type="dxa"/>
            </w:tcMar>
            <w:vAlign w:val="center"/>
          </w:tcPr>
          <w:p w14:paraId="423ED69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p>
        </w:tc>
        <w:tc>
          <w:tcPr>
            <w:tcW w:w="873" w:type="pct"/>
            <w:vMerge w:val="continue"/>
            <w:noWrap w:val="0"/>
            <w:tcMar>
              <w:top w:w="0" w:type="dxa"/>
              <w:left w:w="0" w:type="dxa"/>
              <w:bottom w:w="0" w:type="dxa"/>
              <w:right w:w="0" w:type="dxa"/>
            </w:tcMar>
            <w:vAlign w:val="center"/>
          </w:tcPr>
          <w:p w14:paraId="352B7F4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p>
        </w:tc>
        <w:tc>
          <w:tcPr>
            <w:tcW w:w="158" w:type="pct"/>
            <w:vMerge w:val="continue"/>
            <w:noWrap w:val="0"/>
            <w:tcMar>
              <w:top w:w="0" w:type="dxa"/>
              <w:left w:w="0" w:type="dxa"/>
              <w:bottom w:w="0" w:type="dxa"/>
              <w:right w:w="0" w:type="dxa"/>
            </w:tcMar>
            <w:vAlign w:val="center"/>
          </w:tcPr>
          <w:p w14:paraId="287ED6F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529AA4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restart"/>
            <w:noWrap w:val="0"/>
            <w:tcMar>
              <w:top w:w="0" w:type="dxa"/>
              <w:left w:w="0" w:type="dxa"/>
              <w:bottom w:w="0" w:type="dxa"/>
              <w:right w:w="0" w:type="dxa"/>
            </w:tcMar>
            <w:vAlign w:val="center"/>
          </w:tcPr>
          <w:p w14:paraId="58B7B3E1">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r>
              <w:rPr>
                <w:rFonts w:hint="eastAsia" w:ascii="宋体" w:hAnsi="宋体" w:eastAsia="宋体" w:cs="宋体"/>
                <w:color w:val="000000"/>
                <w:sz w:val="18"/>
                <w:szCs w:val="18"/>
                <w:shd w:val="clear" w:color="auto" w:fill="auto"/>
                <w:vertAlign w:val="baseline"/>
                <w:lang w:val="en-US" w:eastAsia="zh-CN"/>
              </w:rPr>
              <w:t>73</w:t>
            </w:r>
          </w:p>
        </w:tc>
        <w:tc>
          <w:tcPr>
            <w:tcW w:w="415" w:type="pct"/>
            <w:vMerge w:val="restart"/>
            <w:noWrap w:val="0"/>
            <w:tcMar>
              <w:top w:w="0" w:type="dxa"/>
              <w:left w:w="0" w:type="dxa"/>
              <w:bottom w:w="0" w:type="dxa"/>
              <w:right w:w="0" w:type="dxa"/>
            </w:tcMar>
            <w:vAlign w:val="center"/>
          </w:tcPr>
          <w:p w14:paraId="224B4707">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auto"/>
                <w:sz w:val="18"/>
                <w:szCs w:val="18"/>
                <w:vertAlign w:val="baseline"/>
                <w:lang w:val="en-US" w:eastAsia="zh-CN"/>
              </w:rPr>
              <w:t>对水利领域建筑设计单位不按照建筑工程质量、安全标准进行设计等行为的行政处罚</w:t>
            </w:r>
          </w:p>
        </w:tc>
        <w:tc>
          <w:tcPr>
            <w:tcW w:w="2168" w:type="pct"/>
            <w:vMerge w:val="restart"/>
            <w:noWrap w:val="0"/>
            <w:tcMar>
              <w:top w:w="0" w:type="dxa"/>
              <w:left w:w="0" w:type="dxa"/>
              <w:bottom w:w="0" w:type="dxa"/>
              <w:right w:w="0" w:type="dxa"/>
            </w:tcMar>
            <w:vAlign w:val="center"/>
          </w:tcPr>
          <w:p w14:paraId="042DED2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《中华人民共和国建筑法》第七十三条 建筑设计单位不按照建筑工程质量、安全标准进行设计的，责令改正，处以罚款；造成工程质量事故的，责令停业整顿，降低资质等级或者吊销资质证书，没收违法所得，并处罚款；造成损失的，承担赔偿责任；构成犯罪的，依法追究刑事责任。</w:t>
            </w:r>
          </w:p>
        </w:tc>
        <w:tc>
          <w:tcPr>
            <w:tcW w:w="491" w:type="pct"/>
            <w:vMerge w:val="restart"/>
            <w:noWrap w:val="0"/>
            <w:tcMar>
              <w:top w:w="0" w:type="dxa"/>
              <w:left w:w="0" w:type="dxa"/>
              <w:bottom w:w="0" w:type="dxa"/>
              <w:right w:w="0" w:type="dxa"/>
            </w:tcMar>
            <w:vAlign w:val="center"/>
          </w:tcPr>
          <w:p w14:paraId="4CCA38C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水利领域建筑设计单位不按照建筑工程质量、安全标准进行设计的</w:t>
            </w:r>
          </w:p>
        </w:tc>
        <w:tc>
          <w:tcPr>
            <w:tcW w:w="174" w:type="pct"/>
            <w:noWrap w:val="0"/>
            <w:tcMar>
              <w:top w:w="0" w:type="dxa"/>
              <w:left w:w="0" w:type="dxa"/>
              <w:bottom w:w="0" w:type="dxa"/>
              <w:right w:w="0" w:type="dxa"/>
            </w:tcMar>
            <w:vAlign w:val="center"/>
          </w:tcPr>
          <w:p w14:paraId="3996963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轻微</w:t>
            </w:r>
          </w:p>
        </w:tc>
        <w:tc>
          <w:tcPr>
            <w:tcW w:w="561" w:type="pct"/>
            <w:noWrap w:val="0"/>
            <w:tcMar>
              <w:top w:w="0" w:type="dxa"/>
              <w:left w:w="0" w:type="dxa"/>
              <w:bottom w:w="0" w:type="dxa"/>
              <w:right w:w="0" w:type="dxa"/>
            </w:tcMar>
            <w:vAlign w:val="center"/>
          </w:tcPr>
          <w:p w14:paraId="00E21C2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p>
        </w:tc>
        <w:tc>
          <w:tcPr>
            <w:tcW w:w="873" w:type="pct"/>
            <w:noWrap w:val="0"/>
            <w:tcMar>
              <w:top w:w="0" w:type="dxa"/>
              <w:left w:w="0" w:type="dxa"/>
              <w:bottom w:w="0" w:type="dxa"/>
              <w:right w:w="0" w:type="dxa"/>
            </w:tcMar>
            <w:vAlign w:val="center"/>
          </w:tcPr>
          <w:p w14:paraId="40E728FC">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p>
        </w:tc>
        <w:tc>
          <w:tcPr>
            <w:tcW w:w="158" w:type="pct"/>
            <w:vMerge w:val="restart"/>
            <w:noWrap w:val="0"/>
            <w:tcMar>
              <w:top w:w="0" w:type="dxa"/>
              <w:left w:w="0" w:type="dxa"/>
              <w:bottom w:w="0" w:type="dxa"/>
              <w:right w:w="0" w:type="dxa"/>
            </w:tcMar>
            <w:vAlign w:val="center"/>
          </w:tcPr>
          <w:p w14:paraId="0C63819D">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08FFDB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4F4929FB">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7F08D379">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5B8C51C4">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79F91EA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2E72690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较轻</w:t>
            </w:r>
          </w:p>
        </w:tc>
        <w:tc>
          <w:tcPr>
            <w:tcW w:w="561" w:type="pct"/>
            <w:noWrap w:val="0"/>
            <w:tcMar>
              <w:top w:w="0" w:type="dxa"/>
              <w:left w:w="0" w:type="dxa"/>
              <w:bottom w:w="0" w:type="dxa"/>
              <w:right w:w="0" w:type="dxa"/>
            </w:tcMar>
            <w:vAlign w:val="center"/>
          </w:tcPr>
          <w:p w14:paraId="55C772D6">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sz w:val="18"/>
                <w:szCs w:val="18"/>
                <w:vertAlign w:val="baseline"/>
              </w:rPr>
              <w:t>未按照1条工程建设强制性标准进行设计的</w:t>
            </w:r>
          </w:p>
        </w:tc>
        <w:tc>
          <w:tcPr>
            <w:tcW w:w="873" w:type="pct"/>
            <w:noWrap w:val="0"/>
            <w:tcMar>
              <w:top w:w="0" w:type="dxa"/>
              <w:left w:w="0" w:type="dxa"/>
              <w:bottom w:w="0" w:type="dxa"/>
              <w:right w:w="0" w:type="dxa"/>
            </w:tcMar>
            <w:vAlign w:val="center"/>
          </w:tcPr>
          <w:p w14:paraId="5A66561F">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处10万元以上20万元以下的罚款；对单位直接负责的主管人员和其他直接责任人员处单位罚款数额5%以上7.5%以下的罚款</w:t>
            </w:r>
          </w:p>
        </w:tc>
        <w:tc>
          <w:tcPr>
            <w:tcW w:w="158" w:type="pct"/>
            <w:vMerge w:val="continue"/>
            <w:noWrap w:val="0"/>
            <w:tcMar>
              <w:top w:w="0" w:type="dxa"/>
              <w:left w:w="0" w:type="dxa"/>
              <w:bottom w:w="0" w:type="dxa"/>
              <w:right w:w="0" w:type="dxa"/>
            </w:tcMar>
            <w:vAlign w:val="center"/>
          </w:tcPr>
          <w:p w14:paraId="566397C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433C3C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0161A9D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392F6E38">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28B597D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4268AEE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0C9191A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一般</w:t>
            </w:r>
          </w:p>
        </w:tc>
        <w:tc>
          <w:tcPr>
            <w:tcW w:w="561" w:type="pct"/>
            <w:noWrap w:val="0"/>
            <w:tcMar>
              <w:top w:w="0" w:type="dxa"/>
              <w:left w:w="0" w:type="dxa"/>
              <w:bottom w:w="0" w:type="dxa"/>
              <w:right w:w="0" w:type="dxa"/>
            </w:tcMar>
            <w:vAlign w:val="center"/>
          </w:tcPr>
          <w:p w14:paraId="5CC04ACF">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sz w:val="18"/>
                <w:szCs w:val="18"/>
                <w:vertAlign w:val="baseline"/>
              </w:rPr>
              <w:t>未按照2条及以上工程建设强制性标准进行设计的</w:t>
            </w:r>
          </w:p>
        </w:tc>
        <w:tc>
          <w:tcPr>
            <w:tcW w:w="873" w:type="pct"/>
            <w:noWrap w:val="0"/>
            <w:tcMar>
              <w:top w:w="0" w:type="dxa"/>
              <w:left w:w="0" w:type="dxa"/>
              <w:bottom w:w="0" w:type="dxa"/>
              <w:right w:w="0" w:type="dxa"/>
            </w:tcMar>
            <w:vAlign w:val="center"/>
          </w:tcPr>
          <w:p w14:paraId="27C79653">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处20万元以上30万元以下的罚款；对单位直接负责的主管人员和其他直接责任人员处单位罚款数额7.5%以上10%以下的罚款</w:t>
            </w:r>
          </w:p>
        </w:tc>
        <w:tc>
          <w:tcPr>
            <w:tcW w:w="158" w:type="pct"/>
            <w:vMerge w:val="continue"/>
            <w:noWrap w:val="0"/>
            <w:tcMar>
              <w:top w:w="0" w:type="dxa"/>
              <w:left w:w="0" w:type="dxa"/>
              <w:bottom w:w="0" w:type="dxa"/>
              <w:right w:w="0" w:type="dxa"/>
            </w:tcMar>
            <w:vAlign w:val="center"/>
          </w:tcPr>
          <w:p w14:paraId="62161948">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623031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2668FA71">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56BE72C3">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2DD4C70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5D61A82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vMerge w:val="restart"/>
            <w:noWrap w:val="0"/>
            <w:tcMar>
              <w:top w:w="0" w:type="dxa"/>
              <w:left w:w="0" w:type="dxa"/>
              <w:bottom w:w="0" w:type="dxa"/>
              <w:right w:w="0" w:type="dxa"/>
            </w:tcMar>
            <w:vAlign w:val="center"/>
          </w:tcPr>
          <w:p w14:paraId="40658E30">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较重</w:t>
            </w:r>
          </w:p>
        </w:tc>
        <w:tc>
          <w:tcPr>
            <w:tcW w:w="561" w:type="pct"/>
            <w:noWrap w:val="0"/>
            <w:tcMar>
              <w:top w:w="0" w:type="dxa"/>
              <w:left w:w="0" w:type="dxa"/>
              <w:bottom w:w="0" w:type="dxa"/>
              <w:right w:w="0" w:type="dxa"/>
            </w:tcMar>
            <w:vAlign w:val="center"/>
          </w:tcPr>
          <w:p w14:paraId="53F3DA30">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sz w:val="18"/>
                <w:szCs w:val="18"/>
                <w:vertAlign w:val="baseline"/>
              </w:rPr>
              <w:t>造成多于3人少于5人死亡，或者多于10人少于20 人重伤，或者多于1000万元少于2000万元直接经济损失的</w:t>
            </w:r>
          </w:p>
        </w:tc>
        <w:tc>
          <w:tcPr>
            <w:tcW w:w="873" w:type="pct"/>
            <w:noWrap w:val="0"/>
            <w:tcMar>
              <w:top w:w="0" w:type="dxa"/>
              <w:left w:w="0" w:type="dxa"/>
              <w:bottom w:w="0" w:type="dxa"/>
              <w:right w:w="0" w:type="dxa"/>
            </w:tcMar>
            <w:vAlign w:val="center"/>
          </w:tcPr>
          <w:p w14:paraId="00A62BB5">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处30万元的罚款；责令停业整顿60-90日；对单位直接负责的主管人员和其他直接责任人员处单位罚款数额10%的罚款</w:t>
            </w:r>
          </w:p>
        </w:tc>
        <w:tc>
          <w:tcPr>
            <w:tcW w:w="158" w:type="pct"/>
            <w:vMerge w:val="continue"/>
            <w:noWrap w:val="0"/>
            <w:tcMar>
              <w:top w:w="0" w:type="dxa"/>
              <w:left w:w="0" w:type="dxa"/>
              <w:bottom w:w="0" w:type="dxa"/>
              <w:right w:w="0" w:type="dxa"/>
            </w:tcMar>
            <w:vAlign w:val="center"/>
          </w:tcPr>
          <w:p w14:paraId="2B6A5D00">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0BD726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1D577815">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7B4FBFEB">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09049BD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6FBD11E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vMerge w:val="continue"/>
            <w:noWrap w:val="0"/>
            <w:tcMar>
              <w:top w:w="0" w:type="dxa"/>
              <w:left w:w="0" w:type="dxa"/>
              <w:bottom w:w="0" w:type="dxa"/>
              <w:right w:w="0" w:type="dxa"/>
            </w:tcMar>
            <w:vAlign w:val="center"/>
          </w:tcPr>
          <w:p w14:paraId="024F134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p>
        </w:tc>
        <w:tc>
          <w:tcPr>
            <w:tcW w:w="561" w:type="pct"/>
            <w:noWrap w:val="0"/>
            <w:tcMar>
              <w:top w:w="0" w:type="dxa"/>
              <w:left w:w="0" w:type="dxa"/>
              <w:bottom w:w="0" w:type="dxa"/>
              <w:right w:w="0" w:type="dxa"/>
            </w:tcMar>
            <w:vAlign w:val="center"/>
          </w:tcPr>
          <w:p w14:paraId="1F015A85">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sz w:val="18"/>
                <w:szCs w:val="18"/>
                <w:vertAlign w:val="baseline"/>
              </w:rPr>
              <w:t>造成多于5人少于7人死亡，或者多于20人少于30人重伤，或者多于2000万元少于3000万元直接经济损失的</w:t>
            </w:r>
          </w:p>
        </w:tc>
        <w:tc>
          <w:tcPr>
            <w:tcW w:w="873" w:type="pct"/>
            <w:noWrap w:val="0"/>
            <w:tcMar>
              <w:top w:w="0" w:type="dxa"/>
              <w:left w:w="0" w:type="dxa"/>
              <w:bottom w:w="0" w:type="dxa"/>
              <w:right w:w="0" w:type="dxa"/>
            </w:tcMar>
            <w:vAlign w:val="center"/>
          </w:tcPr>
          <w:p w14:paraId="578B7F6B">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处30万元的罚款；责令停业整顿90-120日；对单位直接负责的主管人员和其他直接责任人员处单位罚款数额10%的罚款</w:t>
            </w:r>
          </w:p>
        </w:tc>
        <w:tc>
          <w:tcPr>
            <w:tcW w:w="158" w:type="pct"/>
            <w:vMerge w:val="continue"/>
            <w:noWrap w:val="0"/>
            <w:tcMar>
              <w:top w:w="0" w:type="dxa"/>
              <w:left w:w="0" w:type="dxa"/>
              <w:bottom w:w="0" w:type="dxa"/>
              <w:right w:w="0" w:type="dxa"/>
            </w:tcMar>
            <w:vAlign w:val="center"/>
          </w:tcPr>
          <w:p w14:paraId="671BAA7C">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3DF250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783" w:hRule="atLeast"/>
          <w:jc w:val="center"/>
        </w:trPr>
        <w:tc>
          <w:tcPr>
            <w:tcW w:w="156" w:type="pct"/>
            <w:vMerge w:val="restart"/>
            <w:noWrap w:val="0"/>
            <w:tcMar>
              <w:top w:w="0" w:type="dxa"/>
              <w:left w:w="0" w:type="dxa"/>
              <w:bottom w:w="0" w:type="dxa"/>
              <w:right w:w="0" w:type="dxa"/>
            </w:tcMar>
            <w:vAlign w:val="center"/>
          </w:tcPr>
          <w:p w14:paraId="701E942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default" w:ascii="宋体" w:hAnsi="宋体" w:eastAsia="宋体" w:cs="宋体"/>
                <w:color w:val="000000"/>
                <w:sz w:val="18"/>
                <w:szCs w:val="18"/>
                <w:shd w:val="clear" w:color="auto" w:fill="auto"/>
                <w:vertAlign w:val="baseline"/>
                <w:lang w:val="en-US" w:eastAsia="zh-CN"/>
              </w:rPr>
            </w:pPr>
            <w:r>
              <w:rPr>
                <w:rFonts w:hint="eastAsia" w:ascii="宋体" w:hAnsi="宋体" w:eastAsia="宋体" w:cs="宋体"/>
                <w:color w:val="000000"/>
                <w:sz w:val="18"/>
                <w:szCs w:val="18"/>
                <w:shd w:val="clear" w:color="auto" w:fill="auto"/>
                <w:vertAlign w:val="baseline"/>
                <w:lang w:val="en-US" w:eastAsia="zh-CN"/>
              </w:rPr>
              <w:t>73</w:t>
            </w:r>
          </w:p>
        </w:tc>
        <w:tc>
          <w:tcPr>
            <w:tcW w:w="415" w:type="pct"/>
            <w:vMerge w:val="restart"/>
            <w:noWrap w:val="0"/>
            <w:tcMar>
              <w:top w:w="0" w:type="dxa"/>
              <w:left w:w="0" w:type="dxa"/>
              <w:bottom w:w="0" w:type="dxa"/>
              <w:right w:w="0" w:type="dxa"/>
            </w:tcMar>
            <w:vAlign w:val="center"/>
          </w:tcPr>
          <w:p w14:paraId="5D8A18C7">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auto"/>
                <w:sz w:val="18"/>
                <w:szCs w:val="18"/>
                <w:vertAlign w:val="baseline"/>
                <w:lang w:val="en-US" w:eastAsia="zh-CN"/>
              </w:rPr>
              <w:t>对水利领域建筑设计单位不按照建筑工程质量、安全标准进行设计等行为的行政处罚</w:t>
            </w:r>
          </w:p>
        </w:tc>
        <w:tc>
          <w:tcPr>
            <w:tcW w:w="2168" w:type="pct"/>
            <w:vMerge w:val="continue"/>
            <w:noWrap w:val="0"/>
            <w:tcMar>
              <w:top w:w="0" w:type="dxa"/>
              <w:left w:w="0" w:type="dxa"/>
              <w:bottom w:w="0" w:type="dxa"/>
              <w:right w:w="0" w:type="dxa"/>
            </w:tcMar>
            <w:vAlign w:val="center"/>
          </w:tcPr>
          <w:p w14:paraId="28E3FEB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43B3B10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465D0AC5">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r>
              <w:rPr>
                <w:rFonts w:hint="eastAsia" w:ascii="宋体" w:hAnsi="宋体" w:eastAsia="宋体" w:cs="宋体"/>
                <w:sz w:val="18"/>
                <w:szCs w:val="18"/>
                <w:vertAlign w:val="baseline"/>
                <w:lang w:val="en-US" w:eastAsia="zh-CN"/>
              </w:rPr>
              <w:t>较重</w:t>
            </w:r>
          </w:p>
        </w:tc>
        <w:tc>
          <w:tcPr>
            <w:tcW w:w="561" w:type="pct"/>
            <w:noWrap w:val="0"/>
            <w:tcMar>
              <w:top w:w="0" w:type="dxa"/>
              <w:left w:w="0" w:type="dxa"/>
              <w:bottom w:w="0" w:type="dxa"/>
              <w:right w:w="0" w:type="dxa"/>
            </w:tcMar>
            <w:vAlign w:val="center"/>
          </w:tcPr>
          <w:p w14:paraId="5D702046">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sz w:val="18"/>
                <w:szCs w:val="18"/>
                <w:vertAlign w:val="baseline"/>
              </w:rPr>
              <w:t>造成多于7人少于10人死亡，或者多于30人少于50人重伤，或者多于3000万元少于5000万元直接经济损失的</w:t>
            </w:r>
          </w:p>
        </w:tc>
        <w:tc>
          <w:tcPr>
            <w:tcW w:w="873" w:type="pct"/>
            <w:noWrap w:val="0"/>
            <w:tcMar>
              <w:top w:w="0" w:type="dxa"/>
              <w:left w:w="0" w:type="dxa"/>
              <w:bottom w:w="0" w:type="dxa"/>
              <w:right w:w="0" w:type="dxa"/>
            </w:tcMar>
            <w:vAlign w:val="center"/>
          </w:tcPr>
          <w:p w14:paraId="44C95096">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处30万元的罚款；责令停业整顿120-180日；对单位直接负责的主管人员和其他直接责任人员处单位罚款数额10%的罚款</w:t>
            </w:r>
          </w:p>
        </w:tc>
        <w:tc>
          <w:tcPr>
            <w:tcW w:w="158" w:type="pct"/>
            <w:vMerge w:val="continue"/>
            <w:noWrap w:val="0"/>
            <w:tcMar>
              <w:top w:w="0" w:type="dxa"/>
              <w:left w:w="0" w:type="dxa"/>
              <w:bottom w:w="0" w:type="dxa"/>
              <w:right w:w="0" w:type="dxa"/>
            </w:tcMar>
            <w:vAlign w:val="center"/>
          </w:tcPr>
          <w:p w14:paraId="34663A20">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312F4F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851" w:hRule="atLeast"/>
          <w:jc w:val="center"/>
        </w:trPr>
        <w:tc>
          <w:tcPr>
            <w:tcW w:w="156" w:type="pct"/>
            <w:vMerge w:val="continue"/>
            <w:noWrap w:val="0"/>
            <w:tcMar>
              <w:top w:w="0" w:type="dxa"/>
              <w:left w:w="0" w:type="dxa"/>
              <w:bottom w:w="0" w:type="dxa"/>
              <w:right w:w="0" w:type="dxa"/>
            </w:tcMar>
            <w:vAlign w:val="center"/>
          </w:tcPr>
          <w:p w14:paraId="7286764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227E5D73">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1A27A6D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2B6C46C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vMerge w:val="restart"/>
            <w:noWrap w:val="0"/>
            <w:tcMar>
              <w:top w:w="0" w:type="dxa"/>
              <w:left w:w="0" w:type="dxa"/>
              <w:bottom w:w="0" w:type="dxa"/>
              <w:right w:w="0" w:type="dxa"/>
            </w:tcMar>
            <w:vAlign w:val="center"/>
          </w:tcPr>
          <w:p w14:paraId="43DBC3BB">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严重</w:t>
            </w:r>
          </w:p>
        </w:tc>
        <w:tc>
          <w:tcPr>
            <w:tcW w:w="561" w:type="pct"/>
            <w:noWrap w:val="0"/>
            <w:tcMar>
              <w:top w:w="0" w:type="dxa"/>
              <w:left w:w="0" w:type="dxa"/>
              <w:bottom w:w="0" w:type="dxa"/>
              <w:right w:w="0" w:type="dxa"/>
            </w:tcMar>
            <w:vAlign w:val="center"/>
          </w:tcPr>
          <w:p w14:paraId="08BEBE9E">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sz w:val="18"/>
                <w:szCs w:val="18"/>
                <w:vertAlign w:val="baseline"/>
              </w:rPr>
              <w:t>造成重大质量安全事故；或造成分部工程存在严重缺陷，经返修和加固处理仍不能满足安全使用要求</w:t>
            </w:r>
          </w:p>
        </w:tc>
        <w:tc>
          <w:tcPr>
            <w:tcW w:w="873" w:type="pct"/>
            <w:noWrap w:val="0"/>
            <w:tcMar>
              <w:top w:w="0" w:type="dxa"/>
              <w:left w:w="0" w:type="dxa"/>
              <w:bottom w:w="0" w:type="dxa"/>
              <w:right w:w="0" w:type="dxa"/>
            </w:tcMar>
            <w:vAlign w:val="center"/>
          </w:tcPr>
          <w:p w14:paraId="40CAF6C5">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处30万元的罚款；降低资质等级；对单位直接负责的主管人员和其他直接责任人员处单位罚款数额10%的罚款</w:t>
            </w:r>
          </w:p>
        </w:tc>
        <w:tc>
          <w:tcPr>
            <w:tcW w:w="158" w:type="pct"/>
            <w:vMerge w:val="continue"/>
            <w:noWrap w:val="0"/>
            <w:tcMar>
              <w:top w:w="0" w:type="dxa"/>
              <w:left w:w="0" w:type="dxa"/>
              <w:bottom w:w="0" w:type="dxa"/>
              <w:right w:w="0" w:type="dxa"/>
            </w:tcMar>
            <w:vAlign w:val="center"/>
          </w:tcPr>
          <w:p w14:paraId="20898188">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6D5928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829" w:hRule="atLeast"/>
          <w:jc w:val="center"/>
        </w:trPr>
        <w:tc>
          <w:tcPr>
            <w:tcW w:w="156" w:type="pct"/>
            <w:vMerge w:val="continue"/>
            <w:noWrap w:val="0"/>
            <w:tcMar>
              <w:top w:w="0" w:type="dxa"/>
              <w:left w:w="0" w:type="dxa"/>
              <w:bottom w:w="0" w:type="dxa"/>
              <w:right w:w="0" w:type="dxa"/>
            </w:tcMar>
            <w:vAlign w:val="center"/>
          </w:tcPr>
          <w:p w14:paraId="0263E6EB">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60190E50">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501082C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3A7D8AA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vMerge w:val="continue"/>
            <w:noWrap w:val="0"/>
            <w:tcMar>
              <w:top w:w="0" w:type="dxa"/>
              <w:left w:w="0" w:type="dxa"/>
              <w:bottom w:w="0" w:type="dxa"/>
              <w:right w:w="0" w:type="dxa"/>
            </w:tcMar>
            <w:vAlign w:val="center"/>
          </w:tcPr>
          <w:p w14:paraId="6CD01FAA">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p>
        </w:tc>
        <w:tc>
          <w:tcPr>
            <w:tcW w:w="561" w:type="pct"/>
            <w:noWrap w:val="0"/>
            <w:tcMar>
              <w:top w:w="0" w:type="dxa"/>
              <w:left w:w="0" w:type="dxa"/>
              <w:bottom w:w="0" w:type="dxa"/>
              <w:right w:w="0" w:type="dxa"/>
            </w:tcMar>
            <w:vAlign w:val="center"/>
          </w:tcPr>
          <w:p w14:paraId="6459C3D5">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sz w:val="18"/>
                <w:szCs w:val="18"/>
                <w:vertAlign w:val="baseline"/>
              </w:rPr>
              <w:t>造成特别重大质量安全事故；或造成单位（子单位）工程存在严重缺陷，经返修和加固处理仍不能满足安全使用要求</w:t>
            </w:r>
          </w:p>
        </w:tc>
        <w:tc>
          <w:tcPr>
            <w:tcW w:w="873" w:type="pct"/>
            <w:noWrap w:val="0"/>
            <w:tcMar>
              <w:top w:w="0" w:type="dxa"/>
              <w:left w:w="0" w:type="dxa"/>
              <w:bottom w:w="0" w:type="dxa"/>
              <w:right w:w="0" w:type="dxa"/>
            </w:tcMar>
            <w:vAlign w:val="center"/>
          </w:tcPr>
          <w:p w14:paraId="4485BE41">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处30万元的罚款；吊销资质证书；对单位直接负责的主管人员和其他直接责任人员处单位罚款数额10%的罚款</w:t>
            </w:r>
          </w:p>
        </w:tc>
        <w:tc>
          <w:tcPr>
            <w:tcW w:w="158" w:type="pct"/>
            <w:vMerge w:val="continue"/>
            <w:noWrap w:val="0"/>
            <w:tcMar>
              <w:top w:w="0" w:type="dxa"/>
              <w:left w:w="0" w:type="dxa"/>
              <w:bottom w:w="0" w:type="dxa"/>
              <w:right w:w="0" w:type="dxa"/>
            </w:tcMar>
            <w:vAlign w:val="center"/>
          </w:tcPr>
          <w:p w14:paraId="3930E2FB">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2466D3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restart"/>
            <w:noWrap w:val="0"/>
            <w:tcMar>
              <w:top w:w="0" w:type="dxa"/>
              <w:left w:w="0" w:type="dxa"/>
              <w:bottom w:w="0" w:type="dxa"/>
              <w:right w:w="0" w:type="dxa"/>
            </w:tcMar>
            <w:vAlign w:val="center"/>
          </w:tcPr>
          <w:p w14:paraId="7545AC5C">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default" w:ascii="宋体" w:hAnsi="宋体" w:eastAsia="宋体" w:cs="宋体"/>
                <w:color w:val="000000"/>
                <w:sz w:val="18"/>
                <w:szCs w:val="18"/>
                <w:shd w:val="clear" w:color="auto" w:fill="auto"/>
                <w:vertAlign w:val="baseline"/>
                <w:lang w:val="en-US" w:eastAsia="zh-CN"/>
              </w:rPr>
            </w:pPr>
            <w:r>
              <w:rPr>
                <w:rFonts w:hint="eastAsia" w:ascii="宋体" w:hAnsi="宋体" w:eastAsia="宋体" w:cs="宋体"/>
                <w:color w:val="000000"/>
                <w:sz w:val="18"/>
                <w:szCs w:val="18"/>
                <w:shd w:val="clear" w:color="auto" w:fill="auto"/>
                <w:vertAlign w:val="baseline"/>
                <w:lang w:val="en-US" w:eastAsia="zh-CN"/>
              </w:rPr>
              <w:t>74</w:t>
            </w:r>
          </w:p>
        </w:tc>
        <w:tc>
          <w:tcPr>
            <w:tcW w:w="415" w:type="pct"/>
            <w:vMerge w:val="restart"/>
            <w:noWrap w:val="0"/>
            <w:tcMar>
              <w:top w:w="0" w:type="dxa"/>
              <w:left w:w="0" w:type="dxa"/>
              <w:bottom w:w="0" w:type="dxa"/>
              <w:right w:w="0" w:type="dxa"/>
            </w:tcMar>
            <w:vAlign w:val="center"/>
          </w:tcPr>
          <w:p w14:paraId="45FE614B">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对水利领域勘察单位未按照工程建设强制性标准进行勘察、设计单位未根据勘察成果文件进行工程设计等行为的行政处罚</w:t>
            </w:r>
          </w:p>
        </w:tc>
        <w:tc>
          <w:tcPr>
            <w:tcW w:w="2168" w:type="pct"/>
            <w:vMerge w:val="restart"/>
            <w:noWrap w:val="0"/>
            <w:tcMar>
              <w:top w:w="0" w:type="dxa"/>
              <w:left w:w="0" w:type="dxa"/>
              <w:bottom w:w="0" w:type="dxa"/>
              <w:right w:w="0" w:type="dxa"/>
            </w:tcMar>
            <w:vAlign w:val="center"/>
          </w:tcPr>
          <w:p w14:paraId="1E10E6A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《建设工程质量管理条例》第六十三条 违反本条例规定，有下列行为之一的，责令改正，处10万元以上30万元以下的罚款：</w:t>
            </w:r>
          </w:p>
          <w:p w14:paraId="19C9113C">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（一）勘察单位未按照工程建设强制性标准进行勘察的；</w:t>
            </w:r>
          </w:p>
          <w:p w14:paraId="39FEAAD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（二）设计单位未根据勘察成果文件进行工程设计的；</w:t>
            </w:r>
          </w:p>
          <w:p w14:paraId="603D1D8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（三）设计单位指定建筑材料、建筑构配件的生产厂、供应商的；</w:t>
            </w:r>
          </w:p>
          <w:p w14:paraId="5F6D167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（四）设计单位未按照工程建设强制性标准进行设计的。</w:t>
            </w:r>
          </w:p>
          <w:p w14:paraId="447F623C">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有前款所列行为，造成工程质量事故的，责令停业整顿，降低资质等级；情节严重的，吊销资质证书；造成损失的，依法承担赔偿责任。</w:t>
            </w:r>
          </w:p>
          <w:p w14:paraId="05F8121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 xml:space="preserve"> 第七十三条 依照本条例规定，给予单位罚款处罚的，对单位直接负责的主管人员和其他直接责任人员处单位罚款数额5%以上10%以下的罚款。</w:t>
            </w:r>
          </w:p>
          <w:p w14:paraId="28B6B11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《建设工程安全生产管理条例》第五十六条 违反本条例的规定，勘察单位、设计单位有下列行为之一的，责令限期改正，处10万元以上30万元以下的罚款；情节严重的，责令停业整顿，降低资质等级，直至吊销资质证书；造成重大安全事故，构成犯罪的，对直接责任人员，依照刑法有关规定追究刑事责任；造成损失的，依法承担赔偿责任：</w:t>
            </w:r>
          </w:p>
          <w:p w14:paraId="2ECD43B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（一）未按照法律、法规和工程建设强制性标准进行勘察、设计的；</w:t>
            </w:r>
          </w:p>
          <w:p w14:paraId="68702CFC">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（二）采用新结构、新材料、新工艺的建设工程和特殊结构的建设工程，设计单位未在设计中提出保障施工作业人员安全和预防生产安全事故的措施建议的。</w:t>
            </w:r>
          </w:p>
          <w:p w14:paraId="396DB83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《水利工程质量管理规定》第六十六条 违反本规定，勘察、设计单位有下列行为之一的，依照《建设工程质量管理条例》第六十三条规定，由水行政主管部门或者流域管理机构依据职权责令改正，处10万元以上30万元以下的罚款；造成损失的，依法承担赔偿责任：</w:t>
            </w:r>
          </w:p>
          <w:p w14:paraId="00D07D5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（一）勘察单位未按照工程建设强制性标准进行勘察的；</w:t>
            </w:r>
          </w:p>
          <w:p w14:paraId="3283240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（二）设计单位未根据勘察成果文件进行工程设计的；</w:t>
            </w:r>
          </w:p>
          <w:p w14:paraId="6843A97C">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（三）设计单位指定原材料、中间产品和设备的生产厂、供应商的；</w:t>
            </w:r>
          </w:p>
          <w:p w14:paraId="2D0DEA0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（四）设计单位未按照工程建设强制性标准进行设计的。</w:t>
            </w:r>
          </w:p>
          <w:p w14:paraId="6C61610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第七十三条第二款 依照《建设工程质量管理条例》给予单位罚款处罚的，对单位直接负责的主管人员和其他直接责任人员处单位罚款数额5%以上10%以下的罚款。</w:t>
            </w:r>
          </w:p>
          <w:p w14:paraId="1C080DD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《实施工程建设强制性标准监督规定》第十七条 勘察、设计单位违反工程建设强制性标准进行勘察、设计的，责令改正，并处以10万元以上30万元以下的罚款。</w:t>
            </w:r>
          </w:p>
        </w:tc>
        <w:tc>
          <w:tcPr>
            <w:tcW w:w="491" w:type="pct"/>
            <w:vMerge w:val="restart"/>
            <w:noWrap w:val="0"/>
            <w:tcMar>
              <w:top w:w="0" w:type="dxa"/>
              <w:left w:w="0" w:type="dxa"/>
              <w:bottom w:w="0" w:type="dxa"/>
              <w:right w:w="0" w:type="dxa"/>
            </w:tcMar>
            <w:vAlign w:val="center"/>
          </w:tcPr>
          <w:p w14:paraId="3AFA71F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勘察单位未按照工程建设强制性标准进行勘察的</w:t>
            </w:r>
          </w:p>
        </w:tc>
        <w:tc>
          <w:tcPr>
            <w:tcW w:w="174" w:type="pct"/>
            <w:noWrap w:val="0"/>
            <w:tcMar>
              <w:top w:w="0" w:type="dxa"/>
              <w:left w:w="0" w:type="dxa"/>
              <w:bottom w:w="0" w:type="dxa"/>
              <w:right w:w="0" w:type="dxa"/>
            </w:tcMar>
            <w:vAlign w:val="center"/>
          </w:tcPr>
          <w:p w14:paraId="2CB138A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轻微</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6265D8BC">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7F45665F">
            <w:pPr>
              <w:spacing w:line="260" w:lineRule="exact"/>
              <w:rPr>
                <w:rFonts w:hint="eastAsia" w:ascii="宋体" w:hAnsi="宋体" w:eastAsia="宋体" w:cs="宋体"/>
                <w:color w:val="000000"/>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41D6F4B2">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7F2CA73F">
            <w:pPr>
              <w:spacing w:line="260" w:lineRule="exact"/>
              <w:rPr>
                <w:rFonts w:hint="eastAsia" w:ascii="宋体" w:hAnsi="宋体" w:eastAsia="宋体" w:cs="宋体"/>
                <w:color w:val="000000"/>
                <w:kern w:val="2"/>
                <w:sz w:val="18"/>
                <w:szCs w:val="18"/>
                <w:vertAlign w:val="baseline"/>
                <w:lang w:val="en-US" w:eastAsia="zh-CN" w:bidi="ar-SA"/>
              </w:rPr>
            </w:pPr>
          </w:p>
        </w:tc>
        <w:tc>
          <w:tcPr>
            <w:tcW w:w="158" w:type="pct"/>
            <w:vMerge w:val="restart"/>
            <w:noWrap w:val="0"/>
            <w:tcMar>
              <w:top w:w="0" w:type="dxa"/>
              <w:left w:w="0" w:type="dxa"/>
              <w:bottom w:w="0" w:type="dxa"/>
              <w:right w:w="0" w:type="dxa"/>
            </w:tcMar>
            <w:vAlign w:val="center"/>
          </w:tcPr>
          <w:p w14:paraId="5A6F7439">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6C4515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190" w:hRule="atLeast"/>
          <w:jc w:val="center"/>
        </w:trPr>
        <w:tc>
          <w:tcPr>
            <w:tcW w:w="156" w:type="pct"/>
            <w:vMerge w:val="continue"/>
            <w:noWrap w:val="0"/>
            <w:tcMar>
              <w:top w:w="0" w:type="dxa"/>
              <w:left w:w="0" w:type="dxa"/>
              <w:bottom w:w="0" w:type="dxa"/>
              <w:right w:w="0" w:type="dxa"/>
            </w:tcMar>
            <w:vAlign w:val="center"/>
          </w:tcPr>
          <w:p w14:paraId="1F5FBE5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6DD3E0C0">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4568952C">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7B7A31B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0161D00C">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较轻</w:t>
            </w:r>
          </w:p>
        </w:tc>
        <w:tc>
          <w:tcPr>
            <w:tcW w:w="561" w:type="pct"/>
            <w:noWrap w:val="0"/>
            <w:tcMar>
              <w:top w:w="0" w:type="dxa"/>
              <w:left w:w="0" w:type="dxa"/>
              <w:bottom w:w="0" w:type="dxa"/>
              <w:right w:w="0" w:type="dxa"/>
            </w:tcMar>
            <w:vAlign w:val="center"/>
          </w:tcPr>
          <w:p w14:paraId="78C9C046">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未按照1条强制性标准进行勘察的</w:t>
            </w:r>
          </w:p>
        </w:tc>
        <w:tc>
          <w:tcPr>
            <w:tcW w:w="873" w:type="pct"/>
            <w:noWrap w:val="0"/>
            <w:tcMar>
              <w:top w:w="0" w:type="dxa"/>
              <w:left w:w="0" w:type="dxa"/>
              <w:bottom w:w="0" w:type="dxa"/>
              <w:right w:w="0" w:type="dxa"/>
            </w:tcMar>
            <w:vAlign w:val="center"/>
          </w:tcPr>
          <w:p w14:paraId="7371F814">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处10万元以上20万元以下的罚款；对单位直接负责的主管人员和其他直接责任人员处单位罚款数额5%以上7.5%以下的罚款</w:t>
            </w:r>
          </w:p>
        </w:tc>
        <w:tc>
          <w:tcPr>
            <w:tcW w:w="158" w:type="pct"/>
            <w:vMerge w:val="continue"/>
            <w:noWrap w:val="0"/>
            <w:tcMar>
              <w:top w:w="0" w:type="dxa"/>
              <w:left w:w="0" w:type="dxa"/>
              <w:bottom w:w="0" w:type="dxa"/>
              <w:right w:w="0" w:type="dxa"/>
            </w:tcMar>
            <w:vAlign w:val="center"/>
          </w:tcPr>
          <w:p w14:paraId="06143D8B">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27B80E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280" w:hRule="atLeast"/>
          <w:jc w:val="center"/>
        </w:trPr>
        <w:tc>
          <w:tcPr>
            <w:tcW w:w="156" w:type="pct"/>
            <w:vMerge w:val="continue"/>
            <w:noWrap w:val="0"/>
            <w:tcMar>
              <w:top w:w="0" w:type="dxa"/>
              <w:left w:w="0" w:type="dxa"/>
              <w:bottom w:w="0" w:type="dxa"/>
              <w:right w:w="0" w:type="dxa"/>
            </w:tcMar>
            <w:vAlign w:val="center"/>
          </w:tcPr>
          <w:p w14:paraId="5A029FB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088745D7">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494CCDB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26435ACC">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508E108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一般</w:t>
            </w:r>
          </w:p>
        </w:tc>
        <w:tc>
          <w:tcPr>
            <w:tcW w:w="561" w:type="pct"/>
            <w:noWrap w:val="0"/>
            <w:tcMar>
              <w:top w:w="0" w:type="dxa"/>
              <w:left w:w="0" w:type="dxa"/>
              <w:bottom w:w="0" w:type="dxa"/>
              <w:right w:w="0" w:type="dxa"/>
            </w:tcMar>
            <w:vAlign w:val="center"/>
          </w:tcPr>
          <w:p w14:paraId="6D4CE926">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未按照2条及以上强制性标准进行勘察的</w:t>
            </w:r>
          </w:p>
        </w:tc>
        <w:tc>
          <w:tcPr>
            <w:tcW w:w="873" w:type="pct"/>
            <w:noWrap w:val="0"/>
            <w:tcMar>
              <w:top w:w="0" w:type="dxa"/>
              <w:left w:w="0" w:type="dxa"/>
              <w:bottom w:w="0" w:type="dxa"/>
              <w:right w:w="0" w:type="dxa"/>
            </w:tcMar>
            <w:vAlign w:val="center"/>
          </w:tcPr>
          <w:p w14:paraId="622C68CE">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处20万元以上30万元以下的罚款；对单位直接负责的主管人员和其他直接责任人员处单位罚款数额7.5%以上10%以下的罚款</w:t>
            </w:r>
          </w:p>
        </w:tc>
        <w:tc>
          <w:tcPr>
            <w:tcW w:w="158" w:type="pct"/>
            <w:vMerge w:val="continue"/>
            <w:noWrap w:val="0"/>
            <w:tcMar>
              <w:top w:w="0" w:type="dxa"/>
              <w:left w:w="0" w:type="dxa"/>
              <w:bottom w:w="0" w:type="dxa"/>
              <w:right w:w="0" w:type="dxa"/>
            </w:tcMar>
            <w:vAlign w:val="center"/>
          </w:tcPr>
          <w:p w14:paraId="4EB31E0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0FE0D9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890" w:hRule="atLeast"/>
          <w:jc w:val="center"/>
        </w:trPr>
        <w:tc>
          <w:tcPr>
            <w:tcW w:w="156" w:type="pct"/>
            <w:vMerge w:val="continue"/>
            <w:noWrap w:val="0"/>
            <w:tcMar>
              <w:top w:w="0" w:type="dxa"/>
              <w:left w:w="0" w:type="dxa"/>
              <w:bottom w:w="0" w:type="dxa"/>
              <w:right w:w="0" w:type="dxa"/>
            </w:tcMar>
            <w:vAlign w:val="center"/>
          </w:tcPr>
          <w:p w14:paraId="71B6189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490CE493">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63D33CB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261D24E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vMerge w:val="restart"/>
            <w:noWrap w:val="0"/>
            <w:tcMar>
              <w:top w:w="0" w:type="dxa"/>
              <w:left w:w="0" w:type="dxa"/>
              <w:bottom w:w="0" w:type="dxa"/>
              <w:right w:w="0" w:type="dxa"/>
            </w:tcMar>
            <w:vAlign w:val="center"/>
          </w:tcPr>
          <w:p w14:paraId="2500CFD0">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较重</w:t>
            </w:r>
          </w:p>
        </w:tc>
        <w:tc>
          <w:tcPr>
            <w:tcW w:w="561" w:type="pct"/>
            <w:noWrap w:val="0"/>
            <w:tcMar>
              <w:top w:w="0" w:type="dxa"/>
              <w:left w:w="0" w:type="dxa"/>
              <w:bottom w:w="0" w:type="dxa"/>
              <w:right w:w="0" w:type="dxa"/>
            </w:tcMar>
            <w:vAlign w:val="center"/>
          </w:tcPr>
          <w:p w14:paraId="7EB39127">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造成多于3人少于5人死亡，或者多于10人少于20人重伤，或者多于1000万元少于2000万元直接经济损失</w:t>
            </w:r>
          </w:p>
        </w:tc>
        <w:tc>
          <w:tcPr>
            <w:tcW w:w="873" w:type="pct"/>
            <w:noWrap w:val="0"/>
            <w:tcMar>
              <w:top w:w="0" w:type="dxa"/>
              <w:left w:w="0" w:type="dxa"/>
              <w:bottom w:w="0" w:type="dxa"/>
              <w:right w:w="0" w:type="dxa"/>
            </w:tcMar>
            <w:vAlign w:val="center"/>
          </w:tcPr>
          <w:p w14:paraId="1F2F4813">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处30万元的罚款；责令停业整顿60-90日；对单位直接负责的主管人员和其他直接责任人员处单位罚款数额10%的罚款</w:t>
            </w:r>
          </w:p>
        </w:tc>
        <w:tc>
          <w:tcPr>
            <w:tcW w:w="158" w:type="pct"/>
            <w:vMerge w:val="continue"/>
            <w:noWrap w:val="0"/>
            <w:tcMar>
              <w:top w:w="0" w:type="dxa"/>
              <w:left w:w="0" w:type="dxa"/>
              <w:bottom w:w="0" w:type="dxa"/>
              <w:right w:w="0" w:type="dxa"/>
            </w:tcMar>
            <w:vAlign w:val="center"/>
          </w:tcPr>
          <w:p w14:paraId="145C57F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799096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3FD8E735">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506E8881">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4AEADA5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452CD95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vMerge w:val="continue"/>
            <w:noWrap w:val="0"/>
            <w:tcMar>
              <w:top w:w="0" w:type="dxa"/>
              <w:left w:w="0" w:type="dxa"/>
              <w:bottom w:w="0" w:type="dxa"/>
              <w:right w:w="0" w:type="dxa"/>
            </w:tcMar>
            <w:vAlign w:val="center"/>
          </w:tcPr>
          <w:p w14:paraId="0DFD1C0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p>
        </w:tc>
        <w:tc>
          <w:tcPr>
            <w:tcW w:w="561" w:type="pct"/>
            <w:noWrap w:val="0"/>
            <w:tcMar>
              <w:top w:w="0" w:type="dxa"/>
              <w:left w:w="0" w:type="dxa"/>
              <w:bottom w:w="0" w:type="dxa"/>
              <w:right w:w="0" w:type="dxa"/>
            </w:tcMar>
            <w:vAlign w:val="center"/>
          </w:tcPr>
          <w:p w14:paraId="3E85542C">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造成多于5人少于7人死亡，或者多于20人少于30人重伤，或者多于2000万元少于3000万元直接经济损失</w:t>
            </w:r>
          </w:p>
        </w:tc>
        <w:tc>
          <w:tcPr>
            <w:tcW w:w="873" w:type="pct"/>
            <w:noWrap w:val="0"/>
            <w:tcMar>
              <w:top w:w="0" w:type="dxa"/>
              <w:left w:w="0" w:type="dxa"/>
              <w:bottom w:w="0" w:type="dxa"/>
              <w:right w:w="0" w:type="dxa"/>
            </w:tcMar>
            <w:vAlign w:val="center"/>
          </w:tcPr>
          <w:p w14:paraId="14BFBA18">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处30万元的罚款；责令停业整顿90-120日；对单位直接负责的主管人员和其他直接责任人员处单位罚款数额10%的罚款</w:t>
            </w:r>
          </w:p>
        </w:tc>
        <w:tc>
          <w:tcPr>
            <w:tcW w:w="158" w:type="pct"/>
            <w:vMerge w:val="continue"/>
            <w:noWrap w:val="0"/>
            <w:tcMar>
              <w:top w:w="0" w:type="dxa"/>
              <w:left w:w="0" w:type="dxa"/>
              <w:bottom w:w="0" w:type="dxa"/>
              <w:right w:w="0" w:type="dxa"/>
            </w:tcMar>
            <w:vAlign w:val="center"/>
          </w:tcPr>
          <w:p w14:paraId="760E13D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1B40FE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1B85524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04338A56">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737F13A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57A78517">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vMerge w:val="continue"/>
            <w:noWrap w:val="0"/>
            <w:tcMar>
              <w:top w:w="0" w:type="dxa"/>
              <w:left w:w="0" w:type="dxa"/>
              <w:bottom w:w="0" w:type="dxa"/>
              <w:right w:w="0" w:type="dxa"/>
            </w:tcMar>
            <w:vAlign w:val="center"/>
          </w:tcPr>
          <w:p w14:paraId="43DF6EB5">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p>
        </w:tc>
        <w:tc>
          <w:tcPr>
            <w:tcW w:w="561" w:type="pct"/>
            <w:noWrap w:val="0"/>
            <w:tcMar>
              <w:top w:w="0" w:type="dxa"/>
              <w:left w:w="0" w:type="dxa"/>
              <w:bottom w:w="0" w:type="dxa"/>
              <w:right w:w="0" w:type="dxa"/>
            </w:tcMar>
            <w:vAlign w:val="center"/>
          </w:tcPr>
          <w:p w14:paraId="5813FACF">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造成多于7人少于10人死亡，或者多于30人少于50人重伤，或者多于3000万元少于5000万元直接经济损失</w:t>
            </w:r>
          </w:p>
        </w:tc>
        <w:tc>
          <w:tcPr>
            <w:tcW w:w="873" w:type="pct"/>
            <w:noWrap w:val="0"/>
            <w:tcMar>
              <w:top w:w="0" w:type="dxa"/>
              <w:left w:w="0" w:type="dxa"/>
              <w:bottom w:w="0" w:type="dxa"/>
              <w:right w:w="0" w:type="dxa"/>
            </w:tcMar>
            <w:vAlign w:val="center"/>
          </w:tcPr>
          <w:p w14:paraId="6E8892C4">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处30万元的罚款；责令停业整顿120-180日；对单位直接负责的主管人员和其他直接责任人员处单位罚款数额10%的罚款</w:t>
            </w:r>
          </w:p>
        </w:tc>
        <w:tc>
          <w:tcPr>
            <w:tcW w:w="158" w:type="pct"/>
            <w:vMerge w:val="continue"/>
            <w:noWrap w:val="0"/>
            <w:tcMar>
              <w:top w:w="0" w:type="dxa"/>
              <w:left w:w="0" w:type="dxa"/>
              <w:bottom w:w="0" w:type="dxa"/>
              <w:right w:w="0" w:type="dxa"/>
            </w:tcMar>
            <w:vAlign w:val="center"/>
          </w:tcPr>
          <w:p w14:paraId="3C1C13F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595C13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67D00CD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79492E56">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365BECC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60952AE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vMerge w:val="restart"/>
            <w:noWrap w:val="0"/>
            <w:tcMar>
              <w:top w:w="0" w:type="dxa"/>
              <w:left w:w="0" w:type="dxa"/>
              <w:bottom w:w="0" w:type="dxa"/>
              <w:right w:w="0" w:type="dxa"/>
            </w:tcMar>
            <w:vAlign w:val="center"/>
          </w:tcPr>
          <w:p w14:paraId="3BD76401">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r>
              <w:rPr>
                <w:rFonts w:hint="eastAsia" w:ascii="宋体" w:hAnsi="宋体" w:eastAsia="宋体" w:cs="宋体"/>
                <w:sz w:val="18"/>
                <w:szCs w:val="18"/>
                <w:vertAlign w:val="baseline"/>
                <w:lang w:val="en-US" w:eastAsia="zh-CN"/>
              </w:rPr>
              <w:t>严重</w:t>
            </w:r>
          </w:p>
        </w:tc>
        <w:tc>
          <w:tcPr>
            <w:tcW w:w="561" w:type="pct"/>
            <w:noWrap w:val="0"/>
            <w:tcMar>
              <w:top w:w="0" w:type="dxa"/>
              <w:left w:w="0" w:type="dxa"/>
              <w:bottom w:w="0" w:type="dxa"/>
              <w:right w:w="0" w:type="dxa"/>
            </w:tcMar>
            <w:vAlign w:val="center"/>
          </w:tcPr>
          <w:p w14:paraId="68779AC6">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造成重大质量安全事故；或造成分部工程存在严重缺陷，经返修和加固处理仍不能满足安全使用要求</w:t>
            </w:r>
          </w:p>
        </w:tc>
        <w:tc>
          <w:tcPr>
            <w:tcW w:w="873" w:type="pct"/>
            <w:noWrap w:val="0"/>
            <w:tcMar>
              <w:top w:w="0" w:type="dxa"/>
              <w:left w:w="0" w:type="dxa"/>
              <w:bottom w:w="0" w:type="dxa"/>
              <w:right w:w="0" w:type="dxa"/>
            </w:tcMar>
            <w:vAlign w:val="center"/>
          </w:tcPr>
          <w:p w14:paraId="2058CA5B">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处30万元的罚款；降低资质等级；对单位直接负责的主管人员和其他直接责任人员处单位罚款数额10%的罚款</w:t>
            </w:r>
          </w:p>
        </w:tc>
        <w:tc>
          <w:tcPr>
            <w:tcW w:w="158" w:type="pct"/>
            <w:vMerge w:val="continue"/>
            <w:noWrap w:val="0"/>
            <w:tcMar>
              <w:top w:w="0" w:type="dxa"/>
              <w:left w:w="0" w:type="dxa"/>
              <w:bottom w:w="0" w:type="dxa"/>
              <w:right w:w="0" w:type="dxa"/>
            </w:tcMar>
            <w:vAlign w:val="center"/>
          </w:tcPr>
          <w:p w14:paraId="2A2BF01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041CFF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934" w:hRule="atLeast"/>
          <w:jc w:val="center"/>
        </w:trPr>
        <w:tc>
          <w:tcPr>
            <w:tcW w:w="156" w:type="pct"/>
            <w:vMerge w:val="continue"/>
            <w:noWrap w:val="0"/>
            <w:tcMar>
              <w:top w:w="0" w:type="dxa"/>
              <w:left w:w="0" w:type="dxa"/>
              <w:bottom w:w="0" w:type="dxa"/>
              <w:right w:w="0" w:type="dxa"/>
            </w:tcMar>
            <w:vAlign w:val="center"/>
          </w:tcPr>
          <w:p w14:paraId="7AAD1E7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421847A1">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68F7CFC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34F9766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vMerge w:val="continue"/>
            <w:noWrap w:val="0"/>
            <w:tcMar>
              <w:top w:w="0" w:type="dxa"/>
              <w:left w:w="0" w:type="dxa"/>
              <w:bottom w:w="0" w:type="dxa"/>
              <w:right w:w="0" w:type="dxa"/>
            </w:tcMar>
            <w:vAlign w:val="center"/>
          </w:tcPr>
          <w:p w14:paraId="5BC215F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p>
        </w:tc>
        <w:tc>
          <w:tcPr>
            <w:tcW w:w="561" w:type="pct"/>
            <w:noWrap w:val="0"/>
            <w:tcMar>
              <w:top w:w="0" w:type="dxa"/>
              <w:left w:w="0" w:type="dxa"/>
              <w:bottom w:w="0" w:type="dxa"/>
              <w:right w:w="0" w:type="dxa"/>
            </w:tcMar>
            <w:vAlign w:val="center"/>
          </w:tcPr>
          <w:p w14:paraId="656FDF86">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造成特别重大质量安全事故；或造成单位（子单位）工程存在严重缺陷，经返修和加固处理仍不能满足安全使用要求</w:t>
            </w:r>
          </w:p>
        </w:tc>
        <w:tc>
          <w:tcPr>
            <w:tcW w:w="873" w:type="pct"/>
            <w:noWrap w:val="0"/>
            <w:tcMar>
              <w:top w:w="0" w:type="dxa"/>
              <w:left w:w="0" w:type="dxa"/>
              <w:bottom w:w="0" w:type="dxa"/>
              <w:right w:w="0" w:type="dxa"/>
            </w:tcMar>
            <w:vAlign w:val="center"/>
          </w:tcPr>
          <w:p w14:paraId="57F600E6">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处30万元的罚款；吊销资质证书；对单位直接负责的主管人员和其他直接责任人员处单位罚款数额10%的罚款</w:t>
            </w:r>
          </w:p>
        </w:tc>
        <w:tc>
          <w:tcPr>
            <w:tcW w:w="158" w:type="pct"/>
            <w:vMerge w:val="continue"/>
            <w:noWrap w:val="0"/>
            <w:tcMar>
              <w:top w:w="0" w:type="dxa"/>
              <w:left w:w="0" w:type="dxa"/>
              <w:bottom w:w="0" w:type="dxa"/>
              <w:right w:w="0" w:type="dxa"/>
            </w:tcMar>
            <w:vAlign w:val="center"/>
          </w:tcPr>
          <w:p w14:paraId="27845BDC">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15A52D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54E7A61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42F7E8C5">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583E63B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restart"/>
            <w:noWrap w:val="0"/>
            <w:tcMar>
              <w:top w:w="0" w:type="dxa"/>
              <w:left w:w="0" w:type="dxa"/>
              <w:bottom w:w="0" w:type="dxa"/>
              <w:right w:w="0" w:type="dxa"/>
            </w:tcMar>
            <w:vAlign w:val="center"/>
          </w:tcPr>
          <w:p w14:paraId="69A8EF5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设计单位未根据勘察成果文件进行工程设计的</w:t>
            </w:r>
          </w:p>
        </w:tc>
        <w:tc>
          <w:tcPr>
            <w:tcW w:w="174" w:type="pct"/>
            <w:noWrap w:val="0"/>
            <w:tcMar>
              <w:top w:w="0" w:type="dxa"/>
              <w:left w:w="0" w:type="dxa"/>
              <w:bottom w:w="0" w:type="dxa"/>
              <w:right w:w="0" w:type="dxa"/>
            </w:tcMar>
            <w:vAlign w:val="center"/>
          </w:tcPr>
          <w:p w14:paraId="362CEF35">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轻微</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1D59EC80">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1ADC05A9">
            <w:pPr>
              <w:spacing w:line="260" w:lineRule="exact"/>
              <w:rPr>
                <w:rFonts w:hint="eastAsia" w:ascii="宋体" w:hAnsi="宋体" w:eastAsia="宋体" w:cs="宋体"/>
                <w:color w:val="000000"/>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74B84E9C">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263CF4AC">
            <w:pPr>
              <w:spacing w:line="260" w:lineRule="exact"/>
              <w:rPr>
                <w:rFonts w:hint="eastAsia" w:ascii="宋体" w:hAnsi="宋体" w:eastAsia="宋体" w:cs="宋体"/>
                <w:color w:val="000000"/>
                <w:kern w:val="2"/>
                <w:sz w:val="18"/>
                <w:szCs w:val="18"/>
                <w:vertAlign w:val="baseline"/>
                <w:lang w:val="en-US" w:eastAsia="zh-CN" w:bidi="ar-SA"/>
              </w:rPr>
            </w:pPr>
          </w:p>
        </w:tc>
        <w:tc>
          <w:tcPr>
            <w:tcW w:w="158" w:type="pct"/>
            <w:vMerge w:val="restart"/>
            <w:noWrap w:val="0"/>
            <w:tcMar>
              <w:top w:w="0" w:type="dxa"/>
              <w:left w:w="0" w:type="dxa"/>
              <w:bottom w:w="0" w:type="dxa"/>
              <w:right w:w="0" w:type="dxa"/>
            </w:tcMar>
            <w:vAlign w:val="center"/>
          </w:tcPr>
          <w:p w14:paraId="3F1AF6C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7DF006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42FBC1F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5C4D38DB">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5394BCE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7C56A72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22560F6B">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较轻</w:t>
            </w:r>
          </w:p>
        </w:tc>
        <w:tc>
          <w:tcPr>
            <w:tcW w:w="561" w:type="pct"/>
            <w:noWrap w:val="0"/>
            <w:tcMar>
              <w:top w:w="0" w:type="dxa"/>
              <w:left w:w="0" w:type="dxa"/>
              <w:bottom w:w="0" w:type="dxa"/>
              <w:right w:w="0" w:type="dxa"/>
            </w:tcMar>
            <w:vAlign w:val="center"/>
          </w:tcPr>
          <w:p w14:paraId="38EB49F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工程设计尚未实施的</w:t>
            </w:r>
          </w:p>
        </w:tc>
        <w:tc>
          <w:tcPr>
            <w:tcW w:w="873" w:type="pct"/>
            <w:noWrap w:val="0"/>
            <w:tcMar>
              <w:top w:w="0" w:type="dxa"/>
              <w:left w:w="0" w:type="dxa"/>
              <w:bottom w:w="0" w:type="dxa"/>
              <w:right w:w="0" w:type="dxa"/>
            </w:tcMar>
            <w:vAlign w:val="center"/>
          </w:tcPr>
          <w:p w14:paraId="33B0D1E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处10万元以上20万元以下的罚款；对单位直接负责的主管人员和其他直接责任人员处单位罚款数额5%以上7.5%以下的罚款</w:t>
            </w:r>
          </w:p>
        </w:tc>
        <w:tc>
          <w:tcPr>
            <w:tcW w:w="158" w:type="pct"/>
            <w:vMerge w:val="continue"/>
            <w:noWrap w:val="0"/>
            <w:tcMar>
              <w:top w:w="0" w:type="dxa"/>
              <w:left w:w="0" w:type="dxa"/>
              <w:bottom w:w="0" w:type="dxa"/>
              <w:right w:w="0" w:type="dxa"/>
            </w:tcMar>
            <w:vAlign w:val="center"/>
          </w:tcPr>
          <w:p w14:paraId="3FA3ED6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5053D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3EB38DC5">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472D26D7">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6EB996B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605C67C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5511F57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一般</w:t>
            </w:r>
          </w:p>
        </w:tc>
        <w:tc>
          <w:tcPr>
            <w:tcW w:w="561" w:type="pct"/>
            <w:noWrap w:val="0"/>
            <w:tcMar>
              <w:top w:w="0" w:type="dxa"/>
              <w:left w:w="0" w:type="dxa"/>
              <w:bottom w:w="0" w:type="dxa"/>
              <w:right w:w="0" w:type="dxa"/>
            </w:tcMar>
            <w:vAlign w:val="center"/>
          </w:tcPr>
          <w:p w14:paraId="4E113F37">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工程设计已经实施的</w:t>
            </w:r>
          </w:p>
        </w:tc>
        <w:tc>
          <w:tcPr>
            <w:tcW w:w="873" w:type="pct"/>
            <w:noWrap w:val="0"/>
            <w:tcMar>
              <w:top w:w="0" w:type="dxa"/>
              <w:left w:w="0" w:type="dxa"/>
              <w:bottom w:w="0" w:type="dxa"/>
              <w:right w:w="0" w:type="dxa"/>
            </w:tcMar>
            <w:vAlign w:val="center"/>
          </w:tcPr>
          <w:p w14:paraId="22B0ED5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处20万元以上30万元以下的罚款；对单位直接负责的主管人员和其他直接责任人员处单位罚款数额7.5%以上10%以下的罚款</w:t>
            </w:r>
          </w:p>
        </w:tc>
        <w:tc>
          <w:tcPr>
            <w:tcW w:w="158" w:type="pct"/>
            <w:vMerge w:val="continue"/>
            <w:noWrap w:val="0"/>
            <w:tcMar>
              <w:top w:w="0" w:type="dxa"/>
              <w:left w:w="0" w:type="dxa"/>
              <w:bottom w:w="0" w:type="dxa"/>
              <w:right w:w="0" w:type="dxa"/>
            </w:tcMar>
            <w:vAlign w:val="center"/>
          </w:tcPr>
          <w:p w14:paraId="7E2BC9B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2E2FD2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159E340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61B89E0B">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60A99654">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1199E2E4">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vMerge w:val="restart"/>
            <w:noWrap w:val="0"/>
            <w:tcMar>
              <w:top w:w="0" w:type="dxa"/>
              <w:left w:w="0" w:type="dxa"/>
              <w:bottom w:w="0" w:type="dxa"/>
              <w:right w:w="0" w:type="dxa"/>
            </w:tcMar>
            <w:vAlign w:val="center"/>
          </w:tcPr>
          <w:p w14:paraId="7CAAA1A1">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较重</w:t>
            </w:r>
          </w:p>
        </w:tc>
        <w:tc>
          <w:tcPr>
            <w:tcW w:w="561" w:type="pct"/>
            <w:noWrap w:val="0"/>
            <w:tcMar>
              <w:top w:w="0" w:type="dxa"/>
              <w:left w:w="0" w:type="dxa"/>
              <w:bottom w:w="0" w:type="dxa"/>
              <w:right w:w="0" w:type="dxa"/>
            </w:tcMar>
            <w:vAlign w:val="center"/>
          </w:tcPr>
          <w:p w14:paraId="53F41725">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造成多于3人少于5人死亡，或者多于10人少于20人重伤，或者多于1000万元少于2000万元直接经济损失</w:t>
            </w:r>
          </w:p>
        </w:tc>
        <w:tc>
          <w:tcPr>
            <w:tcW w:w="873" w:type="pct"/>
            <w:noWrap w:val="0"/>
            <w:tcMar>
              <w:top w:w="0" w:type="dxa"/>
              <w:left w:w="0" w:type="dxa"/>
              <w:bottom w:w="0" w:type="dxa"/>
              <w:right w:w="0" w:type="dxa"/>
            </w:tcMar>
            <w:vAlign w:val="center"/>
          </w:tcPr>
          <w:p w14:paraId="535491E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处30万元的罚款；责令停业整顿60-90日；对单位直接负责的主管人员和其他直接责任人员处单位罚款数额10%的罚款</w:t>
            </w:r>
          </w:p>
        </w:tc>
        <w:tc>
          <w:tcPr>
            <w:tcW w:w="158" w:type="pct"/>
            <w:vMerge w:val="continue"/>
            <w:noWrap w:val="0"/>
            <w:tcMar>
              <w:top w:w="0" w:type="dxa"/>
              <w:left w:w="0" w:type="dxa"/>
              <w:bottom w:w="0" w:type="dxa"/>
              <w:right w:w="0" w:type="dxa"/>
            </w:tcMar>
            <w:vAlign w:val="center"/>
          </w:tcPr>
          <w:p w14:paraId="69C5DC81">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6A5EFB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7B944B0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7B5C5EC7">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2540D3A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2BF8091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vMerge w:val="continue"/>
            <w:noWrap w:val="0"/>
            <w:tcMar>
              <w:top w:w="0" w:type="dxa"/>
              <w:left w:w="0" w:type="dxa"/>
              <w:bottom w:w="0" w:type="dxa"/>
              <w:right w:w="0" w:type="dxa"/>
            </w:tcMar>
            <w:vAlign w:val="center"/>
          </w:tcPr>
          <w:p w14:paraId="23276009">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p>
        </w:tc>
        <w:tc>
          <w:tcPr>
            <w:tcW w:w="561" w:type="pct"/>
            <w:noWrap w:val="0"/>
            <w:tcMar>
              <w:top w:w="0" w:type="dxa"/>
              <w:left w:w="0" w:type="dxa"/>
              <w:bottom w:w="0" w:type="dxa"/>
              <w:right w:w="0" w:type="dxa"/>
            </w:tcMar>
            <w:vAlign w:val="center"/>
          </w:tcPr>
          <w:p w14:paraId="1A2E1F93">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造成多于5人少于7人死亡，或者多于20人少于30人重伤，或者多于2000万元少于3000万元直接经济损失</w:t>
            </w:r>
          </w:p>
        </w:tc>
        <w:tc>
          <w:tcPr>
            <w:tcW w:w="873" w:type="pct"/>
            <w:noWrap w:val="0"/>
            <w:tcMar>
              <w:top w:w="0" w:type="dxa"/>
              <w:left w:w="0" w:type="dxa"/>
              <w:bottom w:w="0" w:type="dxa"/>
              <w:right w:w="0" w:type="dxa"/>
            </w:tcMar>
            <w:vAlign w:val="center"/>
          </w:tcPr>
          <w:p w14:paraId="0E95115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处30万元的罚款；责令停业整顿90-120日；对单位直接负责的主管人员和其他直接责任人员处单位罚款数额10%的罚款</w:t>
            </w:r>
          </w:p>
        </w:tc>
        <w:tc>
          <w:tcPr>
            <w:tcW w:w="158" w:type="pct"/>
            <w:vMerge w:val="continue"/>
            <w:noWrap w:val="0"/>
            <w:tcMar>
              <w:top w:w="0" w:type="dxa"/>
              <w:left w:w="0" w:type="dxa"/>
              <w:bottom w:w="0" w:type="dxa"/>
              <w:right w:w="0" w:type="dxa"/>
            </w:tcMar>
            <w:vAlign w:val="center"/>
          </w:tcPr>
          <w:p w14:paraId="491B68A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7DB2AE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1B80D5ED">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1494CB03">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5721741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5B382C1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vMerge w:val="continue"/>
            <w:noWrap w:val="0"/>
            <w:tcMar>
              <w:top w:w="0" w:type="dxa"/>
              <w:left w:w="0" w:type="dxa"/>
              <w:bottom w:w="0" w:type="dxa"/>
              <w:right w:w="0" w:type="dxa"/>
            </w:tcMar>
            <w:vAlign w:val="center"/>
          </w:tcPr>
          <w:p w14:paraId="4F83476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p>
        </w:tc>
        <w:tc>
          <w:tcPr>
            <w:tcW w:w="561" w:type="pct"/>
            <w:noWrap w:val="0"/>
            <w:tcMar>
              <w:top w:w="0" w:type="dxa"/>
              <w:left w:w="0" w:type="dxa"/>
              <w:bottom w:w="0" w:type="dxa"/>
              <w:right w:w="0" w:type="dxa"/>
            </w:tcMar>
            <w:vAlign w:val="center"/>
          </w:tcPr>
          <w:p w14:paraId="5632D43B">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造成多于7人少于10人死亡，或者多于30人少于50人重伤，或者多于3000万元少于5000万元直接经济损失</w:t>
            </w:r>
          </w:p>
        </w:tc>
        <w:tc>
          <w:tcPr>
            <w:tcW w:w="873" w:type="pct"/>
            <w:noWrap w:val="0"/>
            <w:tcMar>
              <w:top w:w="0" w:type="dxa"/>
              <w:left w:w="0" w:type="dxa"/>
              <w:bottom w:w="0" w:type="dxa"/>
              <w:right w:w="0" w:type="dxa"/>
            </w:tcMar>
            <w:vAlign w:val="center"/>
          </w:tcPr>
          <w:p w14:paraId="7903E8CC">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处30万元的罚款；责令停业整顿120-180日；对单位直接负责的主管人员和其他直接责任人员处单位罚款数额10%的罚款</w:t>
            </w:r>
          </w:p>
        </w:tc>
        <w:tc>
          <w:tcPr>
            <w:tcW w:w="158" w:type="pct"/>
            <w:vMerge w:val="continue"/>
            <w:noWrap w:val="0"/>
            <w:tcMar>
              <w:top w:w="0" w:type="dxa"/>
              <w:left w:w="0" w:type="dxa"/>
              <w:bottom w:w="0" w:type="dxa"/>
              <w:right w:w="0" w:type="dxa"/>
            </w:tcMar>
            <w:vAlign w:val="center"/>
          </w:tcPr>
          <w:p w14:paraId="77E71838">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571DB6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67651359">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7CBE5DE2">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18633E4C">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533D17E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2C8571E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严重</w:t>
            </w:r>
          </w:p>
        </w:tc>
        <w:tc>
          <w:tcPr>
            <w:tcW w:w="561" w:type="pct"/>
            <w:noWrap w:val="0"/>
            <w:tcMar>
              <w:top w:w="0" w:type="dxa"/>
              <w:left w:w="0" w:type="dxa"/>
              <w:bottom w:w="0" w:type="dxa"/>
              <w:right w:w="0" w:type="dxa"/>
            </w:tcMar>
            <w:vAlign w:val="center"/>
          </w:tcPr>
          <w:p w14:paraId="337960E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造成重大质量安全事故；或造成分部工程存在严重缺陷，经返修和加固处理仍不能满足安全使用要求</w:t>
            </w:r>
          </w:p>
        </w:tc>
        <w:tc>
          <w:tcPr>
            <w:tcW w:w="873" w:type="pct"/>
            <w:noWrap w:val="0"/>
            <w:tcMar>
              <w:top w:w="0" w:type="dxa"/>
              <w:left w:w="0" w:type="dxa"/>
              <w:bottom w:w="0" w:type="dxa"/>
              <w:right w:w="0" w:type="dxa"/>
            </w:tcMar>
            <w:vAlign w:val="center"/>
          </w:tcPr>
          <w:p w14:paraId="3A75F04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处30万元的罚款；降低资质等级；对单位直接负责的主管人员和其他直接责任人员处单位罚款数额10%的罚款</w:t>
            </w:r>
          </w:p>
        </w:tc>
        <w:tc>
          <w:tcPr>
            <w:tcW w:w="158" w:type="pct"/>
            <w:vMerge w:val="continue"/>
            <w:noWrap w:val="0"/>
            <w:tcMar>
              <w:top w:w="0" w:type="dxa"/>
              <w:left w:w="0" w:type="dxa"/>
              <w:bottom w:w="0" w:type="dxa"/>
              <w:right w:w="0" w:type="dxa"/>
            </w:tcMar>
            <w:vAlign w:val="center"/>
          </w:tcPr>
          <w:p w14:paraId="0DA4F8A1">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5F0025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5D69CF90">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6C71AAA9">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6949B534">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08C5425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15097CE9">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r>
              <w:rPr>
                <w:rFonts w:hint="eastAsia" w:ascii="宋体" w:hAnsi="宋体" w:eastAsia="宋体" w:cs="宋体"/>
                <w:sz w:val="18"/>
                <w:szCs w:val="18"/>
                <w:vertAlign w:val="baseline"/>
                <w:lang w:val="en-US" w:eastAsia="zh-CN"/>
              </w:rPr>
              <w:t>严重</w:t>
            </w:r>
          </w:p>
        </w:tc>
        <w:tc>
          <w:tcPr>
            <w:tcW w:w="561" w:type="pct"/>
            <w:noWrap w:val="0"/>
            <w:tcMar>
              <w:top w:w="0" w:type="dxa"/>
              <w:left w:w="0" w:type="dxa"/>
              <w:bottom w:w="0" w:type="dxa"/>
              <w:right w:w="0" w:type="dxa"/>
            </w:tcMar>
            <w:vAlign w:val="center"/>
          </w:tcPr>
          <w:p w14:paraId="242D64D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造成特别重大质量安全事故；或造成单位（子单位）工程存在严重缺陷，经返修和加固处理仍不能满足安全使用要求</w:t>
            </w:r>
          </w:p>
        </w:tc>
        <w:tc>
          <w:tcPr>
            <w:tcW w:w="873" w:type="pct"/>
            <w:noWrap w:val="0"/>
            <w:tcMar>
              <w:top w:w="0" w:type="dxa"/>
              <w:left w:w="0" w:type="dxa"/>
              <w:bottom w:w="0" w:type="dxa"/>
              <w:right w:w="0" w:type="dxa"/>
            </w:tcMar>
            <w:vAlign w:val="center"/>
          </w:tcPr>
          <w:p w14:paraId="3881291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处30万元的罚款；吊销资质证书；对单位直接负责的主管人员和其他直接责任人员处单位罚款数额10%的罚款</w:t>
            </w:r>
          </w:p>
        </w:tc>
        <w:tc>
          <w:tcPr>
            <w:tcW w:w="158" w:type="pct"/>
            <w:vMerge w:val="continue"/>
            <w:noWrap w:val="0"/>
            <w:tcMar>
              <w:top w:w="0" w:type="dxa"/>
              <w:left w:w="0" w:type="dxa"/>
              <w:bottom w:w="0" w:type="dxa"/>
              <w:right w:w="0" w:type="dxa"/>
            </w:tcMar>
            <w:vAlign w:val="center"/>
          </w:tcPr>
          <w:p w14:paraId="7BD7EB8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0F8927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5FC66730">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5D8C6F38">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10BAA6A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restart"/>
            <w:noWrap w:val="0"/>
            <w:tcMar>
              <w:top w:w="0" w:type="dxa"/>
              <w:left w:w="0" w:type="dxa"/>
              <w:bottom w:w="0" w:type="dxa"/>
              <w:right w:w="0" w:type="dxa"/>
            </w:tcMar>
            <w:vAlign w:val="center"/>
          </w:tcPr>
          <w:p w14:paraId="71C0964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设计单位指定建筑材料、建筑构配件的生产厂、供应商的</w:t>
            </w:r>
          </w:p>
        </w:tc>
        <w:tc>
          <w:tcPr>
            <w:tcW w:w="174" w:type="pct"/>
            <w:noWrap w:val="0"/>
            <w:tcMar>
              <w:top w:w="0" w:type="dxa"/>
              <w:left w:w="0" w:type="dxa"/>
              <w:bottom w:w="0" w:type="dxa"/>
              <w:right w:w="0" w:type="dxa"/>
            </w:tcMar>
            <w:vAlign w:val="center"/>
          </w:tcPr>
          <w:p w14:paraId="4E0B9149">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轻微</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022FCB99">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5D1C230B">
            <w:pPr>
              <w:spacing w:line="260" w:lineRule="exact"/>
              <w:rPr>
                <w:rFonts w:hint="eastAsia" w:ascii="宋体" w:hAnsi="宋体" w:eastAsia="宋体" w:cs="宋体"/>
                <w:color w:val="000000"/>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089A1EDD">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1A47D50E">
            <w:pPr>
              <w:spacing w:line="260" w:lineRule="exact"/>
              <w:rPr>
                <w:rFonts w:hint="eastAsia" w:ascii="宋体" w:hAnsi="宋体" w:eastAsia="宋体" w:cs="宋体"/>
                <w:color w:val="000000"/>
                <w:kern w:val="2"/>
                <w:sz w:val="18"/>
                <w:szCs w:val="18"/>
                <w:vertAlign w:val="baseline"/>
                <w:lang w:val="en-US" w:eastAsia="zh-CN" w:bidi="ar-SA"/>
              </w:rPr>
            </w:pPr>
          </w:p>
        </w:tc>
        <w:tc>
          <w:tcPr>
            <w:tcW w:w="158" w:type="pct"/>
            <w:vMerge w:val="restart"/>
            <w:noWrap w:val="0"/>
            <w:tcMar>
              <w:top w:w="0" w:type="dxa"/>
              <w:left w:w="0" w:type="dxa"/>
              <w:bottom w:w="0" w:type="dxa"/>
              <w:right w:w="0" w:type="dxa"/>
            </w:tcMar>
            <w:vAlign w:val="center"/>
          </w:tcPr>
          <w:p w14:paraId="72CA83B5">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424EE7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2289F891">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498E6031">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41E8D82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38692CA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49157F5B">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较轻</w:t>
            </w:r>
          </w:p>
        </w:tc>
        <w:tc>
          <w:tcPr>
            <w:tcW w:w="561" w:type="pct"/>
            <w:noWrap w:val="0"/>
            <w:tcMar>
              <w:top w:w="0" w:type="dxa"/>
              <w:left w:w="0" w:type="dxa"/>
              <w:bottom w:w="0" w:type="dxa"/>
              <w:right w:w="0" w:type="dxa"/>
            </w:tcMar>
            <w:vAlign w:val="center"/>
          </w:tcPr>
          <w:p w14:paraId="5788F4C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未造成建筑材料、建筑构</w:t>
            </w:r>
          </w:p>
          <w:p w14:paraId="34AE9CA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配件和设备不合格的</w:t>
            </w:r>
          </w:p>
        </w:tc>
        <w:tc>
          <w:tcPr>
            <w:tcW w:w="873" w:type="pct"/>
            <w:noWrap w:val="0"/>
            <w:tcMar>
              <w:top w:w="0" w:type="dxa"/>
              <w:left w:w="0" w:type="dxa"/>
              <w:bottom w:w="0" w:type="dxa"/>
              <w:right w:w="0" w:type="dxa"/>
            </w:tcMar>
            <w:vAlign w:val="center"/>
          </w:tcPr>
          <w:p w14:paraId="01788C4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处10万元以上20万元以下的罚款；对单位直接负责的主管人员和其他直接责任人员处单位罚款数额5%以上7.5%以下的罚款</w:t>
            </w:r>
          </w:p>
        </w:tc>
        <w:tc>
          <w:tcPr>
            <w:tcW w:w="158" w:type="pct"/>
            <w:vMerge w:val="continue"/>
            <w:noWrap w:val="0"/>
            <w:tcMar>
              <w:top w:w="0" w:type="dxa"/>
              <w:left w:w="0" w:type="dxa"/>
              <w:bottom w:w="0" w:type="dxa"/>
              <w:right w:w="0" w:type="dxa"/>
            </w:tcMar>
            <w:vAlign w:val="center"/>
          </w:tcPr>
          <w:p w14:paraId="76E3A8EB">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1EF961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22F1A7E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52AE07AD">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7FAF32B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7D9BDA6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135649F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一般</w:t>
            </w:r>
          </w:p>
        </w:tc>
        <w:tc>
          <w:tcPr>
            <w:tcW w:w="561" w:type="pct"/>
            <w:noWrap w:val="0"/>
            <w:tcMar>
              <w:top w:w="0" w:type="dxa"/>
              <w:left w:w="0" w:type="dxa"/>
              <w:bottom w:w="0" w:type="dxa"/>
              <w:right w:w="0" w:type="dxa"/>
            </w:tcMar>
            <w:vAlign w:val="center"/>
          </w:tcPr>
          <w:p w14:paraId="6B893AC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造成建筑材料、建筑构配件和设备不合格的</w:t>
            </w:r>
          </w:p>
        </w:tc>
        <w:tc>
          <w:tcPr>
            <w:tcW w:w="873" w:type="pct"/>
            <w:noWrap w:val="0"/>
            <w:tcMar>
              <w:top w:w="0" w:type="dxa"/>
              <w:left w:w="0" w:type="dxa"/>
              <w:bottom w:w="0" w:type="dxa"/>
              <w:right w:w="0" w:type="dxa"/>
            </w:tcMar>
            <w:vAlign w:val="center"/>
          </w:tcPr>
          <w:p w14:paraId="107C7B0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处20万元以上30万元以下的罚款；对单位直接负责的主管人员和其他直接责任人员处单位罚款数额7.5%以上10%以下的罚款</w:t>
            </w:r>
          </w:p>
        </w:tc>
        <w:tc>
          <w:tcPr>
            <w:tcW w:w="158" w:type="pct"/>
            <w:vMerge w:val="continue"/>
            <w:noWrap w:val="0"/>
            <w:tcMar>
              <w:top w:w="0" w:type="dxa"/>
              <w:left w:w="0" w:type="dxa"/>
              <w:bottom w:w="0" w:type="dxa"/>
              <w:right w:w="0" w:type="dxa"/>
            </w:tcMar>
            <w:vAlign w:val="center"/>
          </w:tcPr>
          <w:p w14:paraId="5F3E5D0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49B57E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3087BEA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47F74CD7">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6348922C">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5089636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vMerge w:val="restart"/>
            <w:noWrap w:val="0"/>
            <w:tcMar>
              <w:top w:w="0" w:type="dxa"/>
              <w:left w:w="0" w:type="dxa"/>
              <w:bottom w:w="0" w:type="dxa"/>
              <w:right w:w="0" w:type="dxa"/>
            </w:tcMar>
            <w:vAlign w:val="center"/>
          </w:tcPr>
          <w:p w14:paraId="1585ECAA">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较重</w:t>
            </w:r>
          </w:p>
        </w:tc>
        <w:tc>
          <w:tcPr>
            <w:tcW w:w="561" w:type="pct"/>
            <w:noWrap w:val="0"/>
            <w:tcMar>
              <w:top w:w="0" w:type="dxa"/>
              <w:left w:w="0" w:type="dxa"/>
              <w:bottom w:w="0" w:type="dxa"/>
              <w:right w:w="0" w:type="dxa"/>
            </w:tcMar>
            <w:vAlign w:val="center"/>
          </w:tcPr>
          <w:p w14:paraId="1209A61E">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造成多于3人少于5人死亡，或者多于10人少于20 人重伤，或者多于1000万元少于2000万元直接经济损失的</w:t>
            </w:r>
          </w:p>
        </w:tc>
        <w:tc>
          <w:tcPr>
            <w:tcW w:w="873" w:type="pct"/>
            <w:noWrap w:val="0"/>
            <w:tcMar>
              <w:top w:w="0" w:type="dxa"/>
              <w:left w:w="0" w:type="dxa"/>
              <w:bottom w:w="0" w:type="dxa"/>
              <w:right w:w="0" w:type="dxa"/>
            </w:tcMar>
            <w:vAlign w:val="center"/>
          </w:tcPr>
          <w:p w14:paraId="0C1AC07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处30万元的罚款；责令停业整顿60-90日；对单位直接负责的主管人员和其他直接责任人员处单位罚款数额10%的罚款</w:t>
            </w:r>
          </w:p>
        </w:tc>
        <w:tc>
          <w:tcPr>
            <w:tcW w:w="158" w:type="pct"/>
            <w:vMerge w:val="continue"/>
            <w:noWrap w:val="0"/>
            <w:tcMar>
              <w:top w:w="0" w:type="dxa"/>
              <w:left w:w="0" w:type="dxa"/>
              <w:bottom w:w="0" w:type="dxa"/>
              <w:right w:w="0" w:type="dxa"/>
            </w:tcMar>
            <w:vAlign w:val="center"/>
          </w:tcPr>
          <w:p w14:paraId="1616BAF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6790A8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46D35DFC">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338798F0">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7A2D2874">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22E11047">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vMerge w:val="continue"/>
            <w:noWrap w:val="0"/>
            <w:tcMar>
              <w:top w:w="0" w:type="dxa"/>
              <w:left w:w="0" w:type="dxa"/>
              <w:bottom w:w="0" w:type="dxa"/>
              <w:right w:w="0" w:type="dxa"/>
            </w:tcMar>
            <w:vAlign w:val="center"/>
          </w:tcPr>
          <w:p w14:paraId="2B481FF1">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p>
        </w:tc>
        <w:tc>
          <w:tcPr>
            <w:tcW w:w="561" w:type="pct"/>
            <w:noWrap w:val="0"/>
            <w:tcMar>
              <w:top w:w="0" w:type="dxa"/>
              <w:left w:w="0" w:type="dxa"/>
              <w:bottom w:w="0" w:type="dxa"/>
              <w:right w:w="0" w:type="dxa"/>
            </w:tcMar>
            <w:vAlign w:val="center"/>
          </w:tcPr>
          <w:p w14:paraId="2C2E15FB">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造成多于5人少于7人死亡，或者多于20人少于30人重伤，或者多于2000万元少于3000万元直接经济损失的</w:t>
            </w:r>
          </w:p>
        </w:tc>
        <w:tc>
          <w:tcPr>
            <w:tcW w:w="873" w:type="pct"/>
            <w:noWrap w:val="0"/>
            <w:tcMar>
              <w:top w:w="0" w:type="dxa"/>
              <w:left w:w="0" w:type="dxa"/>
              <w:bottom w:w="0" w:type="dxa"/>
              <w:right w:w="0" w:type="dxa"/>
            </w:tcMar>
            <w:vAlign w:val="center"/>
          </w:tcPr>
          <w:p w14:paraId="5265B3F7">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处30万元的罚款；责令停业整顿90-120日；对单位直接负责的主管人员和其他直接责任人员处单位罚款数额10%的罚款</w:t>
            </w:r>
          </w:p>
        </w:tc>
        <w:tc>
          <w:tcPr>
            <w:tcW w:w="158" w:type="pct"/>
            <w:vMerge w:val="continue"/>
            <w:noWrap w:val="0"/>
            <w:tcMar>
              <w:top w:w="0" w:type="dxa"/>
              <w:left w:w="0" w:type="dxa"/>
              <w:bottom w:w="0" w:type="dxa"/>
              <w:right w:w="0" w:type="dxa"/>
            </w:tcMar>
            <w:vAlign w:val="center"/>
          </w:tcPr>
          <w:p w14:paraId="6E23469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75D226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385" w:hRule="atLeast"/>
          <w:jc w:val="center"/>
        </w:trPr>
        <w:tc>
          <w:tcPr>
            <w:tcW w:w="156" w:type="pct"/>
            <w:vMerge w:val="continue"/>
            <w:noWrap w:val="0"/>
            <w:tcMar>
              <w:top w:w="0" w:type="dxa"/>
              <w:left w:w="0" w:type="dxa"/>
              <w:bottom w:w="0" w:type="dxa"/>
              <w:right w:w="0" w:type="dxa"/>
            </w:tcMar>
            <w:vAlign w:val="center"/>
          </w:tcPr>
          <w:p w14:paraId="1A92793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6DD9A191">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069E75F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39355D9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vMerge w:val="continue"/>
            <w:noWrap w:val="0"/>
            <w:tcMar>
              <w:top w:w="0" w:type="dxa"/>
              <w:left w:w="0" w:type="dxa"/>
              <w:bottom w:w="0" w:type="dxa"/>
              <w:right w:w="0" w:type="dxa"/>
            </w:tcMar>
            <w:vAlign w:val="center"/>
          </w:tcPr>
          <w:p w14:paraId="1EDC971A">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p>
        </w:tc>
        <w:tc>
          <w:tcPr>
            <w:tcW w:w="561" w:type="pct"/>
            <w:noWrap w:val="0"/>
            <w:tcMar>
              <w:top w:w="0" w:type="dxa"/>
              <w:left w:w="0" w:type="dxa"/>
              <w:bottom w:w="0" w:type="dxa"/>
              <w:right w:w="0" w:type="dxa"/>
            </w:tcMar>
            <w:vAlign w:val="center"/>
          </w:tcPr>
          <w:p w14:paraId="0A46E267">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造成多于7人少于10人死亡，或者多于30人少于50人重伤，或者多于3000万 元少于5000万元直接经济</w:t>
            </w:r>
          </w:p>
        </w:tc>
        <w:tc>
          <w:tcPr>
            <w:tcW w:w="873" w:type="pct"/>
            <w:noWrap w:val="0"/>
            <w:tcMar>
              <w:top w:w="0" w:type="dxa"/>
              <w:left w:w="0" w:type="dxa"/>
              <w:bottom w:w="0" w:type="dxa"/>
              <w:right w:w="0" w:type="dxa"/>
            </w:tcMar>
            <w:vAlign w:val="center"/>
          </w:tcPr>
          <w:p w14:paraId="69A9797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处30万元的罚款；责令停业整顿120-180日；对单位直接负责的主管人员和其他直接责任人员处单位罚款数额10%的罚款</w:t>
            </w:r>
          </w:p>
        </w:tc>
        <w:tc>
          <w:tcPr>
            <w:tcW w:w="158" w:type="pct"/>
            <w:vMerge w:val="continue"/>
            <w:noWrap w:val="0"/>
            <w:tcMar>
              <w:top w:w="0" w:type="dxa"/>
              <w:left w:w="0" w:type="dxa"/>
              <w:bottom w:w="0" w:type="dxa"/>
              <w:right w:w="0" w:type="dxa"/>
            </w:tcMar>
            <w:vAlign w:val="center"/>
          </w:tcPr>
          <w:p w14:paraId="1C72823A">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169C7B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25D22BA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338BE5F3">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1F4675C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1396979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vMerge w:val="restart"/>
            <w:noWrap w:val="0"/>
            <w:tcMar>
              <w:top w:w="0" w:type="dxa"/>
              <w:left w:w="0" w:type="dxa"/>
              <w:bottom w:w="0" w:type="dxa"/>
              <w:right w:w="0" w:type="dxa"/>
            </w:tcMar>
            <w:vAlign w:val="center"/>
          </w:tcPr>
          <w:p w14:paraId="121B684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r>
              <w:rPr>
                <w:rFonts w:hint="eastAsia" w:ascii="宋体" w:hAnsi="宋体" w:eastAsia="宋体" w:cs="宋体"/>
                <w:sz w:val="18"/>
                <w:szCs w:val="18"/>
                <w:vertAlign w:val="baseline"/>
                <w:lang w:val="en-US" w:eastAsia="zh-CN"/>
              </w:rPr>
              <w:t>严重</w:t>
            </w:r>
          </w:p>
        </w:tc>
        <w:tc>
          <w:tcPr>
            <w:tcW w:w="561" w:type="pct"/>
            <w:noWrap w:val="0"/>
            <w:tcMar>
              <w:top w:w="0" w:type="dxa"/>
              <w:left w:w="0" w:type="dxa"/>
              <w:bottom w:w="0" w:type="dxa"/>
              <w:right w:w="0" w:type="dxa"/>
            </w:tcMar>
            <w:vAlign w:val="center"/>
          </w:tcPr>
          <w:p w14:paraId="24E541D0">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造成重大质量安全事故；或造成分部工程存在严重缺陷，经返修和加固处理仍不能满足安全使用要求</w:t>
            </w:r>
          </w:p>
        </w:tc>
        <w:tc>
          <w:tcPr>
            <w:tcW w:w="873" w:type="pct"/>
            <w:noWrap w:val="0"/>
            <w:tcMar>
              <w:top w:w="0" w:type="dxa"/>
              <w:left w:w="0" w:type="dxa"/>
              <w:bottom w:w="0" w:type="dxa"/>
              <w:right w:w="0" w:type="dxa"/>
            </w:tcMar>
            <w:vAlign w:val="center"/>
          </w:tcPr>
          <w:p w14:paraId="29A57A9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处30万元的罚款；降低资质等级；对单位直接负责的主管人员和其他直接责任人员处单位罚款数额10%的罚款</w:t>
            </w:r>
          </w:p>
        </w:tc>
        <w:tc>
          <w:tcPr>
            <w:tcW w:w="158" w:type="pct"/>
            <w:vMerge w:val="continue"/>
            <w:noWrap w:val="0"/>
            <w:tcMar>
              <w:top w:w="0" w:type="dxa"/>
              <w:left w:w="0" w:type="dxa"/>
              <w:bottom w:w="0" w:type="dxa"/>
              <w:right w:w="0" w:type="dxa"/>
            </w:tcMar>
            <w:vAlign w:val="center"/>
          </w:tcPr>
          <w:p w14:paraId="3E99B2A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7386B9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2E378CF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20BC91EE">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4693FD6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2CACD29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vMerge w:val="continue"/>
            <w:noWrap w:val="0"/>
            <w:tcMar>
              <w:top w:w="0" w:type="dxa"/>
              <w:left w:w="0" w:type="dxa"/>
              <w:bottom w:w="0" w:type="dxa"/>
              <w:right w:w="0" w:type="dxa"/>
            </w:tcMar>
            <w:vAlign w:val="center"/>
          </w:tcPr>
          <w:p w14:paraId="7CAB89E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p>
        </w:tc>
        <w:tc>
          <w:tcPr>
            <w:tcW w:w="561" w:type="pct"/>
            <w:noWrap w:val="0"/>
            <w:tcMar>
              <w:top w:w="0" w:type="dxa"/>
              <w:left w:w="0" w:type="dxa"/>
              <w:bottom w:w="0" w:type="dxa"/>
              <w:right w:w="0" w:type="dxa"/>
            </w:tcMar>
            <w:vAlign w:val="center"/>
          </w:tcPr>
          <w:p w14:paraId="2E4B9AF9">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rPr>
              <w:t>造成特别重大质量安全事故；或造成单位（子单位）工程存在严重缺陷，经返修和加固处理仍不能满足</w:t>
            </w:r>
            <w:r>
              <w:rPr>
                <w:rFonts w:hint="eastAsia" w:ascii="宋体" w:hAnsi="宋体" w:eastAsia="宋体" w:cs="宋体"/>
                <w:color w:val="000000"/>
                <w:sz w:val="18"/>
                <w:szCs w:val="18"/>
                <w:vertAlign w:val="baseline"/>
                <w:lang w:val="en-US" w:eastAsia="zh-CN"/>
              </w:rPr>
              <w:t>安全使用要求</w:t>
            </w:r>
          </w:p>
        </w:tc>
        <w:tc>
          <w:tcPr>
            <w:tcW w:w="873" w:type="pct"/>
            <w:noWrap w:val="0"/>
            <w:tcMar>
              <w:top w:w="0" w:type="dxa"/>
              <w:left w:w="0" w:type="dxa"/>
              <w:bottom w:w="0" w:type="dxa"/>
              <w:right w:w="0" w:type="dxa"/>
            </w:tcMar>
            <w:vAlign w:val="center"/>
          </w:tcPr>
          <w:p w14:paraId="7A7BDEB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处30万元的罚款；吊销资质证书；对单位直接负责的主管人员和其他直接责任人员处单位罚款数额10%的罚款</w:t>
            </w:r>
          </w:p>
        </w:tc>
        <w:tc>
          <w:tcPr>
            <w:tcW w:w="158" w:type="pct"/>
            <w:vMerge w:val="continue"/>
            <w:noWrap w:val="0"/>
            <w:tcMar>
              <w:top w:w="0" w:type="dxa"/>
              <w:left w:w="0" w:type="dxa"/>
              <w:bottom w:w="0" w:type="dxa"/>
              <w:right w:w="0" w:type="dxa"/>
            </w:tcMar>
            <w:vAlign w:val="center"/>
          </w:tcPr>
          <w:p w14:paraId="285BDC0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53D769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37E8794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4FB1A026">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566042E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restart"/>
            <w:noWrap w:val="0"/>
            <w:tcMar>
              <w:top w:w="0" w:type="dxa"/>
              <w:left w:w="0" w:type="dxa"/>
              <w:bottom w:w="0" w:type="dxa"/>
              <w:right w:w="0" w:type="dxa"/>
            </w:tcMar>
            <w:vAlign w:val="center"/>
          </w:tcPr>
          <w:p w14:paraId="706C625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设计单位未按照工程建设强制性标准进行设计的</w:t>
            </w:r>
          </w:p>
        </w:tc>
        <w:tc>
          <w:tcPr>
            <w:tcW w:w="174" w:type="pct"/>
            <w:noWrap w:val="0"/>
            <w:tcMar>
              <w:top w:w="0" w:type="dxa"/>
              <w:left w:w="0" w:type="dxa"/>
              <w:bottom w:w="0" w:type="dxa"/>
              <w:right w:w="0" w:type="dxa"/>
            </w:tcMar>
            <w:vAlign w:val="center"/>
          </w:tcPr>
          <w:p w14:paraId="5D8940D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轻微</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03FE9479">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61FB97DE">
            <w:pPr>
              <w:spacing w:line="260" w:lineRule="exact"/>
              <w:rPr>
                <w:rFonts w:hint="eastAsia" w:ascii="宋体" w:hAnsi="宋体" w:eastAsia="宋体" w:cs="宋体"/>
                <w:color w:val="000000"/>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45290B57">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697D6083">
            <w:pPr>
              <w:spacing w:line="260" w:lineRule="exact"/>
              <w:rPr>
                <w:rFonts w:hint="eastAsia" w:ascii="宋体" w:hAnsi="宋体" w:eastAsia="宋体" w:cs="宋体"/>
                <w:color w:val="000000"/>
                <w:kern w:val="2"/>
                <w:sz w:val="18"/>
                <w:szCs w:val="18"/>
                <w:vertAlign w:val="baseline"/>
                <w:lang w:val="en-US" w:eastAsia="zh-CN" w:bidi="ar-SA"/>
              </w:rPr>
            </w:pPr>
          </w:p>
        </w:tc>
        <w:tc>
          <w:tcPr>
            <w:tcW w:w="158" w:type="pct"/>
            <w:vMerge w:val="restart"/>
            <w:noWrap w:val="0"/>
            <w:tcMar>
              <w:top w:w="0" w:type="dxa"/>
              <w:left w:w="0" w:type="dxa"/>
              <w:bottom w:w="0" w:type="dxa"/>
              <w:right w:w="0" w:type="dxa"/>
            </w:tcMar>
            <w:vAlign w:val="center"/>
          </w:tcPr>
          <w:p w14:paraId="70A01A7B">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309893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4E5E3999">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5BFFAF66">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467E66F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7916AE5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59641CEC">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较轻</w:t>
            </w:r>
          </w:p>
        </w:tc>
        <w:tc>
          <w:tcPr>
            <w:tcW w:w="561" w:type="pct"/>
            <w:noWrap w:val="0"/>
            <w:tcMar>
              <w:top w:w="0" w:type="dxa"/>
              <w:left w:w="0" w:type="dxa"/>
              <w:bottom w:w="0" w:type="dxa"/>
              <w:right w:w="0" w:type="dxa"/>
            </w:tcMar>
            <w:vAlign w:val="center"/>
          </w:tcPr>
          <w:p w14:paraId="447B206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未按照1条工程建设强制</w:t>
            </w:r>
          </w:p>
          <w:p w14:paraId="241F600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性标准进行设计的</w:t>
            </w:r>
          </w:p>
        </w:tc>
        <w:tc>
          <w:tcPr>
            <w:tcW w:w="873" w:type="pct"/>
            <w:noWrap w:val="0"/>
            <w:tcMar>
              <w:top w:w="0" w:type="dxa"/>
              <w:left w:w="0" w:type="dxa"/>
              <w:bottom w:w="0" w:type="dxa"/>
              <w:right w:w="0" w:type="dxa"/>
            </w:tcMar>
            <w:vAlign w:val="center"/>
          </w:tcPr>
          <w:p w14:paraId="37EB079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处10万元以上20万元以下的罚款；对单位直接负责的主管人员和其他直接责任人员处单位罚款数额5%以上7.5%以下的罚款</w:t>
            </w:r>
          </w:p>
        </w:tc>
        <w:tc>
          <w:tcPr>
            <w:tcW w:w="158" w:type="pct"/>
            <w:vMerge w:val="continue"/>
            <w:noWrap w:val="0"/>
            <w:tcMar>
              <w:top w:w="0" w:type="dxa"/>
              <w:left w:w="0" w:type="dxa"/>
              <w:bottom w:w="0" w:type="dxa"/>
              <w:right w:w="0" w:type="dxa"/>
            </w:tcMar>
            <w:vAlign w:val="center"/>
          </w:tcPr>
          <w:p w14:paraId="742DA45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68A6AE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6B98E609">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643BA5BC">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1D92B71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75B3608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69CDB189">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一般</w:t>
            </w:r>
          </w:p>
        </w:tc>
        <w:tc>
          <w:tcPr>
            <w:tcW w:w="561" w:type="pct"/>
            <w:noWrap w:val="0"/>
            <w:tcMar>
              <w:top w:w="0" w:type="dxa"/>
              <w:left w:w="0" w:type="dxa"/>
              <w:bottom w:w="0" w:type="dxa"/>
              <w:right w:w="0" w:type="dxa"/>
            </w:tcMar>
            <w:vAlign w:val="center"/>
          </w:tcPr>
          <w:p w14:paraId="56BDA57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未按照2条及以上工程建设强制性标准进行设计的</w:t>
            </w:r>
          </w:p>
        </w:tc>
        <w:tc>
          <w:tcPr>
            <w:tcW w:w="873" w:type="pct"/>
            <w:noWrap w:val="0"/>
            <w:tcMar>
              <w:top w:w="0" w:type="dxa"/>
              <w:left w:w="0" w:type="dxa"/>
              <w:bottom w:w="0" w:type="dxa"/>
              <w:right w:w="0" w:type="dxa"/>
            </w:tcMar>
            <w:vAlign w:val="center"/>
          </w:tcPr>
          <w:p w14:paraId="7BCB182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处20万元以上30万元以下的罚款；对单位直接负责的主管人员和其他直接责任人员处单位罚款数额7.5%以上10%以下的罚款</w:t>
            </w:r>
          </w:p>
        </w:tc>
        <w:tc>
          <w:tcPr>
            <w:tcW w:w="158" w:type="pct"/>
            <w:vMerge w:val="continue"/>
            <w:noWrap w:val="0"/>
            <w:tcMar>
              <w:top w:w="0" w:type="dxa"/>
              <w:left w:w="0" w:type="dxa"/>
              <w:bottom w:w="0" w:type="dxa"/>
              <w:right w:w="0" w:type="dxa"/>
            </w:tcMar>
            <w:vAlign w:val="center"/>
          </w:tcPr>
          <w:p w14:paraId="62D30CC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4707B2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4B6B3EBD">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623CD806">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527851B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17E9474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vMerge w:val="restart"/>
            <w:noWrap w:val="0"/>
            <w:tcMar>
              <w:top w:w="0" w:type="dxa"/>
              <w:left w:w="0" w:type="dxa"/>
              <w:bottom w:w="0" w:type="dxa"/>
              <w:right w:w="0" w:type="dxa"/>
            </w:tcMar>
            <w:vAlign w:val="center"/>
          </w:tcPr>
          <w:p w14:paraId="73BC6600">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较重</w:t>
            </w:r>
          </w:p>
        </w:tc>
        <w:tc>
          <w:tcPr>
            <w:tcW w:w="561" w:type="pct"/>
            <w:noWrap w:val="0"/>
            <w:tcMar>
              <w:top w:w="0" w:type="dxa"/>
              <w:left w:w="0" w:type="dxa"/>
              <w:bottom w:w="0" w:type="dxa"/>
              <w:right w:w="0" w:type="dxa"/>
            </w:tcMar>
            <w:vAlign w:val="center"/>
          </w:tcPr>
          <w:p w14:paraId="74E4D1F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造成多于3人少于5人死亡，或者多于10人少于20人重伤，或者多于1000万元少于2000万元直接经济损失的</w:t>
            </w:r>
          </w:p>
        </w:tc>
        <w:tc>
          <w:tcPr>
            <w:tcW w:w="873" w:type="pct"/>
            <w:noWrap w:val="0"/>
            <w:tcMar>
              <w:top w:w="0" w:type="dxa"/>
              <w:left w:w="0" w:type="dxa"/>
              <w:bottom w:w="0" w:type="dxa"/>
              <w:right w:w="0" w:type="dxa"/>
            </w:tcMar>
            <w:vAlign w:val="center"/>
          </w:tcPr>
          <w:p w14:paraId="596EF30C">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处30万元的罚款；责令停业整顿60-90日；对单位直接负责的主管人员和其他直接责任人员处单位罚款数额10%的罚款</w:t>
            </w:r>
          </w:p>
        </w:tc>
        <w:tc>
          <w:tcPr>
            <w:tcW w:w="158" w:type="pct"/>
            <w:vMerge w:val="continue"/>
            <w:noWrap w:val="0"/>
            <w:tcMar>
              <w:top w:w="0" w:type="dxa"/>
              <w:left w:w="0" w:type="dxa"/>
              <w:bottom w:w="0" w:type="dxa"/>
              <w:right w:w="0" w:type="dxa"/>
            </w:tcMar>
            <w:vAlign w:val="center"/>
          </w:tcPr>
          <w:p w14:paraId="2C8E562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59D1A0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640" w:hRule="atLeast"/>
          <w:jc w:val="center"/>
        </w:trPr>
        <w:tc>
          <w:tcPr>
            <w:tcW w:w="156" w:type="pct"/>
            <w:vMerge w:val="continue"/>
            <w:noWrap w:val="0"/>
            <w:tcMar>
              <w:top w:w="0" w:type="dxa"/>
              <w:left w:w="0" w:type="dxa"/>
              <w:bottom w:w="0" w:type="dxa"/>
              <w:right w:w="0" w:type="dxa"/>
            </w:tcMar>
            <w:vAlign w:val="center"/>
          </w:tcPr>
          <w:p w14:paraId="43EE39BD">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5A1BC55A">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73DA38AC">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7F62D5A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vMerge w:val="continue"/>
            <w:noWrap w:val="0"/>
            <w:tcMar>
              <w:top w:w="0" w:type="dxa"/>
              <w:left w:w="0" w:type="dxa"/>
              <w:bottom w:w="0" w:type="dxa"/>
              <w:right w:w="0" w:type="dxa"/>
            </w:tcMar>
            <w:vAlign w:val="center"/>
          </w:tcPr>
          <w:p w14:paraId="542AE1D8">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p>
        </w:tc>
        <w:tc>
          <w:tcPr>
            <w:tcW w:w="561" w:type="pct"/>
            <w:noWrap w:val="0"/>
            <w:tcMar>
              <w:top w:w="0" w:type="dxa"/>
              <w:left w:w="0" w:type="dxa"/>
              <w:bottom w:w="0" w:type="dxa"/>
              <w:right w:w="0" w:type="dxa"/>
            </w:tcMar>
            <w:vAlign w:val="center"/>
          </w:tcPr>
          <w:p w14:paraId="49E4BA7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造成多于5人少于7人死亡，或者多于20人少于30人重伤，或者多于2000万元少于3000万元直接经济损失的</w:t>
            </w:r>
          </w:p>
        </w:tc>
        <w:tc>
          <w:tcPr>
            <w:tcW w:w="873" w:type="pct"/>
            <w:noWrap w:val="0"/>
            <w:tcMar>
              <w:top w:w="0" w:type="dxa"/>
              <w:left w:w="0" w:type="dxa"/>
              <w:bottom w:w="0" w:type="dxa"/>
              <w:right w:w="0" w:type="dxa"/>
            </w:tcMar>
            <w:vAlign w:val="center"/>
          </w:tcPr>
          <w:p w14:paraId="3BCD069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处30万元的罚款；责令停业整顿90-120日；对单位直接负责的主管人员和其他直接责任人员处单位罚款数额10%的罚款</w:t>
            </w:r>
          </w:p>
        </w:tc>
        <w:tc>
          <w:tcPr>
            <w:tcW w:w="158" w:type="pct"/>
            <w:vMerge w:val="continue"/>
            <w:noWrap w:val="0"/>
            <w:tcMar>
              <w:top w:w="0" w:type="dxa"/>
              <w:left w:w="0" w:type="dxa"/>
              <w:bottom w:w="0" w:type="dxa"/>
              <w:right w:w="0" w:type="dxa"/>
            </w:tcMar>
            <w:vAlign w:val="center"/>
          </w:tcPr>
          <w:p w14:paraId="18BD574B">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7FD8B9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173F650C">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2395C7D5">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031D266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01B1830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0ACD5619">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r>
              <w:rPr>
                <w:rFonts w:hint="eastAsia" w:ascii="宋体" w:hAnsi="宋体" w:eastAsia="宋体" w:cs="宋体"/>
                <w:sz w:val="18"/>
                <w:szCs w:val="18"/>
                <w:vertAlign w:val="baseline"/>
                <w:lang w:val="en-US" w:eastAsia="zh-CN"/>
              </w:rPr>
              <w:t>较重</w:t>
            </w:r>
          </w:p>
        </w:tc>
        <w:tc>
          <w:tcPr>
            <w:tcW w:w="561" w:type="pct"/>
            <w:noWrap w:val="0"/>
            <w:tcMar>
              <w:top w:w="0" w:type="dxa"/>
              <w:left w:w="0" w:type="dxa"/>
              <w:bottom w:w="0" w:type="dxa"/>
              <w:right w:w="0" w:type="dxa"/>
            </w:tcMar>
            <w:vAlign w:val="center"/>
          </w:tcPr>
          <w:p w14:paraId="02FE0EDE">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造成多于7人少于10人死亡，或者多于30人少于50人重伤，或者多于3000万元少于5000万元直接经济损失的</w:t>
            </w:r>
          </w:p>
        </w:tc>
        <w:tc>
          <w:tcPr>
            <w:tcW w:w="873" w:type="pct"/>
            <w:noWrap w:val="0"/>
            <w:tcMar>
              <w:top w:w="0" w:type="dxa"/>
              <w:left w:w="0" w:type="dxa"/>
              <w:bottom w:w="0" w:type="dxa"/>
              <w:right w:w="0" w:type="dxa"/>
            </w:tcMar>
            <w:vAlign w:val="center"/>
          </w:tcPr>
          <w:p w14:paraId="11B4DF0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处30万元的罚款；责令停业整顿120-180日；对单位直接负责的主管人员和其他直接责任人员处单位罚款数额10%的罚款</w:t>
            </w:r>
          </w:p>
        </w:tc>
        <w:tc>
          <w:tcPr>
            <w:tcW w:w="158" w:type="pct"/>
            <w:vMerge w:val="continue"/>
            <w:noWrap w:val="0"/>
            <w:tcMar>
              <w:top w:w="0" w:type="dxa"/>
              <w:left w:w="0" w:type="dxa"/>
              <w:bottom w:w="0" w:type="dxa"/>
              <w:right w:w="0" w:type="dxa"/>
            </w:tcMar>
            <w:vAlign w:val="center"/>
          </w:tcPr>
          <w:p w14:paraId="65499AFD">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0505A0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14AEC8E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2AE1469E">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4254B93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0374774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vMerge w:val="restart"/>
            <w:noWrap w:val="0"/>
            <w:tcMar>
              <w:top w:w="0" w:type="dxa"/>
              <w:left w:w="0" w:type="dxa"/>
              <w:bottom w:w="0" w:type="dxa"/>
              <w:right w:w="0" w:type="dxa"/>
            </w:tcMar>
            <w:vAlign w:val="center"/>
          </w:tcPr>
          <w:p w14:paraId="139BE635">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严重</w:t>
            </w:r>
          </w:p>
        </w:tc>
        <w:tc>
          <w:tcPr>
            <w:tcW w:w="561" w:type="pct"/>
            <w:noWrap w:val="0"/>
            <w:tcMar>
              <w:top w:w="0" w:type="dxa"/>
              <w:left w:w="0" w:type="dxa"/>
              <w:bottom w:w="0" w:type="dxa"/>
              <w:right w:w="0" w:type="dxa"/>
            </w:tcMar>
            <w:vAlign w:val="center"/>
          </w:tcPr>
          <w:p w14:paraId="2C2481D7">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造成重大质量安全事故；或造成分部工程存在严重缺陷，经返修和加固处理仍不能满足安全使用要求</w:t>
            </w:r>
          </w:p>
        </w:tc>
        <w:tc>
          <w:tcPr>
            <w:tcW w:w="873" w:type="pct"/>
            <w:noWrap w:val="0"/>
            <w:tcMar>
              <w:top w:w="0" w:type="dxa"/>
              <w:left w:w="0" w:type="dxa"/>
              <w:bottom w:w="0" w:type="dxa"/>
              <w:right w:w="0" w:type="dxa"/>
            </w:tcMar>
            <w:vAlign w:val="center"/>
          </w:tcPr>
          <w:p w14:paraId="2A7175B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处30万元的罚款；降低资质等级；对单位直接负责的主管人员和其他直接责任人员处单位罚款数额10%的罚款</w:t>
            </w:r>
          </w:p>
        </w:tc>
        <w:tc>
          <w:tcPr>
            <w:tcW w:w="158" w:type="pct"/>
            <w:vMerge w:val="continue"/>
            <w:noWrap w:val="0"/>
            <w:tcMar>
              <w:top w:w="0" w:type="dxa"/>
              <w:left w:w="0" w:type="dxa"/>
              <w:bottom w:w="0" w:type="dxa"/>
              <w:right w:w="0" w:type="dxa"/>
            </w:tcMar>
            <w:vAlign w:val="center"/>
          </w:tcPr>
          <w:p w14:paraId="6905379A">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1997F4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066E602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4FDD185B">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3498128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6F80CEF4">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vMerge w:val="continue"/>
            <w:noWrap w:val="0"/>
            <w:tcMar>
              <w:top w:w="0" w:type="dxa"/>
              <w:left w:w="0" w:type="dxa"/>
              <w:bottom w:w="0" w:type="dxa"/>
              <w:right w:w="0" w:type="dxa"/>
            </w:tcMar>
            <w:vAlign w:val="center"/>
          </w:tcPr>
          <w:p w14:paraId="0F185A7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p>
        </w:tc>
        <w:tc>
          <w:tcPr>
            <w:tcW w:w="561" w:type="pct"/>
            <w:noWrap w:val="0"/>
            <w:tcMar>
              <w:top w:w="0" w:type="dxa"/>
              <w:left w:w="0" w:type="dxa"/>
              <w:bottom w:w="0" w:type="dxa"/>
              <w:right w:w="0" w:type="dxa"/>
            </w:tcMar>
            <w:vAlign w:val="center"/>
          </w:tcPr>
          <w:p w14:paraId="261067C4">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造成特别重大质量安全事故；或造成单位（子单位）工程存在严重缺陷，经返修和加固处理仍不能满足安全使用要求</w:t>
            </w:r>
          </w:p>
        </w:tc>
        <w:tc>
          <w:tcPr>
            <w:tcW w:w="873" w:type="pct"/>
            <w:noWrap w:val="0"/>
            <w:tcMar>
              <w:top w:w="0" w:type="dxa"/>
              <w:left w:w="0" w:type="dxa"/>
              <w:bottom w:w="0" w:type="dxa"/>
              <w:right w:w="0" w:type="dxa"/>
            </w:tcMar>
            <w:vAlign w:val="center"/>
          </w:tcPr>
          <w:p w14:paraId="23A62E0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处30万元的罚款；吊销资质证书；对单位直接负责的主管人员和其他直接责任人员处单位罚款数额10%的罚款</w:t>
            </w:r>
          </w:p>
        </w:tc>
        <w:tc>
          <w:tcPr>
            <w:tcW w:w="158" w:type="pct"/>
            <w:vMerge w:val="continue"/>
            <w:noWrap w:val="0"/>
            <w:tcMar>
              <w:top w:w="0" w:type="dxa"/>
              <w:left w:w="0" w:type="dxa"/>
              <w:bottom w:w="0" w:type="dxa"/>
              <w:right w:w="0" w:type="dxa"/>
            </w:tcMar>
            <w:vAlign w:val="center"/>
          </w:tcPr>
          <w:p w14:paraId="6E7CC86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5BF3AA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restart"/>
            <w:noWrap w:val="0"/>
            <w:tcMar>
              <w:top w:w="0" w:type="dxa"/>
              <w:left w:w="0" w:type="dxa"/>
              <w:bottom w:w="0" w:type="dxa"/>
              <w:right w:w="0" w:type="dxa"/>
            </w:tcMar>
            <w:vAlign w:val="center"/>
          </w:tcPr>
          <w:p w14:paraId="4BA5713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default" w:ascii="宋体" w:hAnsi="宋体" w:eastAsia="宋体" w:cs="宋体"/>
                <w:color w:val="000000"/>
                <w:sz w:val="18"/>
                <w:szCs w:val="18"/>
                <w:shd w:val="clear" w:color="auto" w:fill="auto"/>
                <w:vertAlign w:val="baseline"/>
                <w:lang w:val="en-US" w:eastAsia="zh-CN"/>
              </w:rPr>
            </w:pPr>
            <w:r>
              <w:rPr>
                <w:rFonts w:hint="eastAsia" w:ascii="宋体" w:hAnsi="宋体" w:eastAsia="宋体" w:cs="宋体"/>
                <w:color w:val="000000"/>
                <w:sz w:val="18"/>
                <w:szCs w:val="18"/>
                <w:shd w:val="clear" w:color="auto" w:fill="auto"/>
                <w:vertAlign w:val="baseline"/>
                <w:lang w:val="en-US" w:eastAsia="zh-CN"/>
              </w:rPr>
              <w:t>75</w:t>
            </w:r>
          </w:p>
        </w:tc>
        <w:tc>
          <w:tcPr>
            <w:tcW w:w="415" w:type="pct"/>
            <w:vMerge w:val="restart"/>
            <w:noWrap w:val="0"/>
            <w:tcMar>
              <w:top w:w="0" w:type="dxa"/>
              <w:left w:w="0" w:type="dxa"/>
              <w:bottom w:w="0" w:type="dxa"/>
              <w:right w:w="0" w:type="dxa"/>
            </w:tcMar>
            <w:vAlign w:val="center"/>
          </w:tcPr>
          <w:p w14:paraId="7249CE50">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对水利领域工程勘察企业使用不满足相关规定的勘察仪器、设备，关键岗位作业人员未接受专业培训等行为的行政处罚</w:t>
            </w:r>
          </w:p>
        </w:tc>
        <w:tc>
          <w:tcPr>
            <w:tcW w:w="2168" w:type="pct"/>
            <w:vMerge w:val="restart"/>
            <w:noWrap w:val="0"/>
            <w:tcMar>
              <w:top w:w="0" w:type="dxa"/>
              <w:left w:w="0" w:type="dxa"/>
              <w:bottom w:w="0" w:type="dxa"/>
              <w:right w:w="0" w:type="dxa"/>
            </w:tcMar>
            <w:vAlign w:val="center"/>
          </w:tcPr>
          <w:p w14:paraId="1A679BC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《建设工程勘察质量管理办法》第二十四条 违反本办法规定，工程勘察企业有下列行为之一的，由工程勘察质量监督部门责令改正，处1万元以上3万元以下的罚款：</w:t>
            </w:r>
          </w:p>
          <w:p w14:paraId="2220D23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（一）使用的勘察仪器、设备不满足相关规定；</w:t>
            </w:r>
          </w:p>
          <w:p w14:paraId="627D3A4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（二）司钻员、描述员、土工试验员等关键岗位作业人员未接受专业培训；</w:t>
            </w:r>
          </w:p>
          <w:p w14:paraId="2E033C3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（三）未按规定参加建设单位组织的勘察技术交底或者验槽；</w:t>
            </w:r>
          </w:p>
          <w:p w14:paraId="7642B05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（四）原始记录弄虚作假；</w:t>
            </w:r>
          </w:p>
          <w:p w14:paraId="69AC1CAC">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（五）未将钻探、取样、原位测试、室内试验等主要过程的影像资料留存备查；</w:t>
            </w:r>
          </w:p>
          <w:p w14:paraId="32F7DC4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（六）未按规定及时将工程勘察文件和勘探、试验、测试原始记录及成果、质量安全管理记录归档保存。</w:t>
            </w:r>
          </w:p>
        </w:tc>
        <w:tc>
          <w:tcPr>
            <w:tcW w:w="491" w:type="pct"/>
            <w:vMerge w:val="restart"/>
            <w:noWrap w:val="0"/>
            <w:tcMar>
              <w:top w:w="0" w:type="dxa"/>
              <w:left w:w="0" w:type="dxa"/>
              <w:bottom w:w="0" w:type="dxa"/>
              <w:right w:w="0" w:type="dxa"/>
            </w:tcMar>
            <w:vAlign w:val="center"/>
          </w:tcPr>
          <w:p w14:paraId="7698718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水利领域工程勘察企业使用不满足相关规定的勘察仪器、设备的</w:t>
            </w:r>
          </w:p>
        </w:tc>
        <w:tc>
          <w:tcPr>
            <w:tcW w:w="174" w:type="pct"/>
            <w:noWrap w:val="0"/>
            <w:tcMar>
              <w:top w:w="0" w:type="dxa"/>
              <w:left w:w="0" w:type="dxa"/>
              <w:bottom w:w="0" w:type="dxa"/>
              <w:right w:w="0" w:type="dxa"/>
            </w:tcMar>
            <w:vAlign w:val="center"/>
          </w:tcPr>
          <w:p w14:paraId="7510FE29">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轻微</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705BAF7F">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69435AC9">
            <w:pPr>
              <w:spacing w:line="260" w:lineRule="exact"/>
              <w:rPr>
                <w:rFonts w:hint="eastAsia" w:ascii="宋体" w:hAnsi="宋体" w:eastAsia="宋体" w:cs="宋体"/>
                <w:color w:val="000000"/>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183FA2E6">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6EAB5BBC">
            <w:pPr>
              <w:spacing w:line="260" w:lineRule="exact"/>
              <w:rPr>
                <w:rFonts w:hint="eastAsia" w:ascii="宋体" w:hAnsi="宋体" w:eastAsia="宋体" w:cs="宋体"/>
                <w:color w:val="000000"/>
                <w:kern w:val="2"/>
                <w:sz w:val="18"/>
                <w:szCs w:val="18"/>
                <w:vertAlign w:val="baseline"/>
                <w:lang w:val="en-US" w:eastAsia="zh-CN" w:bidi="ar-SA"/>
              </w:rPr>
            </w:pPr>
          </w:p>
        </w:tc>
        <w:tc>
          <w:tcPr>
            <w:tcW w:w="158" w:type="pct"/>
            <w:vMerge w:val="restart"/>
            <w:noWrap w:val="0"/>
            <w:tcMar>
              <w:top w:w="0" w:type="dxa"/>
              <w:left w:w="0" w:type="dxa"/>
              <w:bottom w:w="0" w:type="dxa"/>
              <w:right w:w="0" w:type="dxa"/>
            </w:tcMar>
            <w:vAlign w:val="center"/>
          </w:tcPr>
          <w:p w14:paraId="74A89D1D">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53761A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4BD251FD">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33EB40D4">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73D11A3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27958EA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5D90AA2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较轻</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00149768">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6CB41558">
            <w:pPr>
              <w:spacing w:line="260" w:lineRule="exact"/>
              <w:rPr>
                <w:rFonts w:hint="eastAsia" w:ascii="宋体" w:hAnsi="宋体" w:eastAsia="宋体" w:cs="宋体"/>
                <w:color w:val="000000"/>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6C0763A7">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1F25A1B9">
            <w:pPr>
              <w:spacing w:line="260" w:lineRule="exact"/>
              <w:rPr>
                <w:rFonts w:hint="eastAsia" w:ascii="宋体" w:hAnsi="宋体" w:eastAsia="宋体" w:cs="宋体"/>
                <w:color w:val="000000"/>
                <w:kern w:val="2"/>
                <w:sz w:val="18"/>
                <w:szCs w:val="18"/>
                <w:vertAlign w:val="baseline"/>
                <w:lang w:val="en-US" w:eastAsia="zh-CN" w:bidi="ar-SA"/>
              </w:rPr>
            </w:pPr>
          </w:p>
        </w:tc>
        <w:tc>
          <w:tcPr>
            <w:tcW w:w="158" w:type="pct"/>
            <w:vMerge w:val="continue"/>
            <w:noWrap w:val="0"/>
            <w:tcMar>
              <w:top w:w="0" w:type="dxa"/>
              <w:left w:w="0" w:type="dxa"/>
              <w:bottom w:w="0" w:type="dxa"/>
              <w:right w:w="0" w:type="dxa"/>
            </w:tcMar>
            <w:vAlign w:val="center"/>
          </w:tcPr>
          <w:p w14:paraId="5360290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7C805A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1E59015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7154BD92">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2AFCE2B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0CD79A4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378AB101">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一般</w:t>
            </w:r>
          </w:p>
        </w:tc>
        <w:tc>
          <w:tcPr>
            <w:tcW w:w="561" w:type="pct"/>
            <w:noWrap w:val="0"/>
            <w:tcMar>
              <w:top w:w="0" w:type="dxa"/>
              <w:left w:w="0" w:type="dxa"/>
              <w:bottom w:w="0" w:type="dxa"/>
              <w:right w:w="0" w:type="dxa"/>
            </w:tcMar>
            <w:vAlign w:val="center"/>
          </w:tcPr>
          <w:p w14:paraId="787AC65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sz w:val="18"/>
                <w:szCs w:val="18"/>
                <w:vertAlign w:val="baseline"/>
              </w:rPr>
              <w:t>及时改正的</w:t>
            </w:r>
          </w:p>
        </w:tc>
        <w:tc>
          <w:tcPr>
            <w:tcW w:w="873" w:type="pct"/>
            <w:noWrap w:val="0"/>
            <w:tcMar>
              <w:top w:w="0" w:type="dxa"/>
              <w:left w:w="0" w:type="dxa"/>
              <w:bottom w:w="0" w:type="dxa"/>
              <w:right w:w="0" w:type="dxa"/>
            </w:tcMar>
            <w:vAlign w:val="center"/>
          </w:tcPr>
          <w:p w14:paraId="61D80BF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处1万元以上1.5万元以下的罚款；对企业的法定代表人和其他直接责任人员处以企业罚款数额的5%以上6.5%以下的罚款</w:t>
            </w:r>
          </w:p>
        </w:tc>
        <w:tc>
          <w:tcPr>
            <w:tcW w:w="158" w:type="pct"/>
            <w:vMerge w:val="continue"/>
            <w:noWrap w:val="0"/>
            <w:tcMar>
              <w:top w:w="0" w:type="dxa"/>
              <w:left w:w="0" w:type="dxa"/>
              <w:bottom w:w="0" w:type="dxa"/>
              <w:right w:w="0" w:type="dxa"/>
            </w:tcMar>
            <w:vAlign w:val="center"/>
          </w:tcPr>
          <w:p w14:paraId="152DD219">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3FFFD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4E84C8E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1950A343">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377ECA2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7252F567">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41B22AC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较重</w:t>
            </w:r>
          </w:p>
        </w:tc>
        <w:tc>
          <w:tcPr>
            <w:tcW w:w="561" w:type="pct"/>
            <w:noWrap w:val="0"/>
            <w:tcMar>
              <w:top w:w="0" w:type="dxa"/>
              <w:left w:w="0" w:type="dxa"/>
              <w:bottom w:w="0" w:type="dxa"/>
              <w:right w:w="0" w:type="dxa"/>
            </w:tcMar>
            <w:vAlign w:val="center"/>
          </w:tcPr>
          <w:p w14:paraId="1BC33B7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未在规定期限内改正的</w:t>
            </w:r>
          </w:p>
        </w:tc>
        <w:tc>
          <w:tcPr>
            <w:tcW w:w="873" w:type="pct"/>
            <w:noWrap w:val="0"/>
            <w:tcMar>
              <w:top w:w="0" w:type="dxa"/>
              <w:left w:w="0" w:type="dxa"/>
              <w:bottom w:w="0" w:type="dxa"/>
              <w:right w:w="0" w:type="dxa"/>
            </w:tcMar>
            <w:vAlign w:val="center"/>
          </w:tcPr>
          <w:p w14:paraId="3137F2F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处1.5万元以上2.5万元以下的罚款；对企业的法定代表人和其他直接责任人员处以企业罚款数额的6.5%以上8.5%以下的罚款</w:t>
            </w:r>
          </w:p>
        </w:tc>
        <w:tc>
          <w:tcPr>
            <w:tcW w:w="158" w:type="pct"/>
            <w:vMerge w:val="continue"/>
            <w:noWrap w:val="0"/>
            <w:tcMar>
              <w:top w:w="0" w:type="dxa"/>
              <w:left w:w="0" w:type="dxa"/>
              <w:bottom w:w="0" w:type="dxa"/>
              <w:right w:w="0" w:type="dxa"/>
            </w:tcMar>
            <w:vAlign w:val="center"/>
          </w:tcPr>
          <w:p w14:paraId="669FCB9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2D19FA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195" w:hRule="atLeast"/>
          <w:jc w:val="center"/>
        </w:trPr>
        <w:tc>
          <w:tcPr>
            <w:tcW w:w="156" w:type="pct"/>
            <w:vMerge w:val="continue"/>
            <w:noWrap w:val="0"/>
            <w:tcMar>
              <w:top w:w="0" w:type="dxa"/>
              <w:left w:w="0" w:type="dxa"/>
              <w:bottom w:w="0" w:type="dxa"/>
              <w:right w:w="0" w:type="dxa"/>
            </w:tcMar>
            <w:vAlign w:val="center"/>
          </w:tcPr>
          <w:p w14:paraId="7588F501">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41AC0BB6">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7F1E64D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4CD1AD7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73014B29">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严重</w:t>
            </w:r>
          </w:p>
        </w:tc>
        <w:tc>
          <w:tcPr>
            <w:tcW w:w="561" w:type="pct"/>
            <w:noWrap w:val="0"/>
            <w:tcMar>
              <w:top w:w="0" w:type="dxa"/>
              <w:left w:w="0" w:type="dxa"/>
              <w:bottom w:w="0" w:type="dxa"/>
              <w:right w:w="0" w:type="dxa"/>
            </w:tcMar>
            <w:vAlign w:val="center"/>
          </w:tcPr>
          <w:p w14:paraId="08D8086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拒不改正的；造成严重危害后果的</w:t>
            </w:r>
          </w:p>
        </w:tc>
        <w:tc>
          <w:tcPr>
            <w:tcW w:w="873" w:type="pct"/>
            <w:noWrap w:val="0"/>
            <w:tcMar>
              <w:top w:w="0" w:type="dxa"/>
              <w:left w:w="0" w:type="dxa"/>
              <w:bottom w:w="0" w:type="dxa"/>
              <w:right w:w="0" w:type="dxa"/>
            </w:tcMar>
            <w:vAlign w:val="center"/>
          </w:tcPr>
          <w:p w14:paraId="7C138BC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处2.5万元以上3万元以下的罚款；对企业的法定代表人和其他直接责任人员处以企业罚款数额的8.5%以上10%以下的罚款</w:t>
            </w:r>
          </w:p>
        </w:tc>
        <w:tc>
          <w:tcPr>
            <w:tcW w:w="158" w:type="pct"/>
            <w:vMerge w:val="continue"/>
            <w:noWrap w:val="0"/>
            <w:tcMar>
              <w:top w:w="0" w:type="dxa"/>
              <w:left w:w="0" w:type="dxa"/>
              <w:bottom w:w="0" w:type="dxa"/>
              <w:right w:w="0" w:type="dxa"/>
            </w:tcMar>
            <w:vAlign w:val="center"/>
          </w:tcPr>
          <w:p w14:paraId="673ED16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75BA93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1FFE15BB">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2B7E40B8">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21ACBFE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restart"/>
            <w:noWrap w:val="0"/>
            <w:tcMar>
              <w:top w:w="0" w:type="dxa"/>
              <w:left w:w="0" w:type="dxa"/>
              <w:bottom w:w="0" w:type="dxa"/>
              <w:right w:w="0" w:type="dxa"/>
            </w:tcMar>
            <w:vAlign w:val="center"/>
          </w:tcPr>
          <w:p w14:paraId="5254375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工程勘察企业司钻员、描述员、土工试验员等关键岗位作业人员未接受专业培训的</w:t>
            </w:r>
          </w:p>
        </w:tc>
        <w:tc>
          <w:tcPr>
            <w:tcW w:w="174" w:type="pct"/>
            <w:noWrap w:val="0"/>
            <w:tcMar>
              <w:top w:w="0" w:type="dxa"/>
              <w:left w:w="0" w:type="dxa"/>
              <w:bottom w:w="0" w:type="dxa"/>
              <w:right w:w="0" w:type="dxa"/>
            </w:tcMar>
            <w:vAlign w:val="center"/>
          </w:tcPr>
          <w:p w14:paraId="7E46104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轻微</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395A6B32">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02DE2784">
            <w:pPr>
              <w:spacing w:line="260" w:lineRule="exact"/>
              <w:rPr>
                <w:rFonts w:hint="eastAsia" w:ascii="宋体" w:hAnsi="宋体" w:eastAsia="宋体" w:cs="宋体"/>
                <w:color w:val="000000"/>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36512E03">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5DA477E4">
            <w:pPr>
              <w:spacing w:line="260" w:lineRule="exact"/>
              <w:rPr>
                <w:rFonts w:hint="eastAsia" w:ascii="宋体" w:hAnsi="宋体" w:eastAsia="宋体" w:cs="宋体"/>
                <w:color w:val="000000"/>
                <w:kern w:val="2"/>
                <w:sz w:val="18"/>
                <w:szCs w:val="18"/>
                <w:vertAlign w:val="baseline"/>
                <w:lang w:val="en-US" w:eastAsia="zh-CN" w:bidi="ar-SA"/>
              </w:rPr>
            </w:pPr>
          </w:p>
        </w:tc>
        <w:tc>
          <w:tcPr>
            <w:tcW w:w="158" w:type="pct"/>
            <w:vMerge w:val="restart"/>
            <w:noWrap w:val="0"/>
            <w:tcMar>
              <w:top w:w="0" w:type="dxa"/>
              <w:left w:w="0" w:type="dxa"/>
              <w:bottom w:w="0" w:type="dxa"/>
              <w:right w:w="0" w:type="dxa"/>
            </w:tcMar>
            <w:vAlign w:val="center"/>
          </w:tcPr>
          <w:p w14:paraId="380E15C9">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28CDB3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4D72804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1732E571">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06205BC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62DCF24C">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2F21F05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较轻</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62D03732">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47030E63">
            <w:pPr>
              <w:spacing w:line="260" w:lineRule="exact"/>
              <w:rPr>
                <w:rFonts w:hint="eastAsia" w:ascii="宋体" w:hAnsi="宋体" w:eastAsia="宋体" w:cs="宋体"/>
                <w:color w:val="000000"/>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4C255C27">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4CB3D0AA">
            <w:pPr>
              <w:spacing w:line="260" w:lineRule="exact"/>
              <w:rPr>
                <w:rFonts w:hint="eastAsia" w:ascii="宋体" w:hAnsi="宋体" w:eastAsia="宋体" w:cs="宋体"/>
                <w:color w:val="000000"/>
                <w:kern w:val="2"/>
                <w:sz w:val="18"/>
                <w:szCs w:val="18"/>
                <w:vertAlign w:val="baseline"/>
                <w:lang w:val="en-US" w:eastAsia="zh-CN" w:bidi="ar-SA"/>
              </w:rPr>
            </w:pPr>
          </w:p>
        </w:tc>
        <w:tc>
          <w:tcPr>
            <w:tcW w:w="158" w:type="pct"/>
            <w:vMerge w:val="continue"/>
            <w:noWrap w:val="0"/>
            <w:tcMar>
              <w:top w:w="0" w:type="dxa"/>
              <w:left w:w="0" w:type="dxa"/>
              <w:bottom w:w="0" w:type="dxa"/>
              <w:right w:w="0" w:type="dxa"/>
            </w:tcMar>
            <w:vAlign w:val="center"/>
          </w:tcPr>
          <w:p w14:paraId="062CC62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0DFCA1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7F0BAFB8">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251B1B45">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437256E4">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0747329C">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40E402ED">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一般</w:t>
            </w:r>
          </w:p>
        </w:tc>
        <w:tc>
          <w:tcPr>
            <w:tcW w:w="561" w:type="pct"/>
            <w:noWrap w:val="0"/>
            <w:tcMar>
              <w:top w:w="0" w:type="dxa"/>
              <w:left w:w="0" w:type="dxa"/>
              <w:bottom w:w="0" w:type="dxa"/>
              <w:right w:w="0" w:type="dxa"/>
            </w:tcMar>
            <w:vAlign w:val="center"/>
          </w:tcPr>
          <w:p w14:paraId="0D4753C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sz w:val="18"/>
                <w:szCs w:val="18"/>
                <w:vertAlign w:val="baseline"/>
              </w:rPr>
              <w:t>及时改正的</w:t>
            </w:r>
          </w:p>
        </w:tc>
        <w:tc>
          <w:tcPr>
            <w:tcW w:w="873" w:type="pct"/>
            <w:noWrap w:val="0"/>
            <w:tcMar>
              <w:top w:w="0" w:type="dxa"/>
              <w:left w:w="0" w:type="dxa"/>
              <w:bottom w:w="0" w:type="dxa"/>
              <w:right w:w="0" w:type="dxa"/>
            </w:tcMar>
            <w:vAlign w:val="center"/>
          </w:tcPr>
          <w:p w14:paraId="442F52A4">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处1万元以上1.5万元以下的罚款；对企业的法定代表人和其他直接责任人员处以企业罚款数额的5%以上6.5%以下的罚款</w:t>
            </w:r>
          </w:p>
        </w:tc>
        <w:tc>
          <w:tcPr>
            <w:tcW w:w="158" w:type="pct"/>
            <w:vMerge w:val="continue"/>
            <w:noWrap w:val="0"/>
            <w:tcMar>
              <w:top w:w="0" w:type="dxa"/>
              <w:left w:w="0" w:type="dxa"/>
              <w:bottom w:w="0" w:type="dxa"/>
              <w:right w:w="0" w:type="dxa"/>
            </w:tcMar>
            <w:vAlign w:val="center"/>
          </w:tcPr>
          <w:p w14:paraId="0976B1AA">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307935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49794DE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4E52954C">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1B39439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44FF217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0AF5823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较重</w:t>
            </w:r>
          </w:p>
        </w:tc>
        <w:tc>
          <w:tcPr>
            <w:tcW w:w="561" w:type="pct"/>
            <w:noWrap w:val="0"/>
            <w:tcMar>
              <w:top w:w="0" w:type="dxa"/>
              <w:left w:w="0" w:type="dxa"/>
              <w:bottom w:w="0" w:type="dxa"/>
              <w:right w:w="0" w:type="dxa"/>
            </w:tcMar>
            <w:vAlign w:val="center"/>
          </w:tcPr>
          <w:p w14:paraId="033D14E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未在规定期限内改正的</w:t>
            </w:r>
          </w:p>
        </w:tc>
        <w:tc>
          <w:tcPr>
            <w:tcW w:w="873" w:type="pct"/>
            <w:noWrap w:val="0"/>
            <w:tcMar>
              <w:top w:w="0" w:type="dxa"/>
              <w:left w:w="0" w:type="dxa"/>
              <w:bottom w:w="0" w:type="dxa"/>
              <w:right w:w="0" w:type="dxa"/>
            </w:tcMar>
            <w:vAlign w:val="center"/>
          </w:tcPr>
          <w:p w14:paraId="4355DDD4">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处1.5万元以上2.5万元以下的罚款；对企业的法定代表人和其他直接责任人员处以企业罚款数额的6.5%以上8.5%以下的罚款</w:t>
            </w:r>
          </w:p>
        </w:tc>
        <w:tc>
          <w:tcPr>
            <w:tcW w:w="158" w:type="pct"/>
            <w:vMerge w:val="continue"/>
            <w:noWrap w:val="0"/>
            <w:tcMar>
              <w:top w:w="0" w:type="dxa"/>
              <w:left w:w="0" w:type="dxa"/>
              <w:bottom w:w="0" w:type="dxa"/>
              <w:right w:w="0" w:type="dxa"/>
            </w:tcMar>
            <w:vAlign w:val="center"/>
          </w:tcPr>
          <w:p w14:paraId="33C6C6F1">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17D03C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36C36A05">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396B9A96">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06F4C9D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5DD5C2E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68731CFD">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严重</w:t>
            </w:r>
          </w:p>
        </w:tc>
        <w:tc>
          <w:tcPr>
            <w:tcW w:w="561" w:type="pct"/>
            <w:noWrap w:val="0"/>
            <w:tcMar>
              <w:top w:w="0" w:type="dxa"/>
              <w:left w:w="0" w:type="dxa"/>
              <w:bottom w:w="0" w:type="dxa"/>
              <w:right w:w="0" w:type="dxa"/>
            </w:tcMar>
            <w:vAlign w:val="center"/>
          </w:tcPr>
          <w:p w14:paraId="1A6EF5E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拒不改正的；造成严重危害后果的</w:t>
            </w:r>
          </w:p>
        </w:tc>
        <w:tc>
          <w:tcPr>
            <w:tcW w:w="873" w:type="pct"/>
            <w:noWrap w:val="0"/>
            <w:tcMar>
              <w:top w:w="0" w:type="dxa"/>
              <w:left w:w="0" w:type="dxa"/>
              <w:bottom w:w="0" w:type="dxa"/>
              <w:right w:w="0" w:type="dxa"/>
            </w:tcMar>
            <w:vAlign w:val="center"/>
          </w:tcPr>
          <w:p w14:paraId="76698BD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处2.5万元以上3万元以下的罚款；对企业的法定代表人和其他直接责任人员处以企业罚款数额的8.5%以上10%以下的罚款</w:t>
            </w:r>
          </w:p>
        </w:tc>
        <w:tc>
          <w:tcPr>
            <w:tcW w:w="158" w:type="pct"/>
            <w:vMerge w:val="continue"/>
            <w:noWrap w:val="0"/>
            <w:tcMar>
              <w:top w:w="0" w:type="dxa"/>
              <w:left w:w="0" w:type="dxa"/>
              <w:bottom w:w="0" w:type="dxa"/>
              <w:right w:w="0" w:type="dxa"/>
            </w:tcMar>
            <w:vAlign w:val="center"/>
          </w:tcPr>
          <w:p w14:paraId="2BB11BFD">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77E906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1F2A7F8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25FCCE8E">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0609C84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restart"/>
            <w:noWrap w:val="0"/>
            <w:tcMar>
              <w:top w:w="0" w:type="dxa"/>
              <w:left w:w="0" w:type="dxa"/>
              <w:bottom w:w="0" w:type="dxa"/>
              <w:right w:w="0" w:type="dxa"/>
            </w:tcMar>
            <w:vAlign w:val="center"/>
          </w:tcPr>
          <w:p w14:paraId="4071E1E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工程勘察企业未按规定参加建设单位组织的勘察技术交底或者验槽的</w:t>
            </w:r>
          </w:p>
        </w:tc>
        <w:tc>
          <w:tcPr>
            <w:tcW w:w="174" w:type="pct"/>
            <w:noWrap w:val="0"/>
            <w:tcMar>
              <w:top w:w="0" w:type="dxa"/>
              <w:left w:w="0" w:type="dxa"/>
              <w:bottom w:w="0" w:type="dxa"/>
              <w:right w:w="0" w:type="dxa"/>
            </w:tcMar>
            <w:vAlign w:val="center"/>
          </w:tcPr>
          <w:p w14:paraId="0485B7E1">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轻微</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76A135F0">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223D4FB4">
            <w:pPr>
              <w:spacing w:line="260" w:lineRule="exact"/>
              <w:rPr>
                <w:rFonts w:hint="eastAsia" w:ascii="宋体" w:hAnsi="宋体" w:eastAsia="宋体" w:cs="宋体"/>
                <w:color w:val="000000"/>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601E2071">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33BC890C">
            <w:pPr>
              <w:spacing w:line="260" w:lineRule="exact"/>
              <w:rPr>
                <w:rFonts w:hint="eastAsia" w:ascii="宋体" w:hAnsi="宋体" w:eastAsia="宋体" w:cs="宋体"/>
                <w:color w:val="000000"/>
                <w:kern w:val="2"/>
                <w:sz w:val="18"/>
                <w:szCs w:val="18"/>
                <w:vertAlign w:val="baseline"/>
                <w:lang w:val="en-US" w:eastAsia="zh-CN" w:bidi="ar-SA"/>
              </w:rPr>
            </w:pPr>
          </w:p>
        </w:tc>
        <w:tc>
          <w:tcPr>
            <w:tcW w:w="158" w:type="pct"/>
            <w:vMerge w:val="restart"/>
            <w:noWrap w:val="0"/>
            <w:tcMar>
              <w:top w:w="0" w:type="dxa"/>
              <w:left w:w="0" w:type="dxa"/>
              <w:bottom w:w="0" w:type="dxa"/>
              <w:right w:w="0" w:type="dxa"/>
            </w:tcMar>
            <w:vAlign w:val="center"/>
          </w:tcPr>
          <w:p w14:paraId="7C315610">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232A63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51EF123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428D8F2D">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3EC7C1A7">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5E3294B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18394EBC">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较轻</w:t>
            </w:r>
          </w:p>
        </w:tc>
        <w:tc>
          <w:tcPr>
            <w:tcW w:w="561" w:type="pct"/>
            <w:noWrap w:val="0"/>
            <w:tcMar>
              <w:top w:w="0" w:type="dxa"/>
              <w:left w:w="0" w:type="dxa"/>
              <w:bottom w:w="0" w:type="dxa"/>
              <w:right w:w="0" w:type="dxa"/>
            </w:tcMar>
            <w:vAlign w:val="center"/>
          </w:tcPr>
          <w:p w14:paraId="5AFE15A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及时改正的</w:t>
            </w:r>
          </w:p>
        </w:tc>
        <w:tc>
          <w:tcPr>
            <w:tcW w:w="873" w:type="pct"/>
            <w:noWrap w:val="0"/>
            <w:tcMar>
              <w:top w:w="0" w:type="dxa"/>
              <w:left w:w="0" w:type="dxa"/>
              <w:bottom w:w="0" w:type="dxa"/>
              <w:right w:w="0" w:type="dxa"/>
            </w:tcMar>
            <w:vAlign w:val="center"/>
          </w:tcPr>
          <w:p w14:paraId="7347B5E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处1万元以上1.5万元以下的罚款；对企业的法定代表人和其他直接责任人员处以企业罚款数额的5%以上6.5%以下的罚款</w:t>
            </w:r>
          </w:p>
        </w:tc>
        <w:tc>
          <w:tcPr>
            <w:tcW w:w="158" w:type="pct"/>
            <w:vMerge w:val="continue"/>
            <w:noWrap w:val="0"/>
            <w:tcMar>
              <w:top w:w="0" w:type="dxa"/>
              <w:left w:w="0" w:type="dxa"/>
              <w:bottom w:w="0" w:type="dxa"/>
              <w:right w:w="0" w:type="dxa"/>
            </w:tcMar>
            <w:vAlign w:val="center"/>
          </w:tcPr>
          <w:p w14:paraId="71A372DB">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3B6FA9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5B1D265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04C2B97B">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0256F0B4">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4599D89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6BD2F251">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一般</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20FC1FC7">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40D46EB6">
            <w:pPr>
              <w:spacing w:line="260" w:lineRule="exact"/>
              <w:rPr>
                <w:rFonts w:hint="eastAsia" w:ascii="宋体" w:hAnsi="宋体" w:eastAsia="宋体" w:cs="宋体"/>
                <w:color w:val="000000"/>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4924A4BB">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0184BE71">
            <w:pPr>
              <w:spacing w:line="260" w:lineRule="exact"/>
              <w:rPr>
                <w:rFonts w:hint="eastAsia" w:ascii="宋体" w:hAnsi="宋体" w:eastAsia="宋体" w:cs="宋体"/>
                <w:color w:val="000000"/>
                <w:kern w:val="2"/>
                <w:sz w:val="18"/>
                <w:szCs w:val="18"/>
                <w:vertAlign w:val="baseline"/>
                <w:lang w:val="en-US" w:eastAsia="zh-CN" w:bidi="ar-SA"/>
              </w:rPr>
            </w:pPr>
          </w:p>
        </w:tc>
        <w:tc>
          <w:tcPr>
            <w:tcW w:w="158" w:type="pct"/>
            <w:vMerge w:val="continue"/>
            <w:noWrap w:val="0"/>
            <w:tcMar>
              <w:top w:w="0" w:type="dxa"/>
              <w:left w:w="0" w:type="dxa"/>
              <w:bottom w:w="0" w:type="dxa"/>
              <w:right w:w="0" w:type="dxa"/>
            </w:tcMar>
            <w:vAlign w:val="center"/>
          </w:tcPr>
          <w:p w14:paraId="7A3088F8">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4D584A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23062D5A">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5862D10D">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06C72A5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7EFD252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7B555461">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较重</w:t>
            </w:r>
          </w:p>
        </w:tc>
        <w:tc>
          <w:tcPr>
            <w:tcW w:w="561" w:type="pct"/>
            <w:noWrap w:val="0"/>
            <w:tcMar>
              <w:top w:w="0" w:type="dxa"/>
              <w:left w:w="0" w:type="dxa"/>
              <w:bottom w:w="0" w:type="dxa"/>
              <w:right w:w="0" w:type="dxa"/>
            </w:tcMar>
            <w:vAlign w:val="center"/>
          </w:tcPr>
          <w:p w14:paraId="0F7B873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未在规定期限内改正的</w:t>
            </w:r>
          </w:p>
        </w:tc>
        <w:tc>
          <w:tcPr>
            <w:tcW w:w="873" w:type="pct"/>
            <w:noWrap w:val="0"/>
            <w:tcMar>
              <w:top w:w="0" w:type="dxa"/>
              <w:left w:w="0" w:type="dxa"/>
              <w:bottom w:w="0" w:type="dxa"/>
              <w:right w:w="0" w:type="dxa"/>
            </w:tcMar>
            <w:vAlign w:val="center"/>
          </w:tcPr>
          <w:p w14:paraId="612D875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处1.5万元以上2.5万元以下的罚款；对企业的法定代表人和其他直接责任人员处以企业罚款数额的6.5%以上8.5%以下的罚款</w:t>
            </w:r>
          </w:p>
        </w:tc>
        <w:tc>
          <w:tcPr>
            <w:tcW w:w="158" w:type="pct"/>
            <w:vMerge w:val="continue"/>
            <w:noWrap w:val="0"/>
            <w:tcMar>
              <w:top w:w="0" w:type="dxa"/>
              <w:left w:w="0" w:type="dxa"/>
              <w:bottom w:w="0" w:type="dxa"/>
              <w:right w:w="0" w:type="dxa"/>
            </w:tcMar>
            <w:vAlign w:val="center"/>
          </w:tcPr>
          <w:p w14:paraId="6BD11C2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05B9C5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42B6D36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5ABE0A20">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00953DE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5CB8BB87">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71195B39">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严重</w:t>
            </w:r>
          </w:p>
        </w:tc>
        <w:tc>
          <w:tcPr>
            <w:tcW w:w="561" w:type="pct"/>
            <w:noWrap w:val="0"/>
            <w:tcMar>
              <w:top w:w="0" w:type="dxa"/>
              <w:left w:w="0" w:type="dxa"/>
              <w:bottom w:w="0" w:type="dxa"/>
              <w:right w:w="0" w:type="dxa"/>
            </w:tcMar>
            <w:vAlign w:val="center"/>
          </w:tcPr>
          <w:p w14:paraId="27C576D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拒不改正的；造成严重危害后果的</w:t>
            </w:r>
          </w:p>
        </w:tc>
        <w:tc>
          <w:tcPr>
            <w:tcW w:w="873" w:type="pct"/>
            <w:noWrap w:val="0"/>
            <w:tcMar>
              <w:top w:w="0" w:type="dxa"/>
              <w:left w:w="0" w:type="dxa"/>
              <w:bottom w:w="0" w:type="dxa"/>
              <w:right w:w="0" w:type="dxa"/>
            </w:tcMar>
            <w:vAlign w:val="center"/>
          </w:tcPr>
          <w:p w14:paraId="12F6D1BC">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处2.5万元以上3万元以下的罚款；对企业的法定代表人和其他直接责任人员处以企业罚款数额的8.5%以上10%以下的罚款</w:t>
            </w:r>
          </w:p>
        </w:tc>
        <w:tc>
          <w:tcPr>
            <w:tcW w:w="158" w:type="pct"/>
            <w:vMerge w:val="continue"/>
            <w:noWrap w:val="0"/>
            <w:tcMar>
              <w:top w:w="0" w:type="dxa"/>
              <w:left w:w="0" w:type="dxa"/>
              <w:bottom w:w="0" w:type="dxa"/>
              <w:right w:w="0" w:type="dxa"/>
            </w:tcMar>
            <w:vAlign w:val="center"/>
          </w:tcPr>
          <w:p w14:paraId="7F51961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1AF049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jc w:val="center"/>
        </w:trPr>
        <w:tc>
          <w:tcPr>
            <w:tcW w:w="156" w:type="pct"/>
            <w:vMerge w:val="continue"/>
            <w:noWrap w:val="0"/>
            <w:tcMar>
              <w:top w:w="0" w:type="dxa"/>
              <w:left w:w="0" w:type="dxa"/>
              <w:bottom w:w="0" w:type="dxa"/>
              <w:right w:w="0" w:type="dxa"/>
            </w:tcMar>
            <w:vAlign w:val="center"/>
          </w:tcPr>
          <w:p w14:paraId="59A472A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5E2BC685">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6D42883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restart"/>
            <w:noWrap w:val="0"/>
            <w:tcMar>
              <w:top w:w="0" w:type="dxa"/>
              <w:left w:w="0" w:type="dxa"/>
              <w:bottom w:w="0" w:type="dxa"/>
              <w:right w:w="0" w:type="dxa"/>
            </w:tcMar>
            <w:vAlign w:val="center"/>
          </w:tcPr>
          <w:p w14:paraId="78592E1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工程勘察企业原始记录弄虚作假的</w:t>
            </w:r>
          </w:p>
        </w:tc>
        <w:tc>
          <w:tcPr>
            <w:tcW w:w="174" w:type="pct"/>
            <w:noWrap w:val="0"/>
            <w:tcMar>
              <w:top w:w="0" w:type="dxa"/>
              <w:left w:w="0" w:type="dxa"/>
              <w:bottom w:w="0" w:type="dxa"/>
              <w:right w:w="0" w:type="dxa"/>
            </w:tcMar>
            <w:vAlign w:val="center"/>
          </w:tcPr>
          <w:p w14:paraId="022A01F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轻微</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6C7E62C8">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2D862FDE">
            <w:pPr>
              <w:spacing w:line="260" w:lineRule="exact"/>
              <w:rPr>
                <w:rFonts w:hint="eastAsia" w:ascii="宋体" w:hAnsi="宋体" w:eastAsia="宋体" w:cs="宋体"/>
                <w:color w:val="000000"/>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28AF9F78">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4827B5EB">
            <w:pPr>
              <w:spacing w:line="260" w:lineRule="exact"/>
              <w:rPr>
                <w:rFonts w:hint="eastAsia" w:ascii="宋体" w:hAnsi="宋体" w:eastAsia="宋体" w:cs="宋体"/>
                <w:color w:val="000000"/>
                <w:kern w:val="2"/>
                <w:sz w:val="18"/>
                <w:szCs w:val="18"/>
                <w:vertAlign w:val="baseline"/>
                <w:lang w:val="en-US" w:eastAsia="zh-CN" w:bidi="ar-SA"/>
              </w:rPr>
            </w:pPr>
          </w:p>
        </w:tc>
        <w:tc>
          <w:tcPr>
            <w:tcW w:w="158" w:type="pct"/>
            <w:vMerge w:val="restart"/>
            <w:noWrap w:val="0"/>
            <w:tcMar>
              <w:top w:w="0" w:type="dxa"/>
              <w:left w:w="0" w:type="dxa"/>
              <w:bottom w:w="0" w:type="dxa"/>
              <w:right w:w="0" w:type="dxa"/>
            </w:tcMar>
            <w:vAlign w:val="center"/>
          </w:tcPr>
          <w:p w14:paraId="15FA8C7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0F537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105" w:hRule="atLeast"/>
          <w:jc w:val="center"/>
        </w:trPr>
        <w:tc>
          <w:tcPr>
            <w:tcW w:w="156" w:type="pct"/>
            <w:vMerge w:val="continue"/>
            <w:noWrap w:val="0"/>
            <w:tcMar>
              <w:top w:w="0" w:type="dxa"/>
              <w:left w:w="0" w:type="dxa"/>
              <w:bottom w:w="0" w:type="dxa"/>
              <w:right w:w="0" w:type="dxa"/>
            </w:tcMar>
            <w:vAlign w:val="center"/>
          </w:tcPr>
          <w:p w14:paraId="13A7AA4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779667C9">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68BDD327">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23A043E4">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392ED3F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较轻</w:t>
            </w:r>
          </w:p>
        </w:tc>
        <w:tc>
          <w:tcPr>
            <w:tcW w:w="561" w:type="pct"/>
            <w:noWrap w:val="0"/>
            <w:tcMar>
              <w:top w:w="0" w:type="dxa"/>
              <w:left w:w="0" w:type="dxa"/>
              <w:bottom w:w="0" w:type="dxa"/>
              <w:right w:w="0" w:type="dxa"/>
            </w:tcMar>
            <w:vAlign w:val="center"/>
          </w:tcPr>
          <w:p w14:paraId="2EB364B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及时改正的</w:t>
            </w:r>
          </w:p>
        </w:tc>
        <w:tc>
          <w:tcPr>
            <w:tcW w:w="873" w:type="pct"/>
            <w:noWrap w:val="0"/>
            <w:tcMar>
              <w:top w:w="0" w:type="dxa"/>
              <w:left w:w="0" w:type="dxa"/>
              <w:bottom w:w="0" w:type="dxa"/>
              <w:right w:w="0" w:type="dxa"/>
            </w:tcMar>
            <w:vAlign w:val="center"/>
          </w:tcPr>
          <w:p w14:paraId="0AF68D2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处1万元以上1.5万元以下的罚款；对企业的法定代表人和其他直接责任人员处以企业罚款数额的5%以上6.5%以下的罚款</w:t>
            </w:r>
          </w:p>
        </w:tc>
        <w:tc>
          <w:tcPr>
            <w:tcW w:w="158" w:type="pct"/>
            <w:vMerge w:val="continue"/>
            <w:noWrap w:val="0"/>
            <w:tcMar>
              <w:top w:w="0" w:type="dxa"/>
              <w:left w:w="0" w:type="dxa"/>
              <w:bottom w:w="0" w:type="dxa"/>
              <w:right w:w="0" w:type="dxa"/>
            </w:tcMar>
            <w:vAlign w:val="center"/>
          </w:tcPr>
          <w:p w14:paraId="10B1C25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6F36EA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jc w:val="center"/>
        </w:trPr>
        <w:tc>
          <w:tcPr>
            <w:tcW w:w="156" w:type="pct"/>
            <w:vMerge w:val="continue"/>
            <w:noWrap w:val="0"/>
            <w:tcMar>
              <w:top w:w="0" w:type="dxa"/>
              <w:left w:w="0" w:type="dxa"/>
              <w:bottom w:w="0" w:type="dxa"/>
              <w:right w:w="0" w:type="dxa"/>
            </w:tcMar>
            <w:vAlign w:val="center"/>
          </w:tcPr>
          <w:p w14:paraId="1AF3976D">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42D3A860">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6809AA5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168FDE4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37BC9F2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一般</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224B7EF9">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0F9D5CE2">
            <w:pPr>
              <w:spacing w:line="260" w:lineRule="exact"/>
              <w:rPr>
                <w:rFonts w:hint="eastAsia" w:ascii="宋体" w:hAnsi="宋体" w:eastAsia="宋体" w:cs="宋体"/>
                <w:color w:val="000000"/>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16E52315">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6BF9B3AE">
            <w:pPr>
              <w:spacing w:line="260" w:lineRule="exact"/>
              <w:rPr>
                <w:rFonts w:hint="eastAsia" w:ascii="宋体" w:hAnsi="宋体" w:eastAsia="宋体" w:cs="宋体"/>
                <w:color w:val="000000"/>
                <w:kern w:val="2"/>
                <w:sz w:val="18"/>
                <w:szCs w:val="18"/>
                <w:vertAlign w:val="baseline"/>
                <w:lang w:val="en-US" w:eastAsia="zh-CN" w:bidi="ar-SA"/>
              </w:rPr>
            </w:pPr>
          </w:p>
        </w:tc>
        <w:tc>
          <w:tcPr>
            <w:tcW w:w="158" w:type="pct"/>
            <w:vMerge w:val="continue"/>
            <w:noWrap w:val="0"/>
            <w:tcMar>
              <w:top w:w="0" w:type="dxa"/>
              <w:left w:w="0" w:type="dxa"/>
              <w:bottom w:w="0" w:type="dxa"/>
              <w:right w:w="0" w:type="dxa"/>
            </w:tcMar>
            <w:vAlign w:val="center"/>
          </w:tcPr>
          <w:p w14:paraId="64C65CE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511EE1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5B6E47B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2AF53736">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01522234">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5E274837">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2FF0503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较重</w:t>
            </w:r>
          </w:p>
        </w:tc>
        <w:tc>
          <w:tcPr>
            <w:tcW w:w="561" w:type="pct"/>
            <w:noWrap w:val="0"/>
            <w:tcMar>
              <w:top w:w="0" w:type="dxa"/>
              <w:left w:w="0" w:type="dxa"/>
              <w:bottom w:w="0" w:type="dxa"/>
              <w:right w:w="0" w:type="dxa"/>
            </w:tcMar>
            <w:vAlign w:val="center"/>
          </w:tcPr>
          <w:p w14:paraId="3601E79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未在规定期限内改正的</w:t>
            </w:r>
          </w:p>
        </w:tc>
        <w:tc>
          <w:tcPr>
            <w:tcW w:w="873" w:type="pct"/>
            <w:noWrap w:val="0"/>
            <w:tcMar>
              <w:top w:w="0" w:type="dxa"/>
              <w:left w:w="0" w:type="dxa"/>
              <w:bottom w:w="0" w:type="dxa"/>
              <w:right w:w="0" w:type="dxa"/>
            </w:tcMar>
            <w:vAlign w:val="center"/>
          </w:tcPr>
          <w:p w14:paraId="70014D6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处1.5万元以上2.5万元以下的罚款；对企业的法定代表人和其他直接责任人员处以企业罚款数额的6.5%以上8.5%以下的罚款</w:t>
            </w:r>
          </w:p>
        </w:tc>
        <w:tc>
          <w:tcPr>
            <w:tcW w:w="158" w:type="pct"/>
            <w:vMerge w:val="continue"/>
            <w:noWrap w:val="0"/>
            <w:tcMar>
              <w:top w:w="0" w:type="dxa"/>
              <w:left w:w="0" w:type="dxa"/>
              <w:bottom w:w="0" w:type="dxa"/>
              <w:right w:w="0" w:type="dxa"/>
            </w:tcMar>
            <w:vAlign w:val="center"/>
          </w:tcPr>
          <w:p w14:paraId="359EF24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0A2259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075" w:hRule="atLeast"/>
          <w:jc w:val="center"/>
        </w:trPr>
        <w:tc>
          <w:tcPr>
            <w:tcW w:w="156" w:type="pct"/>
            <w:vMerge w:val="continue"/>
            <w:noWrap w:val="0"/>
            <w:tcMar>
              <w:top w:w="0" w:type="dxa"/>
              <w:left w:w="0" w:type="dxa"/>
              <w:bottom w:w="0" w:type="dxa"/>
              <w:right w:w="0" w:type="dxa"/>
            </w:tcMar>
            <w:vAlign w:val="center"/>
          </w:tcPr>
          <w:p w14:paraId="6357DE91">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58557AAB">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24175BC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6C07FEBC">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3E6CE350">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严重</w:t>
            </w:r>
          </w:p>
        </w:tc>
        <w:tc>
          <w:tcPr>
            <w:tcW w:w="561" w:type="pct"/>
            <w:noWrap w:val="0"/>
            <w:tcMar>
              <w:top w:w="0" w:type="dxa"/>
              <w:left w:w="0" w:type="dxa"/>
              <w:bottom w:w="0" w:type="dxa"/>
              <w:right w:w="0" w:type="dxa"/>
            </w:tcMar>
            <w:vAlign w:val="center"/>
          </w:tcPr>
          <w:p w14:paraId="54E1D1AC">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拒不改正的；造成严重危害后果的</w:t>
            </w:r>
          </w:p>
        </w:tc>
        <w:tc>
          <w:tcPr>
            <w:tcW w:w="873" w:type="pct"/>
            <w:noWrap w:val="0"/>
            <w:tcMar>
              <w:top w:w="0" w:type="dxa"/>
              <w:left w:w="0" w:type="dxa"/>
              <w:bottom w:w="0" w:type="dxa"/>
              <w:right w:w="0" w:type="dxa"/>
            </w:tcMar>
            <w:vAlign w:val="center"/>
          </w:tcPr>
          <w:p w14:paraId="45B9317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处2.5万元以上3万元以下的罚款；对企业的法定代表人和其他直接责任人员处以企业罚款数额的8.5%以上10%以下的罚款</w:t>
            </w:r>
          </w:p>
        </w:tc>
        <w:tc>
          <w:tcPr>
            <w:tcW w:w="158" w:type="pct"/>
            <w:vMerge w:val="continue"/>
            <w:noWrap w:val="0"/>
            <w:tcMar>
              <w:top w:w="0" w:type="dxa"/>
              <w:left w:w="0" w:type="dxa"/>
              <w:bottom w:w="0" w:type="dxa"/>
              <w:right w:w="0" w:type="dxa"/>
            </w:tcMar>
            <w:vAlign w:val="center"/>
          </w:tcPr>
          <w:p w14:paraId="3FF008B9">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4A3553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jc w:val="center"/>
        </w:trPr>
        <w:tc>
          <w:tcPr>
            <w:tcW w:w="156" w:type="pct"/>
            <w:vMerge w:val="continue"/>
            <w:noWrap w:val="0"/>
            <w:tcMar>
              <w:top w:w="0" w:type="dxa"/>
              <w:left w:w="0" w:type="dxa"/>
              <w:bottom w:w="0" w:type="dxa"/>
              <w:right w:w="0" w:type="dxa"/>
            </w:tcMar>
            <w:vAlign w:val="center"/>
          </w:tcPr>
          <w:p w14:paraId="72C274A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5334DCB2">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70C07EAC">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restart"/>
            <w:noWrap w:val="0"/>
            <w:tcMar>
              <w:top w:w="0" w:type="dxa"/>
              <w:left w:w="0" w:type="dxa"/>
              <w:bottom w:w="0" w:type="dxa"/>
              <w:right w:w="0" w:type="dxa"/>
            </w:tcMar>
            <w:vAlign w:val="center"/>
          </w:tcPr>
          <w:p w14:paraId="4DBE67D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工程勘察企业未将钻探、取样、原位测试、室内试验等主要过程的影像资料留存备查的</w:t>
            </w:r>
          </w:p>
        </w:tc>
        <w:tc>
          <w:tcPr>
            <w:tcW w:w="174" w:type="pct"/>
            <w:noWrap w:val="0"/>
            <w:tcMar>
              <w:top w:w="0" w:type="dxa"/>
              <w:left w:w="0" w:type="dxa"/>
              <w:bottom w:w="0" w:type="dxa"/>
              <w:right w:w="0" w:type="dxa"/>
            </w:tcMar>
            <w:vAlign w:val="center"/>
          </w:tcPr>
          <w:p w14:paraId="1055BC4B">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轻微</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0A4BC3A0">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3EDEE5BC">
            <w:pPr>
              <w:spacing w:line="260" w:lineRule="exact"/>
              <w:rPr>
                <w:rFonts w:hint="eastAsia" w:ascii="宋体" w:hAnsi="宋体" w:eastAsia="宋体" w:cs="宋体"/>
                <w:color w:val="000000"/>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71A9C426">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2300DBA0">
            <w:pPr>
              <w:spacing w:line="260" w:lineRule="exact"/>
              <w:rPr>
                <w:rFonts w:hint="eastAsia" w:ascii="宋体" w:hAnsi="宋体" w:eastAsia="宋体" w:cs="宋体"/>
                <w:color w:val="000000"/>
                <w:kern w:val="2"/>
                <w:sz w:val="18"/>
                <w:szCs w:val="18"/>
                <w:vertAlign w:val="baseline"/>
                <w:lang w:val="en-US" w:eastAsia="zh-CN" w:bidi="ar-SA"/>
              </w:rPr>
            </w:pPr>
          </w:p>
        </w:tc>
        <w:tc>
          <w:tcPr>
            <w:tcW w:w="158" w:type="pct"/>
            <w:vMerge w:val="restart"/>
            <w:noWrap w:val="0"/>
            <w:tcMar>
              <w:top w:w="0" w:type="dxa"/>
              <w:left w:w="0" w:type="dxa"/>
              <w:bottom w:w="0" w:type="dxa"/>
              <w:right w:w="0" w:type="dxa"/>
            </w:tcMar>
            <w:vAlign w:val="center"/>
          </w:tcPr>
          <w:p w14:paraId="60C0905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323AEF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5532E98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44485914">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76683907">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7E8CF36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214EB7FB">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较轻</w:t>
            </w:r>
          </w:p>
        </w:tc>
        <w:tc>
          <w:tcPr>
            <w:tcW w:w="561" w:type="pct"/>
            <w:noWrap w:val="0"/>
            <w:tcMar>
              <w:top w:w="0" w:type="dxa"/>
              <w:left w:w="0" w:type="dxa"/>
              <w:bottom w:w="0" w:type="dxa"/>
              <w:right w:w="0" w:type="dxa"/>
            </w:tcMar>
            <w:vAlign w:val="center"/>
          </w:tcPr>
          <w:p w14:paraId="6765FAE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及时改正的</w:t>
            </w:r>
          </w:p>
        </w:tc>
        <w:tc>
          <w:tcPr>
            <w:tcW w:w="873" w:type="pct"/>
            <w:noWrap w:val="0"/>
            <w:tcMar>
              <w:top w:w="0" w:type="dxa"/>
              <w:left w:w="0" w:type="dxa"/>
              <w:bottom w:w="0" w:type="dxa"/>
              <w:right w:w="0" w:type="dxa"/>
            </w:tcMar>
            <w:vAlign w:val="center"/>
          </w:tcPr>
          <w:p w14:paraId="7018669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处1万元以上1.5万元以下的罚款；对企业的法定代表人和其他直接责任人员处以企业罚款数额的5%以上6.5%以下的罚款</w:t>
            </w:r>
          </w:p>
        </w:tc>
        <w:tc>
          <w:tcPr>
            <w:tcW w:w="158" w:type="pct"/>
            <w:vMerge w:val="continue"/>
            <w:noWrap w:val="0"/>
            <w:tcMar>
              <w:top w:w="0" w:type="dxa"/>
              <w:left w:w="0" w:type="dxa"/>
              <w:bottom w:w="0" w:type="dxa"/>
              <w:right w:w="0" w:type="dxa"/>
            </w:tcMar>
            <w:vAlign w:val="center"/>
          </w:tcPr>
          <w:p w14:paraId="3BE6B879">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03E7B2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jc w:val="center"/>
        </w:trPr>
        <w:tc>
          <w:tcPr>
            <w:tcW w:w="156" w:type="pct"/>
            <w:vMerge w:val="continue"/>
            <w:noWrap w:val="0"/>
            <w:tcMar>
              <w:top w:w="0" w:type="dxa"/>
              <w:left w:w="0" w:type="dxa"/>
              <w:bottom w:w="0" w:type="dxa"/>
              <w:right w:w="0" w:type="dxa"/>
            </w:tcMar>
            <w:vAlign w:val="center"/>
          </w:tcPr>
          <w:p w14:paraId="7C44CD78">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128013B8">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08985A8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00CA2A8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582BEC3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一般</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492C9722">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68BC7B9D">
            <w:pPr>
              <w:spacing w:line="260" w:lineRule="exact"/>
              <w:rPr>
                <w:rFonts w:hint="eastAsia" w:ascii="宋体" w:hAnsi="宋体" w:eastAsia="宋体" w:cs="宋体"/>
                <w:color w:val="000000"/>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16F6DE51">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25753E37">
            <w:pPr>
              <w:spacing w:line="260" w:lineRule="exact"/>
              <w:rPr>
                <w:rFonts w:hint="eastAsia" w:ascii="宋体" w:hAnsi="宋体" w:eastAsia="宋体" w:cs="宋体"/>
                <w:color w:val="000000"/>
                <w:kern w:val="2"/>
                <w:sz w:val="18"/>
                <w:szCs w:val="18"/>
                <w:vertAlign w:val="baseline"/>
                <w:lang w:val="en-US" w:eastAsia="zh-CN" w:bidi="ar-SA"/>
              </w:rPr>
            </w:pPr>
          </w:p>
        </w:tc>
        <w:tc>
          <w:tcPr>
            <w:tcW w:w="158" w:type="pct"/>
            <w:vMerge w:val="continue"/>
            <w:noWrap w:val="0"/>
            <w:tcMar>
              <w:top w:w="0" w:type="dxa"/>
              <w:left w:w="0" w:type="dxa"/>
              <w:bottom w:w="0" w:type="dxa"/>
              <w:right w:w="0" w:type="dxa"/>
            </w:tcMar>
            <w:vAlign w:val="center"/>
          </w:tcPr>
          <w:p w14:paraId="2FF22589">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6BBEC6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1568CBC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5F017165">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79843F0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533D4C4C">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64A101BA">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较重</w:t>
            </w:r>
          </w:p>
        </w:tc>
        <w:tc>
          <w:tcPr>
            <w:tcW w:w="561" w:type="pct"/>
            <w:noWrap w:val="0"/>
            <w:tcMar>
              <w:top w:w="0" w:type="dxa"/>
              <w:left w:w="0" w:type="dxa"/>
              <w:bottom w:w="0" w:type="dxa"/>
              <w:right w:w="0" w:type="dxa"/>
            </w:tcMar>
            <w:vAlign w:val="center"/>
          </w:tcPr>
          <w:p w14:paraId="30461A4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未在规定期限内改正的</w:t>
            </w:r>
          </w:p>
        </w:tc>
        <w:tc>
          <w:tcPr>
            <w:tcW w:w="873" w:type="pct"/>
            <w:noWrap w:val="0"/>
            <w:tcMar>
              <w:top w:w="0" w:type="dxa"/>
              <w:left w:w="0" w:type="dxa"/>
              <w:bottom w:w="0" w:type="dxa"/>
              <w:right w:w="0" w:type="dxa"/>
            </w:tcMar>
            <w:vAlign w:val="center"/>
          </w:tcPr>
          <w:p w14:paraId="0D1F4EC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处1.5万元以上2.5万元以下的罚款；对企业的法定代表人和其他直接责任人员处以企业罚款数额的6.5%以上8.5%以下的罚款</w:t>
            </w:r>
          </w:p>
        </w:tc>
        <w:tc>
          <w:tcPr>
            <w:tcW w:w="158" w:type="pct"/>
            <w:vMerge w:val="continue"/>
            <w:noWrap w:val="0"/>
            <w:tcMar>
              <w:top w:w="0" w:type="dxa"/>
              <w:left w:w="0" w:type="dxa"/>
              <w:bottom w:w="0" w:type="dxa"/>
              <w:right w:w="0" w:type="dxa"/>
            </w:tcMar>
            <w:vAlign w:val="center"/>
          </w:tcPr>
          <w:p w14:paraId="45224BDA">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57E539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105" w:hRule="atLeast"/>
          <w:jc w:val="center"/>
        </w:trPr>
        <w:tc>
          <w:tcPr>
            <w:tcW w:w="156" w:type="pct"/>
            <w:vMerge w:val="continue"/>
            <w:noWrap w:val="0"/>
            <w:tcMar>
              <w:top w:w="0" w:type="dxa"/>
              <w:left w:w="0" w:type="dxa"/>
              <w:bottom w:w="0" w:type="dxa"/>
              <w:right w:w="0" w:type="dxa"/>
            </w:tcMar>
            <w:vAlign w:val="center"/>
          </w:tcPr>
          <w:p w14:paraId="46896D40">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6E40B897">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5AB2605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535A060C">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2E4503E0">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严重</w:t>
            </w:r>
          </w:p>
        </w:tc>
        <w:tc>
          <w:tcPr>
            <w:tcW w:w="561" w:type="pct"/>
            <w:noWrap w:val="0"/>
            <w:tcMar>
              <w:top w:w="0" w:type="dxa"/>
              <w:left w:w="0" w:type="dxa"/>
              <w:bottom w:w="0" w:type="dxa"/>
              <w:right w:w="0" w:type="dxa"/>
            </w:tcMar>
            <w:vAlign w:val="center"/>
          </w:tcPr>
          <w:p w14:paraId="42FE997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拒不改正的；造成严重危害后果的</w:t>
            </w:r>
          </w:p>
        </w:tc>
        <w:tc>
          <w:tcPr>
            <w:tcW w:w="873" w:type="pct"/>
            <w:noWrap w:val="0"/>
            <w:tcMar>
              <w:top w:w="0" w:type="dxa"/>
              <w:left w:w="0" w:type="dxa"/>
              <w:bottom w:w="0" w:type="dxa"/>
              <w:right w:w="0" w:type="dxa"/>
            </w:tcMar>
            <w:vAlign w:val="center"/>
          </w:tcPr>
          <w:p w14:paraId="1CD0EFD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处2.5万元以上3万元以下的罚款；对企业的法定代表人和其他直接责任人员处以企业罚款数额的8.5%以上10%以下的罚款</w:t>
            </w:r>
          </w:p>
        </w:tc>
        <w:tc>
          <w:tcPr>
            <w:tcW w:w="158" w:type="pct"/>
            <w:vMerge w:val="continue"/>
            <w:noWrap w:val="0"/>
            <w:tcMar>
              <w:top w:w="0" w:type="dxa"/>
              <w:left w:w="0" w:type="dxa"/>
              <w:bottom w:w="0" w:type="dxa"/>
              <w:right w:w="0" w:type="dxa"/>
            </w:tcMar>
            <w:vAlign w:val="center"/>
          </w:tcPr>
          <w:p w14:paraId="0325672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59E465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028B8BC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31AD1C38">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2420D3B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restart"/>
            <w:noWrap w:val="0"/>
            <w:tcMar>
              <w:top w:w="0" w:type="dxa"/>
              <w:left w:w="0" w:type="dxa"/>
              <w:bottom w:w="0" w:type="dxa"/>
              <w:right w:w="0" w:type="dxa"/>
            </w:tcMar>
            <w:vAlign w:val="center"/>
          </w:tcPr>
          <w:p w14:paraId="3DFC6BD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工程勘察企业未按规定及时将工程勘察文件和勘探、试验、测试原 始记录及成果、质量安全管理记录归档 保存的</w:t>
            </w:r>
          </w:p>
        </w:tc>
        <w:tc>
          <w:tcPr>
            <w:tcW w:w="174" w:type="pct"/>
            <w:noWrap w:val="0"/>
            <w:tcMar>
              <w:top w:w="0" w:type="dxa"/>
              <w:left w:w="0" w:type="dxa"/>
              <w:bottom w:w="0" w:type="dxa"/>
              <w:right w:w="0" w:type="dxa"/>
            </w:tcMar>
            <w:vAlign w:val="center"/>
          </w:tcPr>
          <w:p w14:paraId="625F338B">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轻微</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5F44719C">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083480C7">
            <w:pPr>
              <w:spacing w:line="260" w:lineRule="exact"/>
              <w:rPr>
                <w:rFonts w:hint="eastAsia" w:ascii="宋体" w:hAnsi="宋体" w:eastAsia="宋体" w:cs="宋体"/>
                <w:color w:val="000000"/>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3D624FF7">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5BF4ECD0">
            <w:pPr>
              <w:spacing w:line="260" w:lineRule="exact"/>
              <w:rPr>
                <w:rFonts w:hint="eastAsia" w:ascii="宋体" w:hAnsi="宋体" w:eastAsia="宋体" w:cs="宋体"/>
                <w:color w:val="000000"/>
                <w:kern w:val="2"/>
                <w:sz w:val="18"/>
                <w:szCs w:val="18"/>
                <w:vertAlign w:val="baseline"/>
                <w:lang w:val="en-US" w:eastAsia="zh-CN" w:bidi="ar-SA"/>
              </w:rPr>
            </w:pPr>
          </w:p>
        </w:tc>
        <w:tc>
          <w:tcPr>
            <w:tcW w:w="158" w:type="pct"/>
            <w:vMerge w:val="restart"/>
            <w:noWrap w:val="0"/>
            <w:tcMar>
              <w:top w:w="0" w:type="dxa"/>
              <w:left w:w="0" w:type="dxa"/>
              <w:bottom w:w="0" w:type="dxa"/>
              <w:right w:w="0" w:type="dxa"/>
            </w:tcMar>
            <w:vAlign w:val="center"/>
          </w:tcPr>
          <w:p w14:paraId="5EBBDD11">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631BD3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155" w:hRule="atLeast"/>
          <w:jc w:val="center"/>
        </w:trPr>
        <w:tc>
          <w:tcPr>
            <w:tcW w:w="156" w:type="pct"/>
            <w:vMerge w:val="continue"/>
            <w:noWrap w:val="0"/>
            <w:tcMar>
              <w:top w:w="0" w:type="dxa"/>
              <w:left w:w="0" w:type="dxa"/>
              <w:bottom w:w="0" w:type="dxa"/>
              <w:right w:w="0" w:type="dxa"/>
            </w:tcMar>
            <w:vAlign w:val="center"/>
          </w:tcPr>
          <w:p w14:paraId="508243F5">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630505FA">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3C8E5E0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0648226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7882B2EC">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较轻</w:t>
            </w:r>
          </w:p>
        </w:tc>
        <w:tc>
          <w:tcPr>
            <w:tcW w:w="561" w:type="pct"/>
            <w:noWrap w:val="0"/>
            <w:tcMar>
              <w:top w:w="0" w:type="dxa"/>
              <w:left w:w="0" w:type="dxa"/>
              <w:bottom w:w="0" w:type="dxa"/>
              <w:right w:w="0" w:type="dxa"/>
            </w:tcMar>
            <w:vAlign w:val="center"/>
          </w:tcPr>
          <w:p w14:paraId="2A415A6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及时改正的</w:t>
            </w:r>
          </w:p>
        </w:tc>
        <w:tc>
          <w:tcPr>
            <w:tcW w:w="873" w:type="pct"/>
            <w:noWrap w:val="0"/>
            <w:tcMar>
              <w:top w:w="0" w:type="dxa"/>
              <w:left w:w="0" w:type="dxa"/>
              <w:bottom w:w="0" w:type="dxa"/>
              <w:right w:w="0" w:type="dxa"/>
            </w:tcMar>
            <w:vAlign w:val="center"/>
          </w:tcPr>
          <w:p w14:paraId="5B239AF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处1万元以上1.5万元以下的罚款；对企业的法定代表人和其他直接责任人员处以企业罚款数额的5%以上6.5%以下的罚款</w:t>
            </w:r>
          </w:p>
        </w:tc>
        <w:tc>
          <w:tcPr>
            <w:tcW w:w="158" w:type="pct"/>
            <w:vMerge w:val="continue"/>
            <w:noWrap w:val="0"/>
            <w:tcMar>
              <w:top w:w="0" w:type="dxa"/>
              <w:left w:w="0" w:type="dxa"/>
              <w:bottom w:w="0" w:type="dxa"/>
              <w:right w:w="0" w:type="dxa"/>
            </w:tcMar>
            <w:vAlign w:val="center"/>
          </w:tcPr>
          <w:p w14:paraId="4B630290">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0FF1CF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42B03A69">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094FADB6">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17191EB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0269D33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0D0FF46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一般</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032CD419">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3039AFE8">
            <w:pPr>
              <w:spacing w:line="260" w:lineRule="exact"/>
              <w:rPr>
                <w:rFonts w:hint="eastAsia" w:ascii="宋体" w:hAnsi="宋体" w:eastAsia="宋体" w:cs="宋体"/>
                <w:color w:val="000000"/>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57478028">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6E02BFCE">
            <w:pPr>
              <w:spacing w:line="260" w:lineRule="exact"/>
              <w:rPr>
                <w:rFonts w:hint="eastAsia" w:ascii="宋体" w:hAnsi="宋体" w:eastAsia="宋体" w:cs="宋体"/>
                <w:color w:val="000000"/>
                <w:kern w:val="2"/>
                <w:sz w:val="18"/>
                <w:szCs w:val="18"/>
                <w:vertAlign w:val="baseline"/>
                <w:lang w:val="en-US" w:eastAsia="zh-CN" w:bidi="ar-SA"/>
              </w:rPr>
            </w:pPr>
          </w:p>
        </w:tc>
        <w:tc>
          <w:tcPr>
            <w:tcW w:w="158" w:type="pct"/>
            <w:vMerge w:val="continue"/>
            <w:noWrap w:val="0"/>
            <w:tcMar>
              <w:top w:w="0" w:type="dxa"/>
              <w:left w:w="0" w:type="dxa"/>
              <w:bottom w:w="0" w:type="dxa"/>
              <w:right w:w="0" w:type="dxa"/>
            </w:tcMar>
            <w:vAlign w:val="center"/>
          </w:tcPr>
          <w:p w14:paraId="74356FA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6AD07E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293" w:hRule="atLeast"/>
          <w:jc w:val="center"/>
        </w:trPr>
        <w:tc>
          <w:tcPr>
            <w:tcW w:w="156" w:type="pct"/>
            <w:vMerge w:val="continue"/>
            <w:noWrap w:val="0"/>
            <w:tcMar>
              <w:top w:w="0" w:type="dxa"/>
              <w:left w:w="0" w:type="dxa"/>
              <w:bottom w:w="0" w:type="dxa"/>
              <w:right w:w="0" w:type="dxa"/>
            </w:tcMar>
            <w:vAlign w:val="center"/>
          </w:tcPr>
          <w:p w14:paraId="36CB8E0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7433DC23">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1BA9789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385112B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4BAB038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较重</w:t>
            </w:r>
          </w:p>
        </w:tc>
        <w:tc>
          <w:tcPr>
            <w:tcW w:w="561" w:type="pct"/>
            <w:noWrap w:val="0"/>
            <w:tcMar>
              <w:top w:w="0" w:type="dxa"/>
              <w:left w:w="0" w:type="dxa"/>
              <w:bottom w:w="0" w:type="dxa"/>
              <w:right w:w="0" w:type="dxa"/>
            </w:tcMar>
            <w:vAlign w:val="center"/>
          </w:tcPr>
          <w:p w14:paraId="5F646B4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未在规定期限内改正的</w:t>
            </w:r>
          </w:p>
        </w:tc>
        <w:tc>
          <w:tcPr>
            <w:tcW w:w="873" w:type="pct"/>
            <w:noWrap w:val="0"/>
            <w:tcMar>
              <w:top w:w="0" w:type="dxa"/>
              <w:left w:w="0" w:type="dxa"/>
              <w:bottom w:w="0" w:type="dxa"/>
              <w:right w:w="0" w:type="dxa"/>
            </w:tcMar>
            <w:vAlign w:val="center"/>
          </w:tcPr>
          <w:p w14:paraId="62A1B27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处1.5万元以上2.5万元以下的罚款；对企业的法定代表人和其他直接责任人员处以企业罚款数额的6.5%以上8.5%以下的罚款</w:t>
            </w:r>
          </w:p>
        </w:tc>
        <w:tc>
          <w:tcPr>
            <w:tcW w:w="158" w:type="pct"/>
            <w:vMerge w:val="continue"/>
            <w:noWrap w:val="0"/>
            <w:tcMar>
              <w:top w:w="0" w:type="dxa"/>
              <w:left w:w="0" w:type="dxa"/>
              <w:bottom w:w="0" w:type="dxa"/>
              <w:right w:w="0" w:type="dxa"/>
            </w:tcMar>
            <w:vAlign w:val="center"/>
          </w:tcPr>
          <w:p w14:paraId="7A48F245">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585854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326" w:hRule="atLeast"/>
          <w:jc w:val="center"/>
        </w:trPr>
        <w:tc>
          <w:tcPr>
            <w:tcW w:w="156" w:type="pct"/>
            <w:vMerge w:val="continue"/>
            <w:noWrap w:val="0"/>
            <w:tcMar>
              <w:top w:w="0" w:type="dxa"/>
              <w:left w:w="0" w:type="dxa"/>
              <w:bottom w:w="0" w:type="dxa"/>
              <w:right w:w="0" w:type="dxa"/>
            </w:tcMar>
            <w:vAlign w:val="center"/>
          </w:tcPr>
          <w:p w14:paraId="50DE03A0">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73A93428">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62B44A0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459309B4">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2F65B96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严重</w:t>
            </w:r>
          </w:p>
        </w:tc>
        <w:tc>
          <w:tcPr>
            <w:tcW w:w="561" w:type="pct"/>
            <w:noWrap w:val="0"/>
            <w:tcMar>
              <w:top w:w="0" w:type="dxa"/>
              <w:left w:w="0" w:type="dxa"/>
              <w:bottom w:w="0" w:type="dxa"/>
              <w:right w:w="0" w:type="dxa"/>
            </w:tcMar>
            <w:vAlign w:val="center"/>
          </w:tcPr>
          <w:p w14:paraId="727D415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拒不改正的；造成严重危害后果的</w:t>
            </w:r>
          </w:p>
        </w:tc>
        <w:tc>
          <w:tcPr>
            <w:tcW w:w="873" w:type="pct"/>
            <w:noWrap w:val="0"/>
            <w:tcMar>
              <w:top w:w="0" w:type="dxa"/>
              <w:left w:w="0" w:type="dxa"/>
              <w:bottom w:w="0" w:type="dxa"/>
              <w:right w:w="0" w:type="dxa"/>
            </w:tcMar>
            <w:vAlign w:val="center"/>
          </w:tcPr>
          <w:p w14:paraId="28A2747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处2.5万元以上3万元以下的罚款；对企业的法定代表人和其他直接责任人员处以企业罚款数额的8.5%以上10%以下的罚款</w:t>
            </w:r>
          </w:p>
        </w:tc>
        <w:tc>
          <w:tcPr>
            <w:tcW w:w="158" w:type="pct"/>
            <w:vMerge w:val="continue"/>
            <w:noWrap w:val="0"/>
            <w:tcMar>
              <w:top w:w="0" w:type="dxa"/>
              <w:left w:w="0" w:type="dxa"/>
              <w:bottom w:w="0" w:type="dxa"/>
              <w:right w:w="0" w:type="dxa"/>
            </w:tcMar>
            <w:vAlign w:val="center"/>
          </w:tcPr>
          <w:p w14:paraId="30D91EC8">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66F309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restart"/>
            <w:noWrap w:val="0"/>
            <w:tcMar>
              <w:top w:w="0" w:type="dxa"/>
              <w:left w:w="0" w:type="dxa"/>
              <w:bottom w:w="0" w:type="dxa"/>
              <w:right w:w="0" w:type="dxa"/>
            </w:tcMar>
            <w:vAlign w:val="center"/>
          </w:tcPr>
          <w:p w14:paraId="475DC75C">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default" w:ascii="宋体" w:hAnsi="宋体" w:eastAsia="宋体" w:cs="宋体"/>
                <w:color w:val="000000"/>
                <w:sz w:val="18"/>
                <w:szCs w:val="18"/>
                <w:shd w:val="clear" w:color="auto" w:fill="auto"/>
                <w:vertAlign w:val="baseline"/>
                <w:lang w:val="en-US" w:eastAsia="zh-CN"/>
              </w:rPr>
            </w:pPr>
            <w:r>
              <w:rPr>
                <w:rFonts w:hint="eastAsia" w:ascii="宋体" w:hAnsi="宋体" w:eastAsia="宋体" w:cs="宋体"/>
                <w:color w:val="000000"/>
                <w:sz w:val="18"/>
                <w:szCs w:val="18"/>
                <w:shd w:val="clear" w:color="auto" w:fill="auto"/>
                <w:vertAlign w:val="baseline"/>
                <w:lang w:val="en-US" w:eastAsia="zh-CN"/>
              </w:rPr>
              <w:t>76</w:t>
            </w:r>
          </w:p>
        </w:tc>
        <w:tc>
          <w:tcPr>
            <w:tcW w:w="415" w:type="pct"/>
            <w:vMerge w:val="restart"/>
            <w:noWrap w:val="0"/>
            <w:tcMar>
              <w:top w:w="0" w:type="dxa"/>
              <w:left w:w="0" w:type="dxa"/>
              <w:bottom w:w="0" w:type="dxa"/>
              <w:right w:w="0" w:type="dxa"/>
            </w:tcMar>
            <w:vAlign w:val="center"/>
          </w:tcPr>
          <w:p w14:paraId="11680D83">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对水利领域擅自以注册建设工程勘察、设计人员的名义从事建设工程勘察、设计活动行为的行政处罚</w:t>
            </w:r>
          </w:p>
        </w:tc>
        <w:tc>
          <w:tcPr>
            <w:tcW w:w="2168" w:type="pct"/>
            <w:vMerge w:val="restart"/>
            <w:noWrap w:val="0"/>
            <w:tcMar>
              <w:top w:w="0" w:type="dxa"/>
              <w:left w:w="0" w:type="dxa"/>
              <w:bottom w:w="0" w:type="dxa"/>
              <w:right w:w="0" w:type="dxa"/>
            </w:tcMar>
            <w:vAlign w:val="center"/>
          </w:tcPr>
          <w:p w14:paraId="4FD9CB9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《建设工程勘察设计管理条例》第三十六条 违反本条例规定，未经注册，擅自以注册建设工程勘察、设计人员的名义从事建设工程勘察、设计活动的，责令停止违法行为，没收违法所得，处违法所得2倍以上5倍以下罚款；给他人造成损失的，依法承担赔偿责任。</w:t>
            </w:r>
          </w:p>
        </w:tc>
        <w:tc>
          <w:tcPr>
            <w:tcW w:w="491" w:type="pct"/>
            <w:vMerge w:val="restart"/>
            <w:noWrap w:val="0"/>
            <w:tcMar>
              <w:top w:w="0" w:type="dxa"/>
              <w:left w:w="0" w:type="dxa"/>
              <w:bottom w:w="0" w:type="dxa"/>
              <w:right w:w="0" w:type="dxa"/>
            </w:tcMar>
            <w:vAlign w:val="center"/>
          </w:tcPr>
          <w:p w14:paraId="5C1E918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未经注册擅自以注册建设工程勘察、设计人员的名义从事建设工程勘察设计活动的</w:t>
            </w:r>
          </w:p>
        </w:tc>
        <w:tc>
          <w:tcPr>
            <w:tcW w:w="174" w:type="pct"/>
            <w:noWrap w:val="0"/>
            <w:tcMar>
              <w:top w:w="0" w:type="dxa"/>
              <w:left w:w="0" w:type="dxa"/>
              <w:bottom w:w="0" w:type="dxa"/>
              <w:right w:w="0" w:type="dxa"/>
            </w:tcMar>
            <w:vAlign w:val="center"/>
          </w:tcPr>
          <w:p w14:paraId="4C8F7DB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轻微</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2CFC0141">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1CF5A4C8">
            <w:pPr>
              <w:spacing w:line="260" w:lineRule="exact"/>
              <w:rPr>
                <w:rFonts w:hint="eastAsia" w:ascii="宋体" w:hAnsi="宋体" w:eastAsia="宋体" w:cs="宋体"/>
                <w:color w:val="000000"/>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192C4C2E">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05247E6C">
            <w:pPr>
              <w:spacing w:line="260" w:lineRule="exact"/>
              <w:rPr>
                <w:rFonts w:hint="eastAsia" w:ascii="宋体" w:hAnsi="宋体" w:eastAsia="宋体" w:cs="宋体"/>
                <w:color w:val="000000"/>
                <w:kern w:val="2"/>
                <w:sz w:val="18"/>
                <w:szCs w:val="18"/>
                <w:vertAlign w:val="baseline"/>
                <w:lang w:val="en-US" w:eastAsia="zh-CN" w:bidi="ar-SA"/>
              </w:rPr>
            </w:pPr>
          </w:p>
        </w:tc>
        <w:tc>
          <w:tcPr>
            <w:tcW w:w="158" w:type="pct"/>
            <w:vMerge w:val="restart"/>
            <w:noWrap w:val="0"/>
            <w:tcMar>
              <w:top w:w="0" w:type="dxa"/>
              <w:left w:w="0" w:type="dxa"/>
              <w:bottom w:w="0" w:type="dxa"/>
              <w:right w:w="0" w:type="dxa"/>
            </w:tcMar>
            <w:vAlign w:val="center"/>
          </w:tcPr>
          <w:p w14:paraId="6CD63FC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54C821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3B3FC21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7D861357">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3FE0FEB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4162DA6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534E5BF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较轻</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2CF449C1">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79720D8B">
            <w:pPr>
              <w:spacing w:line="260" w:lineRule="exact"/>
              <w:rPr>
                <w:rFonts w:hint="eastAsia" w:ascii="宋体" w:hAnsi="宋体" w:eastAsia="宋体" w:cs="宋体"/>
                <w:color w:val="000000"/>
                <w:sz w:val="18"/>
                <w:szCs w:val="18"/>
                <w:vertAlign w:val="baseline"/>
                <w:lang w:val="en-US" w:eastAsia="zh-CN"/>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7F3F681F">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457A299F">
            <w:pPr>
              <w:spacing w:line="260" w:lineRule="exact"/>
              <w:rPr>
                <w:rFonts w:hint="eastAsia" w:ascii="宋体" w:hAnsi="宋体" w:eastAsia="宋体" w:cs="宋体"/>
                <w:color w:val="000000"/>
                <w:kern w:val="2"/>
                <w:sz w:val="18"/>
                <w:szCs w:val="18"/>
                <w:vertAlign w:val="baseline"/>
                <w:lang w:val="en-US" w:eastAsia="zh-CN" w:bidi="ar-SA"/>
              </w:rPr>
            </w:pPr>
          </w:p>
        </w:tc>
        <w:tc>
          <w:tcPr>
            <w:tcW w:w="158" w:type="pct"/>
            <w:vMerge w:val="continue"/>
            <w:noWrap w:val="0"/>
            <w:tcMar>
              <w:top w:w="0" w:type="dxa"/>
              <w:left w:w="0" w:type="dxa"/>
              <w:bottom w:w="0" w:type="dxa"/>
              <w:right w:w="0" w:type="dxa"/>
            </w:tcMar>
            <w:vAlign w:val="center"/>
          </w:tcPr>
          <w:p w14:paraId="69220B6D">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2065F7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750" w:hRule="atLeast"/>
          <w:jc w:val="center"/>
        </w:trPr>
        <w:tc>
          <w:tcPr>
            <w:tcW w:w="156" w:type="pct"/>
            <w:vMerge w:val="continue"/>
            <w:noWrap w:val="0"/>
            <w:tcMar>
              <w:top w:w="0" w:type="dxa"/>
              <w:left w:w="0" w:type="dxa"/>
              <w:bottom w:w="0" w:type="dxa"/>
              <w:right w:w="0" w:type="dxa"/>
            </w:tcMar>
            <w:vAlign w:val="center"/>
          </w:tcPr>
          <w:p w14:paraId="223C94F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0B5E97EF">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4D6F659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22F94487">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69117C1D">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一般</w:t>
            </w:r>
          </w:p>
        </w:tc>
        <w:tc>
          <w:tcPr>
            <w:tcW w:w="561" w:type="pct"/>
            <w:noWrap w:val="0"/>
            <w:tcMar>
              <w:top w:w="0" w:type="dxa"/>
              <w:left w:w="0" w:type="dxa"/>
              <w:bottom w:w="0" w:type="dxa"/>
              <w:right w:w="0" w:type="dxa"/>
            </w:tcMar>
            <w:vAlign w:val="center"/>
          </w:tcPr>
          <w:p w14:paraId="7D14CA9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sz w:val="18"/>
                <w:szCs w:val="18"/>
                <w:vertAlign w:val="baseline"/>
                <w:lang w:val="en-US" w:eastAsia="zh-CN"/>
              </w:rPr>
              <w:t>及时改正的</w:t>
            </w:r>
          </w:p>
        </w:tc>
        <w:tc>
          <w:tcPr>
            <w:tcW w:w="873" w:type="pct"/>
            <w:noWrap w:val="0"/>
            <w:tcMar>
              <w:top w:w="0" w:type="dxa"/>
              <w:left w:w="0" w:type="dxa"/>
              <w:bottom w:w="0" w:type="dxa"/>
              <w:right w:w="0" w:type="dxa"/>
            </w:tcMar>
            <w:vAlign w:val="center"/>
          </w:tcPr>
          <w:p w14:paraId="5715D63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没收违法所得；处违法所得2倍以上3倍以下的罚款</w:t>
            </w:r>
          </w:p>
        </w:tc>
        <w:tc>
          <w:tcPr>
            <w:tcW w:w="158" w:type="pct"/>
            <w:vMerge w:val="continue"/>
            <w:noWrap w:val="0"/>
            <w:tcMar>
              <w:top w:w="0" w:type="dxa"/>
              <w:left w:w="0" w:type="dxa"/>
              <w:bottom w:w="0" w:type="dxa"/>
              <w:right w:w="0" w:type="dxa"/>
            </w:tcMar>
            <w:vAlign w:val="center"/>
          </w:tcPr>
          <w:p w14:paraId="1BD6087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4B450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728" w:hRule="atLeast"/>
          <w:jc w:val="center"/>
        </w:trPr>
        <w:tc>
          <w:tcPr>
            <w:tcW w:w="156" w:type="pct"/>
            <w:vMerge w:val="continue"/>
            <w:noWrap w:val="0"/>
            <w:tcMar>
              <w:top w:w="0" w:type="dxa"/>
              <w:left w:w="0" w:type="dxa"/>
              <w:bottom w:w="0" w:type="dxa"/>
              <w:right w:w="0" w:type="dxa"/>
            </w:tcMar>
            <w:vAlign w:val="center"/>
          </w:tcPr>
          <w:p w14:paraId="0BA24B9A">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521ED56F">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64939EB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6AC66CF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5AC12480">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较重</w:t>
            </w:r>
          </w:p>
        </w:tc>
        <w:tc>
          <w:tcPr>
            <w:tcW w:w="561" w:type="pct"/>
            <w:noWrap w:val="0"/>
            <w:tcMar>
              <w:top w:w="0" w:type="dxa"/>
              <w:left w:w="0" w:type="dxa"/>
              <w:bottom w:w="0" w:type="dxa"/>
              <w:right w:w="0" w:type="dxa"/>
            </w:tcMar>
            <w:vAlign w:val="center"/>
          </w:tcPr>
          <w:p w14:paraId="4A5183A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造成一般危害后果的</w:t>
            </w:r>
          </w:p>
        </w:tc>
        <w:tc>
          <w:tcPr>
            <w:tcW w:w="873" w:type="pct"/>
            <w:noWrap w:val="0"/>
            <w:tcMar>
              <w:top w:w="0" w:type="dxa"/>
              <w:left w:w="0" w:type="dxa"/>
              <w:bottom w:w="0" w:type="dxa"/>
              <w:right w:w="0" w:type="dxa"/>
            </w:tcMar>
            <w:vAlign w:val="center"/>
          </w:tcPr>
          <w:p w14:paraId="5C5A7F2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没收违法所得；处违法所3倍以上4倍以下的罚款</w:t>
            </w:r>
          </w:p>
        </w:tc>
        <w:tc>
          <w:tcPr>
            <w:tcW w:w="158" w:type="pct"/>
            <w:vMerge w:val="continue"/>
            <w:noWrap w:val="0"/>
            <w:tcMar>
              <w:top w:w="0" w:type="dxa"/>
              <w:left w:w="0" w:type="dxa"/>
              <w:bottom w:w="0" w:type="dxa"/>
              <w:right w:w="0" w:type="dxa"/>
            </w:tcMar>
            <w:vAlign w:val="center"/>
          </w:tcPr>
          <w:p w14:paraId="6B0D236A">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0AE357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52" w:hRule="atLeast"/>
          <w:jc w:val="center"/>
        </w:trPr>
        <w:tc>
          <w:tcPr>
            <w:tcW w:w="156" w:type="pct"/>
            <w:vMerge w:val="continue"/>
            <w:noWrap w:val="0"/>
            <w:tcMar>
              <w:top w:w="0" w:type="dxa"/>
              <w:left w:w="0" w:type="dxa"/>
              <w:bottom w:w="0" w:type="dxa"/>
              <w:right w:w="0" w:type="dxa"/>
            </w:tcMar>
            <w:vAlign w:val="center"/>
          </w:tcPr>
          <w:p w14:paraId="529F2D3C">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43038FE6">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12556DF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1B79589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528C9DAB">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严重</w:t>
            </w:r>
          </w:p>
        </w:tc>
        <w:tc>
          <w:tcPr>
            <w:tcW w:w="561" w:type="pct"/>
            <w:noWrap w:val="0"/>
            <w:tcMar>
              <w:top w:w="0" w:type="dxa"/>
              <w:left w:w="0" w:type="dxa"/>
              <w:bottom w:w="0" w:type="dxa"/>
              <w:right w:w="0" w:type="dxa"/>
            </w:tcMar>
            <w:vAlign w:val="center"/>
          </w:tcPr>
          <w:p w14:paraId="7B1A993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拒不停止违法行为的；造成严重危害后果的</w:t>
            </w:r>
          </w:p>
        </w:tc>
        <w:tc>
          <w:tcPr>
            <w:tcW w:w="873" w:type="pct"/>
            <w:noWrap w:val="0"/>
            <w:tcMar>
              <w:top w:w="0" w:type="dxa"/>
              <w:left w:w="0" w:type="dxa"/>
              <w:bottom w:w="0" w:type="dxa"/>
              <w:right w:w="0" w:type="dxa"/>
            </w:tcMar>
            <w:vAlign w:val="center"/>
          </w:tcPr>
          <w:p w14:paraId="34BB8CBC">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没收违法所得；处违法所得4倍以上5倍以下的罚款</w:t>
            </w:r>
          </w:p>
        </w:tc>
        <w:tc>
          <w:tcPr>
            <w:tcW w:w="158" w:type="pct"/>
            <w:vMerge w:val="continue"/>
            <w:noWrap w:val="0"/>
            <w:tcMar>
              <w:top w:w="0" w:type="dxa"/>
              <w:left w:w="0" w:type="dxa"/>
              <w:bottom w:w="0" w:type="dxa"/>
              <w:right w:w="0" w:type="dxa"/>
            </w:tcMar>
            <w:vAlign w:val="center"/>
          </w:tcPr>
          <w:p w14:paraId="349AF28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1E58C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restart"/>
            <w:noWrap w:val="0"/>
            <w:tcMar>
              <w:top w:w="0" w:type="dxa"/>
              <w:left w:w="0" w:type="dxa"/>
              <w:bottom w:w="0" w:type="dxa"/>
              <w:right w:w="0" w:type="dxa"/>
            </w:tcMar>
            <w:vAlign w:val="center"/>
          </w:tcPr>
          <w:p w14:paraId="2CD781AB">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default" w:ascii="宋体" w:hAnsi="宋体" w:eastAsia="宋体" w:cs="宋体"/>
                <w:color w:val="000000"/>
                <w:sz w:val="18"/>
                <w:szCs w:val="18"/>
                <w:shd w:val="clear" w:color="auto" w:fill="auto"/>
                <w:vertAlign w:val="baseline"/>
                <w:lang w:val="en-US" w:eastAsia="zh-CN"/>
              </w:rPr>
            </w:pPr>
            <w:r>
              <w:rPr>
                <w:rFonts w:hint="eastAsia" w:ascii="宋体" w:hAnsi="宋体" w:eastAsia="宋体" w:cs="宋体"/>
                <w:color w:val="000000"/>
                <w:sz w:val="18"/>
                <w:szCs w:val="18"/>
                <w:shd w:val="clear" w:color="auto" w:fill="auto"/>
                <w:vertAlign w:val="baseline"/>
                <w:lang w:val="en-US" w:eastAsia="zh-CN"/>
              </w:rPr>
              <w:t>77</w:t>
            </w:r>
          </w:p>
        </w:tc>
        <w:tc>
          <w:tcPr>
            <w:tcW w:w="415" w:type="pct"/>
            <w:vMerge w:val="restart"/>
            <w:noWrap w:val="0"/>
            <w:tcMar>
              <w:top w:w="0" w:type="dxa"/>
              <w:left w:w="0" w:type="dxa"/>
              <w:bottom w:w="0" w:type="dxa"/>
              <w:right w:w="0" w:type="dxa"/>
            </w:tcMar>
            <w:vAlign w:val="center"/>
          </w:tcPr>
          <w:p w14:paraId="0AE135E1">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对水利领域工程勘察、设计注册执业人员和其他专业技术人员未受聘于一个建设工程勘察、设计单位或者同时受聘于两个以上建设工程勘察、设计单位，从事建设工程勘察、设计活动行为的行政处罚</w:t>
            </w:r>
          </w:p>
        </w:tc>
        <w:tc>
          <w:tcPr>
            <w:tcW w:w="2168" w:type="pct"/>
            <w:vMerge w:val="restart"/>
            <w:noWrap w:val="0"/>
            <w:tcMar>
              <w:top w:w="0" w:type="dxa"/>
              <w:left w:w="0" w:type="dxa"/>
              <w:bottom w:w="0" w:type="dxa"/>
              <w:right w:w="0" w:type="dxa"/>
            </w:tcMar>
            <w:vAlign w:val="center"/>
          </w:tcPr>
          <w:p w14:paraId="3BAE739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《建设工程勘察设计管理条例》第三十七条 违反本条例规定，建设工程勘察、设计注册执业人员和其他专业技术人员未受聘于一个建设工程勘察、设计单位或者同时受聘于两个以上建设工程勘察、设计单位，从事建设工程勘察、设计活动的，责令停止违法行为，没收违法所得，处违法所得2倍以上5倍以下的罚款；情节严重的，可以责令停止执行业务或者吊销资格证书；给他人造成损失的，依法承担赔偿责任。</w:t>
            </w:r>
          </w:p>
        </w:tc>
        <w:tc>
          <w:tcPr>
            <w:tcW w:w="491" w:type="pct"/>
            <w:vMerge w:val="restart"/>
            <w:noWrap w:val="0"/>
            <w:tcMar>
              <w:top w:w="0" w:type="dxa"/>
              <w:left w:w="0" w:type="dxa"/>
              <w:bottom w:w="0" w:type="dxa"/>
              <w:right w:w="0" w:type="dxa"/>
            </w:tcMar>
            <w:vAlign w:val="center"/>
          </w:tcPr>
          <w:p w14:paraId="5DAD534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水利领域工程勘察、设计注册执业人员和其他专业技术人员未受聘于一个建设工程勘察、设计单位或者同时受聘于两个以上建设工程勘察、设计单位，从事建设工程勘察、设计活动的</w:t>
            </w:r>
          </w:p>
        </w:tc>
        <w:tc>
          <w:tcPr>
            <w:tcW w:w="174" w:type="pct"/>
            <w:noWrap w:val="0"/>
            <w:tcMar>
              <w:top w:w="0" w:type="dxa"/>
              <w:left w:w="0" w:type="dxa"/>
              <w:bottom w:w="0" w:type="dxa"/>
              <w:right w:w="0" w:type="dxa"/>
            </w:tcMar>
            <w:vAlign w:val="center"/>
          </w:tcPr>
          <w:p w14:paraId="7A1C4795">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轻微</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45E6E7E6">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519BA908">
            <w:pPr>
              <w:spacing w:line="260" w:lineRule="exact"/>
              <w:rPr>
                <w:rFonts w:hint="eastAsia" w:ascii="宋体" w:hAnsi="宋体" w:eastAsia="宋体" w:cs="宋体"/>
                <w:color w:val="000000"/>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62921891">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70D52D51">
            <w:pPr>
              <w:spacing w:line="260" w:lineRule="exact"/>
              <w:rPr>
                <w:rFonts w:hint="eastAsia" w:ascii="宋体" w:hAnsi="宋体" w:eastAsia="宋体" w:cs="宋体"/>
                <w:color w:val="000000"/>
                <w:kern w:val="2"/>
                <w:sz w:val="18"/>
                <w:szCs w:val="18"/>
                <w:vertAlign w:val="baseline"/>
                <w:lang w:val="en-US" w:eastAsia="zh-CN" w:bidi="ar-SA"/>
              </w:rPr>
            </w:pPr>
          </w:p>
        </w:tc>
        <w:tc>
          <w:tcPr>
            <w:tcW w:w="158" w:type="pct"/>
            <w:vMerge w:val="restart"/>
            <w:noWrap w:val="0"/>
            <w:tcMar>
              <w:top w:w="0" w:type="dxa"/>
              <w:left w:w="0" w:type="dxa"/>
              <w:bottom w:w="0" w:type="dxa"/>
              <w:right w:w="0" w:type="dxa"/>
            </w:tcMar>
            <w:vAlign w:val="center"/>
          </w:tcPr>
          <w:p w14:paraId="3F17227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63996A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737" w:hRule="atLeast"/>
          <w:jc w:val="center"/>
        </w:trPr>
        <w:tc>
          <w:tcPr>
            <w:tcW w:w="156" w:type="pct"/>
            <w:vMerge w:val="continue"/>
            <w:noWrap w:val="0"/>
            <w:tcMar>
              <w:top w:w="0" w:type="dxa"/>
              <w:left w:w="0" w:type="dxa"/>
              <w:bottom w:w="0" w:type="dxa"/>
              <w:right w:w="0" w:type="dxa"/>
            </w:tcMar>
            <w:vAlign w:val="center"/>
          </w:tcPr>
          <w:p w14:paraId="1E3FD54A">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00776922">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3944F39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563ED86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231FB866">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较轻</w:t>
            </w:r>
          </w:p>
        </w:tc>
        <w:tc>
          <w:tcPr>
            <w:tcW w:w="561" w:type="pct"/>
            <w:noWrap w:val="0"/>
            <w:tcMar>
              <w:top w:w="0" w:type="dxa"/>
              <w:left w:w="0" w:type="dxa"/>
              <w:bottom w:w="0" w:type="dxa"/>
              <w:right w:w="0" w:type="dxa"/>
            </w:tcMar>
            <w:vAlign w:val="center"/>
          </w:tcPr>
          <w:p w14:paraId="307FC711">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sz w:val="18"/>
                <w:szCs w:val="18"/>
                <w:vertAlign w:val="baseline"/>
              </w:rPr>
              <w:t>及时改正的</w:t>
            </w:r>
          </w:p>
        </w:tc>
        <w:tc>
          <w:tcPr>
            <w:tcW w:w="873" w:type="pct"/>
            <w:noWrap w:val="0"/>
            <w:tcMar>
              <w:top w:w="0" w:type="dxa"/>
              <w:left w:w="0" w:type="dxa"/>
              <w:bottom w:w="0" w:type="dxa"/>
              <w:right w:w="0" w:type="dxa"/>
            </w:tcMar>
            <w:vAlign w:val="center"/>
          </w:tcPr>
          <w:p w14:paraId="060FD551">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没收违法所得；处违法所得2倍以上3倍以下的罚款</w:t>
            </w:r>
          </w:p>
        </w:tc>
        <w:tc>
          <w:tcPr>
            <w:tcW w:w="158" w:type="pct"/>
            <w:vMerge w:val="continue"/>
            <w:noWrap w:val="0"/>
            <w:tcMar>
              <w:top w:w="0" w:type="dxa"/>
              <w:left w:w="0" w:type="dxa"/>
              <w:bottom w:w="0" w:type="dxa"/>
              <w:right w:w="0" w:type="dxa"/>
            </w:tcMar>
            <w:vAlign w:val="center"/>
          </w:tcPr>
          <w:p w14:paraId="79C16B5A">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127ED9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737" w:hRule="atLeast"/>
          <w:jc w:val="center"/>
        </w:trPr>
        <w:tc>
          <w:tcPr>
            <w:tcW w:w="156" w:type="pct"/>
            <w:vMerge w:val="continue"/>
            <w:noWrap w:val="0"/>
            <w:tcMar>
              <w:top w:w="0" w:type="dxa"/>
              <w:left w:w="0" w:type="dxa"/>
              <w:bottom w:w="0" w:type="dxa"/>
              <w:right w:w="0" w:type="dxa"/>
            </w:tcMar>
            <w:vAlign w:val="center"/>
          </w:tcPr>
          <w:p w14:paraId="0803DC88">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5C084D1D">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1F59EC3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15BE960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11D3BF61">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一般</w:t>
            </w:r>
          </w:p>
        </w:tc>
        <w:tc>
          <w:tcPr>
            <w:tcW w:w="561" w:type="pct"/>
            <w:noWrap w:val="0"/>
            <w:tcMar>
              <w:top w:w="0" w:type="dxa"/>
              <w:left w:w="0" w:type="dxa"/>
              <w:bottom w:w="0" w:type="dxa"/>
              <w:right w:w="0" w:type="dxa"/>
            </w:tcMar>
            <w:vAlign w:val="center"/>
          </w:tcPr>
          <w:p w14:paraId="36D64F20">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未在规定期限内改正的</w:t>
            </w:r>
          </w:p>
        </w:tc>
        <w:tc>
          <w:tcPr>
            <w:tcW w:w="873" w:type="pct"/>
            <w:noWrap w:val="0"/>
            <w:tcMar>
              <w:top w:w="0" w:type="dxa"/>
              <w:left w:w="0" w:type="dxa"/>
              <w:bottom w:w="0" w:type="dxa"/>
              <w:right w:w="0" w:type="dxa"/>
            </w:tcMar>
            <w:vAlign w:val="center"/>
          </w:tcPr>
          <w:p w14:paraId="0D3ADDD4">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没收违法所得；处违法所得3倍以上4倍以下的罚款</w:t>
            </w:r>
          </w:p>
        </w:tc>
        <w:tc>
          <w:tcPr>
            <w:tcW w:w="158" w:type="pct"/>
            <w:vMerge w:val="continue"/>
            <w:noWrap w:val="0"/>
            <w:tcMar>
              <w:top w:w="0" w:type="dxa"/>
              <w:left w:w="0" w:type="dxa"/>
              <w:bottom w:w="0" w:type="dxa"/>
              <w:right w:w="0" w:type="dxa"/>
            </w:tcMar>
            <w:vAlign w:val="center"/>
          </w:tcPr>
          <w:p w14:paraId="0B45DF08">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651943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057" w:hRule="atLeast"/>
          <w:jc w:val="center"/>
        </w:trPr>
        <w:tc>
          <w:tcPr>
            <w:tcW w:w="156" w:type="pct"/>
            <w:vMerge w:val="continue"/>
            <w:noWrap w:val="0"/>
            <w:tcMar>
              <w:top w:w="0" w:type="dxa"/>
              <w:left w:w="0" w:type="dxa"/>
              <w:bottom w:w="0" w:type="dxa"/>
              <w:right w:w="0" w:type="dxa"/>
            </w:tcMar>
            <w:vAlign w:val="center"/>
          </w:tcPr>
          <w:p w14:paraId="062E5FD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5918B128">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16A78214">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0266EF34">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30707B37">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较重</w:t>
            </w:r>
          </w:p>
        </w:tc>
        <w:tc>
          <w:tcPr>
            <w:tcW w:w="561" w:type="pct"/>
            <w:noWrap w:val="0"/>
            <w:tcMar>
              <w:top w:w="0" w:type="dxa"/>
              <w:left w:w="0" w:type="dxa"/>
              <w:bottom w:w="0" w:type="dxa"/>
              <w:right w:w="0" w:type="dxa"/>
            </w:tcMar>
            <w:vAlign w:val="center"/>
          </w:tcPr>
          <w:p w14:paraId="5AACE4FE">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拒不停止违法行为的</w:t>
            </w:r>
          </w:p>
        </w:tc>
        <w:tc>
          <w:tcPr>
            <w:tcW w:w="873" w:type="pct"/>
            <w:noWrap w:val="0"/>
            <w:tcMar>
              <w:top w:w="0" w:type="dxa"/>
              <w:left w:w="0" w:type="dxa"/>
              <w:bottom w:w="0" w:type="dxa"/>
              <w:right w:w="0" w:type="dxa"/>
            </w:tcMar>
            <w:vAlign w:val="center"/>
          </w:tcPr>
          <w:p w14:paraId="3D806AAE">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没收违法所得；处违法所得4倍以上5倍以下的罚款；责令停止执行业务，直至改正违法行为</w:t>
            </w:r>
          </w:p>
        </w:tc>
        <w:tc>
          <w:tcPr>
            <w:tcW w:w="158" w:type="pct"/>
            <w:vMerge w:val="continue"/>
            <w:noWrap w:val="0"/>
            <w:tcMar>
              <w:top w:w="0" w:type="dxa"/>
              <w:left w:w="0" w:type="dxa"/>
              <w:bottom w:w="0" w:type="dxa"/>
              <w:right w:w="0" w:type="dxa"/>
            </w:tcMar>
            <w:vAlign w:val="center"/>
          </w:tcPr>
          <w:p w14:paraId="1484EABB">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6A17BE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12" w:hRule="atLeast"/>
          <w:jc w:val="center"/>
        </w:trPr>
        <w:tc>
          <w:tcPr>
            <w:tcW w:w="156" w:type="pct"/>
            <w:vMerge w:val="continue"/>
            <w:noWrap w:val="0"/>
            <w:tcMar>
              <w:top w:w="0" w:type="dxa"/>
              <w:left w:w="0" w:type="dxa"/>
              <w:bottom w:w="0" w:type="dxa"/>
              <w:right w:w="0" w:type="dxa"/>
            </w:tcMar>
            <w:vAlign w:val="center"/>
          </w:tcPr>
          <w:p w14:paraId="21FAB26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1E44CB37">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4A9B1D7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36DA6167">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052CE0F2">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严重</w:t>
            </w:r>
          </w:p>
        </w:tc>
        <w:tc>
          <w:tcPr>
            <w:tcW w:w="561" w:type="pct"/>
            <w:noWrap w:val="0"/>
            <w:tcMar>
              <w:top w:w="0" w:type="dxa"/>
              <w:left w:w="0" w:type="dxa"/>
              <w:bottom w:w="0" w:type="dxa"/>
              <w:right w:w="0" w:type="dxa"/>
            </w:tcMar>
            <w:vAlign w:val="center"/>
          </w:tcPr>
          <w:p w14:paraId="4E968E10">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在停止执行业务期间，继续从事建设工程勘察、设计活动的；造成质量安全事故或其他严重后果的</w:t>
            </w:r>
          </w:p>
        </w:tc>
        <w:tc>
          <w:tcPr>
            <w:tcW w:w="873" w:type="pct"/>
            <w:noWrap w:val="0"/>
            <w:tcMar>
              <w:top w:w="0" w:type="dxa"/>
              <w:left w:w="0" w:type="dxa"/>
              <w:bottom w:w="0" w:type="dxa"/>
              <w:right w:w="0" w:type="dxa"/>
            </w:tcMar>
            <w:vAlign w:val="center"/>
          </w:tcPr>
          <w:p w14:paraId="31130D5A">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没收违法所得；处违法所得5倍罚款；吊销资格证书</w:t>
            </w:r>
          </w:p>
        </w:tc>
        <w:tc>
          <w:tcPr>
            <w:tcW w:w="158" w:type="pct"/>
            <w:vMerge w:val="continue"/>
            <w:noWrap w:val="0"/>
            <w:tcMar>
              <w:top w:w="0" w:type="dxa"/>
              <w:left w:w="0" w:type="dxa"/>
              <w:bottom w:w="0" w:type="dxa"/>
              <w:right w:w="0" w:type="dxa"/>
            </w:tcMar>
            <w:vAlign w:val="center"/>
          </w:tcPr>
          <w:p w14:paraId="7FF0C26C">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6403AE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restart"/>
            <w:noWrap w:val="0"/>
            <w:tcMar>
              <w:top w:w="0" w:type="dxa"/>
              <w:left w:w="0" w:type="dxa"/>
              <w:bottom w:w="0" w:type="dxa"/>
              <w:right w:w="0" w:type="dxa"/>
            </w:tcMar>
            <w:vAlign w:val="center"/>
          </w:tcPr>
          <w:p w14:paraId="5B0C70CA">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default" w:ascii="宋体" w:hAnsi="宋体" w:eastAsia="宋体" w:cs="宋体"/>
                <w:color w:val="000000"/>
                <w:sz w:val="18"/>
                <w:szCs w:val="18"/>
                <w:shd w:val="clear" w:color="auto" w:fill="auto"/>
                <w:vertAlign w:val="baseline"/>
                <w:lang w:val="en-US" w:eastAsia="zh-CN"/>
              </w:rPr>
            </w:pPr>
            <w:r>
              <w:rPr>
                <w:rFonts w:hint="eastAsia" w:ascii="宋体" w:hAnsi="宋体" w:eastAsia="宋体" w:cs="宋体"/>
                <w:color w:val="000000"/>
                <w:sz w:val="18"/>
                <w:szCs w:val="18"/>
                <w:shd w:val="clear" w:color="auto" w:fill="auto"/>
                <w:vertAlign w:val="baseline"/>
                <w:lang w:val="en-US" w:eastAsia="zh-CN"/>
              </w:rPr>
              <w:t>78</w:t>
            </w:r>
          </w:p>
        </w:tc>
        <w:tc>
          <w:tcPr>
            <w:tcW w:w="415" w:type="pct"/>
            <w:vMerge w:val="restart"/>
            <w:noWrap w:val="0"/>
            <w:tcMar>
              <w:top w:w="0" w:type="dxa"/>
              <w:left w:w="0" w:type="dxa"/>
              <w:bottom w:w="0" w:type="dxa"/>
              <w:right w:w="0" w:type="dxa"/>
            </w:tcMar>
            <w:vAlign w:val="center"/>
          </w:tcPr>
          <w:p w14:paraId="389B7358">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对水利领域注册工程师以个人名义承接业务等行为的行政处罚</w:t>
            </w:r>
          </w:p>
        </w:tc>
        <w:tc>
          <w:tcPr>
            <w:tcW w:w="2168" w:type="pct"/>
            <w:vMerge w:val="restart"/>
            <w:noWrap w:val="0"/>
            <w:tcMar>
              <w:top w:w="0" w:type="dxa"/>
              <w:left w:w="0" w:type="dxa"/>
              <w:bottom w:w="0" w:type="dxa"/>
              <w:right w:w="0" w:type="dxa"/>
            </w:tcMar>
            <w:vAlign w:val="center"/>
          </w:tcPr>
          <w:p w14:paraId="1F133D2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《勘察设计注册工程师管理规定》第三十条 注册工程师在执业活动中有下列行为之一的，由县级以上人民政府住房城乡建设主管部门或者有关部门予以警告，责令其改正，没有违法所得的，处以1万元以下的罚款；有违法所得的，处以违法所得3倍以下且不超过3万元的罚款；造成损失的，应当承担赔偿责任；构成犯罪的，依法追究刑事责任：</w:t>
            </w:r>
          </w:p>
          <w:p w14:paraId="7000E56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（一）以个人名义承接业务的；</w:t>
            </w:r>
          </w:p>
          <w:p w14:paraId="2B3602F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（二）涂改、出租、出借或者以形式非法转让注册证书或者执业印章的；</w:t>
            </w:r>
          </w:p>
          <w:p w14:paraId="5CE9CF07">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（三）泄露执业中应当保守的秘密并造成严重后果的；</w:t>
            </w:r>
          </w:p>
          <w:p w14:paraId="720ACBC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（四）超出本专业规定范围或者聘用单位业务范围从事执业活动的；</w:t>
            </w:r>
          </w:p>
          <w:p w14:paraId="1B6193F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（五）弄虚作假提供执业活动成果的；</w:t>
            </w:r>
          </w:p>
          <w:p w14:paraId="51330CE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（六）其它违反法律、法规、规章的行为。</w:t>
            </w:r>
          </w:p>
        </w:tc>
        <w:tc>
          <w:tcPr>
            <w:tcW w:w="491" w:type="pct"/>
            <w:vMerge w:val="restart"/>
            <w:noWrap w:val="0"/>
            <w:tcMar>
              <w:top w:w="0" w:type="dxa"/>
              <w:left w:w="0" w:type="dxa"/>
              <w:bottom w:w="0" w:type="dxa"/>
              <w:right w:w="0" w:type="dxa"/>
            </w:tcMar>
            <w:vAlign w:val="center"/>
          </w:tcPr>
          <w:p w14:paraId="35A3D48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水利领域注册工程师以个人名义承接业务的</w:t>
            </w:r>
          </w:p>
        </w:tc>
        <w:tc>
          <w:tcPr>
            <w:tcW w:w="174" w:type="pct"/>
            <w:noWrap w:val="0"/>
            <w:tcMar>
              <w:top w:w="0" w:type="dxa"/>
              <w:left w:w="0" w:type="dxa"/>
              <w:bottom w:w="0" w:type="dxa"/>
              <w:right w:w="0" w:type="dxa"/>
            </w:tcMar>
            <w:vAlign w:val="center"/>
          </w:tcPr>
          <w:p w14:paraId="6B1B58DC">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轻微</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5D225D48">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488BFA11">
            <w:pPr>
              <w:spacing w:line="260" w:lineRule="exact"/>
              <w:rPr>
                <w:rFonts w:hint="eastAsia" w:ascii="宋体" w:hAnsi="宋体" w:eastAsia="宋体" w:cs="宋体"/>
                <w:color w:val="000000"/>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4EB8499E">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2A0677AB">
            <w:pPr>
              <w:spacing w:line="260" w:lineRule="exact"/>
              <w:rPr>
                <w:rFonts w:hint="eastAsia" w:ascii="宋体" w:hAnsi="宋体" w:eastAsia="宋体" w:cs="宋体"/>
                <w:color w:val="000000"/>
                <w:kern w:val="2"/>
                <w:sz w:val="18"/>
                <w:szCs w:val="18"/>
                <w:vertAlign w:val="baseline"/>
                <w:lang w:val="en-US" w:eastAsia="zh-CN" w:bidi="ar-SA"/>
              </w:rPr>
            </w:pPr>
          </w:p>
        </w:tc>
        <w:tc>
          <w:tcPr>
            <w:tcW w:w="158" w:type="pct"/>
            <w:vMerge w:val="restart"/>
            <w:noWrap w:val="0"/>
            <w:tcMar>
              <w:top w:w="0" w:type="dxa"/>
              <w:left w:w="0" w:type="dxa"/>
              <w:bottom w:w="0" w:type="dxa"/>
              <w:right w:w="0" w:type="dxa"/>
            </w:tcMar>
            <w:vAlign w:val="center"/>
          </w:tcPr>
          <w:p w14:paraId="638E628C">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2A0670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6158B99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6BEF11CC">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5154DD7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5AD1E6F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0689338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较轻</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300174F2">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2F5A9A80">
            <w:pPr>
              <w:spacing w:line="260" w:lineRule="exact"/>
              <w:rPr>
                <w:rFonts w:hint="eastAsia" w:ascii="宋体" w:hAnsi="宋体" w:eastAsia="宋体" w:cs="宋体"/>
                <w:color w:val="000000"/>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79758981">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27DE989C">
            <w:pPr>
              <w:spacing w:line="260" w:lineRule="exact"/>
              <w:rPr>
                <w:rFonts w:hint="eastAsia" w:ascii="宋体" w:hAnsi="宋体" w:eastAsia="宋体" w:cs="宋体"/>
                <w:color w:val="000000"/>
                <w:kern w:val="2"/>
                <w:sz w:val="18"/>
                <w:szCs w:val="18"/>
                <w:vertAlign w:val="baseline"/>
                <w:lang w:val="en-US" w:eastAsia="zh-CN" w:bidi="ar-SA"/>
              </w:rPr>
            </w:pPr>
          </w:p>
        </w:tc>
        <w:tc>
          <w:tcPr>
            <w:tcW w:w="158" w:type="pct"/>
            <w:vMerge w:val="continue"/>
            <w:noWrap w:val="0"/>
            <w:tcMar>
              <w:top w:w="0" w:type="dxa"/>
              <w:left w:w="0" w:type="dxa"/>
              <w:bottom w:w="0" w:type="dxa"/>
              <w:right w:w="0" w:type="dxa"/>
            </w:tcMar>
            <w:vAlign w:val="center"/>
          </w:tcPr>
          <w:p w14:paraId="2708CE6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54D2D5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001623AD">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690A66EE">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05AB612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3695326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5EBE873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一般</w:t>
            </w:r>
          </w:p>
        </w:tc>
        <w:tc>
          <w:tcPr>
            <w:tcW w:w="561" w:type="pct"/>
            <w:noWrap w:val="0"/>
            <w:tcMar>
              <w:top w:w="0" w:type="dxa"/>
              <w:left w:w="0" w:type="dxa"/>
              <w:bottom w:w="0" w:type="dxa"/>
              <w:right w:w="0" w:type="dxa"/>
            </w:tcMar>
            <w:vAlign w:val="center"/>
          </w:tcPr>
          <w:p w14:paraId="41E1B12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sz w:val="18"/>
                <w:szCs w:val="18"/>
                <w:vertAlign w:val="baseline"/>
              </w:rPr>
              <w:t>没有违法所得的</w:t>
            </w:r>
          </w:p>
        </w:tc>
        <w:tc>
          <w:tcPr>
            <w:tcW w:w="873" w:type="pct"/>
            <w:noWrap w:val="0"/>
            <w:tcMar>
              <w:top w:w="0" w:type="dxa"/>
              <w:left w:w="0" w:type="dxa"/>
              <w:bottom w:w="0" w:type="dxa"/>
              <w:right w:w="0" w:type="dxa"/>
            </w:tcMar>
            <w:vAlign w:val="center"/>
          </w:tcPr>
          <w:p w14:paraId="6BFCC444">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予以警告，处以1万元以下的罚款</w:t>
            </w:r>
          </w:p>
        </w:tc>
        <w:tc>
          <w:tcPr>
            <w:tcW w:w="158" w:type="pct"/>
            <w:vMerge w:val="continue"/>
            <w:noWrap w:val="0"/>
            <w:tcMar>
              <w:top w:w="0" w:type="dxa"/>
              <w:left w:w="0" w:type="dxa"/>
              <w:bottom w:w="0" w:type="dxa"/>
              <w:right w:w="0" w:type="dxa"/>
            </w:tcMar>
            <w:vAlign w:val="center"/>
          </w:tcPr>
          <w:p w14:paraId="32989770">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1E333F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762" w:hRule="atLeast"/>
          <w:jc w:val="center"/>
        </w:trPr>
        <w:tc>
          <w:tcPr>
            <w:tcW w:w="156" w:type="pct"/>
            <w:vMerge w:val="continue"/>
            <w:noWrap w:val="0"/>
            <w:tcMar>
              <w:top w:w="0" w:type="dxa"/>
              <w:left w:w="0" w:type="dxa"/>
              <w:bottom w:w="0" w:type="dxa"/>
              <w:right w:w="0" w:type="dxa"/>
            </w:tcMar>
            <w:vAlign w:val="center"/>
          </w:tcPr>
          <w:p w14:paraId="196B3B3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1457326C">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5580467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6F76C7D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3B149F4B">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较重</w:t>
            </w:r>
          </w:p>
        </w:tc>
        <w:tc>
          <w:tcPr>
            <w:tcW w:w="561" w:type="pct"/>
            <w:noWrap w:val="0"/>
            <w:tcMar>
              <w:top w:w="0" w:type="dxa"/>
              <w:left w:w="0" w:type="dxa"/>
              <w:bottom w:w="0" w:type="dxa"/>
              <w:right w:w="0" w:type="dxa"/>
            </w:tcMar>
            <w:vAlign w:val="center"/>
          </w:tcPr>
          <w:p w14:paraId="2F52FB0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有违法所得，但未造成严重后果的</w:t>
            </w:r>
          </w:p>
        </w:tc>
        <w:tc>
          <w:tcPr>
            <w:tcW w:w="873" w:type="pct"/>
            <w:noWrap w:val="0"/>
            <w:tcMar>
              <w:top w:w="0" w:type="dxa"/>
              <w:left w:w="0" w:type="dxa"/>
              <w:bottom w:w="0" w:type="dxa"/>
              <w:right w:w="0" w:type="dxa"/>
            </w:tcMar>
            <w:vAlign w:val="center"/>
          </w:tcPr>
          <w:p w14:paraId="2D8D677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予以警告，处以违法所得1.5倍以下且不超过3万元的罚款</w:t>
            </w:r>
          </w:p>
        </w:tc>
        <w:tc>
          <w:tcPr>
            <w:tcW w:w="158" w:type="pct"/>
            <w:vMerge w:val="continue"/>
            <w:noWrap w:val="0"/>
            <w:tcMar>
              <w:top w:w="0" w:type="dxa"/>
              <w:left w:w="0" w:type="dxa"/>
              <w:bottom w:w="0" w:type="dxa"/>
              <w:right w:w="0" w:type="dxa"/>
            </w:tcMar>
            <w:vAlign w:val="center"/>
          </w:tcPr>
          <w:p w14:paraId="64142F9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1AADA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823" w:hRule="atLeast"/>
          <w:jc w:val="center"/>
        </w:trPr>
        <w:tc>
          <w:tcPr>
            <w:tcW w:w="156" w:type="pct"/>
            <w:vMerge w:val="continue"/>
            <w:noWrap w:val="0"/>
            <w:tcMar>
              <w:top w:w="0" w:type="dxa"/>
              <w:left w:w="0" w:type="dxa"/>
              <w:bottom w:w="0" w:type="dxa"/>
              <w:right w:w="0" w:type="dxa"/>
            </w:tcMar>
            <w:vAlign w:val="center"/>
          </w:tcPr>
          <w:p w14:paraId="4ACC5E1B">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3AFD4535">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7A83F6F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718DF09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28D4606D">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严重</w:t>
            </w:r>
          </w:p>
        </w:tc>
        <w:tc>
          <w:tcPr>
            <w:tcW w:w="561" w:type="pct"/>
            <w:noWrap w:val="0"/>
            <w:tcMar>
              <w:top w:w="0" w:type="dxa"/>
              <w:left w:w="0" w:type="dxa"/>
              <w:bottom w:w="0" w:type="dxa"/>
              <w:right w:w="0" w:type="dxa"/>
            </w:tcMar>
            <w:vAlign w:val="center"/>
          </w:tcPr>
          <w:p w14:paraId="4DEB50CC">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有违法所得，并已造成严重后果的</w:t>
            </w:r>
          </w:p>
        </w:tc>
        <w:tc>
          <w:tcPr>
            <w:tcW w:w="873" w:type="pct"/>
            <w:noWrap w:val="0"/>
            <w:tcMar>
              <w:top w:w="0" w:type="dxa"/>
              <w:left w:w="0" w:type="dxa"/>
              <w:bottom w:w="0" w:type="dxa"/>
              <w:right w:w="0" w:type="dxa"/>
            </w:tcMar>
            <w:vAlign w:val="center"/>
          </w:tcPr>
          <w:p w14:paraId="4DCBCE0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予以警告，处以违法所得1.5倍以上3倍以下且不超过3万元的罚款</w:t>
            </w:r>
          </w:p>
        </w:tc>
        <w:tc>
          <w:tcPr>
            <w:tcW w:w="158" w:type="pct"/>
            <w:vMerge w:val="continue"/>
            <w:noWrap w:val="0"/>
            <w:tcMar>
              <w:top w:w="0" w:type="dxa"/>
              <w:left w:w="0" w:type="dxa"/>
              <w:bottom w:w="0" w:type="dxa"/>
              <w:right w:w="0" w:type="dxa"/>
            </w:tcMar>
            <w:vAlign w:val="center"/>
          </w:tcPr>
          <w:p w14:paraId="272B651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7D3983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156" w:type="pct"/>
            <w:vMerge w:val="continue"/>
            <w:noWrap w:val="0"/>
            <w:tcMar>
              <w:top w:w="0" w:type="dxa"/>
              <w:left w:w="0" w:type="dxa"/>
              <w:bottom w:w="0" w:type="dxa"/>
              <w:right w:w="0" w:type="dxa"/>
            </w:tcMar>
            <w:vAlign w:val="center"/>
          </w:tcPr>
          <w:p w14:paraId="0AB1809C">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2F6582C2">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576974C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restart"/>
            <w:noWrap w:val="0"/>
            <w:tcMar>
              <w:top w:w="0" w:type="dxa"/>
              <w:left w:w="0" w:type="dxa"/>
              <w:bottom w:w="0" w:type="dxa"/>
              <w:right w:w="0" w:type="dxa"/>
            </w:tcMar>
            <w:vAlign w:val="center"/>
          </w:tcPr>
          <w:p w14:paraId="71FE4AC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注册工程师在执业活动中涂改、出租、出借或者以形式非法转让注册证书或者执业印章的</w:t>
            </w:r>
          </w:p>
        </w:tc>
        <w:tc>
          <w:tcPr>
            <w:tcW w:w="174" w:type="pct"/>
            <w:noWrap w:val="0"/>
            <w:tcMar>
              <w:top w:w="0" w:type="dxa"/>
              <w:left w:w="0" w:type="dxa"/>
              <w:bottom w:w="0" w:type="dxa"/>
              <w:right w:w="0" w:type="dxa"/>
            </w:tcMar>
            <w:vAlign w:val="center"/>
          </w:tcPr>
          <w:p w14:paraId="6F087D1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轻微</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038F8223">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2206BEBA">
            <w:pPr>
              <w:spacing w:line="260" w:lineRule="exact"/>
              <w:rPr>
                <w:rFonts w:hint="eastAsia" w:ascii="宋体" w:hAnsi="宋体" w:eastAsia="宋体" w:cs="宋体"/>
                <w:color w:val="000000"/>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55CBA1C2">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01828284">
            <w:pPr>
              <w:spacing w:line="260" w:lineRule="exact"/>
              <w:rPr>
                <w:rFonts w:hint="eastAsia" w:ascii="宋体" w:hAnsi="宋体" w:eastAsia="宋体" w:cs="宋体"/>
                <w:color w:val="000000"/>
                <w:kern w:val="2"/>
                <w:sz w:val="18"/>
                <w:szCs w:val="18"/>
                <w:vertAlign w:val="baseline"/>
                <w:lang w:val="en-US" w:eastAsia="zh-CN" w:bidi="ar-SA"/>
              </w:rPr>
            </w:pPr>
          </w:p>
        </w:tc>
        <w:tc>
          <w:tcPr>
            <w:tcW w:w="158" w:type="pct"/>
            <w:vMerge w:val="restart"/>
            <w:noWrap w:val="0"/>
            <w:tcMar>
              <w:top w:w="0" w:type="dxa"/>
              <w:left w:w="0" w:type="dxa"/>
              <w:bottom w:w="0" w:type="dxa"/>
              <w:right w:w="0" w:type="dxa"/>
            </w:tcMar>
            <w:vAlign w:val="center"/>
          </w:tcPr>
          <w:p w14:paraId="5072F96D">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color w:val="000000"/>
                <w:sz w:val="18"/>
                <w:szCs w:val="18"/>
                <w:vertAlign w:val="baseline"/>
              </w:rPr>
            </w:pPr>
          </w:p>
        </w:tc>
      </w:tr>
      <w:tr w14:paraId="6F4FA0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156" w:type="pct"/>
            <w:vMerge w:val="continue"/>
            <w:noWrap w:val="0"/>
            <w:tcMar>
              <w:top w:w="0" w:type="dxa"/>
              <w:left w:w="0" w:type="dxa"/>
              <w:bottom w:w="0" w:type="dxa"/>
              <w:right w:w="0" w:type="dxa"/>
            </w:tcMar>
            <w:vAlign w:val="center"/>
          </w:tcPr>
          <w:p w14:paraId="1A605E5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0AE0327D">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756AA18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45F7848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2713A73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较轻</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26BC63EA">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58505700">
            <w:pPr>
              <w:spacing w:line="260" w:lineRule="exact"/>
              <w:rPr>
                <w:rFonts w:hint="eastAsia" w:ascii="宋体" w:hAnsi="宋体" w:eastAsia="宋体" w:cs="宋体"/>
                <w:color w:val="000000"/>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0339A58E">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76CB9B2C">
            <w:pPr>
              <w:spacing w:line="260" w:lineRule="exact"/>
              <w:rPr>
                <w:rFonts w:hint="eastAsia" w:ascii="宋体" w:hAnsi="宋体" w:eastAsia="宋体" w:cs="宋体"/>
                <w:color w:val="000000"/>
                <w:kern w:val="2"/>
                <w:sz w:val="18"/>
                <w:szCs w:val="18"/>
                <w:vertAlign w:val="baseline"/>
                <w:lang w:val="en-US" w:eastAsia="zh-CN" w:bidi="ar-SA"/>
              </w:rPr>
            </w:pPr>
          </w:p>
        </w:tc>
        <w:tc>
          <w:tcPr>
            <w:tcW w:w="158" w:type="pct"/>
            <w:vMerge w:val="continue"/>
            <w:noWrap w:val="0"/>
            <w:tcMar>
              <w:top w:w="0" w:type="dxa"/>
              <w:left w:w="0" w:type="dxa"/>
              <w:bottom w:w="0" w:type="dxa"/>
              <w:right w:w="0" w:type="dxa"/>
            </w:tcMar>
            <w:vAlign w:val="center"/>
          </w:tcPr>
          <w:p w14:paraId="1AA70438">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color w:val="000000"/>
                <w:sz w:val="18"/>
                <w:szCs w:val="18"/>
                <w:vertAlign w:val="baseline"/>
              </w:rPr>
            </w:pPr>
          </w:p>
        </w:tc>
      </w:tr>
      <w:tr w14:paraId="3D5E31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52A7DCB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433D4CFA">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5DE2F9B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403C6F4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6A525D09">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一般</w:t>
            </w:r>
          </w:p>
        </w:tc>
        <w:tc>
          <w:tcPr>
            <w:tcW w:w="561" w:type="pct"/>
            <w:noWrap w:val="0"/>
            <w:tcMar>
              <w:top w:w="0" w:type="dxa"/>
              <w:left w:w="0" w:type="dxa"/>
              <w:bottom w:w="0" w:type="dxa"/>
              <w:right w:w="0" w:type="dxa"/>
            </w:tcMar>
            <w:vAlign w:val="center"/>
          </w:tcPr>
          <w:p w14:paraId="633A02A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sz w:val="18"/>
                <w:szCs w:val="18"/>
                <w:vertAlign w:val="baseline"/>
              </w:rPr>
              <w:t>没有违法所得的</w:t>
            </w:r>
          </w:p>
        </w:tc>
        <w:tc>
          <w:tcPr>
            <w:tcW w:w="873" w:type="pct"/>
            <w:noWrap w:val="0"/>
            <w:tcMar>
              <w:top w:w="0" w:type="dxa"/>
              <w:left w:w="0" w:type="dxa"/>
              <w:bottom w:w="0" w:type="dxa"/>
              <w:right w:w="0" w:type="dxa"/>
            </w:tcMar>
            <w:vAlign w:val="center"/>
          </w:tcPr>
          <w:p w14:paraId="61A0B71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予以警告，处以1万元以下的罚款</w:t>
            </w:r>
          </w:p>
        </w:tc>
        <w:tc>
          <w:tcPr>
            <w:tcW w:w="158" w:type="pct"/>
            <w:vMerge w:val="continue"/>
            <w:noWrap w:val="0"/>
            <w:tcMar>
              <w:top w:w="0" w:type="dxa"/>
              <w:left w:w="0" w:type="dxa"/>
              <w:bottom w:w="0" w:type="dxa"/>
              <w:right w:w="0" w:type="dxa"/>
            </w:tcMar>
            <w:vAlign w:val="center"/>
          </w:tcPr>
          <w:p w14:paraId="3A485C40">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color w:val="000000"/>
                <w:sz w:val="18"/>
                <w:szCs w:val="18"/>
                <w:vertAlign w:val="baseline"/>
              </w:rPr>
            </w:pPr>
          </w:p>
        </w:tc>
      </w:tr>
      <w:tr w14:paraId="04CFCE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24" w:hRule="atLeast"/>
          <w:jc w:val="center"/>
        </w:trPr>
        <w:tc>
          <w:tcPr>
            <w:tcW w:w="156" w:type="pct"/>
            <w:vMerge w:val="continue"/>
            <w:noWrap w:val="0"/>
            <w:tcMar>
              <w:top w:w="0" w:type="dxa"/>
              <w:left w:w="0" w:type="dxa"/>
              <w:bottom w:w="0" w:type="dxa"/>
              <w:right w:w="0" w:type="dxa"/>
            </w:tcMar>
            <w:vAlign w:val="center"/>
          </w:tcPr>
          <w:p w14:paraId="02059B6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6E7833D5">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1D738E87">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22C424E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7DE57DC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较重</w:t>
            </w:r>
          </w:p>
        </w:tc>
        <w:tc>
          <w:tcPr>
            <w:tcW w:w="561" w:type="pct"/>
            <w:noWrap w:val="0"/>
            <w:tcMar>
              <w:top w:w="0" w:type="dxa"/>
              <w:left w:w="0" w:type="dxa"/>
              <w:bottom w:w="0" w:type="dxa"/>
              <w:right w:w="0" w:type="dxa"/>
            </w:tcMar>
            <w:vAlign w:val="center"/>
          </w:tcPr>
          <w:p w14:paraId="3F3085B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有违法所得，但未造成严重后果的</w:t>
            </w:r>
          </w:p>
        </w:tc>
        <w:tc>
          <w:tcPr>
            <w:tcW w:w="873" w:type="pct"/>
            <w:noWrap w:val="0"/>
            <w:tcMar>
              <w:top w:w="0" w:type="dxa"/>
              <w:left w:w="0" w:type="dxa"/>
              <w:bottom w:w="0" w:type="dxa"/>
              <w:right w:w="0" w:type="dxa"/>
            </w:tcMar>
            <w:vAlign w:val="center"/>
          </w:tcPr>
          <w:p w14:paraId="5303B0C7">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予以警告，处以违法所得1.5倍以下且不超过3万元的罚款</w:t>
            </w:r>
          </w:p>
        </w:tc>
        <w:tc>
          <w:tcPr>
            <w:tcW w:w="158" w:type="pct"/>
            <w:vMerge w:val="continue"/>
            <w:noWrap w:val="0"/>
            <w:tcMar>
              <w:top w:w="0" w:type="dxa"/>
              <w:left w:w="0" w:type="dxa"/>
              <w:bottom w:w="0" w:type="dxa"/>
              <w:right w:w="0" w:type="dxa"/>
            </w:tcMar>
            <w:vAlign w:val="center"/>
          </w:tcPr>
          <w:p w14:paraId="74A49D20">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color w:val="000000"/>
                <w:sz w:val="18"/>
                <w:szCs w:val="18"/>
                <w:vertAlign w:val="baseline"/>
              </w:rPr>
            </w:pPr>
          </w:p>
        </w:tc>
      </w:tr>
      <w:tr w14:paraId="37F04F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24" w:hRule="atLeast"/>
          <w:jc w:val="center"/>
        </w:trPr>
        <w:tc>
          <w:tcPr>
            <w:tcW w:w="156" w:type="pct"/>
            <w:vMerge w:val="continue"/>
            <w:noWrap w:val="0"/>
            <w:tcMar>
              <w:top w:w="0" w:type="dxa"/>
              <w:left w:w="0" w:type="dxa"/>
              <w:bottom w:w="0" w:type="dxa"/>
              <w:right w:w="0" w:type="dxa"/>
            </w:tcMar>
            <w:vAlign w:val="center"/>
          </w:tcPr>
          <w:p w14:paraId="2610AC8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1DD6B1CD">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3FB8EC0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3FE6462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617F7371">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严重</w:t>
            </w:r>
          </w:p>
        </w:tc>
        <w:tc>
          <w:tcPr>
            <w:tcW w:w="561" w:type="pct"/>
            <w:noWrap w:val="0"/>
            <w:tcMar>
              <w:top w:w="0" w:type="dxa"/>
              <w:left w:w="0" w:type="dxa"/>
              <w:bottom w:w="0" w:type="dxa"/>
              <w:right w:w="0" w:type="dxa"/>
            </w:tcMar>
            <w:vAlign w:val="center"/>
          </w:tcPr>
          <w:p w14:paraId="7052CD7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有违法所得，并已造成严重后果的</w:t>
            </w:r>
          </w:p>
        </w:tc>
        <w:tc>
          <w:tcPr>
            <w:tcW w:w="873" w:type="pct"/>
            <w:noWrap w:val="0"/>
            <w:tcMar>
              <w:top w:w="0" w:type="dxa"/>
              <w:left w:w="0" w:type="dxa"/>
              <w:bottom w:w="0" w:type="dxa"/>
              <w:right w:w="0" w:type="dxa"/>
            </w:tcMar>
            <w:vAlign w:val="center"/>
          </w:tcPr>
          <w:p w14:paraId="2B6504F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予以警告，处以违法所得1.5倍以上3倍以下且不超过3万元的罚款</w:t>
            </w:r>
          </w:p>
        </w:tc>
        <w:tc>
          <w:tcPr>
            <w:tcW w:w="158" w:type="pct"/>
            <w:vMerge w:val="continue"/>
            <w:noWrap w:val="0"/>
            <w:tcMar>
              <w:top w:w="0" w:type="dxa"/>
              <w:left w:w="0" w:type="dxa"/>
              <w:bottom w:w="0" w:type="dxa"/>
              <w:right w:w="0" w:type="dxa"/>
            </w:tcMar>
            <w:vAlign w:val="center"/>
          </w:tcPr>
          <w:p w14:paraId="31F0B990">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color w:val="000000"/>
                <w:sz w:val="18"/>
                <w:szCs w:val="18"/>
                <w:vertAlign w:val="baseline"/>
              </w:rPr>
            </w:pPr>
          </w:p>
        </w:tc>
      </w:tr>
      <w:tr w14:paraId="344099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jc w:val="center"/>
        </w:trPr>
        <w:tc>
          <w:tcPr>
            <w:tcW w:w="156" w:type="pct"/>
            <w:vMerge w:val="continue"/>
            <w:noWrap w:val="0"/>
            <w:tcMar>
              <w:top w:w="0" w:type="dxa"/>
              <w:left w:w="0" w:type="dxa"/>
              <w:bottom w:w="0" w:type="dxa"/>
              <w:right w:w="0" w:type="dxa"/>
            </w:tcMar>
            <w:vAlign w:val="center"/>
          </w:tcPr>
          <w:p w14:paraId="2D003859">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48C65070">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467B89A4">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restart"/>
            <w:noWrap w:val="0"/>
            <w:tcMar>
              <w:top w:w="0" w:type="dxa"/>
              <w:left w:w="0" w:type="dxa"/>
              <w:bottom w:w="0" w:type="dxa"/>
              <w:right w:w="0" w:type="dxa"/>
            </w:tcMar>
            <w:vAlign w:val="center"/>
          </w:tcPr>
          <w:p w14:paraId="3DB7D65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注册工程师在执业活动中泄露执业中应当保守的秘密并造成严重后果的</w:t>
            </w:r>
          </w:p>
        </w:tc>
        <w:tc>
          <w:tcPr>
            <w:tcW w:w="174" w:type="pct"/>
            <w:noWrap w:val="0"/>
            <w:tcMar>
              <w:top w:w="0" w:type="dxa"/>
              <w:left w:w="0" w:type="dxa"/>
              <w:bottom w:w="0" w:type="dxa"/>
              <w:right w:w="0" w:type="dxa"/>
            </w:tcMar>
            <w:vAlign w:val="center"/>
          </w:tcPr>
          <w:p w14:paraId="5D9D2AA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轻微</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52CB0F1F">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2D0B4AEE">
            <w:pPr>
              <w:spacing w:line="260" w:lineRule="exact"/>
              <w:rPr>
                <w:rFonts w:hint="eastAsia" w:ascii="宋体" w:hAnsi="宋体" w:eastAsia="宋体" w:cs="宋体"/>
                <w:color w:val="000000"/>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744E49AF">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6FECF674">
            <w:pPr>
              <w:spacing w:line="260" w:lineRule="exact"/>
              <w:rPr>
                <w:rFonts w:hint="eastAsia" w:ascii="宋体" w:hAnsi="宋体" w:eastAsia="宋体" w:cs="宋体"/>
                <w:color w:val="000000"/>
                <w:kern w:val="2"/>
                <w:sz w:val="18"/>
                <w:szCs w:val="18"/>
                <w:vertAlign w:val="baseline"/>
                <w:lang w:val="en-US" w:eastAsia="zh-CN" w:bidi="ar-SA"/>
              </w:rPr>
            </w:pPr>
          </w:p>
        </w:tc>
        <w:tc>
          <w:tcPr>
            <w:tcW w:w="158" w:type="pct"/>
            <w:vMerge w:val="restart"/>
            <w:noWrap w:val="0"/>
            <w:tcMar>
              <w:top w:w="0" w:type="dxa"/>
              <w:left w:w="0" w:type="dxa"/>
              <w:bottom w:w="0" w:type="dxa"/>
              <w:right w:w="0" w:type="dxa"/>
            </w:tcMar>
            <w:vAlign w:val="center"/>
          </w:tcPr>
          <w:p w14:paraId="23B77F0E">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color w:val="000000"/>
                <w:sz w:val="18"/>
                <w:szCs w:val="18"/>
                <w:vertAlign w:val="baseline"/>
              </w:rPr>
            </w:pPr>
          </w:p>
        </w:tc>
      </w:tr>
      <w:tr w14:paraId="4ECE50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jc w:val="center"/>
        </w:trPr>
        <w:tc>
          <w:tcPr>
            <w:tcW w:w="156" w:type="pct"/>
            <w:vMerge w:val="continue"/>
            <w:noWrap w:val="0"/>
            <w:tcMar>
              <w:top w:w="0" w:type="dxa"/>
              <w:left w:w="0" w:type="dxa"/>
              <w:bottom w:w="0" w:type="dxa"/>
              <w:right w:w="0" w:type="dxa"/>
            </w:tcMar>
            <w:vAlign w:val="center"/>
          </w:tcPr>
          <w:p w14:paraId="757E0F6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415C8D09">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5EC3EE54">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117BD1F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0FAC8B8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较轻</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23C5AF8B">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2BB4E98C">
            <w:pPr>
              <w:spacing w:line="260" w:lineRule="exact"/>
              <w:rPr>
                <w:rFonts w:hint="eastAsia" w:ascii="宋体" w:hAnsi="宋体" w:eastAsia="宋体" w:cs="宋体"/>
                <w:color w:val="000000"/>
                <w:kern w:val="2"/>
                <w:sz w:val="18"/>
                <w:szCs w:val="18"/>
                <w:vertAlign w:val="baseline"/>
                <w:lang w:val="en-US" w:eastAsia="zh-CN" w:bidi="ar-SA"/>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526CFB55">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5CEB862B">
            <w:pPr>
              <w:spacing w:line="260" w:lineRule="exact"/>
              <w:rPr>
                <w:rFonts w:hint="eastAsia" w:ascii="宋体" w:hAnsi="宋体" w:eastAsia="宋体" w:cs="宋体"/>
                <w:color w:val="000000"/>
                <w:kern w:val="2"/>
                <w:sz w:val="18"/>
                <w:szCs w:val="18"/>
                <w:vertAlign w:val="baseline"/>
                <w:lang w:val="en-US" w:eastAsia="zh-CN" w:bidi="ar-SA"/>
              </w:rPr>
            </w:pPr>
          </w:p>
        </w:tc>
        <w:tc>
          <w:tcPr>
            <w:tcW w:w="158" w:type="pct"/>
            <w:vMerge w:val="continue"/>
            <w:noWrap w:val="0"/>
            <w:tcMar>
              <w:top w:w="0" w:type="dxa"/>
              <w:left w:w="0" w:type="dxa"/>
              <w:bottom w:w="0" w:type="dxa"/>
              <w:right w:w="0" w:type="dxa"/>
            </w:tcMar>
            <w:vAlign w:val="center"/>
          </w:tcPr>
          <w:p w14:paraId="6D283F0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14A532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6875EDE5">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42DAEEDB">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678C60A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7483ADE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573EF475">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一般</w:t>
            </w:r>
          </w:p>
        </w:tc>
        <w:tc>
          <w:tcPr>
            <w:tcW w:w="561" w:type="pct"/>
            <w:noWrap w:val="0"/>
            <w:tcMar>
              <w:top w:w="0" w:type="dxa"/>
              <w:left w:w="0" w:type="dxa"/>
              <w:bottom w:w="0" w:type="dxa"/>
              <w:right w:w="0" w:type="dxa"/>
            </w:tcMar>
            <w:vAlign w:val="center"/>
          </w:tcPr>
          <w:p w14:paraId="1F76345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sz w:val="18"/>
                <w:szCs w:val="18"/>
                <w:vertAlign w:val="baseline"/>
              </w:rPr>
              <w:t>没有违法所得的</w:t>
            </w:r>
          </w:p>
        </w:tc>
        <w:tc>
          <w:tcPr>
            <w:tcW w:w="873" w:type="pct"/>
            <w:noWrap w:val="0"/>
            <w:tcMar>
              <w:top w:w="0" w:type="dxa"/>
              <w:left w:w="0" w:type="dxa"/>
              <w:bottom w:w="0" w:type="dxa"/>
              <w:right w:w="0" w:type="dxa"/>
            </w:tcMar>
            <w:vAlign w:val="center"/>
          </w:tcPr>
          <w:p w14:paraId="4C54545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予以警告，处以1万元以下的罚款</w:t>
            </w:r>
          </w:p>
        </w:tc>
        <w:tc>
          <w:tcPr>
            <w:tcW w:w="158" w:type="pct"/>
            <w:vMerge w:val="continue"/>
            <w:noWrap w:val="0"/>
            <w:tcMar>
              <w:top w:w="0" w:type="dxa"/>
              <w:left w:w="0" w:type="dxa"/>
              <w:bottom w:w="0" w:type="dxa"/>
              <w:right w:w="0" w:type="dxa"/>
            </w:tcMar>
            <w:vAlign w:val="center"/>
          </w:tcPr>
          <w:p w14:paraId="48BD94AD">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6C064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24" w:hRule="atLeast"/>
          <w:jc w:val="center"/>
        </w:trPr>
        <w:tc>
          <w:tcPr>
            <w:tcW w:w="156" w:type="pct"/>
            <w:vMerge w:val="continue"/>
            <w:noWrap w:val="0"/>
            <w:tcMar>
              <w:top w:w="0" w:type="dxa"/>
              <w:left w:w="0" w:type="dxa"/>
              <w:bottom w:w="0" w:type="dxa"/>
              <w:right w:w="0" w:type="dxa"/>
            </w:tcMar>
            <w:vAlign w:val="center"/>
          </w:tcPr>
          <w:p w14:paraId="2F29BB7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4A2A9947">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100FA1A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1E20EB4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64465CE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较重</w:t>
            </w:r>
          </w:p>
        </w:tc>
        <w:tc>
          <w:tcPr>
            <w:tcW w:w="561" w:type="pct"/>
            <w:noWrap w:val="0"/>
            <w:tcMar>
              <w:top w:w="0" w:type="dxa"/>
              <w:left w:w="0" w:type="dxa"/>
              <w:bottom w:w="0" w:type="dxa"/>
              <w:right w:w="0" w:type="dxa"/>
            </w:tcMar>
            <w:vAlign w:val="center"/>
          </w:tcPr>
          <w:p w14:paraId="1377995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sz w:val="18"/>
                <w:szCs w:val="18"/>
                <w:vertAlign w:val="baseline"/>
              </w:rPr>
              <w:t>有违法所得，但未造成严重后果的</w:t>
            </w:r>
          </w:p>
        </w:tc>
        <w:tc>
          <w:tcPr>
            <w:tcW w:w="873" w:type="pct"/>
            <w:noWrap w:val="0"/>
            <w:tcMar>
              <w:top w:w="0" w:type="dxa"/>
              <w:left w:w="0" w:type="dxa"/>
              <w:bottom w:w="0" w:type="dxa"/>
              <w:right w:w="0" w:type="dxa"/>
            </w:tcMar>
            <w:vAlign w:val="center"/>
          </w:tcPr>
          <w:p w14:paraId="13FE876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予以警告，处以违法所得1.5倍以下且不超过3万元的罚款</w:t>
            </w:r>
          </w:p>
        </w:tc>
        <w:tc>
          <w:tcPr>
            <w:tcW w:w="158" w:type="pct"/>
            <w:vMerge w:val="continue"/>
            <w:noWrap w:val="0"/>
            <w:tcMar>
              <w:top w:w="0" w:type="dxa"/>
              <w:left w:w="0" w:type="dxa"/>
              <w:bottom w:w="0" w:type="dxa"/>
              <w:right w:w="0" w:type="dxa"/>
            </w:tcMar>
            <w:vAlign w:val="center"/>
          </w:tcPr>
          <w:p w14:paraId="033360CA">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02ACF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24" w:hRule="atLeast"/>
          <w:jc w:val="center"/>
        </w:trPr>
        <w:tc>
          <w:tcPr>
            <w:tcW w:w="156" w:type="pct"/>
            <w:vMerge w:val="continue"/>
            <w:noWrap w:val="0"/>
            <w:tcMar>
              <w:top w:w="0" w:type="dxa"/>
              <w:left w:w="0" w:type="dxa"/>
              <w:bottom w:w="0" w:type="dxa"/>
              <w:right w:w="0" w:type="dxa"/>
            </w:tcMar>
            <w:vAlign w:val="center"/>
          </w:tcPr>
          <w:p w14:paraId="5CF31CCC">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28011EFA">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160FA4CC">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509908A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0BF2CD6D">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严重</w:t>
            </w:r>
          </w:p>
        </w:tc>
        <w:tc>
          <w:tcPr>
            <w:tcW w:w="561" w:type="pct"/>
            <w:noWrap w:val="0"/>
            <w:tcMar>
              <w:top w:w="0" w:type="dxa"/>
              <w:left w:w="0" w:type="dxa"/>
              <w:bottom w:w="0" w:type="dxa"/>
              <w:right w:w="0" w:type="dxa"/>
            </w:tcMar>
            <w:vAlign w:val="center"/>
          </w:tcPr>
          <w:p w14:paraId="5488E28C">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sz w:val="18"/>
                <w:szCs w:val="18"/>
                <w:vertAlign w:val="baseline"/>
              </w:rPr>
              <w:t>有违法所得，并已造成严重后果的</w:t>
            </w:r>
          </w:p>
        </w:tc>
        <w:tc>
          <w:tcPr>
            <w:tcW w:w="873" w:type="pct"/>
            <w:noWrap w:val="0"/>
            <w:tcMar>
              <w:top w:w="0" w:type="dxa"/>
              <w:left w:w="0" w:type="dxa"/>
              <w:bottom w:w="0" w:type="dxa"/>
              <w:right w:w="0" w:type="dxa"/>
            </w:tcMar>
            <w:vAlign w:val="center"/>
          </w:tcPr>
          <w:p w14:paraId="5E74917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予以警告，处以违法所得1.5倍以上3倍以下且不超过3万元的罚款</w:t>
            </w:r>
          </w:p>
        </w:tc>
        <w:tc>
          <w:tcPr>
            <w:tcW w:w="158" w:type="pct"/>
            <w:vMerge w:val="continue"/>
            <w:noWrap w:val="0"/>
            <w:tcMar>
              <w:top w:w="0" w:type="dxa"/>
              <w:left w:w="0" w:type="dxa"/>
              <w:bottom w:w="0" w:type="dxa"/>
              <w:right w:w="0" w:type="dxa"/>
            </w:tcMar>
            <w:vAlign w:val="center"/>
          </w:tcPr>
          <w:p w14:paraId="3EF8B4C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1C7F06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156" w:type="pct"/>
            <w:vMerge w:val="continue"/>
            <w:noWrap w:val="0"/>
            <w:tcMar>
              <w:top w:w="0" w:type="dxa"/>
              <w:left w:w="0" w:type="dxa"/>
              <w:bottom w:w="0" w:type="dxa"/>
              <w:right w:w="0" w:type="dxa"/>
            </w:tcMar>
            <w:vAlign w:val="center"/>
          </w:tcPr>
          <w:p w14:paraId="2585C848">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21FD4F9C">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7830A4A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restart"/>
            <w:noWrap w:val="0"/>
            <w:tcMar>
              <w:top w:w="0" w:type="dxa"/>
              <w:left w:w="0" w:type="dxa"/>
              <w:bottom w:w="0" w:type="dxa"/>
              <w:right w:w="0" w:type="dxa"/>
            </w:tcMar>
            <w:vAlign w:val="center"/>
          </w:tcPr>
          <w:p w14:paraId="33745694">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注册工程师在执业活动中超出本专业规定范围或者聘用单位业务范围从事执业活动的</w:t>
            </w:r>
          </w:p>
        </w:tc>
        <w:tc>
          <w:tcPr>
            <w:tcW w:w="174" w:type="pct"/>
            <w:noWrap w:val="0"/>
            <w:tcMar>
              <w:top w:w="0" w:type="dxa"/>
              <w:left w:w="0" w:type="dxa"/>
              <w:bottom w:w="0" w:type="dxa"/>
              <w:right w:w="0" w:type="dxa"/>
            </w:tcMar>
            <w:vAlign w:val="center"/>
          </w:tcPr>
          <w:p w14:paraId="207E5C60">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轻微</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47808C11">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19465C3A">
            <w:pPr>
              <w:spacing w:line="260" w:lineRule="exact"/>
              <w:rPr>
                <w:rFonts w:hint="eastAsia" w:ascii="宋体" w:hAnsi="宋体" w:eastAsia="宋体" w:cs="宋体"/>
                <w:color w:val="000000"/>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70C70067">
            <w:pPr>
              <w:snapToGrid w:val="0"/>
              <w:spacing w:line="24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40545D24">
            <w:pPr>
              <w:spacing w:line="240" w:lineRule="exact"/>
              <w:rPr>
                <w:rFonts w:hint="eastAsia" w:ascii="宋体" w:hAnsi="宋体" w:eastAsia="宋体" w:cs="宋体"/>
                <w:color w:val="000000"/>
                <w:kern w:val="2"/>
                <w:sz w:val="18"/>
                <w:szCs w:val="18"/>
                <w:vertAlign w:val="baseline"/>
                <w:lang w:val="en-US" w:eastAsia="zh-CN" w:bidi="ar-SA"/>
              </w:rPr>
            </w:pPr>
          </w:p>
        </w:tc>
        <w:tc>
          <w:tcPr>
            <w:tcW w:w="158" w:type="pct"/>
            <w:vMerge w:val="restart"/>
            <w:noWrap w:val="0"/>
            <w:tcMar>
              <w:top w:w="0" w:type="dxa"/>
              <w:left w:w="0" w:type="dxa"/>
              <w:bottom w:w="0" w:type="dxa"/>
              <w:right w:w="0" w:type="dxa"/>
            </w:tcMar>
            <w:vAlign w:val="center"/>
          </w:tcPr>
          <w:p w14:paraId="3D716910">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color w:val="000000"/>
                <w:sz w:val="18"/>
                <w:szCs w:val="18"/>
                <w:vertAlign w:val="baseline"/>
              </w:rPr>
            </w:pPr>
          </w:p>
        </w:tc>
      </w:tr>
      <w:tr w14:paraId="51C889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156" w:type="pct"/>
            <w:vMerge w:val="continue"/>
            <w:noWrap w:val="0"/>
            <w:tcMar>
              <w:top w:w="0" w:type="dxa"/>
              <w:left w:w="0" w:type="dxa"/>
              <w:bottom w:w="0" w:type="dxa"/>
              <w:right w:w="0" w:type="dxa"/>
            </w:tcMar>
            <w:vAlign w:val="center"/>
          </w:tcPr>
          <w:p w14:paraId="2381CA15">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2B352046">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556EA9F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1310EBE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39E5C8B9">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较轻</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750874C0">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284E3183">
            <w:pPr>
              <w:spacing w:line="260" w:lineRule="exact"/>
              <w:rPr>
                <w:rFonts w:hint="eastAsia" w:ascii="宋体" w:hAnsi="宋体" w:eastAsia="宋体" w:cs="宋体"/>
                <w:color w:val="000000"/>
                <w:kern w:val="2"/>
                <w:sz w:val="18"/>
                <w:szCs w:val="18"/>
                <w:vertAlign w:val="baseline"/>
                <w:lang w:val="en-US" w:eastAsia="zh-CN" w:bidi="ar-SA"/>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5A7FA0D5">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6063B1F5">
            <w:pPr>
              <w:spacing w:line="260" w:lineRule="exact"/>
              <w:rPr>
                <w:rFonts w:hint="eastAsia" w:ascii="宋体" w:hAnsi="宋体" w:eastAsia="宋体" w:cs="宋体"/>
                <w:color w:val="000000"/>
                <w:kern w:val="2"/>
                <w:sz w:val="18"/>
                <w:szCs w:val="18"/>
                <w:vertAlign w:val="baseline"/>
                <w:lang w:val="en-US" w:eastAsia="zh-CN" w:bidi="ar-SA"/>
              </w:rPr>
            </w:pPr>
          </w:p>
        </w:tc>
        <w:tc>
          <w:tcPr>
            <w:tcW w:w="158" w:type="pct"/>
            <w:vMerge w:val="continue"/>
            <w:noWrap w:val="0"/>
            <w:tcMar>
              <w:top w:w="0" w:type="dxa"/>
              <w:left w:w="0" w:type="dxa"/>
              <w:bottom w:w="0" w:type="dxa"/>
              <w:right w:w="0" w:type="dxa"/>
            </w:tcMar>
            <w:vAlign w:val="center"/>
          </w:tcPr>
          <w:p w14:paraId="6807B83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6A5262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55666398">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4DA7DFA7">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1F789C7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57FE71B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0FB74C15">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一般</w:t>
            </w:r>
          </w:p>
        </w:tc>
        <w:tc>
          <w:tcPr>
            <w:tcW w:w="561" w:type="pct"/>
            <w:noWrap w:val="0"/>
            <w:tcMar>
              <w:top w:w="0" w:type="dxa"/>
              <w:left w:w="0" w:type="dxa"/>
              <w:bottom w:w="0" w:type="dxa"/>
              <w:right w:w="0" w:type="dxa"/>
            </w:tcMar>
            <w:vAlign w:val="center"/>
          </w:tcPr>
          <w:p w14:paraId="4E903B4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sz w:val="18"/>
                <w:szCs w:val="18"/>
                <w:vertAlign w:val="baseline"/>
              </w:rPr>
              <w:t>没有违法所得的</w:t>
            </w:r>
          </w:p>
        </w:tc>
        <w:tc>
          <w:tcPr>
            <w:tcW w:w="873" w:type="pct"/>
            <w:noWrap w:val="0"/>
            <w:tcMar>
              <w:top w:w="0" w:type="dxa"/>
              <w:left w:w="0" w:type="dxa"/>
              <w:bottom w:w="0" w:type="dxa"/>
              <w:right w:w="0" w:type="dxa"/>
            </w:tcMar>
            <w:vAlign w:val="center"/>
          </w:tcPr>
          <w:p w14:paraId="14C477E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予以警告，处以1万元以下的罚款</w:t>
            </w:r>
          </w:p>
        </w:tc>
        <w:tc>
          <w:tcPr>
            <w:tcW w:w="158" w:type="pct"/>
            <w:vMerge w:val="continue"/>
            <w:noWrap w:val="0"/>
            <w:tcMar>
              <w:top w:w="0" w:type="dxa"/>
              <w:left w:w="0" w:type="dxa"/>
              <w:bottom w:w="0" w:type="dxa"/>
              <w:right w:w="0" w:type="dxa"/>
            </w:tcMar>
            <w:vAlign w:val="center"/>
          </w:tcPr>
          <w:p w14:paraId="7693989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18AF00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80" w:hRule="atLeast"/>
          <w:jc w:val="center"/>
        </w:trPr>
        <w:tc>
          <w:tcPr>
            <w:tcW w:w="156" w:type="pct"/>
            <w:vMerge w:val="continue"/>
            <w:noWrap w:val="0"/>
            <w:tcMar>
              <w:top w:w="0" w:type="dxa"/>
              <w:left w:w="0" w:type="dxa"/>
              <w:bottom w:w="0" w:type="dxa"/>
              <w:right w:w="0" w:type="dxa"/>
            </w:tcMar>
            <w:vAlign w:val="center"/>
          </w:tcPr>
          <w:p w14:paraId="1B2C99CA">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29912DC8">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0F874F2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4C365FB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68815AF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较重</w:t>
            </w:r>
          </w:p>
        </w:tc>
        <w:tc>
          <w:tcPr>
            <w:tcW w:w="561" w:type="pct"/>
            <w:noWrap w:val="0"/>
            <w:tcMar>
              <w:top w:w="0" w:type="dxa"/>
              <w:left w:w="0" w:type="dxa"/>
              <w:bottom w:w="0" w:type="dxa"/>
              <w:right w:w="0" w:type="dxa"/>
            </w:tcMar>
            <w:vAlign w:val="center"/>
          </w:tcPr>
          <w:p w14:paraId="35EF00B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sz w:val="18"/>
                <w:szCs w:val="18"/>
                <w:vertAlign w:val="baseline"/>
              </w:rPr>
              <w:t>有违法所得，但未造成严重后果的</w:t>
            </w:r>
          </w:p>
        </w:tc>
        <w:tc>
          <w:tcPr>
            <w:tcW w:w="873" w:type="pct"/>
            <w:noWrap w:val="0"/>
            <w:tcMar>
              <w:top w:w="0" w:type="dxa"/>
              <w:left w:w="0" w:type="dxa"/>
              <w:bottom w:w="0" w:type="dxa"/>
              <w:right w:w="0" w:type="dxa"/>
            </w:tcMar>
            <w:vAlign w:val="center"/>
          </w:tcPr>
          <w:p w14:paraId="4086484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予以警告，处以违法所得1.5倍以下且不超过3万元的罚款</w:t>
            </w:r>
          </w:p>
        </w:tc>
        <w:tc>
          <w:tcPr>
            <w:tcW w:w="158" w:type="pct"/>
            <w:vMerge w:val="continue"/>
            <w:noWrap w:val="0"/>
            <w:tcMar>
              <w:top w:w="0" w:type="dxa"/>
              <w:left w:w="0" w:type="dxa"/>
              <w:bottom w:w="0" w:type="dxa"/>
              <w:right w:w="0" w:type="dxa"/>
            </w:tcMar>
            <w:vAlign w:val="center"/>
          </w:tcPr>
          <w:p w14:paraId="51A0AF8A">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68E095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80" w:hRule="atLeast"/>
          <w:jc w:val="center"/>
        </w:trPr>
        <w:tc>
          <w:tcPr>
            <w:tcW w:w="156" w:type="pct"/>
            <w:vMerge w:val="continue"/>
            <w:noWrap w:val="0"/>
            <w:tcMar>
              <w:top w:w="0" w:type="dxa"/>
              <w:left w:w="0" w:type="dxa"/>
              <w:bottom w:w="0" w:type="dxa"/>
              <w:right w:w="0" w:type="dxa"/>
            </w:tcMar>
            <w:vAlign w:val="center"/>
          </w:tcPr>
          <w:p w14:paraId="6D412C7C">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001BB62C">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4C07F244">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40B0D1D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010A0FE5">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严重</w:t>
            </w:r>
          </w:p>
        </w:tc>
        <w:tc>
          <w:tcPr>
            <w:tcW w:w="561" w:type="pct"/>
            <w:noWrap w:val="0"/>
            <w:tcMar>
              <w:top w:w="0" w:type="dxa"/>
              <w:left w:w="0" w:type="dxa"/>
              <w:bottom w:w="0" w:type="dxa"/>
              <w:right w:w="0" w:type="dxa"/>
            </w:tcMar>
            <w:vAlign w:val="center"/>
          </w:tcPr>
          <w:p w14:paraId="5EECE484">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sz w:val="18"/>
                <w:szCs w:val="18"/>
                <w:vertAlign w:val="baseline"/>
              </w:rPr>
              <w:t>有违法所得，并已造成严重后果的</w:t>
            </w:r>
          </w:p>
        </w:tc>
        <w:tc>
          <w:tcPr>
            <w:tcW w:w="873" w:type="pct"/>
            <w:noWrap w:val="0"/>
            <w:tcMar>
              <w:top w:w="0" w:type="dxa"/>
              <w:left w:w="0" w:type="dxa"/>
              <w:bottom w:w="0" w:type="dxa"/>
              <w:right w:w="0" w:type="dxa"/>
            </w:tcMar>
            <w:vAlign w:val="center"/>
          </w:tcPr>
          <w:p w14:paraId="12803AD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予以警告，处以违法所得1.5倍以上3倍以下且不超过3万元的罚款</w:t>
            </w:r>
          </w:p>
        </w:tc>
        <w:tc>
          <w:tcPr>
            <w:tcW w:w="158" w:type="pct"/>
            <w:vMerge w:val="continue"/>
            <w:noWrap w:val="0"/>
            <w:tcMar>
              <w:top w:w="0" w:type="dxa"/>
              <w:left w:w="0" w:type="dxa"/>
              <w:bottom w:w="0" w:type="dxa"/>
              <w:right w:w="0" w:type="dxa"/>
            </w:tcMar>
            <w:vAlign w:val="center"/>
          </w:tcPr>
          <w:p w14:paraId="4422E9E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738621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373EF94C">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7E401637">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30926A2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restart"/>
            <w:noWrap w:val="0"/>
            <w:tcMar>
              <w:top w:w="0" w:type="dxa"/>
              <w:left w:w="0" w:type="dxa"/>
              <w:bottom w:w="0" w:type="dxa"/>
              <w:right w:w="0" w:type="dxa"/>
            </w:tcMar>
            <w:vAlign w:val="center"/>
          </w:tcPr>
          <w:p w14:paraId="6C5B589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注册工程师在执业活动中弄虚作假提供执业活动成果的</w:t>
            </w:r>
          </w:p>
        </w:tc>
        <w:tc>
          <w:tcPr>
            <w:tcW w:w="174" w:type="pct"/>
            <w:noWrap w:val="0"/>
            <w:tcMar>
              <w:top w:w="0" w:type="dxa"/>
              <w:left w:w="0" w:type="dxa"/>
              <w:bottom w:w="0" w:type="dxa"/>
              <w:right w:w="0" w:type="dxa"/>
            </w:tcMar>
            <w:vAlign w:val="center"/>
          </w:tcPr>
          <w:p w14:paraId="3345A21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轻微</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3DAD9294">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28A31755">
            <w:pPr>
              <w:spacing w:line="260" w:lineRule="exact"/>
              <w:rPr>
                <w:rFonts w:hint="eastAsia" w:ascii="宋体" w:hAnsi="宋体" w:eastAsia="宋体" w:cs="宋体"/>
                <w:color w:val="000000"/>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1642C0BB">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2BD9E234">
            <w:pPr>
              <w:spacing w:line="260" w:lineRule="exact"/>
              <w:rPr>
                <w:rFonts w:hint="eastAsia" w:ascii="宋体" w:hAnsi="宋体" w:eastAsia="宋体" w:cs="宋体"/>
                <w:color w:val="000000"/>
                <w:kern w:val="2"/>
                <w:sz w:val="18"/>
                <w:szCs w:val="18"/>
                <w:vertAlign w:val="baseline"/>
                <w:lang w:val="en-US" w:eastAsia="zh-CN" w:bidi="ar-SA"/>
              </w:rPr>
            </w:pPr>
          </w:p>
        </w:tc>
        <w:tc>
          <w:tcPr>
            <w:tcW w:w="158" w:type="pct"/>
            <w:vMerge w:val="restart"/>
            <w:noWrap w:val="0"/>
            <w:tcMar>
              <w:top w:w="0" w:type="dxa"/>
              <w:left w:w="0" w:type="dxa"/>
              <w:bottom w:w="0" w:type="dxa"/>
              <w:right w:w="0" w:type="dxa"/>
            </w:tcMar>
            <w:vAlign w:val="center"/>
          </w:tcPr>
          <w:p w14:paraId="2146168C">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4E6E60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6B0AFE19">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64885316">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5F02026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476A7A4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16FA6D0A">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较轻</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1E843E3C">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69B3AC72">
            <w:pPr>
              <w:spacing w:line="260" w:lineRule="exact"/>
              <w:rPr>
                <w:rFonts w:hint="eastAsia" w:ascii="宋体" w:hAnsi="宋体" w:eastAsia="宋体" w:cs="宋体"/>
                <w:color w:val="000000"/>
                <w:kern w:val="2"/>
                <w:sz w:val="18"/>
                <w:szCs w:val="18"/>
                <w:vertAlign w:val="baseline"/>
                <w:lang w:val="en-US" w:eastAsia="zh-CN" w:bidi="ar-SA"/>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018B5B96">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64B6D92D">
            <w:pPr>
              <w:spacing w:line="260" w:lineRule="exact"/>
              <w:rPr>
                <w:rFonts w:hint="eastAsia" w:ascii="宋体" w:hAnsi="宋体" w:eastAsia="宋体" w:cs="宋体"/>
                <w:color w:val="000000"/>
                <w:kern w:val="2"/>
                <w:sz w:val="18"/>
                <w:szCs w:val="18"/>
                <w:vertAlign w:val="baseline"/>
                <w:lang w:val="en-US" w:eastAsia="zh-CN" w:bidi="ar-SA"/>
              </w:rPr>
            </w:pPr>
          </w:p>
        </w:tc>
        <w:tc>
          <w:tcPr>
            <w:tcW w:w="158" w:type="pct"/>
            <w:vMerge w:val="continue"/>
            <w:noWrap w:val="0"/>
            <w:tcMar>
              <w:top w:w="0" w:type="dxa"/>
              <w:left w:w="0" w:type="dxa"/>
              <w:bottom w:w="0" w:type="dxa"/>
              <w:right w:w="0" w:type="dxa"/>
            </w:tcMar>
            <w:vAlign w:val="center"/>
          </w:tcPr>
          <w:p w14:paraId="3E6ABDA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63B547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297BB4BB">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10F8B3B6">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2C74F8F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7351581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0B464519">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一般</w:t>
            </w:r>
          </w:p>
        </w:tc>
        <w:tc>
          <w:tcPr>
            <w:tcW w:w="561" w:type="pct"/>
            <w:noWrap w:val="0"/>
            <w:tcMar>
              <w:top w:w="0" w:type="dxa"/>
              <w:left w:w="0" w:type="dxa"/>
              <w:bottom w:w="0" w:type="dxa"/>
              <w:right w:w="0" w:type="dxa"/>
            </w:tcMar>
            <w:vAlign w:val="center"/>
          </w:tcPr>
          <w:p w14:paraId="48C5CA5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sz w:val="18"/>
                <w:szCs w:val="18"/>
                <w:vertAlign w:val="baseline"/>
              </w:rPr>
              <w:t>没有违法所得的</w:t>
            </w:r>
          </w:p>
        </w:tc>
        <w:tc>
          <w:tcPr>
            <w:tcW w:w="873" w:type="pct"/>
            <w:noWrap w:val="0"/>
            <w:tcMar>
              <w:top w:w="0" w:type="dxa"/>
              <w:left w:w="0" w:type="dxa"/>
              <w:bottom w:w="0" w:type="dxa"/>
              <w:right w:w="0" w:type="dxa"/>
            </w:tcMar>
            <w:vAlign w:val="center"/>
          </w:tcPr>
          <w:p w14:paraId="5AEC6CE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予以警告，处以1万元以下的罚款</w:t>
            </w:r>
          </w:p>
        </w:tc>
        <w:tc>
          <w:tcPr>
            <w:tcW w:w="158" w:type="pct"/>
            <w:vMerge w:val="continue"/>
            <w:noWrap w:val="0"/>
            <w:tcMar>
              <w:top w:w="0" w:type="dxa"/>
              <w:left w:w="0" w:type="dxa"/>
              <w:bottom w:w="0" w:type="dxa"/>
              <w:right w:w="0" w:type="dxa"/>
            </w:tcMar>
            <w:vAlign w:val="center"/>
          </w:tcPr>
          <w:p w14:paraId="25A9DB79">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5DCD91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60" w:hRule="atLeast"/>
          <w:jc w:val="center"/>
        </w:trPr>
        <w:tc>
          <w:tcPr>
            <w:tcW w:w="156" w:type="pct"/>
            <w:vMerge w:val="continue"/>
            <w:noWrap w:val="0"/>
            <w:tcMar>
              <w:top w:w="0" w:type="dxa"/>
              <w:left w:w="0" w:type="dxa"/>
              <w:bottom w:w="0" w:type="dxa"/>
              <w:right w:w="0" w:type="dxa"/>
            </w:tcMar>
            <w:vAlign w:val="center"/>
          </w:tcPr>
          <w:p w14:paraId="4775E06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081FD239">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42185EC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08B133D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6206C43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较重</w:t>
            </w:r>
          </w:p>
        </w:tc>
        <w:tc>
          <w:tcPr>
            <w:tcW w:w="561" w:type="pct"/>
            <w:noWrap w:val="0"/>
            <w:tcMar>
              <w:top w:w="0" w:type="dxa"/>
              <w:left w:w="0" w:type="dxa"/>
              <w:bottom w:w="0" w:type="dxa"/>
              <w:right w:w="0" w:type="dxa"/>
            </w:tcMar>
            <w:vAlign w:val="center"/>
          </w:tcPr>
          <w:p w14:paraId="20D5B37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sz w:val="18"/>
                <w:szCs w:val="18"/>
                <w:vertAlign w:val="baseline"/>
              </w:rPr>
              <w:t>有违法所得，但未造成严重后果的</w:t>
            </w:r>
          </w:p>
        </w:tc>
        <w:tc>
          <w:tcPr>
            <w:tcW w:w="873" w:type="pct"/>
            <w:noWrap w:val="0"/>
            <w:tcMar>
              <w:top w:w="0" w:type="dxa"/>
              <w:left w:w="0" w:type="dxa"/>
              <w:bottom w:w="0" w:type="dxa"/>
              <w:right w:w="0" w:type="dxa"/>
            </w:tcMar>
            <w:vAlign w:val="center"/>
          </w:tcPr>
          <w:p w14:paraId="0631582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予以警告，处以违法所得1.5倍以下且不超过3万元的罚款</w:t>
            </w:r>
          </w:p>
        </w:tc>
        <w:tc>
          <w:tcPr>
            <w:tcW w:w="158" w:type="pct"/>
            <w:vMerge w:val="continue"/>
            <w:noWrap w:val="0"/>
            <w:tcMar>
              <w:top w:w="0" w:type="dxa"/>
              <w:left w:w="0" w:type="dxa"/>
              <w:bottom w:w="0" w:type="dxa"/>
              <w:right w:w="0" w:type="dxa"/>
            </w:tcMar>
            <w:vAlign w:val="center"/>
          </w:tcPr>
          <w:p w14:paraId="133FD348">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3FE0FF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800" w:hRule="atLeast"/>
          <w:jc w:val="center"/>
        </w:trPr>
        <w:tc>
          <w:tcPr>
            <w:tcW w:w="156" w:type="pct"/>
            <w:vMerge w:val="continue"/>
            <w:noWrap w:val="0"/>
            <w:tcMar>
              <w:top w:w="0" w:type="dxa"/>
              <w:left w:w="0" w:type="dxa"/>
              <w:bottom w:w="0" w:type="dxa"/>
              <w:right w:w="0" w:type="dxa"/>
            </w:tcMar>
            <w:vAlign w:val="center"/>
          </w:tcPr>
          <w:p w14:paraId="782B4169">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78B8F23B">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12BCB80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0356098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0CFD9B99">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严重</w:t>
            </w:r>
          </w:p>
        </w:tc>
        <w:tc>
          <w:tcPr>
            <w:tcW w:w="561" w:type="pct"/>
            <w:noWrap w:val="0"/>
            <w:tcMar>
              <w:top w:w="0" w:type="dxa"/>
              <w:left w:w="0" w:type="dxa"/>
              <w:bottom w:w="0" w:type="dxa"/>
              <w:right w:w="0" w:type="dxa"/>
            </w:tcMar>
            <w:vAlign w:val="center"/>
          </w:tcPr>
          <w:p w14:paraId="486DC1E4">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sz w:val="18"/>
                <w:szCs w:val="18"/>
                <w:vertAlign w:val="baseline"/>
              </w:rPr>
              <w:t>有违法所得，并已造成严重后果的</w:t>
            </w:r>
          </w:p>
        </w:tc>
        <w:tc>
          <w:tcPr>
            <w:tcW w:w="873" w:type="pct"/>
            <w:noWrap w:val="0"/>
            <w:tcMar>
              <w:top w:w="0" w:type="dxa"/>
              <w:left w:w="0" w:type="dxa"/>
              <w:bottom w:w="0" w:type="dxa"/>
              <w:right w:w="0" w:type="dxa"/>
            </w:tcMar>
            <w:vAlign w:val="center"/>
          </w:tcPr>
          <w:p w14:paraId="03609A54">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予以警告，处以违法所得1.5倍以上3倍以下且不超过3万元的罚款</w:t>
            </w:r>
          </w:p>
        </w:tc>
        <w:tc>
          <w:tcPr>
            <w:tcW w:w="158" w:type="pct"/>
            <w:vMerge w:val="continue"/>
            <w:noWrap w:val="0"/>
            <w:tcMar>
              <w:top w:w="0" w:type="dxa"/>
              <w:left w:w="0" w:type="dxa"/>
              <w:bottom w:w="0" w:type="dxa"/>
              <w:right w:w="0" w:type="dxa"/>
            </w:tcMar>
            <w:vAlign w:val="center"/>
          </w:tcPr>
          <w:p w14:paraId="05CCFD3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1AEF11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3EC14BB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7C6632B7">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0693ED44">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restart"/>
            <w:noWrap w:val="0"/>
            <w:tcMar>
              <w:top w:w="0" w:type="dxa"/>
              <w:left w:w="0" w:type="dxa"/>
              <w:bottom w:w="0" w:type="dxa"/>
              <w:right w:w="0" w:type="dxa"/>
            </w:tcMar>
            <w:vAlign w:val="center"/>
          </w:tcPr>
          <w:p w14:paraId="4FDF290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注册工程师在执业活动中违反其他法律、法规、规章的行为的</w:t>
            </w:r>
          </w:p>
        </w:tc>
        <w:tc>
          <w:tcPr>
            <w:tcW w:w="174" w:type="pct"/>
            <w:noWrap w:val="0"/>
            <w:tcMar>
              <w:top w:w="0" w:type="dxa"/>
              <w:left w:w="0" w:type="dxa"/>
              <w:bottom w:w="0" w:type="dxa"/>
              <w:right w:w="0" w:type="dxa"/>
            </w:tcMar>
            <w:vAlign w:val="center"/>
          </w:tcPr>
          <w:p w14:paraId="719E475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轻微</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2AC0A10F">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4A6B8C38">
            <w:pPr>
              <w:spacing w:line="260" w:lineRule="exact"/>
              <w:rPr>
                <w:rFonts w:hint="eastAsia" w:ascii="宋体" w:hAnsi="宋体" w:eastAsia="宋体" w:cs="宋体"/>
                <w:color w:val="000000"/>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0EA4A430">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6C61B6C4">
            <w:pPr>
              <w:spacing w:line="260" w:lineRule="exact"/>
              <w:rPr>
                <w:rFonts w:hint="eastAsia" w:ascii="宋体" w:hAnsi="宋体" w:eastAsia="宋体" w:cs="宋体"/>
                <w:color w:val="000000"/>
                <w:kern w:val="2"/>
                <w:sz w:val="18"/>
                <w:szCs w:val="18"/>
                <w:vertAlign w:val="baseline"/>
                <w:lang w:val="en-US" w:eastAsia="zh-CN" w:bidi="ar-SA"/>
              </w:rPr>
            </w:pPr>
          </w:p>
        </w:tc>
        <w:tc>
          <w:tcPr>
            <w:tcW w:w="158" w:type="pct"/>
            <w:vMerge w:val="restart"/>
            <w:noWrap w:val="0"/>
            <w:tcMar>
              <w:top w:w="0" w:type="dxa"/>
              <w:left w:w="0" w:type="dxa"/>
              <w:bottom w:w="0" w:type="dxa"/>
              <w:right w:w="0" w:type="dxa"/>
            </w:tcMar>
            <w:vAlign w:val="center"/>
          </w:tcPr>
          <w:p w14:paraId="0CC7ACA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721E8D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05E38150">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41090463">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0CF670A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47713FC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0CAD0C0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较轻</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7E172A64">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186D9915">
            <w:pPr>
              <w:spacing w:line="260" w:lineRule="exact"/>
              <w:rPr>
                <w:rFonts w:hint="eastAsia" w:ascii="宋体" w:hAnsi="宋体" w:eastAsia="宋体" w:cs="宋体"/>
                <w:color w:val="000000"/>
                <w:kern w:val="2"/>
                <w:sz w:val="18"/>
                <w:szCs w:val="18"/>
                <w:vertAlign w:val="baseline"/>
                <w:lang w:val="en-US" w:eastAsia="zh-CN" w:bidi="ar-SA"/>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3446D9AD">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70B0C6A5">
            <w:pPr>
              <w:spacing w:line="260" w:lineRule="exact"/>
              <w:rPr>
                <w:rFonts w:hint="eastAsia" w:ascii="宋体" w:hAnsi="宋体" w:eastAsia="宋体" w:cs="宋体"/>
                <w:color w:val="000000"/>
                <w:kern w:val="2"/>
                <w:sz w:val="18"/>
                <w:szCs w:val="18"/>
                <w:vertAlign w:val="baseline"/>
                <w:lang w:val="en-US" w:eastAsia="zh-CN" w:bidi="ar-SA"/>
              </w:rPr>
            </w:pPr>
          </w:p>
        </w:tc>
        <w:tc>
          <w:tcPr>
            <w:tcW w:w="158" w:type="pct"/>
            <w:vMerge w:val="continue"/>
            <w:noWrap w:val="0"/>
            <w:tcMar>
              <w:top w:w="0" w:type="dxa"/>
              <w:left w:w="0" w:type="dxa"/>
              <w:bottom w:w="0" w:type="dxa"/>
              <w:right w:w="0" w:type="dxa"/>
            </w:tcMar>
            <w:vAlign w:val="center"/>
          </w:tcPr>
          <w:p w14:paraId="3E95332D">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52DFB0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50E0B54D">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5EDBE8CB">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2D3FAF1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04300F9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3850CDB9">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一般</w:t>
            </w:r>
          </w:p>
        </w:tc>
        <w:tc>
          <w:tcPr>
            <w:tcW w:w="561" w:type="pct"/>
            <w:noWrap w:val="0"/>
            <w:tcMar>
              <w:top w:w="0" w:type="dxa"/>
              <w:left w:w="0" w:type="dxa"/>
              <w:bottom w:w="0" w:type="dxa"/>
              <w:right w:w="0" w:type="dxa"/>
            </w:tcMar>
            <w:vAlign w:val="center"/>
          </w:tcPr>
          <w:p w14:paraId="43EF4E0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sz w:val="18"/>
                <w:szCs w:val="18"/>
                <w:vertAlign w:val="baseline"/>
              </w:rPr>
              <w:t>没有违法所得的</w:t>
            </w:r>
          </w:p>
        </w:tc>
        <w:tc>
          <w:tcPr>
            <w:tcW w:w="873" w:type="pct"/>
            <w:noWrap w:val="0"/>
            <w:tcMar>
              <w:top w:w="0" w:type="dxa"/>
              <w:left w:w="0" w:type="dxa"/>
              <w:bottom w:w="0" w:type="dxa"/>
              <w:right w:w="0" w:type="dxa"/>
            </w:tcMar>
            <w:vAlign w:val="center"/>
          </w:tcPr>
          <w:p w14:paraId="24566BE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予以警告，处以1万元以下的罚款</w:t>
            </w:r>
          </w:p>
        </w:tc>
        <w:tc>
          <w:tcPr>
            <w:tcW w:w="158" w:type="pct"/>
            <w:vMerge w:val="continue"/>
            <w:noWrap w:val="0"/>
            <w:tcMar>
              <w:top w:w="0" w:type="dxa"/>
              <w:left w:w="0" w:type="dxa"/>
              <w:bottom w:w="0" w:type="dxa"/>
              <w:right w:w="0" w:type="dxa"/>
            </w:tcMar>
            <w:vAlign w:val="center"/>
          </w:tcPr>
          <w:p w14:paraId="6CE9ED39">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7F2888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59" w:hRule="atLeast"/>
          <w:jc w:val="center"/>
        </w:trPr>
        <w:tc>
          <w:tcPr>
            <w:tcW w:w="156" w:type="pct"/>
            <w:vMerge w:val="continue"/>
            <w:noWrap w:val="0"/>
            <w:tcMar>
              <w:top w:w="0" w:type="dxa"/>
              <w:left w:w="0" w:type="dxa"/>
              <w:bottom w:w="0" w:type="dxa"/>
              <w:right w:w="0" w:type="dxa"/>
            </w:tcMar>
            <w:vAlign w:val="center"/>
          </w:tcPr>
          <w:p w14:paraId="4F4EA6E0">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2E9704A4">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0BDBADC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65322B5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1BC1094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较重</w:t>
            </w:r>
          </w:p>
        </w:tc>
        <w:tc>
          <w:tcPr>
            <w:tcW w:w="561" w:type="pct"/>
            <w:noWrap w:val="0"/>
            <w:tcMar>
              <w:top w:w="0" w:type="dxa"/>
              <w:left w:w="0" w:type="dxa"/>
              <w:bottom w:w="0" w:type="dxa"/>
              <w:right w:w="0" w:type="dxa"/>
            </w:tcMar>
            <w:vAlign w:val="center"/>
          </w:tcPr>
          <w:p w14:paraId="552CFCD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sz w:val="18"/>
                <w:szCs w:val="18"/>
                <w:vertAlign w:val="baseline"/>
              </w:rPr>
              <w:t>有违法所得，但未造成严重后果的</w:t>
            </w:r>
          </w:p>
        </w:tc>
        <w:tc>
          <w:tcPr>
            <w:tcW w:w="873" w:type="pct"/>
            <w:noWrap w:val="0"/>
            <w:tcMar>
              <w:top w:w="0" w:type="dxa"/>
              <w:left w:w="0" w:type="dxa"/>
              <w:bottom w:w="0" w:type="dxa"/>
              <w:right w:w="0" w:type="dxa"/>
            </w:tcMar>
            <w:vAlign w:val="center"/>
          </w:tcPr>
          <w:p w14:paraId="1D886ED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予以警告，处以违法所得1.5倍以下且不超过3万元的罚款</w:t>
            </w:r>
          </w:p>
        </w:tc>
        <w:tc>
          <w:tcPr>
            <w:tcW w:w="158" w:type="pct"/>
            <w:vMerge w:val="continue"/>
            <w:noWrap w:val="0"/>
            <w:tcMar>
              <w:top w:w="0" w:type="dxa"/>
              <w:left w:w="0" w:type="dxa"/>
              <w:bottom w:w="0" w:type="dxa"/>
              <w:right w:w="0" w:type="dxa"/>
            </w:tcMar>
            <w:vAlign w:val="center"/>
          </w:tcPr>
          <w:p w14:paraId="1949A4D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12CC5A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7C96A379">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61528390">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1E8062D7">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0CA71A7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180956B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严重</w:t>
            </w:r>
          </w:p>
        </w:tc>
        <w:tc>
          <w:tcPr>
            <w:tcW w:w="561" w:type="pct"/>
            <w:noWrap w:val="0"/>
            <w:tcMar>
              <w:top w:w="0" w:type="dxa"/>
              <w:left w:w="0" w:type="dxa"/>
              <w:bottom w:w="0" w:type="dxa"/>
              <w:right w:w="0" w:type="dxa"/>
            </w:tcMar>
            <w:vAlign w:val="center"/>
          </w:tcPr>
          <w:p w14:paraId="1CC090F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sz w:val="18"/>
                <w:szCs w:val="18"/>
                <w:vertAlign w:val="baseline"/>
              </w:rPr>
              <w:t>有违法所得，并已造成严重后果的</w:t>
            </w:r>
          </w:p>
        </w:tc>
        <w:tc>
          <w:tcPr>
            <w:tcW w:w="873" w:type="pct"/>
            <w:noWrap w:val="0"/>
            <w:tcMar>
              <w:top w:w="0" w:type="dxa"/>
              <w:left w:w="0" w:type="dxa"/>
              <w:bottom w:w="0" w:type="dxa"/>
              <w:right w:w="0" w:type="dxa"/>
            </w:tcMar>
            <w:vAlign w:val="center"/>
          </w:tcPr>
          <w:p w14:paraId="089F3AC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予以警告，处以违法所得1.5倍以上3倍以下且不超过3万元的罚款</w:t>
            </w:r>
          </w:p>
        </w:tc>
        <w:tc>
          <w:tcPr>
            <w:tcW w:w="158" w:type="pct"/>
            <w:vMerge w:val="continue"/>
            <w:noWrap w:val="0"/>
            <w:tcMar>
              <w:top w:w="0" w:type="dxa"/>
              <w:left w:w="0" w:type="dxa"/>
              <w:bottom w:w="0" w:type="dxa"/>
              <w:right w:w="0" w:type="dxa"/>
            </w:tcMar>
            <w:vAlign w:val="center"/>
          </w:tcPr>
          <w:p w14:paraId="189DEBB0">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106979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restart"/>
            <w:noWrap w:val="0"/>
            <w:tcMar>
              <w:top w:w="0" w:type="dxa"/>
              <w:left w:w="0" w:type="dxa"/>
              <w:bottom w:w="0" w:type="dxa"/>
              <w:right w:w="0" w:type="dxa"/>
            </w:tcMar>
            <w:vAlign w:val="center"/>
          </w:tcPr>
          <w:p w14:paraId="53149A0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default" w:ascii="宋体" w:hAnsi="宋体" w:eastAsia="宋体" w:cs="宋体"/>
                <w:color w:val="000000"/>
                <w:sz w:val="18"/>
                <w:szCs w:val="18"/>
                <w:shd w:val="clear" w:color="auto" w:fill="auto"/>
                <w:vertAlign w:val="baseline"/>
                <w:lang w:val="en-US" w:eastAsia="zh-CN"/>
              </w:rPr>
            </w:pPr>
            <w:r>
              <w:rPr>
                <w:rFonts w:hint="eastAsia" w:ascii="宋体" w:hAnsi="宋体" w:eastAsia="宋体" w:cs="宋体"/>
                <w:color w:val="000000"/>
                <w:sz w:val="18"/>
                <w:szCs w:val="18"/>
                <w:shd w:val="clear" w:color="auto" w:fill="auto"/>
                <w:vertAlign w:val="baseline"/>
                <w:lang w:val="en-US" w:eastAsia="zh-CN"/>
              </w:rPr>
              <w:t>79</w:t>
            </w:r>
          </w:p>
        </w:tc>
        <w:tc>
          <w:tcPr>
            <w:tcW w:w="415" w:type="pct"/>
            <w:vMerge w:val="restart"/>
            <w:noWrap w:val="0"/>
            <w:tcMar>
              <w:top w:w="0" w:type="dxa"/>
              <w:left w:w="0" w:type="dxa"/>
              <w:bottom w:w="0" w:type="dxa"/>
              <w:right w:w="0" w:type="dxa"/>
            </w:tcMar>
            <w:vAlign w:val="center"/>
          </w:tcPr>
          <w:p w14:paraId="2713971F">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对水利领域施工单位在施工中偷工减料，使用不合格的建筑材料、建筑构配件和设备的，或者有不按照工程设计图纸或者施工技术标准施工等行为的行政处罚</w:t>
            </w:r>
          </w:p>
        </w:tc>
        <w:tc>
          <w:tcPr>
            <w:tcW w:w="2168" w:type="pct"/>
            <w:vMerge w:val="restart"/>
            <w:noWrap w:val="0"/>
            <w:tcMar>
              <w:top w:w="0" w:type="dxa"/>
              <w:left w:w="0" w:type="dxa"/>
              <w:bottom w:w="0" w:type="dxa"/>
              <w:right w:w="0" w:type="dxa"/>
            </w:tcMar>
            <w:vAlign w:val="center"/>
          </w:tcPr>
          <w:p w14:paraId="4C40360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《中华人民共和国建筑法》第七十四条 建筑施工企业在施工中偷工减料的，使用不合格的建筑材料、建筑构配件和设备的，或者有其他不按照工程设计图纸或者施工技术标准施工的行为的，责令改正，处以罚款；情节严重的，责令停业整顿，降低资质等级或者吊销资质证书；造成建筑工程质量不符合规定的质量标准的，负责返工、修理，并赔偿因此造成的损失；构成犯罪的，依法追究刑事责任。</w:t>
            </w:r>
          </w:p>
          <w:p w14:paraId="049DD59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《建设工程质量管理条例》第六十四条 违反本条例规定，施工单位在施工中偷工减料的，使用不合格的建筑材料、建筑构配件和设备的，或者有不按照工程设计图纸或者施工技术标准施工的其他行为的，责令改正，处工程合同价款2%以上4%以下的罚款；造成建设工程质量不符合规定的质量标准的，负责返工、修理，并赔偿因此造成的损失；情节严重的，责令停业整顿，降低资质等级或者吊销资质证书。</w:t>
            </w:r>
          </w:p>
          <w:p w14:paraId="4EEF2E1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第七十三条 依照本条例规定，给予单位罚款处罚的，对单位直接负责的主管人员和其他直接责任人员处单位罚款数额百分之五以上10%以下的罚款。</w:t>
            </w:r>
          </w:p>
          <w:p w14:paraId="06E72EB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《水利工程质量管理规定》第六十七条 违反本规定，施工单位在施工中偷工减料的，使用不合格的原材料、中间产品和设备的，或者有不按照批准的设计文件或者技术标准施工的其他行为的，依照《建设工程质量管理条例》第六十四条规定，由水行政主管部门或者流域管理机构依据职权责令改正，处工程合同价款2%以上4%以下的罚款；造成水利工程质量不符合规定的质量标准的，负责返工、修理，并赔偿因此造成的损失。</w:t>
            </w:r>
          </w:p>
          <w:p w14:paraId="0A7313B4">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第七十三条第二款 依照《建设工程质量管理条例》给予单位罚款处罚的，对单位直接负责的主管人员和其他直接责任人员处单位罚款数额5%以上10%以下的罚款。</w:t>
            </w:r>
          </w:p>
        </w:tc>
        <w:tc>
          <w:tcPr>
            <w:tcW w:w="491" w:type="pct"/>
            <w:vMerge w:val="restart"/>
            <w:noWrap w:val="0"/>
            <w:tcMar>
              <w:top w:w="0" w:type="dxa"/>
              <w:left w:w="0" w:type="dxa"/>
              <w:bottom w:w="0" w:type="dxa"/>
              <w:right w:w="0" w:type="dxa"/>
            </w:tcMar>
            <w:vAlign w:val="center"/>
          </w:tcPr>
          <w:p w14:paraId="3D174D9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水利领域施工单位在施工中偷工减料，使用不合格的建筑材料、建筑构配件和设备的，或者有不按照工程设计图纸或者施工技术标准施工的</w:t>
            </w:r>
          </w:p>
        </w:tc>
        <w:tc>
          <w:tcPr>
            <w:tcW w:w="174" w:type="pct"/>
            <w:noWrap w:val="0"/>
            <w:tcMar>
              <w:top w:w="0" w:type="dxa"/>
              <w:left w:w="0" w:type="dxa"/>
              <w:bottom w:w="0" w:type="dxa"/>
              <w:right w:w="0" w:type="dxa"/>
            </w:tcMar>
            <w:vAlign w:val="center"/>
          </w:tcPr>
          <w:p w14:paraId="19491EAA">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轻微</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37E456E2">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44D6EB61">
            <w:pPr>
              <w:spacing w:line="260" w:lineRule="exact"/>
              <w:rPr>
                <w:rFonts w:hint="eastAsia" w:ascii="宋体" w:hAnsi="宋体" w:eastAsia="宋体" w:cs="宋体"/>
                <w:color w:val="000000"/>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35A0DE68">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3AAF069F">
            <w:pPr>
              <w:spacing w:line="260" w:lineRule="exact"/>
              <w:rPr>
                <w:rFonts w:hint="eastAsia" w:ascii="宋体" w:hAnsi="宋体" w:eastAsia="宋体" w:cs="宋体"/>
                <w:color w:val="000000"/>
                <w:kern w:val="2"/>
                <w:sz w:val="18"/>
                <w:szCs w:val="18"/>
                <w:vertAlign w:val="baseline"/>
                <w:lang w:val="en-US" w:eastAsia="zh-CN" w:bidi="ar-SA"/>
              </w:rPr>
            </w:pPr>
          </w:p>
        </w:tc>
        <w:tc>
          <w:tcPr>
            <w:tcW w:w="158" w:type="pct"/>
            <w:vMerge w:val="restart"/>
            <w:noWrap w:val="0"/>
            <w:tcMar>
              <w:top w:w="0" w:type="dxa"/>
              <w:left w:w="0" w:type="dxa"/>
              <w:bottom w:w="0" w:type="dxa"/>
              <w:right w:w="0" w:type="dxa"/>
            </w:tcMar>
            <w:vAlign w:val="center"/>
          </w:tcPr>
          <w:p w14:paraId="31FC086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26D870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749" w:hRule="atLeast"/>
          <w:jc w:val="center"/>
        </w:trPr>
        <w:tc>
          <w:tcPr>
            <w:tcW w:w="156" w:type="pct"/>
            <w:vMerge w:val="continue"/>
            <w:noWrap w:val="0"/>
            <w:tcMar>
              <w:top w:w="0" w:type="dxa"/>
              <w:left w:w="0" w:type="dxa"/>
              <w:bottom w:w="0" w:type="dxa"/>
              <w:right w:w="0" w:type="dxa"/>
            </w:tcMar>
            <w:vAlign w:val="center"/>
          </w:tcPr>
          <w:p w14:paraId="3988B80B">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3E87A9B4">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4B306DC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1060844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48E5363D">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较轻</w:t>
            </w:r>
          </w:p>
        </w:tc>
        <w:tc>
          <w:tcPr>
            <w:tcW w:w="561" w:type="pct"/>
            <w:noWrap w:val="0"/>
            <w:tcMar>
              <w:top w:w="0" w:type="dxa"/>
              <w:left w:w="0" w:type="dxa"/>
              <w:bottom w:w="0" w:type="dxa"/>
              <w:right w:w="0" w:type="dxa"/>
            </w:tcMar>
            <w:vAlign w:val="center"/>
          </w:tcPr>
          <w:p w14:paraId="58074CE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未造成质量缺陷的；未影响结构安全及重要使用功能的</w:t>
            </w:r>
          </w:p>
        </w:tc>
        <w:tc>
          <w:tcPr>
            <w:tcW w:w="873" w:type="pct"/>
            <w:noWrap w:val="0"/>
            <w:tcMar>
              <w:top w:w="0" w:type="dxa"/>
              <w:left w:w="0" w:type="dxa"/>
              <w:bottom w:w="0" w:type="dxa"/>
              <w:right w:w="0" w:type="dxa"/>
            </w:tcMar>
            <w:vAlign w:val="center"/>
          </w:tcPr>
          <w:p w14:paraId="5CF7C60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处工程合同价款2%以上2.5%以下的罚款；对单位直接负责的主管人员和其他直接责任人员处单位罚款数额5%以上6.5%以下的罚款</w:t>
            </w:r>
          </w:p>
        </w:tc>
        <w:tc>
          <w:tcPr>
            <w:tcW w:w="158" w:type="pct"/>
            <w:vMerge w:val="continue"/>
            <w:noWrap w:val="0"/>
            <w:tcMar>
              <w:top w:w="0" w:type="dxa"/>
              <w:left w:w="0" w:type="dxa"/>
              <w:bottom w:w="0" w:type="dxa"/>
              <w:right w:w="0" w:type="dxa"/>
            </w:tcMar>
            <w:vAlign w:val="center"/>
          </w:tcPr>
          <w:p w14:paraId="195D032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250F6F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581" w:hRule="atLeast"/>
          <w:jc w:val="center"/>
        </w:trPr>
        <w:tc>
          <w:tcPr>
            <w:tcW w:w="156" w:type="pct"/>
            <w:vMerge w:val="continue"/>
            <w:noWrap w:val="0"/>
            <w:tcMar>
              <w:top w:w="0" w:type="dxa"/>
              <w:left w:w="0" w:type="dxa"/>
              <w:bottom w:w="0" w:type="dxa"/>
              <w:right w:w="0" w:type="dxa"/>
            </w:tcMar>
            <w:vAlign w:val="center"/>
          </w:tcPr>
          <w:p w14:paraId="676EAFB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469A2A9C">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749C392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741D52C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0878B3E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一般</w:t>
            </w:r>
          </w:p>
        </w:tc>
        <w:tc>
          <w:tcPr>
            <w:tcW w:w="561" w:type="pct"/>
            <w:noWrap w:val="0"/>
            <w:tcMar>
              <w:top w:w="0" w:type="dxa"/>
              <w:left w:w="0" w:type="dxa"/>
              <w:bottom w:w="0" w:type="dxa"/>
              <w:right w:w="0" w:type="dxa"/>
            </w:tcMar>
            <w:vAlign w:val="center"/>
          </w:tcPr>
          <w:p w14:paraId="159F163F">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造成质量缺陷的；影响结构安全及重要使用功能，经返修和加固处理能满足安全使用要求的</w:t>
            </w:r>
          </w:p>
        </w:tc>
        <w:tc>
          <w:tcPr>
            <w:tcW w:w="873" w:type="pct"/>
            <w:noWrap w:val="0"/>
            <w:tcMar>
              <w:top w:w="0" w:type="dxa"/>
              <w:left w:w="0" w:type="dxa"/>
              <w:bottom w:w="0" w:type="dxa"/>
              <w:right w:w="0" w:type="dxa"/>
            </w:tcMar>
            <w:vAlign w:val="center"/>
          </w:tcPr>
          <w:p w14:paraId="3E21DE6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处工程合同价款2.5%以上3.5%以下的罚款；对单位直接负责的主管人员和其他直接责任人员处单位罚款数额6.5%以上8.5%以下的罚款</w:t>
            </w:r>
          </w:p>
        </w:tc>
        <w:tc>
          <w:tcPr>
            <w:tcW w:w="158" w:type="pct"/>
            <w:vMerge w:val="continue"/>
            <w:noWrap w:val="0"/>
            <w:tcMar>
              <w:top w:w="0" w:type="dxa"/>
              <w:left w:w="0" w:type="dxa"/>
              <w:bottom w:w="0" w:type="dxa"/>
              <w:right w:w="0" w:type="dxa"/>
            </w:tcMar>
            <w:vAlign w:val="center"/>
          </w:tcPr>
          <w:p w14:paraId="27693438">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41E50B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195" w:hRule="atLeast"/>
          <w:jc w:val="center"/>
        </w:trPr>
        <w:tc>
          <w:tcPr>
            <w:tcW w:w="156" w:type="pct"/>
            <w:vMerge w:val="continue"/>
            <w:noWrap w:val="0"/>
            <w:tcMar>
              <w:top w:w="0" w:type="dxa"/>
              <w:left w:w="0" w:type="dxa"/>
              <w:bottom w:w="0" w:type="dxa"/>
              <w:right w:w="0" w:type="dxa"/>
            </w:tcMar>
            <w:vAlign w:val="center"/>
          </w:tcPr>
          <w:p w14:paraId="09134940">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78AF7C16">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753D2737">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114A9D6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vMerge w:val="restart"/>
            <w:noWrap w:val="0"/>
            <w:tcMar>
              <w:top w:w="0" w:type="dxa"/>
              <w:left w:w="0" w:type="dxa"/>
              <w:bottom w:w="0" w:type="dxa"/>
              <w:right w:w="0" w:type="dxa"/>
            </w:tcMar>
            <w:vAlign w:val="center"/>
          </w:tcPr>
          <w:p w14:paraId="61465D5A">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较重</w:t>
            </w:r>
          </w:p>
        </w:tc>
        <w:tc>
          <w:tcPr>
            <w:tcW w:w="561" w:type="pct"/>
            <w:noWrap w:val="0"/>
            <w:tcMar>
              <w:top w:w="0" w:type="dxa"/>
              <w:left w:w="0" w:type="dxa"/>
              <w:bottom w:w="0" w:type="dxa"/>
              <w:right w:w="0" w:type="dxa"/>
            </w:tcMar>
            <w:vAlign w:val="center"/>
          </w:tcPr>
          <w:p w14:paraId="13B3551D">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造成多于3人少于5人死亡，或者多于10人少于20人重伤，或者多于1000万元少于2000万元直接经济损失；或造成重要的检验批达不到设计要求</w:t>
            </w:r>
          </w:p>
        </w:tc>
        <w:tc>
          <w:tcPr>
            <w:tcW w:w="873" w:type="pct"/>
            <w:noWrap w:val="0"/>
            <w:tcMar>
              <w:top w:w="0" w:type="dxa"/>
              <w:left w:w="0" w:type="dxa"/>
              <w:bottom w:w="0" w:type="dxa"/>
              <w:right w:w="0" w:type="dxa"/>
            </w:tcMar>
            <w:vAlign w:val="center"/>
          </w:tcPr>
          <w:p w14:paraId="498F1BD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处工程合同价款4%的罚款；责令停业整顿60-90日；对单位直接负责的主管人员和其他直接责任人员处单位罚款数额10%的罚款</w:t>
            </w:r>
          </w:p>
        </w:tc>
        <w:tc>
          <w:tcPr>
            <w:tcW w:w="158" w:type="pct"/>
            <w:vMerge w:val="continue"/>
            <w:noWrap w:val="0"/>
            <w:tcMar>
              <w:top w:w="0" w:type="dxa"/>
              <w:left w:w="0" w:type="dxa"/>
              <w:bottom w:w="0" w:type="dxa"/>
              <w:right w:w="0" w:type="dxa"/>
            </w:tcMar>
            <w:vAlign w:val="center"/>
          </w:tcPr>
          <w:p w14:paraId="59F316B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615E45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05561EAC">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6D546650">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16827B8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23FFC78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vMerge w:val="continue"/>
            <w:noWrap w:val="0"/>
            <w:tcMar>
              <w:top w:w="0" w:type="dxa"/>
              <w:left w:w="0" w:type="dxa"/>
              <w:bottom w:w="0" w:type="dxa"/>
              <w:right w:w="0" w:type="dxa"/>
            </w:tcMar>
            <w:vAlign w:val="center"/>
          </w:tcPr>
          <w:p w14:paraId="2E6270E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p>
        </w:tc>
        <w:tc>
          <w:tcPr>
            <w:tcW w:w="561" w:type="pct"/>
            <w:noWrap w:val="0"/>
            <w:tcMar>
              <w:top w:w="0" w:type="dxa"/>
              <w:left w:w="0" w:type="dxa"/>
              <w:bottom w:w="0" w:type="dxa"/>
              <w:right w:w="0" w:type="dxa"/>
            </w:tcMar>
            <w:vAlign w:val="center"/>
          </w:tcPr>
          <w:p w14:paraId="211F932B">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造成多于5人少于7人死亡，或者多于20人少于30人重伤，或者多于2000万元少于3000万元直接经济损失；或造成重要的分项工程质量不符合要求</w:t>
            </w:r>
          </w:p>
        </w:tc>
        <w:tc>
          <w:tcPr>
            <w:tcW w:w="873" w:type="pct"/>
            <w:noWrap w:val="0"/>
            <w:tcMar>
              <w:top w:w="0" w:type="dxa"/>
              <w:left w:w="0" w:type="dxa"/>
              <w:bottom w:w="0" w:type="dxa"/>
              <w:right w:w="0" w:type="dxa"/>
            </w:tcMar>
            <w:vAlign w:val="center"/>
          </w:tcPr>
          <w:p w14:paraId="347A06F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处工程合同价款4%的罚款；责令停业整顿90-120日；对单位直接负责的主管人员和其他直接责任人员处单位罚款数额10%的罚款</w:t>
            </w:r>
          </w:p>
        </w:tc>
        <w:tc>
          <w:tcPr>
            <w:tcW w:w="158" w:type="pct"/>
            <w:vMerge w:val="continue"/>
            <w:noWrap w:val="0"/>
            <w:tcMar>
              <w:top w:w="0" w:type="dxa"/>
              <w:left w:w="0" w:type="dxa"/>
              <w:bottom w:w="0" w:type="dxa"/>
              <w:right w:w="0" w:type="dxa"/>
            </w:tcMar>
            <w:vAlign w:val="center"/>
          </w:tcPr>
          <w:p w14:paraId="4AED185C">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02E78F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715" w:hRule="atLeast"/>
          <w:jc w:val="center"/>
        </w:trPr>
        <w:tc>
          <w:tcPr>
            <w:tcW w:w="156" w:type="pct"/>
            <w:vMerge w:val="continue"/>
            <w:noWrap w:val="0"/>
            <w:tcMar>
              <w:top w:w="0" w:type="dxa"/>
              <w:left w:w="0" w:type="dxa"/>
              <w:bottom w:w="0" w:type="dxa"/>
              <w:right w:w="0" w:type="dxa"/>
            </w:tcMar>
            <w:vAlign w:val="center"/>
          </w:tcPr>
          <w:p w14:paraId="65C5AFF1">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7995B8A5">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3F7F401C">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1807534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vMerge w:val="continue"/>
            <w:noWrap w:val="0"/>
            <w:tcMar>
              <w:top w:w="0" w:type="dxa"/>
              <w:left w:w="0" w:type="dxa"/>
              <w:bottom w:w="0" w:type="dxa"/>
              <w:right w:w="0" w:type="dxa"/>
            </w:tcMar>
            <w:vAlign w:val="center"/>
          </w:tcPr>
          <w:p w14:paraId="4B279C25">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p>
        </w:tc>
        <w:tc>
          <w:tcPr>
            <w:tcW w:w="561" w:type="pct"/>
            <w:noWrap w:val="0"/>
            <w:tcMar>
              <w:top w:w="0" w:type="dxa"/>
              <w:left w:w="0" w:type="dxa"/>
              <w:bottom w:w="0" w:type="dxa"/>
              <w:right w:w="0" w:type="dxa"/>
            </w:tcMar>
            <w:vAlign w:val="center"/>
          </w:tcPr>
          <w:p w14:paraId="71A12155">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造成多于7人少于10人死亡，或者多于30人少于50人重伤，或者多于3000万元少于5000万元直接经济损失；或造成重要分部工程质量不符合要求，经返修或加固处理才能满足安全使用要求</w:t>
            </w:r>
          </w:p>
        </w:tc>
        <w:tc>
          <w:tcPr>
            <w:tcW w:w="873" w:type="pct"/>
            <w:noWrap w:val="0"/>
            <w:tcMar>
              <w:top w:w="0" w:type="dxa"/>
              <w:left w:w="0" w:type="dxa"/>
              <w:bottom w:w="0" w:type="dxa"/>
              <w:right w:w="0" w:type="dxa"/>
            </w:tcMar>
            <w:vAlign w:val="center"/>
          </w:tcPr>
          <w:p w14:paraId="6A89694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处工程合同价款4%的罚款；责令停业整顿120-180日；对单位直接负责的主管人员和其他直接责任人员处单位罚款数额10%的罚款</w:t>
            </w:r>
          </w:p>
        </w:tc>
        <w:tc>
          <w:tcPr>
            <w:tcW w:w="158" w:type="pct"/>
            <w:vMerge w:val="continue"/>
            <w:noWrap w:val="0"/>
            <w:tcMar>
              <w:top w:w="0" w:type="dxa"/>
              <w:left w:w="0" w:type="dxa"/>
              <w:bottom w:w="0" w:type="dxa"/>
              <w:right w:w="0" w:type="dxa"/>
            </w:tcMar>
            <w:vAlign w:val="center"/>
          </w:tcPr>
          <w:p w14:paraId="331B8099">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70FF6D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20C71345">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35F06E43">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394DA814">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2AB1075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vMerge w:val="restart"/>
            <w:noWrap w:val="0"/>
            <w:tcMar>
              <w:top w:w="0" w:type="dxa"/>
              <w:left w:w="0" w:type="dxa"/>
              <w:bottom w:w="0" w:type="dxa"/>
              <w:right w:w="0" w:type="dxa"/>
            </w:tcMar>
            <w:vAlign w:val="center"/>
          </w:tcPr>
          <w:p w14:paraId="5BE53299">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严重</w:t>
            </w:r>
          </w:p>
        </w:tc>
        <w:tc>
          <w:tcPr>
            <w:tcW w:w="561" w:type="pct"/>
            <w:noWrap w:val="0"/>
            <w:tcMar>
              <w:top w:w="0" w:type="dxa"/>
              <w:left w:w="0" w:type="dxa"/>
              <w:bottom w:w="0" w:type="dxa"/>
              <w:right w:w="0" w:type="dxa"/>
            </w:tcMar>
            <w:vAlign w:val="center"/>
          </w:tcPr>
          <w:p w14:paraId="3F94FD65">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造成重大质量事故；或造成分部工程存在严重缺陷，经返修和加固处理仍不能满足安全使用要求</w:t>
            </w:r>
          </w:p>
        </w:tc>
        <w:tc>
          <w:tcPr>
            <w:tcW w:w="873" w:type="pct"/>
            <w:noWrap w:val="0"/>
            <w:tcMar>
              <w:top w:w="0" w:type="dxa"/>
              <w:left w:w="0" w:type="dxa"/>
              <w:bottom w:w="0" w:type="dxa"/>
              <w:right w:w="0" w:type="dxa"/>
            </w:tcMar>
            <w:vAlign w:val="center"/>
          </w:tcPr>
          <w:p w14:paraId="77329CC4">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处工程合同价款4%的罚</w:t>
            </w:r>
          </w:p>
          <w:p w14:paraId="5F5F4A1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款；降低资质等级；对单位直接负责的主管人员和其他直接责任人员处单位罚款数额10%的罚款</w:t>
            </w:r>
          </w:p>
        </w:tc>
        <w:tc>
          <w:tcPr>
            <w:tcW w:w="158" w:type="pct"/>
            <w:vMerge w:val="continue"/>
            <w:noWrap w:val="0"/>
            <w:tcMar>
              <w:top w:w="0" w:type="dxa"/>
              <w:left w:w="0" w:type="dxa"/>
              <w:bottom w:w="0" w:type="dxa"/>
              <w:right w:w="0" w:type="dxa"/>
            </w:tcMar>
            <w:vAlign w:val="center"/>
          </w:tcPr>
          <w:p w14:paraId="3965795B">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2E0DEC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33E8F9D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79AF07CC">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540C435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76D3F51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vMerge w:val="continue"/>
            <w:noWrap w:val="0"/>
            <w:tcMar>
              <w:top w:w="0" w:type="dxa"/>
              <w:left w:w="0" w:type="dxa"/>
              <w:bottom w:w="0" w:type="dxa"/>
              <w:right w:w="0" w:type="dxa"/>
            </w:tcMar>
            <w:vAlign w:val="center"/>
          </w:tcPr>
          <w:p w14:paraId="41FB37B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p>
        </w:tc>
        <w:tc>
          <w:tcPr>
            <w:tcW w:w="561" w:type="pct"/>
            <w:noWrap w:val="0"/>
            <w:tcMar>
              <w:top w:w="0" w:type="dxa"/>
              <w:left w:w="0" w:type="dxa"/>
              <w:bottom w:w="0" w:type="dxa"/>
              <w:right w:w="0" w:type="dxa"/>
            </w:tcMar>
            <w:vAlign w:val="center"/>
          </w:tcPr>
          <w:p w14:paraId="41A8F2B3">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造成特别重大质量事故；或造成单位（子单位）工程存在严重缺陷，经返修和加固处理仍不能满足安全使用要求</w:t>
            </w:r>
          </w:p>
        </w:tc>
        <w:tc>
          <w:tcPr>
            <w:tcW w:w="873" w:type="pct"/>
            <w:noWrap w:val="0"/>
            <w:tcMar>
              <w:top w:w="0" w:type="dxa"/>
              <w:left w:w="0" w:type="dxa"/>
              <w:bottom w:w="0" w:type="dxa"/>
              <w:right w:w="0" w:type="dxa"/>
            </w:tcMar>
            <w:vAlign w:val="center"/>
          </w:tcPr>
          <w:p w14:paraId="5243AF2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处工程合同价款4%的罚</w:t>
            </w:r>
          </w:p>
          <w:p w14:paraId="0107EF9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款；吊销资质证书；对单位直接负责的主管人员和其他直接责任人员处单位罚款数额10%的罚款</w:t>
            </w:r>
          </w:p>
        </w:tc>
        <w:tc>
          <w:tcPr>
            <w:tcW w:w="158" w:type="pct"/>
            <w:vMerge w:val="continue"/>
            <w:noWrap w:val="0"/>
            <w:tcMar>
              <w:top w:w="0" w:type="dxa"/>
              <w:left w:w="0" w:type="dxa"/>
              <w:bottom w:w="0" w:type="dxa"/>
              <w:right w:w="0" w:type="dxa"/>
            </w:tcMar>
            <w:vAlign w:val="center"/>
          </w:tcPr>
          <w:p w14:paraId="78EC194C">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3023E9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restart"/>
            <w:noWrap w:val="0"/>
            <w:tcMar>
              <w:top w:w="0" w:type="dxa"/>
              <w:left w:w="0" w:type="dxa"/>
              <w:bottom w:w="0" w:type="dxa"/>
              <w:right w:w="0" w:type="dxa"/>
            </w:tcMar>
            <w:vAlign w:val="center"/>
          </w:tcPr>
          <w:p w14:paraId="31E89C6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default" w:ascii="宋体" w:hAnsi="宋体" w:eastAsia="宋体" w:cs="宋体"/>
                <w:color w:val="000000"/>
                <w:sz w:val="18"/>
                <w:szCs w:val="18"/>
                <w:shd w:val="clear" w:color="auto" w:fill="auto"/>
                <w:vertAlign w:val="baseline"/>
                <w:lang w:val="en-US" w:eastAsia="zh-CN"/>
              </w:rPr>
            </w:pPr>
            <w:r>
              <w:rPr>
                <w:rFonts w:hint="eastAsia" w:ascii="宋体" w:hAnsi="宋体" w:eastAsia="宋体" w:cs="宋体"/>
                <w:color w:val="000000"/>
                <w:sz w:val="18"/>
                <w:szCs w:val="18"/>
                <w:shd w:val="clear" w:color="auto" w:fill="auto"/>
                <w:vertAlign w:val="baseline"/>
                <w:lang w:val="en-US" w:eastAsia="zh-CN"/>
              </w:rPr>
              <w:t>80</w:t>
            </w:r>
          </w:p>
        </w:tc>
        <w:tc>
          <w:tcPr>
            <w:tcW w:w="415" w:type="pct"/>
            <w:vMerge w:val="restart"/>
            <w:noWrap w:val="0"/>
            <w:tcMar>
              <w:top w:w="0" w:type="dxa"/>
              <w:left w:w="0" w:type="dxa"/>
              <w:bottom w:w="0" w:type="dxa"/>
              <w:right w:w="0" w:type="dxa"/>
            </w:tcMar>
            <w:vAlign w:val="center"/>
          </w:tcPr>
          <w:p w14:paraId="79805450">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对水利领域施工单位未对建筑材料、建筑构配件、设备和商品混凝土进行检验，或者未对涉及结构安全的试块、试件以及有关材料取样检测行为的行政处罚</w:t>
            </w:r>
          </w:p>
        </w:tc>
        <w:tc>
          <w:tcPr>
            <w:tcW w:w="2168" w:type="pct"/>
            <w:vMerge w:val="restart"/>
            <w:noWrap w:val="0"/>
            <w:tcMar>
              <w:top w:w="0" w:type="dxa"/>
              <w:left w:w="0" w:type="dxa"/>
              <w:bottom w:w="0" w:type="dxa"/>
              <w:right w:w="0" w:type="dxa"/>
            </w:tcMar>
            <w:vAlign w:val="center"/>
          </w:tcPr>
          <w:p w14:paraId="6FE92FF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《建设工程质量管理条例》第六十五条 违反本条例规定，施工单位未对建筑材料、建筑构配件、设备和商品混凝土进行检验，或者未对涉及结构安全的试块、试件以及有关材料取样检测的，责令改正，处10万元以上20万元以下的罚款；情节严重的，责令停业整顿，降低资质等级或者吊销资质证书；造成损失的，依法承担赔偿责任。</w:t>
            </w:r>
          </w:p>
          <w:p w14:paraId="2BB46DA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第七十三条  依照本条例规定，给予单位罚款处罚的，对单位直接负责的主管人员和其他直接责任人员处单位罚款数额百分之五以上百分之十以下的罚款。</w:t>
            </w:r>
          </w:p>
          <w:p w14:paraId="06006C1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《水利工程质量管理规定》第六十八条 违反本规定，施工单位未对原材料、中间产品、设备进行检验，或者未对涉及结构安全的试块、试件以及有关材料取样检测的，依照《建设工程质量管理条例》第六十五条规定，由水行政主管部门或者流域管理机构依据职权责令改正，处10万元以上20万元以下的罚款；造成损失的，依法承担赔偿责任。</w:t>
            </w:r>
          </w:p>
          <w:p w14:paraId="1D1A47B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第七十三条第二款 依照《建设工程质量管理条例》给予单位罚款处罚的，对单位直接负责的主管人员和其他直接责任人员处单位罚款数额5%以上10%以下的罚款。</w:t>
            </w:r>
          </w:p>
        </w:tc>
        <w:tc>
          <w:tcPr>
            <w:tcW w:w="491" w:type="pct"/>
            <w:vMerge w:val="restart"/>
            <w:noWrap w:val="0"/>
            <w:tcMar>
              <w:top w:w="0" w:type="dxa"/>
              <w:left w:w="0" w:type="dxa"/>
              <w:bottom w:w="0" w:type="dxa"/>
              <w:right w:w="0" w:type="dxa"/>
            </w:tcMar>
            <w:vAlign w:val="center"/>
          </w:tcPr>
          <w:p w14:paraId="1720390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水利领域施工单位未对建筑材料、建筑构配件、设备和商品混凝土进行检验，或者未对涉及结构安全的试块、试件以及有关材料取样检测的</w:t>
            </w:r>
          </w:p>
        </w:tc>
        <w:tc>
          <w:tcPr>
            <w:tcW w:w="174" w:type="pct"/>
            <w:noWrap w:val="0"/>
            <w:tcMar>
              <w:top w:w="0" w:type="dxa"/>
              <w:left w:w="0" w:type="dxa"/>
              <w:bottom w:w="0" w:type="dxa"/>
              <w:right w:w="0" w:type="dxa"/>
            </w:tcMar>
            <w:vAlign w:val="center"/>
          </w:tcPr>
          <w:p w14:paraId="6C2A8D2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轻微</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31C87F8D">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3524B6C6">
            <w:pPr>
              <w:spacing w:line="260" w:lineRule="exact"/>
              <w:rPr>
                <w:rFonts w:hint="eastAsia" w:ascii="宋体" w:hAnsi="宋体" w:eastAsia="宋体" w:cs="宋体"/>
                <w:color w:val="000000"/>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76A9F526">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72EBC5C0">
            <w:pPr>
              <w:spacing w:line="260" w:lineRule="exact"/>
              <w:rPr>
                <w:rFonts w:hint="eastAsia" w:ascii="宋体" w:hAnsi="宋体" w:eastAsia="宋体" w:cs="宋体"/>
                <w:color w:val="000000"/>
                <w:kern w:val="2"/>
                <w:sz w:val="18"/>
                <w:szCs w:val="18"/>
                <w:vertAlign w:val="baseline"/>
                <w:lang w:val="en-US" w:eastAsia="zh-CN" w:bidi="ar-SA"/>
              </w:rPr>
            </w:pPr>
          </w:p>
        </w:tc>
        <w:tc>
          <w:tcPr>
            <w:tcW w:w="158" w:type="pct"/>
            <w:vMerge w:val="restart"/>
            <w:noWrap w:val="0"/>
            <w:tcMar>
              <w:top w:w="0" w:type="dxa"/>
              <w:left w:w="0" w:type="dxa"/>
              <w:bottom w:w="0" w:type="dxa"/>
              <w:right w:w="0" w:type="dxa"/>
            </w:tcMar>
            <w:vAlign w:val="center"/>
          </w:tcPr>
          <w:p w14:paraId="44D446CC">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3EA163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249402A9">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59C546C2">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78E1B9B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502B79B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38F75015">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较轻</w:t>
            </w:r>
          </w:p>
        </w:tc>
        <w:tc>
          <w:tcPr>
            <w:tcW w:w="561" w:type="pct"/>
            <w:noWrap w:val="0"/>
            <w:tcMar>
              <w:top w:w="0" w:type="dxa"/>
              <w:left w:w="0" w:type="dxa"/>
              <w:bottom w:w="0" w:type="dxa"/>
              <w:right w:w="0" w:type="dxa"/>
            </w:tcMar>
            <w:vAlign w:val="center"/>
          </w:tcPr>
          <w:p w14:paraId="4A8DDED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尚未投入使用的</w:t>
            </w:r>
          </w:p>
        </w:tc>
        <w:tc>
          <w:tcPr>
            <w:tcW w:w="873" w:type="pct"/>
            <w:noWrap w:val="0"/>
            <w:tcMar>
              <w:top w:w="0" w:type="dxa"/>
              <w:left w:w="0" w:type="dxa"/>
              <w:bottom w:w="0" w:type="dxa"/>
              <w:right w:w="0" w:type="dxa"/>
            </w:tcMar>
            <w:vAlign w:val="center"/>
          </w:tcPr>
          <w:p w14:paraId="48DF53D4">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处10万元以上13万元以下的罚款；对单位直接负责的主管人员和其他直接责任人员处单位罚款数额5%以上6.5%以下的罚款</w:t>
            </w:r>
          </w:p>
        </w:tc>
        <w:tc>
          <w:tcPr>
            <w:tcW w:w="158" w:type="pct"/>
            <w:vMerge w:val="continue"/>
            <w:noWrap w:val="0"/>
            <w:tcMar>
              <w:top w:w="0" w:type="dxa"/>
              <w:left w:w="0" w:type="dxa"/>
              <w:bottom w:w="0" w:type="dxa"/>
              <w:right w:w="0" w:type="dxa"/>
            </w:tcMar>
            <w:vAlign w:val="center"/>
          </w:tcPr>
          <w:p w14:paraId="5764F63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42E9A5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3B3D056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75E681F4">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1F3991BC">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248633F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4C61EFD1">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一般</w:t>
            </w:r>
          </w:p>
        </w:tc>
        <w:tc>
          <w:tcPr>
            <w:tcW w:w="561" w:type="pct"/>
            <w:noWrap w:val="0"/>
            <w:tcMar>
              <w:top w:w="0" w:type="dxa"/>
              <w:left w:w="0" w:type="dxa"/>
              <w:bottom w:w="0" w:type="dxa"/>
              <w:right w:w="0" w:type="dxa"/>
            </w:tcMar>
            <w:vAlign w:val="center"/>
          </w:tcPr>
          <w:p w14:paraId="0576978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投入使用，经检验合格的</w:t>
            </w:r>
          </w:p>
        </w:tc>
        <w:tc>
          <w:tcPr>
            <w:tcW w:w="873" w:type="pct"/>
            <w:noWrap w:val="0"/>
            <w:tcMar>
              <w:top w:w="0" w:type="dxa"/>
              <w:left w:w="0" w:type="dxa"/>
              <w:bottom w:w="0" w:type="dxa"/>
              <w:right w:w="0" w:type="dxa"/>
            </w:tcMar>
            <w:vAlign w:val="center"/>
          </w:tcPr>
          <w:p w14:paraId="523265E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处13万元以上17万元以下的罚款；对单位直接负责的主管人员和其他直接责任人员处单位罚款数额6.5%以上8.5%以下的罚款</w:t>
            </w:r>
          </w:p>
        </w:tc>
        <w:tc>
          <w:tcPr>
            <w:tcW w:w="158" w:type="pct"/>
            <w:vMerge w:val="continue"/>
            <w:noWrap w:val="0"/>
            <w:tcMar>
              <w:top w:w="0" w:type="dxa"/>
              <w:left w:w="0" w:type="dxa"/>
              <w:bottom w:w="0" w:type="dxa"/>
              <w:right w:w="0" w:type="dxa"/>
            </w:tcMar>
            <w:vAlign w:val="center"/>
          </w:tcPr>
          <w:p w14:paraId="7C6973C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01F7E6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763021B1">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347C58AA">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394425F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33CE420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vMerge w:val="restart"/>
            <w:noWrap w:val="0"/>
            <w:tcMar>
              <w:top w:w="0" w:type="dxa"/>
              <w:left w:w="0" w:type="dxa"/>
              <w:bottom w:w="0" w:type="dxa"/>
              <w:right w:w="0" w:type="dxa"/>
            </w:tcMar>
            <w:vAlign w:val="center"/>
          </w:tcPr>
          <w:p w14:paraId="3E3A7289">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较重</w:t>
            </w:r>
          </w:p>
        </w:tc>
        <w:tc>
          <w:tcPr>
            <w:tcW w:w="561" w:type="pct"/>
            <w:noWrap w:val="0"/>
            <w:tcMar>
              <w:top w:w="0" w:type="dxa"/>
              <w:left w:w="0" w:type="dxa"/>
              <w:bottom w:w="0" w:type="dxa"/>
              <w:right w:w="0" w:type="dxa"/>
            </w:tcMar>
            <w:vAlign w:val="center"/>
          </w:tcPr>
          <w:p w14:paraId="1B6FB54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投入使用，经检验不合格的</w:t>
            </w:r>
          </w:p>
        </w:tc>
        <w:tc>
          <w:tcPr>
            <w:tcW w:w="873" w:type="pct"/>
            <w:noWrap w:val="0"/>
            <w:tcMar>
              <w:top w:w="0" w:type="dxa"/>
              <w:left w:w="0" w:type="dxa"/>
              <w:bottom w:w="0" w:type="dxa"/>
              <w:right w:w="0" w:type="dxa"/>
            </w:tcMar>
            <w:vAlign w:val="center"/>
          </w:tcPr>
          <w:p w14:paraId="0EBC911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处17万元以上20万元以下的罚款；对单位直接负责的主管人员和其他直接责任人员处单位罚款数额8.5%以上10%以下的罚款</w:t>
            </w:r>
          </w:p>
        </w:tc>
        <w:tc>
          <w:tcPr>
            <w:tcW w:w="158" w:type="pct"/>
            <w:vMerge w:val="continue"/>
            <w:noWrap w:val="0"/>
            <w:tcMar>
              <w:top w:w="0" w:type="dxa"/>
              <w:left w:w="0" w:type="dxa"/>
              <w:bottom w:w="0" w:type="dxa"/>
              <w:right w:w="0" w:type="dxa"/>
            </w:tcMar>
            <w:vAlign w:val="center"/>
          </w:tcPr>
          <w:p w14:paraId="4985B66C">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3C31FF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28" w:hRule="atLeast"/>
          <w:jc w:val="center"/>
        </w:trPr>
        <w:tc>
          <w:tcPr>
            <w:tcW w:w="156" w:type="pct"/>
            <w:vMerge w:val="continue"/>
            <w:noWrap w:val="0"/>
            <w:tcMar>
              <w:top w:w="0" w:type="dxa"/>
              <w:left w:w="0" w:type="dxa"/>
              <w:bottom w:w="0" w:type="dxa"/>
              <w:right w:w="0" w:type="dxa"/>
            </w:tcMar>
            <w:vAlign w:val="center"/>
          </w:tcPr>
          <w:p w14:paraId="6B56482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32D3F76D">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5A0B8E8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56C5855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vMerge w:val="continue"/>
            <w:noWrap w:val="0"/>
            <w:tcMar>
              <w:top w:w="0" w:type="dxa"/>
              <w:left w:w="0" w:type="dxa"/>
              <w:bottom w:w="0" w:type="dxa"/>
              <w:right w:w="0" w:type="dxa"/>
            </w:tcMar>
            <w:vAlign w:val="center"/>
          </w:tcPr>
          <w:p w14:paraId="040456DB">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p>
        </w:tc>
        <w:tc>
          <w:tcPr>
            <w:tcW w:w="561" w:type="pct"/>
            <w:noWrap w:val="0"/>
            <w:tcMar>
              <w:top w:w="0" w:type="dxa"/>
              <w:left w:w="0" w:type="dxa"/>
              <w:bottom w:w="0" w:type="dxa"/>
              <w:right w:w="0" w:type="dxa"/>
            </w:tcMar>
            <w:vAlign w:val="center"/>
          </w:tcPr>
          <w:p w14:paraId="0C14FC2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造成多于3人少于5人死亡，或者多于10人少于20人重伤，或者多于1000万元少于2000万元直接经济损失；或造成重要的检验批达不到设计要求</w:t>
            </w:r>
          </w:p>
        </w:tc>
        <w:tc>
          <w:tcPr>
            <w:tcW w:w="873" w:type="pct"/>
            <w:noWrap w:val="0"/>
            <w:tcMar>
              <w:top w:w="0" w:type="dxa"/>
              <w:left w:w="0" w:type="dxa"/>
              <w:bottom w:w="0" w:type="dxa"/>
              <w:right w:w="0" w:type="dxa"/>
            </w:tcMar>
            <w:vAlign w:val="center"/>
          </w:tcPr>
          <w:p w14:paraId="34F6BF6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处20万元的罚款；责令停业整顿60-90日；对单位直接负责的主管人员和其他直接责任人员处单位罚款数额10%的罚款</w:t>
            </w:r>
          </w:p>
        </w:tc>
        <w:tc>
          <w:tcPr>
            <w:tcW w:w="158" w:type="pct"/>
            <w:vMerge w:val="continue"/>
            <w:noWrap w:val="0"/>
            <w:tcMar>
              <w:top w:w="0" w:type="dxa"/>
              <w:left w:w="0" w:type="dxa"/>
              <w:bottom w:w="0" w:type="dxa"/>
              <w:right w:w="0" w:type="dxa"/>
            </w:tcMar>
            <w:vAlign w:val="center"/>
          </w:tcPr>
          <w:p w14:paraId="7D53341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317D44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411" w:hRule="atLeast"/>
          <w:jc w:val="center"/>
        </w:trPr>
        <w:tc>
          <w:tcPr>
            <w:tcW w:w="156" w:type="pct"/>
            <w:vMerge w:val="continue"/>
            <w:noWrap w:val="0"/>
            <w:tcMar>
              <w:top w:w="0" w:type="dxa"/>
              <w:left w:w="0" w:type="dxa"/>
              <w:bottom w:w="0" w:type="dxa"/>
              <w:right w:w="0" w:type="dxa"/>
            </w:tcMar>
            <w:vAlign w:val="center"/>
          </w:tcPr>
          <w:p w14:paraId="351C984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1E5A0BCA">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2BB30B6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4DB1571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vMerge w:val="restart"/>
            <w:noWrap w:val="0"/>
            <w:tcMar>
              <w:top w:w="0" w:type="dxa"/>
              <w:left w:w="0" w:type="dxa"/>
              <w:bottom w:w="0" w:type="dxa"/>
              <w:right w:w="0" w:type="dxa"/>
            </w:tcMar>
            <w:vAlign w:val="center"/>
          </w:tcPr>
          <w:p w14:paraId="56F0EFF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r>
              <w:rPr>
                <w:rFonts w:hint="eastAsia" w:ascii="宋体" w:hAnsi="宋体" w:eastAsia="宋体" w:cs="宋体"/>
                <w:sz w:val="18"/>
                <w:szCs w:val="18"/>
                <w:vertAlign w:val="baseline"/>
                <w:lang w:val="en-US" w:eastAsia="zh-CN"/>
              </w:rPr>
              <w:t>较重</w:t>
            </w:r>
          </w:p>
        </w:tc>
        <w:tc>
          <w:tcPr>
            <w:tcW w:w="561" w:type="pct"/>
            <w:noWrap w:val="0"/>
            <w:tcMar>
              <w:top w:w="0" w:type="dxa"/>
              <w:left w:w="0" w:type="dxa"/>
              <w:bottom w:w="0" w:type="dxa"/>
              <w:right w:w="0" w:type="dxa"/>
            </w:tcMar>
            <w:vAlign w:val="center"/>
          </w:tcPr>
          <w:p w14:paraId="41B50F06">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造成多于5人少于7人死亡，或者多于20人少于30人重伤，或者多于2000万元少于3000万元直接经济损失；或造成重要的分项工程质量不符合要求</w:t>
            </w:r>
          </w:p>
        </w:tc>
        <w:tc>
          <w:tcPr>
            <w:tcW w:w="873" w:type="pct"/>
            <w:noWrap w:val="0"/>
            <w:tcMar>
              <w:top w:w="0" w:type="dxa"/>
              <w:left w:w="0" w:type="dxa"/>
              <w:bottom w:w="0" w:type="dxa"/>
              <w:right w:w="0" w:type="dxa"/>
            </w:tcMar>
            <w:vAlign w:val="center"/>
          </w:tcPr>
          <w:p w14:paraId="1251E56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处20万元的罚款；责令停业整顿90-120日；对单位直接负责的主管人员和其他直接责任人员处单位罚款数额10%的罚款</w:t>
            </w:r>
          </w:p>
        </w:tc>
        <w:tc>
          <w:tcPr>
            <w:tcW w:w="158" w:type="pct"/>
            <w:vMerge w:val="continue"/>
            <w:noWrap w:val="0"/>
            <w:tcMar>
              <w:top w:w="0" w:type="dxa"/>
              <w:left w:w="0" w:type="dxa"/>
              <w:bottom w:w="0" w:type="dxa"/>
              <w:right w:w="0" w:type="dxa"/>
            </w:tcMar>
            <w:vAlign w:val="center"/>
          </w:tcPr>
          <w:p w14:paraId="6BAAD00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5777A1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949" w:hRule="atLeast"/>
          <w:jc w:val="center"/>
        </w:trPr>
        <w:tc>
          <w:tcPr>
            <w:tcW w:w="156" w:type="pct"/>
            <w:vMerge w:val="continue"/>
            <w:noWrap w:val="0"/>
            <w:tcMar>
              <w:top w:w="0" w:type="dxa"/>
              <w:left w:w="0" w:type="dxa"/>
              <w:bottom w:w="0" w:type="dxa"/>
              <w:right w:w="0" w:type="dxa"/>
            </w:tcMar>
            <w:vAlign w:val="center"/>
          </w:tcPr>
          <w:p w14:paraId="1CA9F4F0">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26984480">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1E6A51E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07108AB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vMerge w:val="continue"/>
            <w:noWrap w:val="0"/>
            <w:tcMar>
              <w:top w:w="0" w:type="dxa"/>
              <w:left w:w="0" w:type="dxa"/>
              <w:bottom w:w="0" w:type="dxa"/>
              <w:right w:w="0" w:type="dxa"/>
            </w:tcMar>
            <w:vAlign w:val="center"/>
          </w:tcPr>
          <w:p w14:paraId="4E991E25">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p>
        </w:tc>
        <w:tc>
          <w:tcPr>
            <w:tcW w:w="561" w:type="pct"/>
            <w:noWrap w:val="0"/>
            <w:tcMar>
              <w:top w:w="0" w:type="dxa"/>
              <w:left w:w="0" w:type="dxa"/>
              <w:bottom w:w="0" w:type="dxa"/>
              <w:right w:w="0" w:type="dxa"/>
            </w:tcMar>
            <w:vAlign w:val="center"/>
          </w:tcPr>
          <w:p w14:paraId="56C537DE">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造成多于7人少于10人死亡，或者多于30人少于50人重伤，或者多于3000万元少于5000万元直接经济损失；或造成重要分部工程质量不符合要求，经返修或加固处理才能满足安全使用要求</w:t>
            </w:r>
          </w:p>
        </w:tc>
        <w:tc>
          <w:tcPr>
            <w:tcW w:w="873" w:type="pct"/>
            <w:noWrap w:val="0"/>
            <w:tcMar>
              <w:top w:w="0" w:type="dxa"/>
              <w:left w:w="0" w:type="dxa"/>
              <w:bottom w:w="0" w:type="dxa"/>
              <w:right w:w="0" w:type="dxa"/>
            </w:tcMar>
            <w:vAlign w:val="center"/>
          </w:tcPr>
          <w:p w14:paraId="7B831BD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处20万元的罚款；责令停业整顿120-180日；对单位直接负责的主管人员和其他直接责任人员处单位罚款数额10%的罚款</w:t>
            </w:r>
          </w:p>
        </w:tc>
        <w:tc>
          <w:tcPr>
            <w:tcW w:w="158" w:type="pct"/>
            <w:vMerge w:val="continue"/>
            <w:noWrap w:val="0"/>
            <w:tcMar>
              <w:top w:w="0" w:type="dxa"/>
              <w:left w:w="0" w:type="dxa"/>
              <w:bottom w:w="0" w:type="dxa"/>
              <w:right w:w="0" w:type="dxa"/>
            </w:tcMar>
            <w:vAlign w:val="center"/>
          </w:tcPr>
          <w:p w14:paraId="6FAC1A8D">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4E7290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13D0450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69C89B49">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36F9E81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7F30C85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vMerge w:val="restart"/>
            <w:noWrap w:val="0"/>
            <w:tcMar>
              <w:top w:w="0" w:type="dxa"/>
              <w:left w:w="0" w:type="dxa"/>
              <w:bottom w:w="0" w:type="dxa"/>
              <w:right w:w="0" w:type="dxa"/>
            </w:tcMar>
            <w:vAlign w:val="center"/>
          </w:tcPr>
          <w:p w14:paraId="2D08EB30">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严重</w:t>
            </w:r>
          </w:p>
        </w:tc>
        <w:tc>
          <w:tcPr>
            <w:tcW w:w="561" w:type="pct"/>
            <w:noWrap w:val="0"/>
            <w:tcMar>
              <w:top w:w="0" w:type="dxa"/>
              <w:left w:w="0" w:type="dxa"/>
              <w:bottom w:w="0" w:type="dxa"/>
              <w:right w:w="0" w:type="dxa"/>
            </w:tcMar>
            <w:vAlign w:val="center"/>
          </w:tcPr>
          <w:p w14:paraId="0C1A816C">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造成重大质量事故；或造成分部工程存在严重缺陷，经返修和加固处理仍不能满足安全使用要求</w:t>
            </w:r>
          </w:p>
        </w:tc>
        <w:tc>
          <w:tcPr>
            <w:tcW w:w="873" w:type="pct"/>
            <w:noWrap w:val="0"/>
            <w:tcMar>
              <w:top w:w="0" w:type="dxa"/>
              <w:left w:w="0" w:type="dxa"/>
              <w:bottom w:w="0" w:type="dxa"/>
              <w:right w:w="0" w:type="dxa"/>
            </w:tcMar>
            <w:vAlign w:val="center"/>
          </w:tcPr>
          <w:p w14:paraId="2A71DEF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处20万元的罚款；降低资质等级；对单位直接负责的主管人员和其他直接责任人员处单位罚款数额10%的罚款</w:t>
            </w:r>
          </w:p>
        </w:tc>
        <w:tc>
          <w:tcPr>
            <w:tcW w:w="158" w:type="pct"/>
            <w:vMerge w:val="continue"/>
            <w:noWrap w:val="0"/>
            <w:tcMar>
              <w:top w:w="0" w:type="dxa"/>
              <w:left w:w="0" w:type="dxa"/>
              <w:bottom w:w="0" w:type="dxa"/>
              <w:right w:w="0" w:type="dxa"/>
            </w:tcMar>
            <w:vAlign w:val="center"/>
          </w:tcPr>
          <w:p w14:paraId="2732F57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2C3C38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273D137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6D83071A">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4A1C1D6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18C240F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vMerge w:val="continue"/>
            <w:noWrap w:val="0"/>
            <w:tcMar>
              <w:top w:w="0" w:type="dxa"/>
              <w:left w:w="0" w:type="dxa"/>
              <w:bottom w:w="0" w:type="dxa"/>
              <w:right w:w="0" w:type="dxa"/>
            </w:tcMar>
            <w:vAlign w:val="center"/>
          </w:tcPr>
          <w:p w14:paraId="4EDA3DC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p>
        </w:tc>
        <w:tc>
          <w:tcPr>
            <w:tcW w:w="561" w:type="pct"/>
            <w:noWrap w:val="0"/>
            <w:tcMar>
              <w:top w:w="0" w:type="dxa"/>
              <w:left w:w="0" w:type="dxa"/>
              <w:bottom w:w="0" w:type="dxa"/>
              <w:right w:w="0" w:type="dxa"/>
            </w:tcMar>
            <w:vAlign w:val="center"/>
          </w:tcPr>
          <w:p w14:paraId="5E5EBB05">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造成特别重大质量事故；或造成单位（子单位）工程存在严重缺陷，经返修和加固处理仍不能满足安全使用要</w:t>
            </w:r>
          </w:p>
        </w:tc>
        <w:tc>
          <w:tcPr>
            <w:tcW w:w="873" w:type="pct"/>
            <w:noWrap w:val="0"/>
            <w:tcMar>
              <w:top w:w="0" w:type="dxa"/>
              <w:left w:w="0" w:type="dxa"/>
              <w:bottom w:w="0" w:type="dxa"/>
              <w:right w:w="0" w:type="dxa"/>
            </w:tcMar>
            <w:vAlign w:val="center"/>
          </w:tcPr>
          <w:p w14:paraId="07C3FB4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处20万元的罚款；吊销资质证书；对单位直接负责的主管人员和其他直接责任人员处单位罚款数额10%的罚款</w:t>
            </w:r>
          </w:p>
        </w:tc>
        <w:tc>
          <w:tcPr>
            <w:tcW w:w="158" w:type="pct"/>
            <w:vMerge w:val="continue"/>
            <w:noWrap w:val="0"/>
            <w:tcMar>
              <w:top w:w="0" w:type="dxa"/>
              <w:left w:w="0" w:type="dxa"/>
              <w:bottom w:w="0" w:type="dxa"/>
              <w:right w:w="0" w:type="dxa"/>
            </w:tcMar>
            <w:vAlign w:val="center"/>
          </w:tcPr>
          <w:p w14:paraId="338508C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0D8AC2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restart"/>
            <w:noWrap w:val="0"/>
            <w:tcMar>
              <w:top w:w="0" w:type="dxa"/>
              <w:left w:w="0" w:type="dxa"/>
              <w:bottom w:w="0" w:type="dxa"/>
              <w:right w:w="0" w:type="dxa"/>
            </w:tcMar>
            <w:vAlign w:val="center"/>
          </w:tcPr>
          <w:p w14:paraId="25A20D0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r>
              <w:rPr>
                <w:rFonts w:hint="eastAsia" w:ascii="宋体" w:hAnsi="宋体" w:eastAsia="宋体" w:cs="宋体"/>
                <w:color w:val="000000"/>
                <w:sz w:val="18"/>
                <w:szCs w:val="18"/>
                <w:shd w:val="clear" w:color="auto" w:fill="auto"/>
                <w:vertAlign w:val="baseline"/>
                <w:lang w:val="en-US" w:eastAsia="zh-CN"/>
              </w:rPr>
              <w:t>81</w:t>
            </w:r>
          </w:p>
        </w:tc>
        <w:tc>
          <w:tcPr>
            <w:tcW w:w="415" w:type="pct"/>
            <w:vMerge w:val="restart"/>
            <w:noWrap w:val="0"/>
            <w:tcMar>
              <w:top w:w="0" w:type="dxa"/>
              <w:left w:w="0" w:type="dxa"/>
              <w:bottom w:w="0" w:type="dxa"/>
              <w:right w:w="0" w:type="dxa"/>
            </w:tcMar>
            <w:vAlign w:val="center"/>
          </w:tcPr>
          <w:p w14:paraId="63A7C462">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对水利领域施工单位不履行保修义务或者拖延履行保修义务行为的行政处罚</w:t>
            </w:r>
          </w:p>
        </w:tc>
        <w:tc>
          <w:tcPr>
            <w:tcW w:w="2168" w:type="pct"/>
            <w:vMerge w:val="restart"/>
            <w:noWrap w:val="0"/>
            <w:tcMar>
              <w:top w:w="0" w:type="dxa"/>
              <w:left w:w="0" w:type="dxa"/>
              <w:bottom w:w="0" w:type="dxa"/>
              <w:right w:w="0" w:type="dxa"/>
            </w:tcMar>
            <w:vAlign w:val="center"/>
          </w:tcPr>
          <w:p w14:paraId="62B4EB5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《建设工程质量管理条例》第六十六条 违反本条例规定，施工单位不履行保修义务或者拖延履行保修义务的，责令改正，处10万元以上20万元以下的罚款，并对在保修期内因质量缺陷造成的损失承担赔偿责任。</w:t>
            </w:r>
          </w:p>
          <w:p w14:paraId="145EB26C">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第七十三条 依照本条例规定，给予单位罚款处罚的，对单位直接负责的主管人员和其他直接责任人员处单位罚款数额百分之五以上百分之十以下的罚款。</w:t>
            </w:r>
          </w:p>
          <w:p w14:paraId="30DE3B8C">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《水利工程质量管理规定》第六十九条 违反本规定，施工单位不履行保修义务或者拖延履行保修义务的，依照《建设工程质量管理条例》第六十六条规定，由水行政主管部门或者流域管理机构依据职权责令改正，处10万元以上20万元以下的罚款，并对在保修期内因质量缺陷造成的损失承担赔偿责任。</w:t>
            </w:r>
          </w:p>
          <w:p w14:paraId="46890FB4">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第七十三条第二款 依照《建设工程质量管理条例》给予单位罚款处罚的，对单位直接负责的主管人员和其他直接责任人员处单位罚款数额5%以上10%以下的罚款。</w:t>
            </w:r>
          </w:p>
        </w:tc>
        <w:tc>
          <w:tcPr>
            <w:tcW w:w="491" w:type="pct"/>
            <w:vMerge w:val="restart"/>
            <w:noWrap w:val="0"/>
            <w:tcMar>
              <w:top w:w="0" w:type="dxa"/>
              <w:left w:w="0" w:type="dxa"/>
              <w:bottom w:w="0" w:type="dxa"/>
              <w:right w:w="0" w:type="dxa"/>
            </w:tcMar>
            <w:vAlign w:val="center"/>
          </w:tcPr>
          <w:p w14:paraId="38AC560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水利领域施工单位不履行保修义务或者拖延履行保修义务的</w:t>
            </w:r>
          </w:p>
        </w:tc>
        <w:tc>
          <w:tcPr>
            <w:tcW w:w="174" w:type="pct"/>
            <w:noWrap w:val="0"/>
            <w:tcMar>
              <w:top w:w="0" w:type="dxa"/>
              <w:left w:w="0" w:type="dxa"/>
              <w:bottom w:w="0" w:type="dxa"/>
              <w:right w:w="0" w:type="dxa"/>
            </w:tcMar>
            <w:vAlign w:val="center"/>
          </w:tcPr>
          <w:p w14:paraId="696D985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轻微</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470CE701">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0875FB25">
            <w:pPr>
              <w:spacing w:line="260" w:lineRule="exact"/>
              <w:rPr>
                <w:rFonts w:hint="eastAsia" w:ascii="宋体" w:hAnsi="宋体" w:eastAsia="宋体" w:cs="宋体"/>
                <w:color w:val="000000"/>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37AA13FE">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1BECC36E">
            <w:pPr>
              <w:spacing w:line="260" w:lineRule="exact"/>
              <w:rPr>
                <w:rFonts w:hint="eastAsia" w:ascii="宋体" w:hAnsi="宋体" w:eastAsia="宋体" w:cs="宋体"/>
                <w:color w:val="000000"/>
                <w:kern w:val="2"/>
                <w:sz w:val="18"/>
                <w:szCs w:val="18"/>
                <w:vertAlign w:val="baseline"/>
                <w:lang w:val="en-US" w:eastAsia="zh-CN" w:bidi="ar-SA"/>
              </w:rPr>
            </w:pPr>
          </w:p>
        </w:tc>
        <w:tc>
          <w:tcPr>
            <w:tcW w:w="158" w:type="pct"/>
            <w:vMerge w:val="restart"/>
            <w:noWrap w:val="0"/>
            <w:tcMar>
              <w:top w:w="0" w:type="dxa"/>
              <w:left w:w="0" w:type="dxa"/>
              <w:bottom w:w="0" w:type="dxa"/>
              <w:right w:w="0" w:type="dxa"/>
            </w:tcMar>
            <w:vAlign w:val="center"/>
          </w:tcPr>
          <w:p w14:paraId="6D85A58C">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2A18E1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00920908">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525FDFEB">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426BB7D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5878F6AC">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607D1405">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较轻</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701040E7">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3D175283">
            <w:pPr>
              <w:spacing w:line="260" w:lineRule="exact"/>
              <w:rPr>
                <w:rFonts w:hint="eastAsia" w:ascii="宋体" w:hAnsi="宋体" w:eastAsia="宋体" w:cs="宋体"/>
                <w:color w:val="000000"/>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148828EA">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29F94B08">
            <w:pPr>
              <w:spacing w:line="260" w:lineRule="exact"/>
              <w:rPr>
                <w:rFonts w:hint="eastAsia" w:ascii="宋体" w:hAnsi="宋体" w:eastAsia="宋体" w:cs="宋体"/>
                <w:color w:val="000000"/>
                <w:kern w:val="2"/>
                <w:sz w:val="18"/>
                <w:szCs w:val="18"/>
                <w:vertAlign w:val="baseline"/>
                <w:lang w:val="en-US" w:eastAsia="zh-CN" w:bidi="ar-SA"/>
              </w:rPr>
            </w:pPr>
          </w:p>
        </w:tc>
        <w:tc>
          <w:tcPr>
            <w:tcW w:w="158" w:type="pct"/>
            <w:vMerge w:val="continue"/>
            <w:noWrap w:val="0"/>
            <w:tcMar>
              <w:top w:w="0" w:type="dxa"/>
              <w:left w:w="0" w:type="dxa"/>
              <w:bottom w:w="0" w:type="dxa"/>
              <w:right w:w="0" w:type="dxa"/>
            </w:tcMar>
            <w:vAlign w:val="center"/>
          </w:tcPr>
          <w:p w14:paraId="5B521E79">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0FEB53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132B4D19">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019D40D2">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36786CC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4E00C5F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406A64A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一般</w:t>
            </w:r>
          </w:p>
        </w:tc>
        <w:tc>
          <w:tcPr>
            <w:tcW w:w="561" w:type="pct"/>
            <w:noWrap w:val="0"/>
            <w:tcMar>
              <w:top w:w="0" w:type="dxa"/>
              <w:left w:w="0" w:type="dxa"/>
              <w:bottom w:w="0" w:type="dxa"/>
              <w:right w:w="0" w:type="dxa"/>
            </w:tcMar>
            <w:vAlign w:val="center"/>
          </w:tcPr>
          <w:p w14:paraId="20D584D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sz w:val="18"/>
                <w:szCs w:val="18"/>
                <w:vertAlign w:val="baseline"/>
              </w:rPr>
              <w:t>拖延履行保修义务少于30</w:t>
            </w:r>
            <w:r>
              <w:rPr>
                <w:rFonts w:hint="eastAsia" w:ascii="宋体" w:hAnsi="宋体" w:eastAsia="宋体" w:cs="宋体"/>
                <w:color w:val="000000"/>
                <w:sz w:val="18"/>
                <w:szCs w:val="18"/>
                <w:vertAlign w:val="baseline"/>
                <w:lang w:eastAsia="zh-CN"/>
              </w:rPr>
              <w:t>日</w:t>
            </w:r>
            <w:r>
              <w:rPr>
                <w:rFonts w:hint="eastAsia" w:ascii="宋体" w:hAnsi="宋体" w:eastAsia="宋体" w:cs="宋体"/>
                <w:color w:val="000000"/>
                <w:sz w:val="18"/>
                <w:szCs w:val="18"/>
                <w:vertAlign w:val="baseline"/>
              </w:rPr>
              <w:t>的</w:t>
            </w:r>
          </w:p>
        </w:tc>
        <w:tc>
          <w:tcPr>
            <w:tcW w:w="873" w:type="pct"/>
            <w:noWrap w:val="0"/>
            <w:tcMar>
              <w:top w:w="0" w:type="dxa"/>
              <w:left w:w="0" w:type="dxa"/>
              <w:bottom w:w="0" w:type="dxa"/>
              <w:right w:w="0" w:type="dxa"/>
            </w:tcMar>
            <w:vAlign w:val="center"/>
          </w:tcPr>
          <w:p w14:paraId="749A6FBD">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处10万元以上13万元以下的罚款；对单位直接负责的主管人员和其他直接责任人员处单位罚款数额5%以上6.5%以下的罚款</w:t>
            </w:r>
          </w:p>
        </w:tc>
        <w:tc>
          <w:tcPr>
            <w:tcW w:w="158" w:type="pct"/>
            <w:vMerge w:val="continue"/>
            <w:noWrap w:val="0"/>
            <w:tcMar>
              <w:top w:w="0" w:type="dxa"/>
              <w:left w:w="0" w:type="dxa"/>
              <w:bottom w:w="0" w:type="dxa"/>
              <w:right w:w="0" w:type="dxa"/>
            </w:tcMar>
            <w:vAlign w:val="center"/>
          </w:tcPr>
          <w:p w14:paraId="19BD275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6D452F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3E4DFA88">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30E58AB3">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5ADC2E1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2FD2250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0D2988D5">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较重</w:t>
            </w:r>
          </w:p>
        </w:tc>
        <w:tc>
          <w:tcPr>
            <w:tcW w:w="561" w:type="pct"/>
            <w:noWrap w:val="0"/>
            <w:tcMar>
              <w:top w:w="0" w:type="dxa"/>
              <w:left w:w="0" w:type="dxa"/>
              <w:bottom w:w="0" w:type="dxa"/>
              <w:right w:w="0" w:type="dxa"/>
            </w:tcMar>
            <w:vAlign w:val="center"/>
          </w:tcPr>
          <w:p w14:paraId="4531821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拖延履行保修义务多于30</w:t>
            </w:r>
            <w:r>
              <w:rPr>
                <w:rFonts w:hint="eastAsia" w:ascii="宋体" w:hAnsi="宋体" w:eastAsia="宋体" w:cs="宋体"/>
                <w:color w:val="000000"/>
                <w:sz w:val="18"/>
                <w:szCs w:val="18"/>
                <w:vertAlign w:val="baseline"/>
                <w:lang w:eastAsia="zh-CN"/>
              </w:rPr>
              <w:t>日</w:t>
            </w:r>
            <w:r>
              <w:rPr>
                <w:rFonts w:hint="eastAsia" w:ascii="宋体" w:hAnsi="宋体" w:eastAsia="宋体" w:cs="宋体"/>
                <w:color w:val="000000"/>
                <w:sz w:val="18"/>
                <w:szCs w:val="18"/>
                <w:vertAlign w:val="baseline"/>
              </w:rPr>
              <w:t>少于60</w:t>
            </w:r>
            <w:r>
              <w:rPr>
                <w:rFonts w:hint="eastAsia" w:ascii="宋体" w:hAnsi="宋体" w:eastAsia="宋体" w:cs="宋体"/>
                <w:color w:val="000000"/>
                <w:sz w:val="18"/>
                <w:szCs w:val="18"/>
                <w:vertAlign w:val="baseline"/>
                <w:lang w:eastAsia="zh-CN"/>
              </w:rPr>
              <w:t>日</w:t>
            </w:r>
            <w:r>
              <w:rPr>
                <w:rFonts w:hint="eastAsia" w:ascii="宋体" w:hAnsi="宋体" w:eastAsia="宋体" w:cs="宋体"/>
                <w:color w:val="000000"/>
                <w:sz w:val="18"/>
                <w:szCs w:val="18"/>
                <w:vertAlign w:val="baseline"/>
              </w:rPr>
              <w:t>的</w:t>
            </w:r>
          </w:p>
        </w:tc>
        <w:tc>
          <w:tcPr>
            <w:tcW w:w="873" w:type="pct"/>
            <w:noWrap w:val="0"/>
            <w:tcMar>
              <w:top w:w="0" w:type="dxa"/>
              <w:left w:w="0" w:type="dxa"/>
              <w:bottom w:w="0" w:type="dxa"/>
              <w:right w:w="0" w:type="dxa"/>
            </w:tcMar>
            <w:vAlign w:val="center"/>
          </w:tcPr>
          <w:p w14:paraId="0F0C9540">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处13万元以上17万元以下的罚款；对单位直接负责的主管人员和其他直接责任人员处单位罚款数额6.5%以上8.5%以下的罚款</w:t>
            </w:r>
          </w:p>
        </w:tc>
        <w:tc>
          <w:tcPr>
            <w:tcW w:w="158" w:type="pct"/>
            <w:vMerge w:val="continue"/>
            <w:noWrap w:val="0"/>
            <w:tcMar>
              <w:top w:w="0" w:type="dxa"/>
              <w:left w:w="0" w:type="dxa"/>
              <w:bottom w:w="0" w:type="dxa"/>
              <w:right w:w="0" w:type="dxa"/>
            </w:tcMar>
            <w:vAlign w:val="center"/>
          </w:tcPr>
          <w:p w14:paraId="3059A981">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6A7565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7993DB3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3437E1D3">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7850B2F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27FBA57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4B0A618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严重</w:t>
            </w:r>
          </w:p>
        </w:tc>
        <w:tc>
          <w:tcPr>
            <w:tcW w:w="561" w:type="pct"/>
            <w:noWrap w:val="0"/>
            <w:tcMar>
              <w:top w:w="0" w:type="dxa"/>
              <w:left w:w="0" w:type="dxa"/>
              <w:bottom w:w="0" w:type="dxa"/>
              <w:right w:w="0" w:type="dxa"/>
            </w:tcMar>
            <w:vAlign w:val="center"/>
          </w:tcPr>
          <w:p w14:paraId="7434250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拖延履行保修义务多于60</w:t>
            </w:r>
            <w:r>
              <w:rPr>
                <w:rFonts w:hint="eastAsia" w:ascii="宋体" w:hAnsi="宋体" w:eastAsia="宋体" w:cs="宋体"/>
                <w:color w:val="000000"/>
                <w:sz w:val="18"/>
                <w:szCs w:val="18"/>
                <w:vertAlign w:val="baseline"/>
                <w:lang w:eastAsia="zh-CN"/>
              </w:rPr>
              <w:t>日</w:t>
            </w:r>
            <w:r>
              <w:rPr>
                <w:rFonts w:hint="eastAsia" w:ascii="宋体" w:hAnsi="宋体" w:eastAsia="宋体" w:cs="宋体"/>
                <w:color w:val="000000"/>
                <w:sz w:val="18"/>
                <w:szCs w:val="18"/>
                <w:vertAlign w:val="baseline"/>
              </w:rPr>
              <w:t>或不履行保修义务的</w:t>
            </w:r>
          </w:p>
        </w:tc>
        <w:tc>
          <w:tcPr>
            <w:tcW w:w="873" w:type="pct"/>
            <w:noWrap w:val="0"/>
            <w:tcMar>
              <w:top w:w="0" w:type="dxa"/>
              <w:left w:w="0" w:type="dxa"/>
              <w:bottom w:w="0" w:type="dxa"/>
              <w:right w:w="0" w:type="dxa"/>
            </w:tcMar>
            <w:vAlign w:val="center"/>
          </w:tcPr>
          <w:p w14:paraId="3953DF52">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处17万元以上20万元以下的罚款；对单位直接负责的主管人员和其他直接责任人员处单位罚款数额8.5%以上10%以下的罚款</w:t>
            </w:r>
          </w:p>
        </w:tc>
        <w:tc>
          <w:tcPr>
            <w:tcW w:w="158" w:type="pct"/>
            <w:vMerge w:val="continue"/>
            <w:noWrap w:val="0"/>
            <w:tcMar>
              <w:top w:w="0" w:type="dxa"/>
              <w:left w:w="0" w:type="dxa"/>
              <w:bottom w:w="0" w:type="dxa"/>
              <w:right w:w="0" w:type="dxa"/>
            </w:tcMar>
            <w:vAlign w:val="center"/>
          </w:tcPr>
          <w:p w14:paraId="5E3E4B6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65A0F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restart"/>
            <w:noWrap w:val="0"/>
            <w:tcMar>
              <w:top w:w="0" w:type="dxa"/>
              <w:left w:w="0" w:type="dxa"/>
              <w:bottom w:w="0" w:type="dxa"/>
              <w:right w:w="0" w:type="dxa"/>
            </w:tcMar>
            <w:vAlign w:val="center"/>
          </w:tcPr>
          <w:p w14:paraId="3A70DC90">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r>
              <w:rPr>
                <w:rFonts w:hint="eastAsia" w:ascii="宋体" w:hAnsi="宋体" w:eastAsia="宋体" w:cs="宋体"/>
                <w:color w:val="000000"/>
                <w:sz w:val="18"/>
                <w:szCs w:val="18"/>
                <w:shd w:val="clear" w:color="auto" w:fill="auto"/>
                <w:vertAlign w:val="baseline"/>
                <w:lang w:val="en-US" w:eastAsia="zh-CN"/>
              </w:rPr>
              <w:t>82</w:t>
            </w:r>
          </w:p>
        </w:tc>
        <w:tc>
          <w:tcPr>
            <w:tcW w:w="415" w:type="pct"/>
            <w:vMerge w:val="restart"/>
            <w:noWrap w:val="0"/>
            <w:tcMar>
              <w:top w:w="0" w:type="dxa"/>
              <w:left w:w="0" w:type="dxa"/>
              <w:bottom w:w="0" w:type="dxa"/>
              <w:right w:w="0" w:type="dxa"/>
            </w:tcMar>
            <w:vAlign w:val="center"/>
          </w:tcPr>
          <w:p w14:paraId="7274E2B1">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对水利领域建筑施工企业对建筑安全事故隐患不采取措施予以消除等行为的行政处罚</w:t>
            </w:r>
          </w:p>
        </w:tc>
        <w:tc>
          <w:tcPr>
            <w:tcW w:w="2168" w:type="pct"/>
            <w:vMerge w:val="restart"/>
            <w:noWrap w:val="0"/>
            <w:tcMar>
              <w:top w:w="0" w:type="dxa"/>
              <w:left w:w="0" w:type="dxa"/>
              <w:bottom w:w="0" w:type="dxa"/>
              <w:right w:w="0" w:type="dxa"/>
            </w:tcMar>
            <w:vAlign w:val="center"/>
          </w:tcPr>
          <w:p w14:paraId="5FCE9BB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《中华人民共和国建筑法》第七十一条 建筑施工企业违反本法规定，对建筑安全事故隐患不采取措施予以消除的，责令改正，可以处以罚款；情节严重的，责令停业整顿，降低资质等级或者吊销资质证书；构成犯罪的，依法追究刑事责任。</w:t>
            </w:r>
          </w:p>
          <w:p w14:paraId="49E9B52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建筑施工企业的管理人员违章指挥、强令职工冒险作业，因而发生重大伤亡事故或者造成其他严重后果的，依法追究刑事责任。</w:t>
            </w:r>
          </w:p>
        </w:tc>
        <w:tc>
          <w:tcPr>
            <w:tcW w:w="491" w:type="pct"/>
            <w:vMerge w:val="restart"/>
            <w:noWrap w:val="0"/>
            <w:tcMar>
              <w:top w:w="0" w:type="dxa"/>
              <w:left w:w="0" w:type="dxa"/>
              <w:bottom w:w="0" w:type="dxa"/>
              <w:right w:w="0" w:type="dxa"/>
            </w:tcMar>
            <w:vAlign w:val="center"/>
          </w:tcPr>
          <w:p w14:paraId="2798DF8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水利领域建筑施工企业对建筑安全事故隐患不采取措施予以消除</w:t>
            </w:r>
          </w:p>
        </w:tc>
        <w:tc>
          <w:tcPr>
            <w:tcW w:w="174" w:type="pct"/>
            <w:noWrap w:val="0"/>
            <w:tcMar>
              <w:top w:w="0" w:type="dxa"/>
              <w:left w:w="0" w:type="dxa"/>
              <w:bottom w:w="0" w:type="dxa"/>
              <w:right w:w="0" w:type="dxa"/>
            </w:tcMar>
            <w:vAlign w:val="center"/>
          </w:tcPr>
          <w:p w14:paraId="40D0DF6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轻微</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4A97703F">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180F89D2">
            <w:pPr>
              <w:spacing w:line="260" w:lineRule="exact"/>
              <w:rPr>
                <w:rFonts w:hint="eastAsia" w:ascii="宋体" w:hAnsi="宋体" w:eastAsia="宋体" w:cs="宋体"/>
                <w:color w:val="000000"/>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05879461">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7859EFA2">
            <w:pPr>
              <w:spacing w:line="260" w:lineRule="exact"/>
              <w:rPr>
                <w:rFonts w:hint="eastAsia" w:ascii="宋体" w:hAnsi="宋体" w:eastAsia="宋体" w:cs="宋体"/>
                <w:color w:val="000000"/>
                <w:kern w:val="2"/>
                <w:sz w:val="18"/>
                <w:szCs w:val="18"/>
                <w:vertAlign w:val="baseline"/>
                <w:lang w:val="en-US" w:eastAsia="zh-CN" w:bidi="ar-SA"/>
              </w:rPr>
            </w:pPr>
          </w:p>
        </w:tc>
        <w:tc>
          <w:tcPr>
            <w:tcW w:w="158" w:type="pct"/>
            <w:vMerge w:val="restart"/>
            <w:noWrap w:val="0"/>
            <w:tcMar>
              <w:top w:w="0" w:type="dxa"/>
              <w:left w:w="0" w:type="dxa"/>
              <w:bottom w:w="0" w:type="dxa"/>
              <w:right w:w="0" w:type="dxa"/>
            </w:tcMar>
            <w:vAlign w:val="center"/>
          </w:tcPr>
          <w:p w14:paraId="1A4B97DB">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1607CA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7289821D">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41D4095F">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44E09F6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59B7A9F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vMerge w:val="restart"/>
            <w:noWrap w:val="0"/>
            <w:tcMar>
              <w:top w:w="0" w:type="dxa"/>
              <w:left w:w="0" w:type="dxa"/>
              <w:bottom w:w="0" w:type="dxa"/>
              <w:right w:w="0" w:type="dxa"/>
            </w:tcMar>
            <w:vAlign w:val="center"/>
          </w:tcPr>
          <w:p w14:paraId="4DDF576C">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较轻</w:t>
            </w:r>
          </w:p>
        </w:tc>
        <w:tc>
          <w:tcPr>
            <w:tcW w:w="561" w:type="pct"/>
            <w:noWrap w:val="0"/>
            <w:tcMar>
              <w:top w:w="0" w:type="dxa"/>
              <w:left w:w="0" w:type="dxa"/>
              <w:bottom w:w="0" w:type="dxa"/>
              <w:right w:w="0" w:type="dxa"/>
            </w:tcMar>
            <w:vAlign w:val="center"/>
          </w:tcPr>
          <w:p w14:paraId="15157E4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存在1处一般事故隐患，未采取措施消除的</w:t>
            </w:r>
          </w:p>
        </w:tc>
        <w:tc>
          <w:tcPr>
            <w:tcW w:w="873" w:type="pct"/>
            <w:noWrap w:val="0"/>
            <w:tcMar>
              <w:top w:w="0" w:type="dxa"/>
              <w:left w:w="0" w:type="dxa"/>
              <w:bottom w:w="0" w:type="dxa"/>
              <w:right w:w="0" w:type="dxa"/>
            </w:tcMar>
            <w:vAlign w:val="center"/>
          </w:tcPr>
          <w:p w14:paraId="73758E5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处1万元以上2万元以下的罚款；拒不改正的，责令停业整顿，直至改正违法行为，对其直接负责的主管人员和其他直接责任人员处5万元以上6万元以下的罚款</w:t>
            </w:r>
          </w:p>
        </w:tc>
        <w:tc>
          <w:tcPr>
            <w:tcW w:w="158" w:type="pct"/>
            <w:vMerge w:val="continue"/>
            <w:noWrap w:val="0"/>
            <w:tcMar>
              <w:top w:w="0" w:type="dxa"/>
              <w:left w:w="0" w:type="dxa"/>
              <w:bottom w:w="0" w:type="dxa"/>
              <w:right w:w="0" w:type="dxa"/>
            </w:tcMar>
            <w:vAlign w:val="center"/>
          </w:tcPr>
          <w:p w14:paraId="19E39DEB">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447438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40B86CD9">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0F3E59D2">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526B534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393D96F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vMerge w:val="continue"/>
            <w:noWrap w:val="0"/>
            <w:tcMar>
              <w:top w:w="0" w:type="dxa"/>
              <w:left w:w="0" w:type="dxa"/>
              <w:bottom w:w="0" w:type="dxa"/>
              <w:right w:w="0" w:type="dxa"/>
            </w:tcMar>
            <w:vAlign w:val="center"/>
          </w:tcPr>
          <w:p w14:paraId="6308FB5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p>
        </w:tc>
        <w:tc>
          <w:tcPr>
            <w:tcW w:w="561" w:type="pct"/>
            <w:noWrap w:val="0"/>
            <w:tcMar>
              <w:top w:w="0" w:type="dxa"/>
              <w:left w:w="0" w:type="dxa"/>
              <w:bottom w:w="0" w:type="dxa"/>
              <w:right w:w="0" w:type="dxa"/>
            </w:tcMar>
            <w:vAlign w:val="center"/>
          </w:tcPr>
          <w:p w14:paraId="224AD16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存在2处一般事故隐患，未采取措施消除的</w:t>
            </w:r>
          </w:p>
        </w:tc>
        <w:tc>
          <w:tcPr>
            <w:tcW w:w="873" w:type="pct"/>
            <w:noWrap w:val="0"/>
            <w:tcMar>
              <w:top w:w="0" w:type="dxa"/>
              <w:left w:w="0" w:type="dxa"/>
              <w:bottom w:w="0" w:type="dxa"/>
              <w:right w:w="0" w:type="dxa"/>
            </w:tcMar>
            <w:vAlign w:val="center"/>
          </w:tcPr>
          <w:p w14:paraId="0767A5A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处2万元以上3万元以下的罚款；拒不改正的，责令停业整顿，直至改正违法行为，对其直接负责的主管人员和其他直接责任人员处6万元以上7万元以下的罚款</w:t>
            </w:r>
          </w:p>
        </w:tc>
        <w:tc>
          <w:tcPr>
            <w:tcW w:w="158" w:type="pct"/>
            <w:vMerge w:val="continue"/>
            <w:noWrap w:val="0"/>
            <w:tcMar>
              <w:top w:w="0" w:type="dxa"/>
              <w:left w:w="0" w:type="dxa"/>
              <w:bottom w:w="0" w:type="dxa"/>
              <w:right w:w="0" w:type="dxa"/>
            </w:tcMar>
            <w:vAlign w:val="center"/>
          </w:tcPr>
          <w:p w14:paraId="4AC96C89">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19573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42A21FB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545229ED">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2F205447">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4B6E536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7EE008D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一般</w:t>
            </w:r>
          </w:p>
        </w:tc>
        <w:tc>
          <w:tcPr>
            <w:tcW w:w="561" w:type="pct"/>
            <w:noWrap w:val="0"/>
            <w:tcMar>
              <w:top w:w="0" w:type="dxa"/>
              <w:left w:w="0" w:type="dxa"/>
              <w:bottom w:w="0" w:type="dxa"/>
              <w:right w:w="0" w:type="dxa"/>
            </w:tcMar>
            <w:vAlign w:val="center"/>
          </w:tcPr>
          <w:p w14:paraId="552B065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存在3处以上一般事故隐患或1处以上重大事故隐患，未采取措施消除的</w:t>
            </w:r>
          </w:p>
        </w:tc>
        <w:tc>
          <w:tcPr>
            <w:tcW w:w="873" w:type="pct"/>
            <w:noWrap w:val="0"/>
            <w:tcMar>
              <w:top w:w="0" w:type="dxa"/>
              <w:left w:w="0" w:type="dxa"/>
              <w:bottom w:w="0" w:type="dxa"/>
              <w:right w:w="0" w:type="dxa"/>
            </w:tcMar>
            <w:vAlign w:val="center"/>
          </w:tcPr>
          <w:p w14:paraId="0C3F6EC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处3万元以上5万元以下的罚款；拒不改正的，责令停业整顿，直至改正违法行为，对其直接负责的主管人员和其他直接责任人员处7万元以上10万元以下的罚款</w:t>
            </w:r>
          </w:p>
        </w:tc>
        <w:tc>
          <w:tcPr>
            <w:tcW w:w="158" w:type="pct"/>
            <w:vMerge w:val="continue"/>
            <w:noWrap w:val="0"/>
            <w:tcMar>
              <w:top w:w="0" w:type="dxa"/>
              <w:left w:w="0" w:type="dxa"/>
              <w:bottom w:w="0" w:type="dxa"/>
              <w:right w:w="0" w:type="dxa"/>
            </w:tcMar>
            <w:vAlign w:val="center"/>
          </w:tcPr>
          <w:p w14:paraId="34735ECA">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35AA9D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591FE901">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7A11AD70">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1E66D10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62ABE65C">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vMerge w:val="restart"/>
            <w:noWrap w:val="0"/>
            <w:tcMar>
              <w:top w:w="0" w:type="dxa"/>
              <w:left w:w="0" w:type="dxa"/>
              <w:bottom w:w="0" w:type="dxa"/>
              <w:right w:w="0" w:type="dxa"/>
            </w:tcMar>
            <w:vAlign w:val="center"/>
          </w:tcPr>
          <w:p w14:paraId="182204BA">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较重</w:t>
            </w:r>
          </w:p>
        </w:tc>
        <w:tc>
          <w:tcPr>
            <w:tcW w:w="561" w:type="pct"/>
            <w:noWrap w:val="0"/>
            <w:tcMar>
              <w:top w:w="0" w:type="dxa"/>
              <w:left w:w="0" w:type="dxa"/>
              <w:bottom w:w="0" w:type="dxa"/>
              <w:right w:w="0" w:type="dxa"/>
            </w:tcMar>
            <w:vAlign w:val="center"/>
          </w:tcPr>
          <w:p w14:paraId="18F6EBE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造成3人以上5人以下死亡，或者10人以上20人以下重伤，或者1000万元以上2000万元以下直接经济损失</w:t>
            </w:r>
          </w:p>
        </w:tc>
        <w:tc>
          <w:tcPr>
            <w:tcW w:w="873" w:type="pct"/>
            <w:noWrap w:val="0"/>
            <w:tcMar>
              <w:top w:w="0" w:type="dxa"/>
              <w:left w:w="0" w:type="dxa"/>
              <w:bottom w:w="0" w:type="dxa"/>
              <w:right w:w="0" w:type="dxa"/>
            </w:tcMar>
            <w:vAlign w:val="center"/>
          </w:tcPr>
          <w:p w14:paraId="42C9A4C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责令停产停业整顿60-90日</w:t>
            </w:r>
          </w:p>
        </w:tc>
        <w:tc>
          <w:tcPr>
            <w:tcW w:w="158" w:type="pct"/>
            <w:vMerge w:val="continue"/>
            <w:noWrap w:val="0"/>
            <w:tcMar>
              <w:top w:w="0" w:type="dxa"/>
              <w:left w:w="0" w:type="dxa"/>
              <w:bottom w:w="0" w:type="dxa"/>
              <w:right w:w="0" w:type="dxa"/>
            </w:tcMar>
            <w:vAlign w:val="center"/>
          </w:tcPr>
          <w:p w14:paraId="3BEAB2D8">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20E92A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1161A425">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485FB2F3">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6A71D7FC">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7404230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vMerge w:val="continue"/>
            <w:noWrap w:val="0"/>
            <w:tcMar>
              <w:top w:w="0" w:type="dxa"/>
              <w:left w:w="0" w:type="dxa"/>
              <w:bottom w:w="0" w:type="dxa"/>
              <w:right w:w="0" w:type="dxa"/>
            </w:tcMar>
            <w:vAlign w:val="center"/>
          </w:tcPr>
          <w:p w14:paraId="1FC3512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p>
        </w:tc>
        <w:tc>
          <w:tcPr>
            <w:tcW w:w="561" w:type="pct"/>
            <w:noWrap w:val="0"/>
            <w:tcMar>
              <w:top w:w="0" w:type="dxa"/>
              <w:left w:w="0" w:type="dxa"/>
              <w:bottom w:w="0" w:type="dxa"/>
              <w:right w:w="0" w:type="dxa"/>
            </w:tcMar>
            <w:vAlign w:val="center"/>
          </w:tcPr>
          <w:p w14:paraId="760B65F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造成5人以上7人以下死亡，或者20人以上30人以下重伤，或者2000万元以上3000万元以下直接经济损失</w:t>
            </w:r>
          </w:p>
        </w:tc>
        <w:tc>
          <w:tcPr>
            <w:tcW w:w="873" w:type="pct"/>
            <w:noWrap w:val="0"/>
            <w:tcMar>
              <w:top w:w="0" w:type="dxa"/>
              <w:left w:w="0" w:type="dxa"/>
              <w:bottom w:w="0" w:type="dxa"/>
              <w:right w:w="0" w:type="dxa"/>
            </w:tcMar>
            <w:vAlign w:val="center"/>
          </w:tcPr>
          <w:p w14:paraId="18A5A5A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责令停产停业整顿90-120日</w:t>
            </w:r>
          </w:p>
        </w:tc>
        <w:tc>
          <w:tcPr>
            <w:tcW w:w="158" w:type="pct"/>
            <w:vMerge w:val="continue"/>
            <w:noWrap w:val="0"/>
            <w:tcMar>
              <w:top w:w="0" w:type="dxa"/>
              <w:left w:w="0" w:type="dxa"/>
              <w:bottom w:w="0" w:type="dxa"/>
              <w:right w:w="0" w:type="dxa"/>
            </w:tcMar>
            <w:vAlign w:val="center"/>
          </w:tcPr>
          <w:p w14:paraId="524BDF7C">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7B8BD6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256DC659">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57CC0564">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79DA876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0D84EC3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vMerge w:val="continue"/>
            <w:noWrap w:val="0"/>
            <w:tcMar>
              <w:top w:w="0" w:type="dxa"/>
              <w:left w:w="0" w:type="dxa"/>
              <w:bottom w:w="0" w:type="dxa"/>
              <w:right w:w="0" w:type="dxa"/>
            </w:tcMar>
            <w:vAlign w:val="center"/>
          </w:tcPr>
          <w:p w14:paraId="05EA865B">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p>
        </w:tc>
        <w:tc>
          <w:tcPr>
            <w:tcW w:w="561" w:type="pct"/>
            <w:noWrap w:val="0"/>
            <w:tcMar>
              <w:top w:w="0" w:type="dxa"/>
              <w:left w:w="0" w:type="dxa"/>
              <w:bottom w:w="0" w:type="dxa"/>
              <w:right w:w="0" w:type="dxa"/>
            </w:tcMar>
            <w:vAlign w:val="center"/>
          </w:tcPr>
          <w:p w14:paraId="467DFC1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造成7人以上10人以下死亡，或者30人以上50人以下重伤，或者3000万元以上5000万元以下直接经济损失</w:t>
            </w:r>
          </w:p>
        </w:tc>
        <w:tc>
          <w:tcPr>
            <w:tcW w:w="873" w:type="pct"/>
            <w:noWrap w:val="0"/>
            <w:tcMar>
              <w:top w:w="0" w:type="dxa"/>
              <w:left w:w="0" w:type="dxa"/>
              <w:bottom w:w="0" w:type="dxa"/>
              <w:right w:w="0" w:type="dxa"/>
            </w:tcMar>
            <w:vAlign w:val="center"/>
          </w:tcPr>
          <w:p w14:paraId="14CDB77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责令停产停业整顿120-180日</w:t>
            </w:r>
          </w:p>
        </w:tc>
        <w:tc>
          <w:tcPr>
            <w:tcW w:w="158" w:type="pct"/>
            <w:vMerge w:val="continue"/>
            <w:noWrap w:val="0"/>
            <w:tcMar>
              <w:top w:w="0" w:type="dxa"/>
              <w:left w:w="0" w:type="dxa"/>
              <w:bottom w:w="0" w:type="dxa"/>
              <w:right w:w="0" w:type="dxa"/>
            </w:tcMar>
            <w:vAlign w:val="center"/>
          </w:tcPr>
          <w:p w14:paraId="00E0202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6AA199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2E1524F0">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7091BDFD">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6A58086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49F88A7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vMerge w:val="restart"/>
            <w:noWrap w:val="0"/>
            <w:tcMar>
              <w:top w:w="0" w:type="dxa"/>
              <w:left w:w="0" w:type="dxa"/>
              <w:bottom w:w="0" w:type="dxa"/>
              <w:right w:w="0" w:type="dxa"/>
            </w:tcMar>
            <w:vAlign w:val="center"/>
          </w:tcPr>
          <w:p w14:paraId="567CF065">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严重</w:t>
            </w:r>
          </w:p>
        </w:tc>
        <w:tc>
          <w:tcPr>
            <w:tcW w:w="561" w:type="pct"/>
            <w:noWrap w:val="0"/>
            <w:tcMar>
              <w:top w:w="0" w:type="dxa"/>
              <w:left w:w="0" w:type="dxa"/>
              <w:bottom w:w="0" w:type="dxa"/>
              <w:right w:w="0" w:type="dxa"/>
            </w:tcMar>
            <w:vAlign w:val="center"/>
          </w:tcPr>
          <w:p w14:paraId="5313E8C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造成重大安全事故</w:t>
            </w:r>
          </w:p>
        </w:tc>
        <w:tc>
          <w:tcPr>
            <w:tcW w:w="873" w:type="pct"/>
            <w:noWrap w:val="0"/>
            <w:tcMar>
              <w:top w:w="0" w:type="dxa"/>
              <w:left w:w="0" w:type="dxa"/>
              <w:bottom w:w="0" w:type="dxa"/>
              <w:right w:w="0" w:type="dxa"/>
            </w:tcMar>
            <w:vAlign w:val="center"/>
          </w:tcPr>
          <w:p w14:paraId="02FC8FA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降低资质等级</w:t>
            </w:r>
          </w:p>
        </w:tc>
        <w:tc>
          <w:tcPr>
            <w:tcW w:w="158" w:type="pct"/>
            <w:vMerge w:val="continue"/>
            <w:noWrap w:val="0"/>
            <w:tcMar>
              <w:top w:w="0" w:type="dxa"/>
              <w:left w:w="0" w:type="dxa"/>
              <w:bottom w:w="0" w:type="dxa"/>
              <w:right w:w="0" w:type="dxa"/>
            </w:tcMar>
            <w:vAlign w:val="center"/>
          </w:tcPr>
          <w:p w14:paraId="6027101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3E4826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35E09AA5">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0EBC940D">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2F777AAC">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673EB34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vMerge w:val="continue"/>
            <w:noWrap w:val="0"/>
            <w:tcMar>
              <w:top w:w="0" w:type="dxa"/>
              <w:left w:w="0" w:type="dxa"/>
              <w:bottom w:w="0" w:type="dxa"/>
              <w:right w:w="0" w:type="dxa"/>
            </w:tcMar>
            <w:vAlign w:val="center"/>
          </w:tcPr>
          <w:p w14:paraId="06EF5539">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p>
        </w:tc>
        <w:tc>
          <w:tcPr>
            <w:tcW w:w="561" w:type="pct"/>
            <w:noWrap w:val="0"/>
            <w:tcMar>
              <w:top w:w="0" w:type="dxa"/>
              <w:left w:w="0" w:type="dxa"/>
              <w:bottom w:w="0" w:type="dxa"/>
              <w:right w:w="0" w:type="dxa"/>
            </w:tcMar>
            <w:vAlign w:val="center"/>
          </w:tcPr>
          <w:p w14:paraId="3666E79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造成</w:t>
            </w:r>
            <w:r>
              <w:rPr>
                <w:rFonts w:hint="eastAsia" w:ascii="宋体" w:hAnsi="宋体" w:eastAsia="宋体" w:cs="宋体"/>
                <w:color w:val="000000"/>
                <w:sz w:val="18"/>
                <w:szCs w:val="18"/>
                <w:vertAlign w:val="baseline"/>
                <w:lang w:val="en-US" w:eastAsia="zh-CN"/>
              </w:rPr>
              <w:t>特别</w:t>
            </w:r>
            <w:r>
              <w:rPr>
                <w:rFonts w:hint="eastAsia" w:ascii="宋体" w:hAnsi="宋体" w:eastAsia="宋体" w:cs="宋体"/>
                <w:color w:val="000000"/>
                <w:sz w:val="18"/>
                <w:szCs w:val="18"/>
                <w:vertAlign w:val="baseline"/>
              </w:rPr>
              <w:t>重大安全事故</w:t>
            </w:r>
          </w:p>
        </w:tc>
        <w:tc>
          <w:tcPr>
            <w:tcW w:w="873" w:type="pct"/>
            <w:noWrap w:val="0"/>
            <w:tcMar>
              <w:top w:w="0" w:type="dxa"/>
              <w:left w:w="0" w:type="dxa"/>
              <w:bottom w:w="0" w:type="dxa"/>
              <w:right w:w="0" w:type="dxa"/>
            </w:tcMar>
            <w:vAlign w:val="center"/>
          </w:tcPr>
          <w:p w14:paraId="363FBC3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吊销资质证书</w:t>
            </w:r>
          </w:p>
        </w:tc>
        <w:tc>
          <w:tcPr>
            <w:tcW w:w="158" w:type="pct"/>
            <w:vMerge w:val="continue"/>
            <w:noWrap w:val="0"/>
            <w:tcMar>
              <w:top w:w="0" w:type="dxa"/>
              <w:left w:w="0" w:type="dxa"/>
              <w:bottom w:w="0" w:type="dxa"/>
              <w:right w:w="0" w:type="dxa"/>
            </w:tcMar>
            <w:vAlign w:val="center"/>
          </w:tcPr>
          <w:p w14:paraId="1837CAF9">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212599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restart"/>
            <w:noWrap w:val="0"/>
            <w:tcMar>
              <w:top w:w="0" w:type="dxa"/>
              <w:left w:w="0" w:type="dxa"/>
              <w:bottom w:w="0" w:type="dxa"/>
              <w:right w:w="0" w:type="dxa"/>
            </w:tcMar>
            <w:vAlign w:val="center"/>
          </w:tcPr>
          <w:p w14:paraId="7DCF29DB">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r>
              <w:rPr>
                <w:rFonts w:hint="eastAsia" w:ascii="宋体" w:hAnsi="宋体" w:eastAsia="宋体" w:cs="宋体"/>
                <w:color w:val="000000"/>
                <w:sz w:val="18"/>
                <w:szCs w:val="18"/>
                <w:shd w:val="clear" w:color="auto" w:fill="auto"/>
                <w:vertAlign w:val="baseline"/>
                <w:lang w:val="en-US" w:eastAsia="zh-CN"/>
              </w:rPr>
              <w:t>83</w:t>
            </w:r>
          </w:p>
        </w:tc>
        <w:tc>
          <w:tcPr>
            <w:tcW w:w="415" w:type="pct"/>
            <w:vMerge w:val="restart"/>
            <w:noWrap w:val="0"/>
            <w:tcMar>
              <w:top w:w="0" w:type="dxa"/>
              <w:left w:w="0" w:type="dxa"/>
              <w:bottom w:w="0" w:type="dxa"/>
              <w:right w:w="0" w:type="dxa"/>
            </w:tcMar>
            <w:vAlign w:val="center"/>
          </w:tcPr>
          <w:p w14:paraId="205672E9">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对水利领域施工单位违反工程建设强制性标准行为的行政处罚</w:t>
            </w:r>
          </w:p>
        </w:tc>
        <w:tc>
          <w:tcPr>
            <w:tcW w:w="2168" w:type="pct"/>
            <w:vMerge w:val="restart"/>
            <w:noWrap w:val="0"/>
            <w:tcMar>
              <w:top w:w="0" w:type="dxa"/>
              <w:left w:w="0" w:type="dxa"/>
              <w:bottom w:w="0" w:type="dxa"/>
              <w:right w:w="0" w:type="dxa"/>
            </w:tcMar>
            <w:vAlign w:val="center"/>
          </w:tcPr>
          <w:p w14:paraId="3CECF40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《实施工程建设强制性标准监督规定》第十八条 施工单位违反工程建设强制性标准的，责令改正，处工程合同价款2%以上4%以下的罚款；造成建设工程质量不符合规定的质量标准的，负责返工、修理，并赔偿因此造成的损失；情节严重的，责令停业整顿，降低资质等级或者吊销资质证书。</w:t>
            </w:r>
          </w:p>
        </w:tc>
        <w:tc>
          <w:tcPr>
            <w:tcW w:w="491" w:type="pct"/>
            <w:vMerge w:val="restart"/>
            <w:noWrap w:val="0"/>
            <w:tcMar>
              <w:top w:w="0" w:type="dxa"/>
              <w:left w:w="0" w:type="dxa"/>
              <w:bottom w:w="0" w:type="dxa"/>
              <w:right w:w="0" w:type="dxa"/>
            </w:tcMar>
            <w:vAlign w:val="center"/>
          </w:tcPr>
          <w:p w14:paraId="30F0368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水利领域施工单位违反工程建设强制性标准的</w:t>
            </w:r>
          </w:p>
        </w:tc>
        <w:tc>
          <w:tcPr>
            <w:tcW w:w="174" w:type="pct"/>
            <w:noWrap w:val="0"/>
            <w:tcMar>
              <w:top w:w="0" w:type="dxa"/>
              <w:left w:w="0" w:type="dxa"/>
              <w:bottom w:w="0" w:type="dxa"/>
              <w:right w:w="0" w:type="dxa"/>
            </w:tcMar>
            <w:vAlign w:val="center"/>
          </w:tcPr>
          <w:p w14:paraId="5CCCFFB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轻微</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447DCDE3">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41E2F934">
            <w:pPr>
              <w:spacing w:line="260" w:lineRule="exact"/>
              <w:rPr>
                <w:rFonts w:hint="eastAsia" w:ascii="宋体" w:hAnsi="宋体" w:eastAsia="宋体" w:cs="宋体"/>
                <w:color w:val="000000"/>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006159AF">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3987A951">
            <w:pPr>
              <w:spacing w:line="260" w:lineRule="exact"/>
              <w:rPr>
                <w:rFonts w:hint="eastAsia" w:ascii="宋体" w:hAnsi="宋体" w:eastAsia="宋体" w:cs="宋体"/>
                <w:color w:val="000000"/>
                <w:kern w:val="2"/>
                <w:sz w:val="18"/>
                <w:szCs w:val="18"/>
                <w:vertAlign w:val="baseline"/>
                <w:lang w:val="en-US" w:eastAsia="zh-CN" w:bidi="ar-SA"/>
              </w:rPr>
            </w:pPr>
          </w:p>
        </w:tc>
        <w:tc>
          <w:tcPr>
            <w:tcW w:w="158" w:type="pct"/>
            <w:vMerge w:val="restart"/>
            <w:noWrap w:val="0"/>
            <w:tcMar>
              <w:top w:w="0" w:type="dxa"/>
              <w:left w:w="0" w:type="dxa"/>
              <w:bottom w:w="0" w:type="dxa"/>
              <w:right w:w="0" w:type="dxa"/>
            </w:tcMar>
            <w:vAlign w:val="center"/>
          </w:tcPr>
          <w:p w14:paraId="08A65959">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60145D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6CE2F04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537A7060">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6FF5785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0E09D02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19A6323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较轻</w:t>
            </w:r>
          </w:p>
        </w:tc>
        <w:tc>
          <w:tcPr>
            <w:tcW w:w="561" w:type="pct"/>
            <w:noWrap w:val="0"/>
            <w:tcMar>
              <w:top w:w="0" w:type="dxa"/>
              <w:left w:w="0" w:type="dxa"/>
              <w:bottom w:w="0" w:type="dxa"/>
              <w:right w:w="0" w:type="dxa"/>
            </w:tcMar>
            <w:vAlign w:val="center"/>
          </w:tcPr>
          <w:p w14:paraId="1B3B5E4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未造成质量缺陷的；未影响结构安全及重要使用功能的</w:t>
            </w:r>
          </w:p>
        </w:tc>
        <w:tc>
          <w:tcPr>
            <w:tcW w:w="873" w:type="pct"/>
            <w:noWrap w:val="0"/>
            <w:tcMar>
              <w:top w:w="0" w:type="dxa"/>
              <w:left w:w="0" w:type="dxa"/>
              <w:bottom w:w="0" w:type="dxa"/>
              <w:right w:w="0" w:type="dxa"/>
            </w:tcMar>
            <w:vAlign w:val="center"/>
          </w:tcPr>
          <w:p w14:paraId="1661513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处工程合同价款2%以上2.5%以下的罚款，对单位直接负责的主管人员和其他直接责任人员处单位罚款数额5%以上6.5%以下的罚款</w:t>
            </w:r>
          </w:p>
        </w:tc>
        <w:tc>
          <w:tcPr>
            <w:tcW w:w="158" w:type="pct"/>
            <w:vMerge w:val="continue"/>
            <w:noWrap w:val="0"/>
            <w:tcMar>
              <w:top w:w="0" w:type="dxa"/>
              <w:left w:w="0" w:type="dxa"/>
              <w:bottom w:w="0" w:type="dxa"/>
              <w:right w:w="0" w:type="dxa"/>
            </w:tcMar>
            <w:vAlign w:val="center"/>
          </w:tcPr>
          <w:p w14:paraId="5ECDAC1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52762A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478FE99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3140BC44">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29FCC0D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54A4EF8C">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269C0A8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一般</w:t>
            </w:r>
          </w:p>
        </w:tc>
        <w:tc>
          <w:tcPr>
            <w:tcW w:w="561" w:type="pct"/>
            <w:noWrap w:val="0"/>
            <w:tcMar>
              <w:top w:w="0" w:type="dxa"/>
              <w:left w:w="0" w:type="dxa"/>
              <w:bottom w:w="0" w:type="dxa"/>
              <w:right w:w="0" w:type="dxa"/>
            </w:tcMar>
            <w:vAlign w:val="center"/>
          </w:tcPr>
          <w:p w14:paraId="716B3F7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rPr>
              <w:t>造成质量缺陷的；影响结构安全及重要使用功能，经返修和加固处理能满足安全使用要求</w:t>
            </w:r>
            <w:r>
              <w:rPr>
                <w:rFonts w:hint="eastAsia" w:ascii="宋体" w:hAnsi="宋体" w:eastAsia="宋体" w:cs="宋体"/>
                <w:color w:val="000000"/>
                <w:sz w:val="18"/>
                <w:szCs w:val="18"/>
                <w:vertAlign w:val="baseline"/>
                <w:lang w:val="en-US" w:eastAsia="zh-CN"/>
              </w:rPr>
              <w:t>的</w:t>
            </w:r>
          </w:p>
        </w:tc>
        <w:tc>
          <w:tcPr>
            <w:tcW w:w="873" w:type="pct"/>
            <w:noWrap w:val="0"/>
            <w:tcMar>
              <w:top w:w="0" w:type="dxa"/>
              <w:left w:w="0" w:type="dxa"/>
              <w:bottom w:w="0" w:type="dxa"/>
              <w:right w:w="0" w:type="dxa"/>
            </w:tcMar>
            <w:vAlign w:val="center"/>
          </w:tcPr>
          <w:p w14:paraId="7DECEC4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处工程合同价款2.5%以上3.5%以下的罚款，对单位直接负责的主管人员和其他直接责任人员处单位罚款数额 6.5%以上8.5%下的罚款</w:t>
            </w:r>
          </w:p>
        </w:tc>
        <w:tc>
          <w:tcPr>
            <w:tcW w:w="158" w:type="pct"/>
            <w:vMerge w:val="continue"/>
            <w:noWrap w:val="0"/>
            <w:tcMar>
              <w:top w:w="0" w:type="dxa"/>
              <w:left w:w="0" w:type="dxa"/>
              <w:bottom w:w="0" w:type="dxa"/>
              <w:right w:w="0" w:type="dxa"/>
            </w:tcMar>
            <w:vAlign w:val="center"/>
          </w:tcPr>
          <w:p w14:paraId="0CA8CBB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4BC551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4A30F46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7EBA6D61">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59C033D4">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3108632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vMerge w:val="restart"/>
            <w:noWrap w:val="0"/>
            <w:tcMar>
              <w:top w:w="0" w:type="dxa"/>
              <w:left w:w="0" w:type="dxa"/>
              <w:bottom w:w="0" w:type="dxa"/>
              <w:right w:w="0" w:type="dxa"/>
            </w:tcMar>
            <w:vAlign w:val="center"/>
          </w:tcPr>
          <w:p w14:paraId="4DE6DB8D">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较重</w:t>
            </w:r>
          </w:p>
        </w:tc>
        <w:tc>
          <w:tcPr>
            <w:tcW w:w="561" w:type="pct"/>
            <w:noWrap w:val="0"/>
            <w:tcMar>
              <w:top w:w="0" w:type="dxa"/>
              <w:left w:w="0" w:type="dxa"/>
              <w:bottom w:w="0" w:type="dxa"/>
              <w:right w:w="0" w:type="dxa"/>
            </w:tcMar>
            <w:vAlign w:val="center"/>
          </w:tcPr>
          <w:p w14:paraId="4E5FD03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造成一般质量事故</w:t>
            </w:r>
          </w:p>
        </w:tc>
        <w:tc>
          <w:tcPr>
            <w:tcW w:w="873" w:type="pct"/>
            <w:noWrap w:val="0"/>
            <w:tcMar>
              <w:top w:w="0" w:type="dxa"/>
              <w:left w:w="0" w:type="dxa"/>
              <w:bottom w:w="0" w:type="dxa"/>
              <w:right w:w="0" w:type="dxa"/>
            </w:tcMar>
            <w:vAlign w:val="center"/>
          </w:tcPr>
          <w:p w14:paraId="341EAB2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处工程合同价款3.5%以上4%以下的罚款，对单位直接负责的主管人员和其他直接责任人员处单位罚款数额8.5%以上10%以下的罚款</w:t>
            </w:r>
          </w:p>
        </w:tc>
        <w:tc>
          <w:tcPr>
            <w:tcW w:w="158" w:type="pct"/>
            <w:vMerge w:val="continue"/>
            <w:noWrap w:val="0"/>
            <w:tcMar>
              <w:top w:w="0" w:type="dxa"/>
              <w:left w:w="0" w:type="dxa"/>
              <w:bottom w:w="0" w:type="dxa"/>
              <w:right w:w="0" w:type="dxa"/>
            </w:tcMar>
            <w:vAlign w:val="center"/>
          </w:tcPr>
          <w:p w14:paraId="385E42C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10022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627CD8E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572BA70A">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0F550C34">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2F6EB5C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vMerge w:val="continue"/>
            <w:noWrap w:val="0"/>
            <w:tcMar>
              <w:top w:w="0" w:type="dxa"/>
              <w:left w:w="0" w:type="dxa"/>
              <w:bottom w:w="0" w:type="dxa"/>
              <w:right w:w="0" w:type="dxa"/>
            </w:tcMar>
            <w:vAlign w:val="center"/>
          </w:tcPr>
          <w:p w14:paraId="1638B46C">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p>
        </w:tc>
        <w:tc>
          <w:tcPr>
            <w:tcW w:w="561" w:type="pct"/>
            <w:noWrap w:val="0"/>
            <w:tcMar>
              <w:top w:w="0" w:type="dxa"/>
              <w:left w:w="0" w:type="dxa"/>
              <w:bottom w:w="0" w:type="dxa"/>
              <w:right w:w="0" w:type="dxa"/>
            </w:tcMar>
            <w:vAlign w:val="center"/>
          </w:tcPr>
          <w:p w14:paraId="3C62EAC4">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造成多于3人少于5人死亡，或者多于10人少于20人重伤，或者多于1000万元少于2000万元直接经济损失；或造成重要的检验批达不到设计要求</w:t>
            </w:r>
          </w:p>
        </w:tc>
        <w:tc>
          <w:tcPr>
            <w:tcW w:w="873" w:type="pct"/>
            <w:noWrap w:val="0"/>
            <w:tcMar>
              <w:top w:w="0" w:type="dxa"/>
              <w:left w:w="0" w:type="dxa"/>
              <w:bottom w:w="0" w:type="dxa"/>
              <w:right w:w="0" w:type="dxa"/>
            </w:tcMar>
            <w:vAlign w:val="center"/>
          </w:tcPr>
          <w:p w14:paraId="5D08257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处工程合同价款4%的罚款；责令停业整顿60-90日；对单位直接负责的主管人员和其他直接责任人员处单位罚款数额10%的罚款</w:t>
            </w:r>
          </w:p>
        </w:tc>
        <w:tc>
          <w:tcPr>
            <w:tcW w:w="158" w:type="pct"/>
            <w:vMerge w:val="continue"/>
            <w:noWrap w:val="0"/>
            <w:tcMar>
              <w:top w:w="0" w:type="dxa"/>
              <w:left w:w="0" w:type="dxa"/>
              <w:bottom w:w="0" w:type="dxa"/>
              <w:right w:w="0" w:type="dxa"/>
            </w:tcMar>
            <w:vAlign w:val="center"/>
          </w:tcPr>
          <w:p w14:paraId="2F80844C">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6F558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414" w:hRule="atLeast"/>
          <w:jc w:val="center"/>
        </w:trPr>
        <w:tc>
          <w:tcPr>
            <w:tcW w:w="156" w:type="pct"/>
            <w:vMerge w:val="continue"/>
            <w:noWrap w:val="0"/>
            <w:tcMar>
              <w:top w:w="0" w:type="dxa"/>
              <w:left w:w="0" w:type="dxa"/>
              <w:bottom w:w="0" w:type="dxa"/>
              <w:right w:w="0" w:type="dxa"/>
            </w:tcMar>
            <w:vAlign w:val="center"/>
          </w:tcPr>
          <w:p w14:paraId="7C710148">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1FD12CA4">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44335A1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634F173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vMerge w:val="continue"/>
            <w:noWrap w:val="0"/>
            <w:tcMar>
              <w:top w:w="0" w:type="dxa"/>
              <w:left w:w="0" w:type="dxa"/>
              <w:bottom w:w="0" w:type="dxa"/>
              <w:right w:w="0" w:type="dxa"/>
            </w:tcMar>
            <w:vAlign w:val="center"/>
          </w:tcPr>
          <w:p w14:paraId="2AA6C73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p>
        </w:tc>
        <w:tc>
          <w:tcPr>
            <w:tcW w:w="561" w:type="pct"/>
            <w:noWrap w:val="0"/>
            <w:tcMar>
              <w:top w:w="0" w:type="dxa"/>
              <w:left w:w="0" w:type="dxa"/>
              <w:bottom w:w="0" w:type="dxa"/>
              <w:right w:w="0" w:type="dxa"/>
            </w:tcMar>
            <w:vAlign w:val="center"/>
          </w:tcPr>
          <w:p w14:paraId="47EF1C0E">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造成多于5人少于7人死亡，或者多于20人少于30人重伤，或者多于2000万元少于3000万元直接经济损失；或造成重要的分项工程质量不符合要求</w:t>
            </w:r>
          </w:p>
        </w:tc>
        <w:tc>
          <w:tcPr>
            <w:tcW w:w="873" w:type="pct"/>
            <w:noWrap w:val="0"/>
            <w:tcMar>
              <w:top w:w="0" w:type="dxa"/>
              <w:left w:w="0" w:type="dxa"/>
              <w:bottom w:w="0" w:type="dxa"/>
              <w:right w:w="0" w:type="dxa"/>
            </w:tcMar>
            <w:vAlign w:val="center"/>
          </w:tcPr>
          <w:p w14:paraId="1C1223A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处工程合同价款4%的罚款；责令停业整顿90-120日；对单位直接负责的主管人员和其他直接责任人员处单位罚款数额10%的罚款</w:t>
            </w:r>
          </w:p>
        </w:tc>
        <w:tc>
          <w:tcPr>
            <w:tcW w:w="158" w:type="pct"/>
            <w:vMerge w:val="continue"/>
            <w:noWrap w:val="0"/>
            <w:tcMar>
              <w:top w:w="0" w:type="dxa"/>
              <w:left w:w="0" w:type="dxa"/>
              <w:bottom w:w="0" w:type="dxa"/>
              <w:right w:w="0" w:type="dxa"/>
            </w:tcMar>
            <w:vAlign w:val="center"/>
          </w:tcPr>
          <w:p w14:paraId="70100A3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4683BB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040" w:hRule="atLeast"/>
          <w:jc w:val="center"/>
        </w:trPr>
        <w:tc>
          <w:tcPr>
            <w:tcW w:w="156" w:type="pct"/>
            <w:vMerge w:val="continue"/>
            <w:noWrap w:val="0"/>
            <w:tcMar>
              <w:top w:w="0" w:type="dxa"/>
              <w:left w:w="0" w:type="dxa"/>
              <w:bottom w:w="0" w:type="dxa"/>
              <w:right w:w="0" w:type="dxa"/>
            </w:tcMar>
            <w:vAlign w:val="center"/>
          </w:tcPr>
          <w:p w14:paraId="71B61848">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19999C6A">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741334E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2E9CEA5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vMerge w:val="continue"/>
            <w:noWrap w:val="0"/>
            <w:tcMar>
              <w:top w:w="0" w:type="dxa"/>
              <w:left w:w="0" w:type="dxa"/>
              <w:bottom w:w="0" w:type="dxa"/>
              <w:right w:w="0" w:type="dxa"/>
            </w:tcMar>
            <w:vAlign w:val="center"/>
          </w:tcPr>
          <w:p w14:paraId="63A72060">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p>
        </w:tc>
        <w:tc>
          <w:tcPr>
            <w:tcW w:w="561" w:type="pct"/>
            <w:noWrap w:val="0"/>
            <w:tcMar>
              <w:top w:w="0" w:type="dxa"/>
              <w:left w:w="0" w:type="dxa"/>
              <w:bottom w:w="0" w:type="dxa"/>
              <w:right w:w="0" w:type="dxa"/>
            </w:tcMar>
            <w:vAlign w:val="center"/>
          </w:tcPr>
          <w:p w14:paraId="2912FD49">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造成多于7人少于10人死亡，或者多于30人少于50人重伤，或者多于3000万元少于5000万元直接经济损失；或造成重要分部工程质量不符合要求，经返修或加固处理才能满足安全使用要求</w:t>
            </w:r>
          </w:p>
        </w:tc>
        <w:tc>
          <w:tcPr>
            <w:tcW w:w="873" w:type="pct"/>
            <w:noWrap w:val="0"/>
            <w:tcMar>
              <w:top w:w="0" w:type="dxa"/>
              <w:left w:w="0" w:type="dxa"/>
              <w:bottom w:w="0" w:type="dxa"/>
              <w:right w:w="0" w:type="dxa"/>
            </w:tcMar>
            <w:vAlign w:val="center"/>
          </w:tcPr>
          <w:p w14:paraId="30238B3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处工程合同价款4%的罚款；责停业整顿120-180日；对单位直接负责的主管人员和其他直接责任人员处单位罚款数额10%的罚款</w:t>
            </w:r>
          </w:p>
        </w:tc>
        <w:tc>
          <w:tcPr>
            <w:tcW w:w="158" w:type="pct"/>
            <w:vMerge w:val="continue"/>
            <w:noWrap w:val="0"/>
            <w:tcMar>
              <w:top w:w="0" w:type="dxa"/>
              <w:left w:w="0" w:type="dxa"/>
              <w:bottom w:w="0" w:type="dxa"/>
              <w:right w:w="0" w:type="dxa"/>
            </w:tcMar>
            <w:vAlign w:val="center"/>
          </w:tcPr>
          <w:p w14:paraId="46452A5C">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4F0FC5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4D2FDEA8">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34D797EC">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6F95298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036968C4">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vMerge w:val="restart"/>
            <w:noWrap w:val="0"/>
            <w:tcMar>
              <w:top w:w="0" w:type="dxa"/>
              <w:left w:w="0" w:type="dxa"/>
              <w:bottom w:w="0" w:type="dxa"/>
              <w:right w:w="0" w:type="dxa"/>
            </w:tcMar>
            <w:vAlign w:val="center"/>
          </w:tcPr>
          <w:p w14:paraId="23A58C1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严重</w:t>
            </w:r>
          </w:p>
        </w:tc>
        <w:tc>
          <w:tcPr>
            <w:tcW w:w="561" w:type="pct"/>
            <w:noWrap w:val="0"/>
            <w:tcMar>
              <w:top w:w="0" w:type="dxa"/>
              <w:left w:w="0" w:type="dxa"/>
              <w:bottom w:w="0" w:type="dxa"/>
              <w:right w:w="0" w:type="dxa"/>
            </w:tcMar>
            <w:vAlign w:val="center"/>
          </w:tcPr>
          <w:p w14:paraId="4DCC5A3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造成重大质量事故；或造成分部工程存在严重缺陷，经返修和加固处理仍不能满足安全使用要求</w:t>
            </w:r>
          </w:p>
        </w:tc>
        <w:tc>
          <w:tcPr>
            <w:tcW w:w="873" w:type="pct"/>
            <w:noWrap w:val="0"/>
            <w:tcMar>
              <w:top w:w="0" w:type="dxa"/>
              <w:left w:w="0" w:type="dxa"/>
              <w:bottom w:w="0" w:type="dxa"/>
              <w:right w:w="0" w:type="dxa"/>
            </w:tcMar>
            <w:vAlign w:val="center"/>
          </w:tcPr>
          <w:p w14:paraId="589EB1D7">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处工程合同价款4%的罚款；降低资质等级；对单位直接负责的主管人员和其他直接责任人员处单位罚款数额10%的罚款</w:t>
            </w:r>
          </w:p>
        </w:tc>
        <w:tc>
          <w:tcPr>
            <w:tcW w:w="158" w:type="pct"/>
            <w:vMerge w:val="continue"/>
            <w:noWrap w:val="0"/>
            <w:tcMar>
              <w:top w:w="0" w:type="dxa"/>
              <w:left w:w="0" w:type="dxa"/>
              <w:bottom w:w="0" w:type="dxa"/>
              <w:right w:w="0" w:type="dxa"/>
            </w:tcMar>
            <w:vAlign w:val="center"/>
          </w:tcPr>
          <w:p w14:paraId="66C8617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3DC2BA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57DAFBF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32BF38E2">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1A557634">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3A03DF0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vMerge w:val="continue"/>
            <w:noWrap w:val="0"/>
            <w:tcMar>
              <w:top w:w="0" w:type="dxa"/>
              <w:left w:w="0" w:type="dxa"/>
              <w:bottom w:w="0" w:type="dxa"/>
              <w:right w:w="0" w:type="dxa"/>
            </w:tcMar>
            <w:vAlign w:val="center"/>
          </w:tcPr>
          <w:p w14:paraId="42E5062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p>
        </w:tc>
        <w:tc>
          <w:tcPr>
            <w:tcW w:w="561" w:type="pct"/>
            <w:noWrap w:val="0"/>
            <w:tcMar>
              <w:top w:w="0" w:type="dxa"/>
              <w:left w:w="0" w:type="dxa"/>
              <w:bottom w:w="0" w:type="dxa"/>
              <w:right w:w="0" w:type="dxa"/>
            </w:tcMar>
            <w:vAlign w:val="center"/>
          </w:tcPr>
          <w:p w14:paraId="50FD4E2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造成特别重大质量事故；或造成单位（子单位）工程存在严重缺陷，经返修和加固处理仍不能满足安全使用要求</w:t>
            </w:r>
          </w:p>
        </w:tc>
        <w:tc>
          <w:tcPr>
            <w:tcW w:w="873" w:type="pct"/>
            <w:noWrap w:val="0"/>
            <w:tcMar>
              <w:top w:w="0" w:type="dxa"/>
              <w:left w:w="0" w:type="dxa"/>
              <w:bottom w:w="0" w:type="dxa"/>
              <w:right w:w="0" w:type="dxa"/>
            </w:tcMar>
            <w:vAlign w:val="center"/>
          </w:tcPr>
          <w:p w14:paraId="314F124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处工程合同价款4%的罚款；吊销资质证书；对单位直接负责的主管人员和其他直接责任人员处单位罚款数额10%的罚款</w:t>
            </w:r>
          </w:p>
        </w:tc>
        <w:tc>
          <w:tcPr>
            <w:tcW w:w="158" w:type="pct"/>
            <w:vMerge w:val="continue"/>
            <w:noWrap w:val="0"/>
            <w:tcMar>
              <w:top w:w="0" w:type="dxa"/>
              <w:left w:w="0" w:type="dxa"/>
              <w:bottom w:w="0" w:type="dxa"/>
              <w:right w:w="0" w:type="dxa"/>
            </w:tcMar>
            <w:vAlign w:val="center"/>
          </w:tcPr>
          <w:p w14:paraId="16E06C7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34DC10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restart"/>
            <w:noWrap w:val="0"/>
            <w:tcMar>
              <w:top w:w="0" w:type="dxa"/>
              <w:left w:w="0" w:type="dxa"/>
              <w:bottom w:w="0" w:type="dxa"/>
              <w:right w:w="0" w:type="dxa"/>
            </w:tcMar>
            <w:vAlign w:val="center"/>
          </w:tcPr>
          <w:p w14:paraId="7A7CB625">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r>
              <w:rPr>
                <w:rFonts w:hint="eastAsia" w:ascii="宋体" w:hAnsi="宋体" w:eastAsia="宋体" w:cs="宋体"/>
                <w:color w:val="000000"/>
                <w:sz w:val="18"/>
                <w:szCs w:val="18"/>
                <w:shd w:val="clear" w:color="auto" w:fill="auto"/>
                <w:vertAlign w:val="baseline"/>
                <w:lang w:val="en-US" w:eastAsia="zh-CN"/>
              </w:rPr>
              <w:t>84</w:t>
            </w:r>
          </w:p>
        </w:tc>
        <w:tc>
          <w:tcPr>
            <w:tcW w:w="415" w:type="pct"/>
            <w:vMerge w:val="restart"/>
            <w:noWrap w:val="0"/>
            <w:tcMar>
              <w:top w:w="0" w:type="dxa"/>
              <w:left w:w="0" w:type="dxa"/>
              <w:bottom w:w="0" w:type="dxa"/>
              <w:right w:w="0" w:type="dxa"/>
            </w:tcMar>
            <w:vAlign w:val="center"/>
          </w:tcPr>
          <w:p w14:paraId="026EB13C">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对水利工程建设监理单位与项目法人或者被监理单位串通，弄虚作假、降低工程质量，将不合格的建设工程、建筑材料、建筑构配件和设备按照合格签字行为的行政处罚</w:t>
            </w:r>
          </w:p>
        </w:tc>
        <w:tc>
          <w:tcPr>
            <w:tcW w:w="2168" w:type="pct"/>
            <w:vMerge w:val="restart"/>
            <w:noWrap w:val="0"/>
            <w:tcMar>
              <w:top w:w="0" w:type="dxa"/>
              <w:left w:w="0" w:type="dxa"/>
              <w:bottom w:w="0" w:type="dxa"/>
              <w:right w:w="0" w:type="dxa"/>
            </w:tcMar>
            <w:vAlign w:val="center"/>
          </w:tcPr>
          <w:p w14:paraId="50DA958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《建设工程质量管理条例》第六十七条 工程监理单位有下列行为之一的，责令改正，处50万元以上100万元以下的罚款，降低资质等级或者吊销资质证书；有违法所得的，予以没收；造成损失的，承担连带赔偿责任：</w:t>
            </w:r>
          </w:p>
          <w:p w14:paraId="5760EFD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（一）与建设单位或者施工单位串通，弄虚作假、降低工程质量的；</w:t>
            </w:r>
          </w:p>
          <w:p w14:paraId="7CD8076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（二）将不合格的建设工程、建筑材料、建筑构配件和设备按照合格签字的。</w:t>
            </w:r>
          </w:p>
          <w:p w14:paraId="072AA13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第七十三条 依照本条例规定，给予单位罚款处罚的，对单位直接负责的主管人员和其他直接责任人员处单位罚款数额百分之五以上百分之十以下的罚款。</w:t>
            </w:r>
          </w:p>
          <w:p w14:paraId="7A1EFAC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第七十五条第一款 本条例规定的责令停业整顿，降低资质等级和吊销资质证书的行政处罚，由颁发资质证书的机关决定；其他行政处罚，由建设行政主管部门或者其他有关部门依照法定职权决定。</w:t>
            </w:r>
          </w:p>
          <w:p w14:paraId="4A883B57">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《水利工程质量管理规定》第七十条 违反本规定，监理单位有下列行为之一的，依照《建设工程质量管理条例》第六十七条规定，由水行政主管部门或者流域管理机构依据职权责令改正，处50万元以上100万元以下的罚款；有违法所得的，予以没收；造成损失的，承担连带赔偿责任：</w:t>
            </w:r>
          </w:p>
          <w:p w14:paraId="7B6EB81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（一）与项目法人或者施工单位串通，弄虚作假、降低工程质量的；</w:t>
            </w:r>
          </w:p>
          <w:p w14:paraId="3BB29A4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（二）将不合格的水利工程、原材料、中间产品和设备按照合格签字的。</w:t>
            </w:r>
          </w:p>
          <w:p w14:paraId="55FF6F6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第七十三条第二款 依照《建设工程质量管理条例》给予单位罚款处罚的，对单位直接负责的主管人员和其他直接责任人员处单位罚款数额5%以上10%以下的罚款。</w:t>
            </w:r>
          </w:p>
          <w:p w14:paraId="4965B28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《水利工程建设监理规定》第二十七条 监理单位有下列行为之一的，依照《建设工程质量管理条例》第六十条、第六十一条、第六十二条、第六十七条、第六十八条处罚：</w:t>
            </w:r>
          </w:p>
          <w:p w14:paraId="7548068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（六）与项目法人或者被监理单位串通，弄虚作假、降低工程质量的；</w:t>
            </w:r>
          </w:p>
          <w:p w14:paraId="3FD71AB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（七）将不合格的建设工程、建筑材料、建筑构配件和设备按照合格签字的。</w:t>
            </w:r>
          </w:p>
          <w:p w14:paraId="6061F83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《实施工程建设强制性标准监督规定》第十九条 工程监理单位违反强制性标准规定，将不合格的建设工程以及建筑材料、建筑构配件和设备按照合格签字的，责令改正，处50万元以上100万元以下的罚款，降低资质等级或者吊销资质证书；有违法所得的，予以没收；造成损失的，承担连带赔偿责任。</w:t>
            </w:r>
          </w:p>
        </w:tc>
        <w:tc>
          <w:tcPr>
            <w:tcW w:w="491" w:type="pct"/>
            <w:vMerge w:val="restart"/>
            <w:noWrap w:val="0"/>
            <w:tcMar>
              <w:top w:w="0" w:type="dxa"/>
              <w:left w:w="0" w:type="dxa"/>
              <w:bottom w:w="0" w:type="dxa"/>
              <w:right w:w="0" w:type="dxa"/>
            </w:tcMar>
            <w:vAlign w:val="center"/>
          </w:tcPr>
          <w:p w14:paraId="28664E97">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水利工程建设监理单位与项目法人或者被监理单位串通，弄虚作假、降低工程质量的</w:t>
            </w:r>
          </w:p>
        </w:tc>
        <w:tc>
          <w:tcPr>
            <w:tcW w:w="174" w:type="pct"/>
            <w:noWrap w:val="0"/>
            <w:tcMar>
              <w:top w:w="0" w:type="dxa"/>
              <w:left w:w="0" w:type="dxa"/>
              <w:bottom w:w="0" w:type="dxa"/>
              <w:right w:w="0" w:type="dxa"/>
            </w:tcMar>
            <w:vAlign w:val="center"/>
          </w:tcPr>
          <w:p w14:paraId="22C76A1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轻微</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176D66EC">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3042D2B9">
            <w:pPr>
              <w:spacing w:line="260" w:lineRule="exact"/>
              <w:rPr>
                <w:rFonts w:hint="eastAsia" w:ascii="宋体" w:hAnsi="宋体" w:eastAsia="宋体" w:cs="宋体"/>
                <w:color w:val="000000"/>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742F1C8D">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3E681933">
            <w:pPr>
              <w:spacing w:line="260" w:lineRule="exact"/>
              <w:rPr>
                <w:rFonts w:hint="eastAsia" w:ascii="宋体" w:hAnsi="宋体" w:eastAsia="宋体" w:cs="宋体"/>
                <w:color w:val="000000"/>
                <w:kern w:val="2"/>
                <w:sz w:val="18"/>
                <w:szCs w:val="18"/>
                <w:vertAlign w:val="baseline"/>
                <w:lang w:val="en-US" w:eastAsia="zh-CN" w:bidi="ar-SA"/>
              </w:rPr>
            </w:pPr>
          </w:p>
        </w:tc>
        <w:tc>
          <w:tcPr>
            <w:tcW w:w="158" w:type="pct"/>
            <w:vMerge w:val="restart"/>
            <w:noWrap w:val="0"/>
            <w:tcMar>
              <w:top w:w="0" w:type="dxa"/>
              <w:left w:w="0" w:type="dxa"/>
              <w:bottom w:w="0" w:type="dxa"/>
              <w:right w:w="0" w:type="dxa"/>
            </w:tcMar>
            <w:vAlign w:val="center"/>
          </w:tcPr>
          <w:p w14:paraId="6C79819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2B14C4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7D42426C">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49D79357">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12B7AA8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0626D93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2AE2C969">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较轻</w:t>
            </w:r>
          </w:p>
        </w:tc>
        <w:tc>
          <w:tcPr>
            <w:tcW w:w="561" w:type="pct"/>
            <w:noWrap w:val="0"/>
            <w:tcMar>
              <w:top w:w="0" w:type="dxa"/>
              <w:left w:w="0" w:type="dxa"/>
              <w:bottom w:w="0" w:type="dxa"/>
              <w:right w:w="0" w:type="dxa"/>
            </w:tcMar>
            <w:vAlign w:val="center"/>
          </w:tcPr>
          <w:p w14:paraId="3DFC0E3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未造成质量缺陷的；未影响结构安全及重要使用功能的</w:t>
            </w:r>
          </w:p>
        </w:tc>
        <w:tc>
          <w:tcPr>
            <w:tcW w:w="873" w:type="pct"/>
            <w:noWrap w:val="0"/>
            <w:tcMar>
              <w:top w:w="0" w:type="dxa"/>
              <w:left w:w="0" w:type="dxa"/>
              <w:bottom w:w="0" w:type="dxa"/>
              <w:right w:w="0" w:type="dxa"/>
            </w:tcMar>
            <w:vAlign w:val="center"/>
          </w:tcPr>
          <w:p w14:paraId="3270D59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处50万元以上65万元以下的罚款；有违法所得的，予以没收；对单位直接负责的主管人员和其他直接责任人员处单位罚款数额5%以上6.5%以下的罚款</w:t>
            </w:r>
          </w:p>
        </w:tc>
        <w:tc>
          <w:tcPr>
            <w:tcW w:w="158" w:type="pct"/>
            <w:vMerge w:val="continue"/>
            <w:noWrap w:val="0"/>
            <w:tcMar>
              <w:top w:w="0" w:type="dxa"/>
              <w:left w:w="0" w:type="dxa"/>
              <w:bottom w:w="0" w:type="dxa"/>
              <w:right w:w="0" w:type="dxa"/>
            </w:tcMar>
            <w:vAlign w:val="center"/>
          </w:tcPr>
          <w:p w14:paraId="6971849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3A17E0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1ADA469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7F49676D">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3FF731C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3F9BED5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4627759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一般</w:t>
            </w:r>
          </w:p>
        </w:tc>
        <w:tc>
          <w:tcPr>
            <w:tcW w:w="561" w:type="pct"/>
            <w:noWrap w:val="0"/>
            <w:tcMar>
              <w:top w:w="0" w:type="dxa"/>
              <w:left w:w="0" w:type="dxa"/>
              <w:bottom w:w="0" w:type="dxa"/>
              <w:right w:w="0" w:type="dxa"/>
            </w:tcMar>
            <w:vAlign w:val="center"/>
          </w:tcPr>
          <w:p w14:paraId="316751B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造成质量缺陷的；影响结构安全及重要使用功能，经返修和加固处理能满足安全使用要求的</w:t>
            </w:r>
          </w:p>
        </w:tc>
        <w:tc>
          <w:tcPr>
            <w:tcW w:w="873" w:type="pct"/>
            <w:noWrap w:val="0"/>
            <w:tcMar>
              <w:top w:w="0" w:type="dxa"/>
              <w:left w:w="0" w:type="dxa"/>
              <w:bottom w:w="0" w:type="dxa"/>
              <w:right w:w="0" w:type="dxa"/>
            </w:tcMar>
            <w:vAlign w:val="center"/>
          </w:tcPr>
          <w:p w14:paraId="518FC03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处65万元以上85万元以下的罚款；有违法所得的，予以没收；对单位直接负责的主管人员和其他直接责任人员处单位罚款数额6.5%以上8.5%以下的罚款</w:t>
            </w:r>
          </w:p>
        </w:tc>
        <w:tc>
          <w:tcPr>
            <w:tcW w:w="158" w:type="pct"/>
            <w:vMerge w:val="continue"/>
            <w:noWrap w:val="0"/>
            <w:tcMar>
              <w:top w:w="0" w:type="dxa"/>
              <w:left w:w="0" w:type="dxa"/>
              <w:bottom w:w="0" w:type="dxa"/>
              <w:right w:w="0" w:type="dxa"/>
            </w:tcMar>
            <w:vAlign w:val="center"/>
          </w:tcPr>
          <w:p w14:paraId="036493E5">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26D395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579A17A5">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46E29DBB">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01A1048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194D5EC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vMerge w:val="restart"/>
            <w:noWrap w:val="0"/>
            <w:tcMar>
              <w:top w:w="0" w:type="dxa"/>
              <w:left w:w="0" w:type="dxa"/>
              <w:bottom w:w="0" w:type="dxa"/>
              <w:right w:w="0" w:type="dxa"/>
            </w:tcMar>
            <w:vAlign w:val="center"/>
          </w:tcPr>
          <w:p w14:paraId="291B7FB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较重</w:t>
            </w:r>
          </w:p>
        </w:tc>
        <w:tc>
          <w:tcPr>
            <w:tcW w:w="561" w:type="pct"/>
            <w:noWrap w:val="0"/>
            <w:tcMar>
              <w:top w:w="0" w:type="dxa"/>
              <w:left w:w="0" w:type="dxa"/>
              <w:bottom w:w="0" w:type="dxa"/>
              <w:right w:w="0" w:type="dxa"/>
            </w:tcMar>
            <w:vAlign w:val="center"/>
          </w:tcPr>
          <w:p w14:paraId="117DA0D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造成一般或较大质量事故的；造成严重社会影响的</w:t>
            </w:r>
          </w:p>
        </w:tc>
        <w:tc>
          <w:tcPr>
            <w:tcW w:w="873" w:type="pct"/>
            <w:noWrap w:val="0"/>
            <w:tcMar>
              <w:top w:w="0" w:type="dxa"/>
              <w:left w:w="0" w:type="dxa"/>
              <w:bottom w:w="0" w:type="dxa"/>
              <w:right w:w="0" w:type="dxa"/>
            </w:tcMar>
            <w:vAlign w:val="center"/>
          </w:tcPr>
          <w:p w14:paraId="3030E84C">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处85万元以上100万元以下的罚款；有违法所得的，予以没收；对单位直接负责的主管人员和其他直接责任人员处单位罚款数额8.5%以上10%以下的罚款</w:t>
            </w:r>
          </w:p>
        </w:tc>
        <w:tc>
          <w:tcPr>
            <w:tcW w:w="158" w:type="pct"/>
            <w:vMerge w:val="continue"/>
            <w:noWrap w:val="0"/>
            <w:tcMar>
              <w:top w:w="0" w:type="dxa"/>
              <w:left w:w="0" w:type="dxa"/>
              <w:bottom w:w="0" w:type="dxa"/>
              <w:right w:w="0" w:type="dxa"/>
            </w:tcMar>
            <w:vAlign w:val="center"/>
          </w:tcPr>
          <w:p w14:paraId="25DFF02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241E94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6B062AB8">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716212A4">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68E96A87">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37D80A7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vMerge w:val="continue"/>
            <w:noWrap w:val="0"/>
            <w:tcMar>
              <w:top w:w="0" w:type="dxa"/>
              <w:left w:w="0" w:type="dxa"/>
              <w:bottom w:w="0" w:type="dxa"/>
              <w:right w:w="0" w:type="dxa"/>
            </w:tcMar>
            <w:vAlign w:val="center"/>
          </w:tcPr>
          <w:p w14:paraId="7DE83F9D">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p>
        </w:tc>
        <w:tc>
          <w:tcPr>
            <w:tcW w:w="561" w:type="pct"/>
            <w:noWrap w:val="0"/>
            <w:tcMar>
              <w:top w:w="0" w:type="dxa"/>
              <w:left w:w="0" w:type="dxa"/>
              <w:bottom w:w="0" w:type="dxa"/>
              <w:right w:w="0" w:type="dxa"/>
            </w:tcMar>
            <w:vAlign w:val="center"/>
          </w:tcPr>
          <w:p w14:paraId="0CFC6E0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造成重大质量事故；或造成分部工程存在严重缺陷，经返修和加固处理仍不能满足安全使用要求</w:t>
            </w:r>
          </w:p>
        </w:tc>
        <w:tc>
          <w:tcPr>
            <w:tcW w:w="873" w:type="pct"/>
            <w:noWrap w:val="0"/>
            <w:tcMar>
              <w:top w:w="0" w:type="dxa"/>
              <w:left w:w="0" w:type="dxa"/>
              <w:bottom w:w="0" w:type="dxa"/>
              <w:right w:w="0" w:type="dxa"/>
            </w:tcMar>
            <w:vAlign w:val="center"/>
          </w:tcPr>
          <w:p w14:paraId="76C5749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处100万元的罚款；降低资质等级；有违法所得的，予以没收；对单位直接负责的主管人员和其他直接责任人员处单位罚款数额10%的罚款</w:t>
            </w:r>
          </w:p>
        </w:tc>
        <w:tc>
          <w:tcPr>
            <w:tcW w:w="158" w:type="pct"/>
            <w:vMerge w:val="continue"/>
            <w:noWrap w:val="0"/>
            <w:tcMar>
              <w:top w:w="0" w:type="dxa"/>
              <w:left w:w="0" w:type="dxa"/>
              <w:bottom w:w="0" w:type="dxa"/>
              <w:right w:w="0" w:type="dxa"/>
            </w:tcMar>
            <w:vAlign w:val="center"/>
          </w:tcPr>
          <w:p w14:paraId="06D4AC1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069330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3EE8A41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7AD8721C">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23E8D47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7D32B72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6272CF8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严重</w:t>
            </w:r>
          </w:p>
        </w:tc>
        <w:tc>
          <w:tcPr>
            <w:tcW w:w="561" w:type="pct"/>
            <w:noWrap w:val="0"/>
            <w:tcMar>
              <w:top w:w="0" w:type="dxa"/>
              <w:left w:w="0" w:type="dxa"/>
              <w:bottom w:w="0" w:type="dxa"/>
              <w:right w:w="0" w:type="dxa"/>
            </w:tcMar>
            <w:vAlign w:val="center"/>
          </w:tcPr>
          <w:p w14:paraId="268E166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造成特别重大质量事故；或造成单位（子单位）工程存在严重缺陷，经返修和加固处理仍不能满足安全使用要求</w:t>
            </w:r>
          </w:p>
        </w:tc>
        <w:tc>
          <w:tcPr>
            <w:tcW w:w="873" w:type="pct"/>
            <w:noWrap w:val="0"/>
            <w:tcMar>
              <w:top w:w="0" w:type="dxa"/>
              <w:left w:w="0" w:type="dxa"/>
              <w:bottom w:w="0" w:type="dxa"/>
              <w:right w:w="0" w:type="dxa"/>
            </w:tcMar>
            <w:vAlign w:val="center"/>
          </w:tcPr>
          <w:p w14:paraId="1653FF3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处100万元的罚款；吊销资质证书；有违法所得的，予以没收；对单位直接负责的主管人员和其他直接责任人员处单位罚款数额10%的罚款</w:t>
            </w:r>
          </w:p>
        </w:tc>
        <w:tc>
          <w:tcPr>
            <w:tcW w:w="158" w:type="pct"/>
            <w:vMerge w:val="continue"/>
            <w:noWrap w:val="0"/>
            <w:tcMar>
              <w:top w:w="0" w:type="dxa"/>
              <w:left w:w="0" w:type="dxa"/>
              <w:bottom w:w="0" w:type="dxa"/>
              <w:right w:w="0" w:type="dxa"/>
            </w:tcMar>
            <w:vAlign w:val="center"/>
          </w:tcPr>
          <w:p w14:paraId="2783BB7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586A09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156" w:type="pct"/>
            <w:vMerge w:val="continue"/>
            <w:noWrap w:val="0"/>
            <w:tcMar>
              <w:top w:w="0" w:type="dxa"/>
              <w:left w:w="0" w:type="dxa"/>
              <w:bottom w:w="0" w:type="dxa"/>
              <w:right w:w="0" w:type="dxa"/>
            </w:tcMar>
            <w:vAlign w:val="center"/>
          </w:tcPr>
          <w:p w14:paraId="4F2B8B65">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5F650551">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101DAD6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restart"/>
            <w:noWrap w:val="0"/>
            <w:tcMar>
              <w:top w:w="0" w:type="dxa"/>
              <w:left w:w="0" w:type="dxa"/>
              <w:bottom w:w="0" w:type="dxa"/>
              <w:right w:w="0" w:type="dxa"/>
            </w:tcMar>
            <w:vAlign w:val="center"/>
          </w:tcPr>
          <w:p w14:paraId="437B254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监理单位将不合格的建设工程、建筑材料、建筑构配件和设备按照合格签字的</w:t>
            </w:r>
          </w:p>
        </w:tc>
        <w:tc>
          <w:tcPr>
            <w:tcW w:w="174" w:type="pct"/>
            <w:noWrap w:val="0"/>
            <w:tcMar>
              <w:top w:w="0" w:type="dxa"/>
              <w:left w:w="0" w:type="dxa"/>
              <w:bottom w:w="0" w:type="dxa"/>
              <w:right w:w="0" w:type="dxa"/>
            </w:tcMar>
            <w:vAlign w:val="center"/>
          </w:tcPr>
          <w:p w14:paraId="7292C13A">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轻微</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062341BD">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7C8DD8BB">
            <w:pPr>
              <w:spacing w:line="260" w:lineRule="exact"/>
              <w:rPr>
                <w:rFonts w:hint="eastAsia" w:ascii="宋体" w:hAnsi="宋体" w:eastAsia="宋体" w:cs="宋体"/>
                <w:color w:val="000000"/>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7F8AC3A8">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4D58F5AF">
            <w:pPr>
              <w:spacing w:line="260" w:lineRule="exact"/>
              <w:rPr>
                <w:rFonts w:hint="eastAsia" w:ascii="宋体" w:hAnsi="宋体" w:eastAsia="宋体" w:cs="宋体"/>
                <w:color w:val="000000"/>
                <w:kern w:val="2"/>
                <w:sz w:val="18"/>
                <w:szCs w:val="18"/>
                <w:vertAlign w:val="baseline"/>
                <w:lang w:val="en-US" w:eastAsia="zh-CN" w:bidi="ar-SA"/>
              </w:rPr>
            </w:pPr>
          </w:p>
        </w:tc>
        <w:tc>
          <w:tcPr>
            <w:tcW w:w="158" w:type="pct"/>
            <w:vMerge w:val="restart"/>
            <w:noWrap w:val="0"/>
            <w:tcMar>
              <w:top w:w="0" w:type="dxa"/>
              <w:left w:w="0" w:type="dxa"/>
              <w:bottom w:w="0" w:type="dxa"/>
              <w:right w:w="0" w:type="dxa"/>
            </w:tcMar>
            <w:vAlign w:val="center"/>
          </w:tcPr>
          <w:p w14:paraId="3CDE89C8">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4EF50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7AE7724D">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3013EEF2">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3DA33E7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0409BBD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05DFB93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较轻</w:t>
            </w:r>
          </w:p>
        </w:tc>
        <w:tc>
          <w:tcPr>
            <w:tcW w:w="561" w:type="pct"/>
            <w:noWrap w:val="0"/>
            <w:tcMar>
              <w:top w:w="0" w:type="dxa"/>
              <w:left w:w="0" w:type="dxa"/>
              <w:bottom w:w="0" w:type="dxa"/>
              <w:right w:w="0" w:type="dxa"/>
            </w:tcMar>
            <w:vAlign w:val="center"/>
          </w:tcPr>
          <w:p w14:paraId="282B71F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未造成质量缺陷的；未影响结构安全及重要使用功能的</w:t>
            </w:r>
          </w:p>
        </w:tc>
        <w:tc>
          <w:tcPr>
            <w:tcW w:w="873" w:type="pct"/>
            <w:noWrap w:val="0"/>
            <w:tcMar>
              <w:top w:w="0" w:type="dxa"/>
              <w:left w:w="0" w:type="dxa"/>
              <w:bottom w:w="0" w:type="dxa"/>
              <w:right w:w="0" w:type="dxa"/>
            </w:tcMar>
            <w:vAlign w:val="center"/>
          </w:tcPr>
          <w:p w14:paraId="3281E103">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处50万元以上65万元以下的罚款；有违法所得的，予以没收；对单位直接负责的主管人员和其他直接责任人员处单位罚款数额5%以上6.5%以下的罚款</w:t>
            </w:r>
          </w:p>
        </w:tc>
        <w:tc>
          <w:tcPr>
            <w:tcW w:w="158" w:type="pct"/>
            <w:vMerge w:val="continue"/>
            <w:noWrap w:val="0"/>
            <w:tcMar>
              <w:top w:w="0" w:type="dxa"/>
              <w:left w:w="0" w:type="dxa"/>
              <w:bottom w:w="0" w:type="dxa"/>
              <w:right w:w="0" w:type="dxa"/>
            </w:tcMar>
            <w:vAlign w:val="center"/>
          </w:tcPr>
          <w:p w14:paraId="1D154CF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0AB8A9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2F395255">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42708F1D">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11A0952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0D729C8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433AB6F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一般</w:t>
            </w:r>
          </w:p>
        </w:tc>
        <w:tc>
          <w:tcPr>
            <w:tcW w:w="561" w:type="pct"/>
            <w:noWrap w:val="0"/>
            <w:tcMar>
              <w:top w:w="0" w:type="dxa"/>
              <w:left w:w="0" w:type="dxa"/>
              <w:bottom w:w="0" w:type="dxa"/>
              <w:right w:w="0" w:type="dxa"/>
            </w:tcMar>
            <w:vAlign w:val="center"/>
          </w:tcPr>
          <w:p w14:paraId="3C3E8A2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造成质量缺陷的；影响结构安全及重要使用功能，经返修和加固处理能满足安全使用要求的</w:t>
            </w:r>
          </w:p>
        </w:tc>
        <w:tc>
          <w:tcPr>
            <w:tcW w:w="873" w:type="pct"/>
            <w:noWrap w:val="0"/>
            <w:tcMar>
              <w:top w:w="0" w:type="dxa"/>
              <w:left w:w="0" w:type="dxa"/>
              <w:bottom w:w="0" w:type="dxa"/>
              <w:right w:w="0" w:type="dxa"/>
            </w:tcMar>
            <w:vAlign w:val="center"/>
          </w:tcPr>
          <w:p w14:paraId="7CFC81DE">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处65万元以上85万元以下的罚款；有违法所得的，予以没收；对单位直接负责的主管人员和其他直接责任人员处单位罚款数额6.5%以上8.5%以下的罚款</w:t>
            </w:r>
          </w:p>
        </w:tc>
        <w:tc>
          <w:tcPr>
            <w:tcW w:w="158" w:type="pct"/>
            <w:vMerge w:val="continue"/>
            <w:noWrap w:val="0"/>
            <w:tcMar>
              <w:top w:w="0" w:type="dxa"/>
              <w:left w:w="0" w:type="dxa"/>
              <w:bottom w:w="0" w:type="dxa"/>
              <w:right w:w="0" w:type="dxa"/>
            </w:tcMar>
            <w:vAlign w:val="center"/>
          </w:tcPr>
          <w:p w14:paraId="72A9B94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0D1DA1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78E296F1">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021FF2A3">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3FEDB93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5A32B96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7007FD28">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较重</w:t>
            </w:r>
          </w:p>
        </w:tc>
        <w:tc>
          <w:tcPr>
            <w:tcW w:w="561" w:type="pct"/>
            <w:noWrap w:val="0"/>
            <w:tcMar>
              <w:top w:w="0" w:type="dxa"/>
              <w:left w:w="0" w:type="dxa"/>
              <w:bottom w:w="0" w:type="dxa"/>
              <w:right w:w="0" w:type="dxa"/>
            </w:tcMar>
            <w:vAlign w:val="center"/>
          </w:tcPr>
          <w:p w14:paraId="68B3311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造成一般或较大质量事故的</w:t>
            </w:r>
          </w:p>
        </w:tc>
        <w:tc>
          <w:tcPr>
            <w:tcW w:w="873" w:type="pct"/>
            <w:noWrap w:val="0"/>
            <w:tcMar>
              <w:top w:w="0" w:type="dxa"/>
              <w:left w:w="0" w:type="dxa"/>
              <w:bottom w:w="0" w:type="dxa"/>
              <w:right w:w="0" w:type="dxa"/>
            </w:tcMar>
            <w:vAlign w:val="center"/>
          </w:tcPr>
          <w:p w14:paraId="4B01D7E9">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处85万元以上100万元以下的罚款；有违法所得的，予以没收；对单位直接负责的主管人员和其他直接责任人员处单位罚款数额8.5%以上10%以下的罚款</w:t>
            </w:r>
          </w:p>
        </w:tc>
        <w:tc>
          <w:tcPr>
            <w:tcW w:w="158" w:type="pct"/>
            <w:vMerge w:val="continue"/>
            <w:noWrap w:val="0"/>
            <w:tcMar>
              <w:top w:w="0" w:type="dxa"/>
              <w:left w:w="0" w:type="dxa"/>
              <w:bottom w:w="0" w:type="dxa"/>
              <w:right w:w="0" w:type="dxa"/>
            </w:tcMar>
            <w:vAlign w:val="center"/>
          </w:tcPr>
          <w:p w14:paraId="4874F0D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30356C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20FB4F0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1CFF7B9E">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6D0CC55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6C393F5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vMerge w:val="restart"/>
            <w:noWrap w:val="0"/>
            <w:tcMar>
              <w:top w:w="0" w:type="dxa"/>
              <w:left w:w="0" w:type="dxa"/>
              <w:bottom w:w="0" w:type="dxa"/>
              <w:right w:w="0" w:type="dxa"/>
            </w:tcMar>
            <w:vAlign w:val="center"/>
          </w:tcPr>
          <w:p w14:paraId="0A1DE6B9">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严重</w:t>
            </w:r>
          </w:p>
        </w:tc>
        <w:tc>
          <w:tcPr>
            <w:tcW w:w="561" w:type="pct"/>
            <w:noWrap w:val="0"/>
            <w:tcMar>
              <w:top w:w="0" w:type="dxa"/>
              <w:left w:w="0" w:type="dxa"/>
              <w:bottom w:w="0" w:type="dxa"/>
              <w:right w:w="0" w:type="dxa"/>
            </w:tcMar>
            <w:vAlign w:val="center"/>
          </w:tcPr>
          <w:p w14:paraId="4E7D6CC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造成重大质量事故；或造成分部工程存在严重缺陷，经返修和加固处理仍不能满足安全使用要求</w:t>
            </w:r>
          </w:p>
        </w:tc>
        <w:tc>
          <w:tcPr>
            <w:tcW w:w="873" w:type="pct"/>
            <w:noWrap w:val="0"/>
            <w:tcMar>
              <w:top w:w="0" w:type="dxa"/>
              <w:left w:w="0" w:type="dxa"/>
              <w:bottom w:w="0" w:type="dxa"/>
              <w:right w:w="0" w:type="dxa"/>
            </w:tcMar>
            <w:vAlign w:val="center"/>
          </w:tcPr>
          <w:p w14:paraId="26B1CC8D">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处100万元的罚款；降低资质等级；有违法所得的，予以没收；对单位直接负责的主管人员和其他直接责任人员处单位罚款数额10%的罚款</w:t>
            </w:r>
          </w:p>
        </w:tc>
        <w:tc>
          <w:tcPr>
            <w:tcW w:w="158" w:type="pct"/>
            <w:vMerge w:val="continue"/>
            <w:noWrap w:val="0"/>
            <w:tcMar>
              <w:top w:w="0" w:type="dxa"/>
              <w:left w:w="0" w:type="dxa"/>
              <w:bottom w:w="0" w:type="dxa"/>
              <w:right w:w="0" w:type="dxa"/>
            </w:tcMar>
            <w:vAlign w:val="center"/>
          </w:tcPr>
          <w:p w14:paraId="64A99D1C">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2BFA8A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102C251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2DAEE1C4">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0634F60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3C317B4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vMerge w:val="continue"/>
            <w:noWrap w:val="0"/>
            <w:tcMar>
              <w:top w:w="0" w:type="dxa"/>
              <w:left w:w="0" w:type="dxa"/>
              <w:bottom w:w="0" w:type="dxa"/>
              <w:right w:w="0" w:type="dxa"/>
            </w:tcMar>
            <w:vAlign w:val="center"/>
          </w:tcPr>
          <w:p w14:paraId="5798086D">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p>
        </w:tc>
        <w:tc>
          <w:tcPr>
            <w:tcW w:w="561" w:type="pct"/>
            <w:noWrap w:val="0"/>
            <w:tcMar>
              <w:top w:w="0" w:type="dxa"/>
              <w:left w:w="0" w:type="dxa"/>
              <w:bottom w:w="0" w:type="dxa"/>
              <w:right w:w="0" w:type="dxa"/>
            </w:tcMar>
            <w:vAlign w:val="center"/>
          </w:tcPr>
          <w:p w14:paraId="718BAC4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造成特别重大质量事故；或造成单位（子单位）工程存在严重缺陷，经返修和加固处理仍不能满足安全使用要求</w:t>
            </w:r>
          </w:p>
        </w:tc>
        <w:tc>
          <w:tcPr>
            <w:tcW w:w="873" w:type="pct"/>
            <w:noWrap w:val="0"/>
            <w:tcMar>
              <w:top w:w="0" w:type="dxa"/>
              <w:left w:w="0" w:type="dxa"/>
              <w:bottom w:w="0" w:type="dxa"/>
              <w:right w:w="0" w:type="dxa"/>
            </w:tcMar>
            <w:vAlign w:val="center"/>
          </w:tcPr>
          <w:p w14:paraId="4F31F9A4">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处100万元的罚款；吊销资质证书；有违法所得的，予以没收；对单位直接负责的主管人员和其他直接责任人员处单位罚款数额10%的罚款</w:t>
            </w:r>
          </w:p>
        </w:tc>
        <w:tc>
          <w:tcPr>
            <w:tcW w:w="158" w:type="pct"/>
            <w:vMerge w:val="continue"/>
            <w:noWrap w:val="0"/>
            <w:tcMar>
              <w:top w:w="0" w:type="dxa"/>
              <w:left w:w="0" w:type="dxa"/>
              <w:bottom w:w="0" w:type="dxa"/>
              <w:right w:w="0" w:type="dxa"/>
            </w:tcMar>
            <w:vAlign w:val="center"/>
          </w:tcPr>
          <w:p w14:paraId="3801A8D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164B43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restart"/>
            <w:noWrap w:val="0"/>
            <w:tcMar>
              <w:top w:w="0" w:type="dxa"/>
              <w:left w:w="0" w:type="dxa"/>
              <w:bottom w:w="0" w:type="dxa"/>
              <w:right w:w="0" w:type="dxa"/>
            </w:tcMar>
            <w:vAlign w:val="center"/>
          </w:tcPr>
          <w:p w14:paraId="2963151B">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default" w:ascii="宋体" w:hAnsi="宋体" w:eastAsia="宋体" w:cs="宋体"/>
                <w:color w:val="000000"/>
                <w:sz w:val="18"/>
                <w:szCs w:val="18"/>
                <w:shd w:val="clear" w:color="auto" w:fill="auto"/>
                <w:vertAlign w:val="baseline"/>
                <w:lang w:val="en-US" w:eastAsia="zh-CN"/>
              </w:rPr>
            </w:pPr>
            <w:r>
              <w:rPr>
                <w:rFonts w:hint="eastAsia" w:ascii="宋体" w:hAnsi="宋体" w:eastAsia="宋体" w:cs="宋体"/>
                <w:color w:val="000000"/>
                <w:sz w:val="18"/>
                <w:szCs w:val="18"/>
                <w:shd w:val="clear" w:color="auto" w:fill="auto"/>
                <w:vertAlign w:val="baseline"/>
                <w:lang w:val="en-US" w:eastAsia="zh-CN"/>
              </w:rPr>
              <w:t>85</w:t>
            </w:r>
          </w:p>
        </w:tc>
        <w:tc>
          <w:tcPr>
            <w:tcW w:w="415" w:type="pct"/>
            <w:vMerge w:val="restart"/>
            <w:noWrap w:val="0"/>
            <w:tcMar>
              <w:top w:w="0" w:type="dxa"/>
              <w:left w:w="0" w:type="dxa"/>
              <w:bottom w:w="0" w:type="dxa"/>
              <w:right w:w="0" w:type="dxa"/>
            </w:tcMar>
            <w:vAlign w:val="center"/>
          </w:tcPr>
          <w:p w14:paraId="7B009FBA">
            <w:pPr>
              <w:keepNext w:val="0"/>
              <w:keepLines w:val="0"/>
              <w:pageBreakBefore w:val="0"/>
              <w:widowControl w:val="0"/>
              <w:shd w:val="clear" w:color="auto" w:fill="auto"/>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对水利工程建设监理单位与建设单位或者建筑施工企业串通，弄虚作假、降低工程质量等行为的行政处罚</w:t>
            </w:r>
          </w:p>
        </w:tc>
        <w:tc>
          <w:tcPr>
            <w:tcW w:w="2168" w:type="pct"/>
            <w:vMerge w:val="restart"/>
            <w:noWrap w:val="0"/>
            <w:tcMar>
              <w:top w:w="0" w:type="dxa"/>
              <w:left w:w="0" w:type="dxa"/>
              <w:bottom w:w="0" w:type="dxa"/>
              <w:right w:w="0" w:type="dxa"/>
            </w:tcMar>
            <w:vAlign w:val="center"/>
          </w:tcPr>
          <w:p w14:paraId="1E5953F6">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《中华人民共和国建筑法》第六十九条 工程监理单位与建设单位或者建筑施工企业串通，弄虚作假、降低工程质量的，责令改正，处以罚款，降低资质等级或者吊销资质证书；有违法所得的，予以没收；造成损失的，承担连带赔偿责任；构成犯罪的，依法追究刑事责任。</w:t>
            </w:r>
          </w:p>
          <w:p w14:paraId="05F71A9E">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 xml:space="preserve"> 工程监理单位转让监理业务的，责令改正，没收违法所得，可以责令停业整顿，降低资质等级；情节严重的，吊销资质证书。</w:t>
            </w:r>
          </w:p>
          <w:p w14:paraId="4669A19E">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《建设工程质量管理条例》第六十八条 违反本条例规定，工程监理单位与被监理工程的施工承包单位以及建筑材料、建筑构配件和设备供应单位有隶属关系或者其他利害关系承担该项建设工程的监理业务的，责令改正，处5万元以上10万元以下的罚款，降低资质等级或者吊销资质证书；有违法所得的，予以没收。</w:t>
            </w:r>
          </w:p>
          <w:p w14:paraId="1396C1A3">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第七十三条 依照本条例规定，给予单位罚款处罚的，对单位直接负责的主管人员和其他直接责任人员处单位罚款数额百分之五以上百分之十以下的罚款。</w:t>
            </w:r>
          </w:p>
          <w:p w14:paraId="27782D05">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第七十五条第一款 本条例规定的责令停业整顿，降低资质等级和吊销资质证书的行政处罚，由颁发资质证书的机关决定；其他行政处罚，由建设行政主管部门或者其他有关部门依照法定职权决定。</w:t>
            </w:r>
          </w:p>
          <w:p w14:paraId="5A5F1370">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《水利工程质量管理规定》第七十一条 违反本规定，监理单位与被监理工程的施工单位以及原材料、中间产品和设备供应商等单位有隶属关系或者其他利害关系承担该项工程的监理业务的，依照《建设工程质量管理条例》第六十八条规定，由水行政主管部门或者流域管理机构依据职权责令改正，处5万元以上10万元以下的罚款；有违法所得的，予以没收。</w:t>
            </w:r>
          </w:p>
          <w:p w14:paraId="3F26918E">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《水利工程建设监理规定》第二十七条 监理单位有下列行为之一的，依照《建设工程质量管理条例》第六十条、第六十一条、第六十二条、第六十七条、第六十八条处罚：</w:t>
            </w:r>
          </w:p>
          <w:p w14:paraId="60350CF9">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（八）与被监理单位以及建筑材料、建筑构配件和设备供应单位有隶属关系或者其他利害关系承担该项工程建设监理业务的。</w:t>
            </w:r>
          </w:p>
          <w:p w14:paraId="27183661">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第七十三条 有关单位违反本规定，依法应当责令停业整顿、降低资质等级或者吊销资质证书的，依照《建设工程质量管理条例》第七十五条、《建设工程勘察设计管理条例》第四十二条的规定处罚。</w:t>
            </w:r>
          </w:p>
          <w:p w14:paraId="46E68C67">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依照《建设工程质量管理条例》给予单位罚款处罚的，对单位直接负责的主管人员和其他直接责任人员处单位罚款数额5%以上10%以下的罚款。</w:t>
            </w:r>
          </w:p>
        </w:tc>
        <w:tc>
          <w:tcPr>
            <w:tcW w:w="491" w:type="pct"/>
            <w:vMerge w:val="restart"/>
            <w:noWrap w:val="0"/>
            <w:tcMar>
              <w:top w:w="0" w:type="dxa"/>
              <w:left w:w="0" w:type="dxa"/>
              <w:bottom w:w="0" w:type="dxa"/>
              <w:right w:w="0" w:type="dxa"/>
            </w:tcMar>
            <w:vAlign w:val="center"/>
          </w:tcPr>
          <w:p w14:paraId="080C16F4">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水利工程建设监理单位与建设单位或者建筑施工企业串通，弄虚作假、降低工程质量的</w:t>
            </w:r>
          </w:p>
        </w:tc>
        <w:tc>
          <w:tcPr>
            <w:tcW w:w="174" w:type="pct"/>
            <w:noWrap w:val="0"/>
            <w:tcMar>
              <w:top w:w="0" w:type="dxa"/>
              <w:left w:w="0" w:type="dxa"/>
              <w:bottom w:w="0" w:type="dxa"/>
              <w:right w:w="0" w:type="dxa"/>
            </w:tcMar>
            <w:vAlign w:val="center"/>
          </w:tcPr>
          <w:p w14:paraId="35AEB95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轻微</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12329504">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24FBE712">
            <w:pPr>
              <w:spacing w:line="260" w:lineRule="exact"/>
              <w:rPr>
                <w:rFonts w:hint="eastAsia" w:ascii="宋体" w:hAnsi="宋体" w:eastAsia="宋体" w:cs="宋体"/>
                <w:color w:val="000000"/>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531688B1">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1DD80E22">
            <w:pPr>
              <w:spacing w:line="260" w:lineRule="exact"/>
              <w:rPr>
                <w:rFonts w:hint="eastAsia" w:ascii="宋体" w:hAnsi="宋体" w:eastAsia="宋体" w:cs="宋体"/>
                <w:color w:val="000000"/>
                <w:kern w:val="2"/>
                <w:sz w:val="18"/>
                <w:szCs w:val="18"/>
                <w:vertAlign w:val="baseline"/>
                <w:lang w:val="en-US" w:eastAsia="zh-CN" w:bidi="ar-SA"/>
              </w:rPr>
            </w:pPr>
          </w:p>
        </w:tc>
        <w:tc>
          <w:tcPr>
            <w:tcW w:w="158" w:type="pct"/>
            <w:vMerge w:val="restart"/>
            <w:noWrap w:val="0"/>
            <w:tcMar>
              <w:top w:w="0" w:type="dxa"/>
              <w:left w:w="0" w:type="dxa"/>
              <w:bottom w:w="0" w:type="dxa"/>
              <w:right w:w="0" w:type="dxa"/>
            </w:tcMar>
            <w:vAlign w:val="center"/>
          </w:tcPr>
          <w:p w14:paraId="48A725E5">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5E130B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526" w:hRule="atLeast"/>
          <w:jc w:val="center"/>
        </w:trPr>
        <w:tc>
          <w:tcPr>
            <w:tcW w:w="156" w:type="pct"/>
            <w:vMerge w:val="continue"/>
            <w:noWrap w:val="0"/>
            <w:tcMar>
              <w:top w:w="0" w:type="dxa"/>
              <w:left w:w="0" w:type="dxa"/>
              <w:bottom w:w="0" w:type="dxa"/>
              <w:right w:w="0" w:type="dxa"/>
            </w:tcMar>
            <w:vAlign w:val="center"/>
          </w:tcPr>
          <w:p w14:paraId="391E1EBB">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40B0A68C">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478B673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7D0626C7">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183BC8D9">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较轻</w:t>
            </w:r>
          </w:p>
        </w:tc>
        <w:tc>
          <w:tcPr>
            <w:tcW w:w="561" w:type="pct"/>
            <w:noWrap w:val="0"/>
            <w:tcMar>
              <w:top w:w="0" w:type="dxa"/>
              <w:left w:w="0" w:type="dxa"/>
              <w:bottom w:w="0" w:type="dxa"/>
              <w:right w:w="0" w:type="dxa"/>
            </w:tcMar>
            <w:vAlign w:val="center"/>
          </w:tcPr>
          <w:p w14:paraId="7F6C4960">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未造成施工质量不合格或者建筑材料、建筑构配件和设备不合格的</w:t>
            </w:r>
          </w:p>
        </w:tc>
        <w:tc>
          <w:tcPr>
            <w:tcW w:w="873" w:type="pct"/>
            <w:noWrap w:val="0"/>
            <w:tcMar>
              <w:top w:w="0" w:type="dxa"/>
              <w:left w:w="0" w:type="dxa"/>
              <w:bottom w:w="0" w:type="dxa"/>
              <w:right w:w="0" w:type="dxa"/>
            </w:tcMar>
            <w:vAlign w:val="center"/>
          </w:tcPr>
          <w:p w14:paraId="76039768">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处5万元以上6.5万元以下的罚款；有违法所得的，予以没收；对单位直接负责的主管人员和其他直接责任人员处单位罚款数额5%以上6.5%以下的罚款</w:t>
            </w:r>
          </w:p>
        </w:tc>
        <w:tc>
          <w:tcPr>
            <w:tcW w:w="158" w:type="pct"/>
            <w:vMerge w:val="continue"/>
            <w:noWrap w:val="0"/>
            <w:tcMar>
              <w:top w:w="0" w:type="dxa"/>
              <w:left w:w="0" w:type="dxa"/>
              <w:bottom w:w="0" w:type="dxa"/>
              <w:right w:w="0" w:type="dxa"/>
            </w:tcMar>
            <w:vAlign w:val="center"/>
          </w:tcPr>
          <w:p w14:paraId="4995F02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01CEC8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500" w:hRule="atLeast"/>
          <w:jc w:val="center"/>
        </w:trPr>
        <w:tc>
          <w:tcPr>
            <w:tcW w:w="156" w:type="pct"/>
            <w:vMerge w:val="continue"/>
            <w:noWrap w:val="0"/>
            <w:tcMar>
              <w:top w:w="0" w:type="dxa"/>
              <w:left w:w="0" w:type="dxa"/>
              <w:bottom w:w="0" w:type="dxa"/>
              <w:right w:w="0" w:type="dxa"/>
            </w:tcMar>
            <w:vAlign w:val="center"/>
          </w:tcPr>
          <w:p w14:paraId="64C1C77B">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1EDBE534">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346FE5A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22ABA77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2A4382D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一般</w:t>
            </w:r>
          </w:p>
        </w:tc>
        <w:tc>
          <w:tcPr>
            <w:tcW w:w="561" w:type="pct"/>
            <w:noWrap w:val="0"/>
            <w:tcMar>
              <w:top w:w="0" w:type="dxa"/>
              <w:left w:w="0" w:type="dxa"/>
              <w:bottom w:w="0" w:type="dxa"/>
              <w:right w:w="0" w:type="dxa"/>
            </w:tcMar>
            <w:vAlign w:val="center"/>
          </w:tcPr>
          <w:p w14:paraId="34A44A2B">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造成施工质量不合格或者建筑材料、建筑构配件和设备不合格的</w:t>
            </w:r>
          </w:p>
        </w:tc>
        <w:tc>
          <w:tcPr>
            <w:tcW w:w="873" w:type="pct"/>
            <w:noWrap w:val="0"/>
            <w:tcMar>
              <w:top w:w="0" w:type="dxa"/>
              <w:left w:w="0" w:type="dxa"/>
              <w:bottom w:w="0" w:type="dxa"/>
              <w:right w:w="0" w:type="dxa"/>
            </w:tcMar>
            <w:vAlign w:val="center"/>
          </w:tcPr>
          <w:p w14:paraId="155DF1EB">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处6.5万元以上8.5万元以下的罚款；有违法所得的，予以没收；对单位直接负责的主管人员和其他直接责任人员处单位罚款数额6.5%以上8.5%以下的罚款</w:t>
            </w:r>
          </w:p>
        </w:tc>
        <w:tc>
          <w:tcPr>
            <w:tcW w:w="158" w:type="pct"/>
            <w:vMerge w:val="continue"/>
            <w:noWrap w:val="0"/>
            <w:tcMar>
              <w:top w:w="0" w:type="dxa"/>
              <w:left w:w="0" w:type="dxa"/>
              <w:bottom w:w="0" w:type="dxa"/>
              <w:right w:w="0" w:type="dxa"/>
            </w:tcMar>
            <w:vAlign w:val="center"/>
          </w:tcPr>
          <w:p w14:paraId="6D31803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4F487B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500" w:hRule="atLeast"/>
          <w:jc w:val="center"/>
        </w:trPr>
        <w:tc>
          <w:tcPr>
            <w:tcW w:w="156" w:type="pct"/>
            <w:vMerge w:val="continue"/>
            <w:noWrap w:val="0"/>
            <w:tcMar>
              <w:top w:w="0" w:type="dxa"/>
              <w:left w:w="0" w:type="dxa"/>
              <w:bottom w:w="0" w:type="dxa"/>
              <w:right w:w="0" w:type="dxa"/>
            </w:tcMar>
            <w:vAlign w:val="center"/>
          </w:tcPr>
          <w:p w14:paraId="343B0D1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42D3B57A">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13CFC0E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7B3DB3A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6CE39E60">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较重</w:t>
            </w:r>
          </w:p>
        </w:tc>
        <w:tc>
          <w:tcPr>
            <w:tcW w:w="561" w:type="pct"/>
            <w:noWrap w:val="0"/>
            <w:tcMar>
              <w:top w:w="0" w:type="dxa"/>
              <w:left w:w="0" w:type="dxa"/>
              <w:bottom w:w="0" w:type="dxa"/>
              <w:right w:w="0" w:type="dxa"/>
            </w:tcMar>
            <w:vAlign w:val="center"/>
          </w:tcPr>
          <w:p w14:paraId="722671EC">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造成一般或较大质量事故的</w:t>
            </w:r>
          </w:p>
        </w:tc>
        <w:tc>
          <w:tcPr>
            <w:tcW w:w="873" w:type="pct"/>
            <w:noWrap w:val="0"/>
            <w:tcMar>
              <w:top w:w="0" w:type="dxa"/>
              <w:left w:w="0" w:type="dxa"/>
              <w:bottom w:w="0" w:type="dxa"/>
              <w:right w:w="0" w:type="dxa"/>
            </w:tcMar>
            <w:vAlign w:val="center"/>
          </w:tcPr>
          <w:p w14:paraId="76E7E1BF">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处8.5万元以上10万元以下的罚款；有违法所得的，予以没收；对单位直接负责的主管人员和其他直接责任人员处单位罚款数额8.5%以上10%以下的罚款</w:t>
            </w:r>
          </w:p>
        </w:tc>
        <w:tc>
          <w:tcPr>
            <w:tcW w:w="158" w:type="pct"/>
            <w:vMerge w:val="continue"/>
            <w:noWrap w:val="0"/>
            <w:tcMar>
              <w:top w:w="0" w:type="dxa"/>
              <w:left w:w="0" w:type="dxa"/>
              <w:bottom w:w="0" w:type="dxa"/>
              <w:right w:w="0" w:type="dxa"/>
            </w:tcMar>
            <w:vAlign w:val="center"/>
          </w:tcPr>
          <w:p w14:paraId="4B54E99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063810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567" w:hRule="atLeast"/>
          <w:jc w:val="center"/>
        </w:trPr>
        <w:tc>
          <w:tcPr>
            <w:tcW w:w="156" w:type="pct"/>
            <w:vMerge w:val="continue"/>
            <w:noWrap w:val="0"/>
            <w:tcMar>
              <w:top w:w="0" w:type="dxa"/>
              <w:left w:w="0" w:type="dxa"/>
              <w:bottom w:w="0" w:type="dxa"/>
              <w:right w:w="0" w:type="dxa"/>
            </w:tcMar>
            <w:vAlign w:val="center"/>
          </w:tcPr>
          <w:p w14:paraId="07D8E7AD">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009A5CBA">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1CB62F5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3E484B6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vMerge w:val="restart"/>
            <w:noWrap w:val="0"/>
            <w:tcMar>
              <w:top w:w="0" w:type="dxa"/>
              <w:left w:w="0" w:type="dxa"/>
              <w:bottom w:w="0" w:type="dxa"/>
              <w:right w:w="0" w:type="dxa"/>
            </w:tcMar>
            <w:vAlign w:val="center"/>
          </w:tcPr>
          <w:p w14:paraId="61DA0B9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严重</w:t>
            </w:r>
          </w:p>
        </w:tc>
        <w:tc>
          <w:tcPr>
            <w:tcW w:w="561" w:type="pct"/>
            <w:noWrap w:val="0"/>
            <w:tcMar>
              <w:top w:w="0" w:type="dxa"/>
              <w:left w:w="0" w:type="dxa"/>
              <w:bottom w:w="0" w:type="dxa"/>
              <w:right w:w="0" w:type="dxa"/>
            </w:tcMar>
            <w:vAlign w:val="center"/>
          </w:tcPr>
          <w:p w14:paraId="6D8A9855">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造成重大质量事故；或造成分部工程存在严重缺陷，经返修和加固处理仍不能满足安全使用要求</w:t>
            </w:r>
          </w:p>
        </w:tc>
        <w:tc>
          <w:tcPr>
            <w:tcW w:w="873" w:type="pct"/>
            <w:noWrap w:val="0"/>
            <w:tcMar>
              <w:top w:w="0" w:type="dxa"/>
              <w:left w:w="0" w:type="dxa"/>
              <w:bottom w:w="0" w:type="dxa"/>
              <w:right w:w="0" w:type="dxa"/>
            </w:tcMar>
            <w:vAlign w:val="center"/>
          </w:tcPr>
          <w:p w14:paraId="241A35D1">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处10万元的罚款；降低资质等级；有违法所得的，予以没收；对单位直接负责的主管人员和其他直接责任人员处单位罚款数额10%的罚款</w:t>
            </w:r>
          </w:p>
        </w:tc>
        <w:tc>
          <w:tcPr>
            <w:tcW w:w="158" w:type="pct"/>
            <w:vMerge w:val="continue"/>
            <w:noWrap w:val="0"/>
            <w:tcMar>
              <w:top w:w="0" w:type="dxa"/>
              <w:left w:w="0" w:type="dxa"/>
              <w:bottom w:w="0" w:type="dxa"/>
              <w:right w:w="0" w:type="dxa"/>
            </w:tcMar>
            <w:vAlign w:val="center"/>
          </w:tcPr>
          <w:p w14:paraId="29B01FD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08FA5D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834" w:hRule="atLeast"/>
          <w:jc w:val="center"/>
        </w:trPr>
        <w:tc>
          <w:tcPr>
            <w:tcW w:w="156" w:type="pct"/>
            <w:vMerge w:val="continue"/>
            <w:noWrap w:val="0"/>
            <w:tcMar>
              <w:top w:w="0" w:type="dxa"/>
              <w:left w:w="0" w:type="dxa"/>
              <w:bottom w:w="0" w:type="dxa"/>
              <w:right w:w="0" w:type="dxa"/>
            </w:tcMar>
            <w:vAlign w:val="center"/>
          </w:tcPr>
          <w:p w14:paraId="40D198A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46EEC6D1">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3BB1FF6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428DCBA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vMerge w:val="continue"/>
            <w:noWrap w:val="0"/>
            <w:tcMar>
              <w:top w:w="0" w:type="dxa"/>
              <w:left w:w="0" w:type="dxa"/>
              <w:bottom w:w="0" w:type="dxa"/>
              <w:right w:w="0" w:type="dxa"/>
            </w:tcMar>
            <w:vAlign w:val="center"/>
          </w:tcPr>
          <w:p w14:paraId="1CF6FDE9">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p>
        </w:tc>
        <w:tc>
          <w:tcPr>
            <w:tcW w:w="561" w:type="pct"/>
            <w:noWrap w:val="0"/>
            <w:tcMar>
              <w:top w:w="0" w:type="dxa"/>
              <w:left w:w="0" w:type="dxa"/>
              <w:bottom w:w="0" w:type="dxa"/>
              <w:right w:w="0" w:type="dxa"/>
            </w:tcMar>
            <w:vAlign w:val="center"/>
          </w:tcPr>
          <w:p w14:paraId="3F0F299D">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造成特别重大质量事故；或造成单位（子单位）工程存在严重缺陷，经返修和加固处理仍不能满足安全使用要求</w:t>
            </w:r>
          </w:p>
        </w:tc>
        <w:tc>
          <w:tcPr>
            <w:tcW w:w="873" w:type="pct"/>
            <w:noWrap w:val="0"/>
            <w:tcMar>
              <w:top w:w="0" w:type="dxa"/>
              <w:left w:w="0" w:type="dxa"/>
              <w:bottom w:w="0" w:type="dxa"/>
              <w:right w:w="0" w:type="dxa"/>
            </w:tcMar>
            <w:vAlign w:val="center"/>
          </w:tcPr>
          <w:p w14:paraId="1FD6E0D6">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处10万元的罚款；吊销资质证书；有违法所得的，予以没收；对单位直接负责的主管人员和其他直接责任人员处单位罚款数额10%的罚款</w:t>
            </w:r>
          </w:p>
        </w:tc>
        <w:tc>
          <w:tcPr>
            <w:tcW w:w="158" w:type="pct"/>
            <w:vMerge w:val="continue"/>
            <w:noWrap w:val="0"/>
            <w:tcMar>
              <w:top w:w="0" w:type="dxa"/>
              <w:left w:w="0" w:type="dxa"/>
              <w:bottom w:w="0" w:type="dxa"/>
              <w:right w:w="0" w:type="dxa"/>
            </w:tcMar>
            <w:vAlign w:val="center"/>
          </w:tcPr>
          <w:p w14:paraId="7772B0ED">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16719E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restart"/>
            <w:noWrap w:val="0"/>
            <w:tcMar>
              <w:top w:w="0" w:type="dxa"/>
              <w:left w:w="0" w:type="dxa"/>
              <w:bottom w:w="0" w:type="dxa"/>
              <w:right w:w="0" w:type="dxa"/>
            </w:tcMar>
            <w:vAlign w:val="center"/>
          </w:tcPr>
          <w:p w14:paraId="75A95C69">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r>
              <w:rPr>
                <w:rFonts w:hint="eastAsia" w:ascii="宋体" w:hAnsi="宋体" w:eastAsia="宋体" w:cs="宋体"/>
                <w:color w:val="000000"/>
                <w:sz w:val="18"/>
                <w:szCs w:val="18"/>
                <w:shd w:val="clear" w:color="auto" w:fill="auto"/>
                <w:vertAlign w:val="baseline"/>
                <w:lang w:val="en-US" w:eastAsia="zh-CN"/>
              </w:rPr>
              <w:t>86</w:t>
            </w:r>
          </w:p>
        </w:tc>
        <w:tc>
          <w:tcPr>
            <w:tcW w:w="415" w:type="pct"/>
            <w:vMerge w:val="restart"/>
            <w:noWrap w:val="0"/>
            <w:tcMar>
              <w:top w:w="0" w:type="dxa"/>
              <w:left w:w="0" w:type="dxa"/>
              <w:bottom w:w="0" w:type="dxa"/>
              <w:right w:w="0" w:type="dxa"/>
            </w:tcMar>
            <w:vAlign w:val="center"/>
          </w:tcPr>
          <w:p w14:paraId="7D4B4643">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auto"/>
                <w:sz w:val="18"/>
                <w:szCs w:val="18"/>
                <w:vertAlign w:val="baseline"/>
                <w:lang w:val="en-US" w:eastAsia="zh-CN"/>
              </w:rPr>
              <w:t>对水利工程建设监理单位以串通、欺诈、胁迫、贿赂等不正当竞争手段承揽监理业务，利用工作便利与相关单位串通谋取不正当利益等行为的行政处罚</w:t>
            </w:r>
          </w:p>
        </w:tc>
        <w:tc>
          <w:tcPr>
            <w:tcW w:w="2168" w:type="pct"/>
            <w:vMerge w:val="restart"/>
            <w:noWrap w:val="0"/>
            <w:tcMar>
              <w:top w:w="0" w:type="dxa"/>
              <w:left w:w="0" w:type="dxa"/>
              <w:bottom w:w="0" w:type="dxa"/>
              <w:right w:w="0" w:type="dxa"/>
            </w:tcMar>
            <w:vAlign w:val="center"/>
          </w:tcPr>
          <w:p w14:paraId="2A92923C">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《水利工程建设监理规定》第二十八条 监理单位有下列行为之一的，责令改正，给予警告；无违法所得的，处1万元以下罚款，有违法所得的，予以追缴，处违法所得3倍以下且不超过3万元罚款；情节严重的，降低资质等级；构成犯罪的，依法追究有关责任人员的刑事责任：</w:t>
            </w:r>
          </w:p>
          <w:p w14:paraId="4C5F53A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（一）以串通、欺诈、胁迫、贿赂等不正当竞争手段承揽监理业务的；</w:t>
            </w:r>
          </w:p>
          <w:p w14:paraId="3CAA32C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（二）利用工作便利与项目法人、被监理单位以及建筑材料、建筑构配件和设备供应单位串通，谋取不正当利益的。</w:t>
            </w:r>
          </w:p>
          <w:p w14:paraId="017B3C9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第三十四条 依法给予监理单位罚款处罚的，对单位直接负责的主管人员和其他直接责任人员处单位罚款数额百分之五以上、百分之十以下的罚款。</w:t>
            </w:r>
          </w:p>
        </w:tc>
        <w:tc>
          <w:tcPr>
            <w:tcW w:w="491" w:type="pct"/>
            <w:vMerge w:val="restart"/>
            <w:noWrap w:val="0"/>
            <w:tcMar>
              <w:top w:w="0" w:type="dxa"/>
              <w:left w:w="0" w:type="dxa"/>
              <w:bottom w:w="0" w:type="dxa"/>
              <w:right w:w="0" w:type="dxa"/>
            </w:tcMar>
            <w:vAlign w:val="center"/>
          </w:tcPr>
          <w:p w14:paraId="02B2F7A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水利工程建设监理单位以串通、欺诈、胁迫、贿赂等不正当竞争手段承揽监理业务，利用工作便利与相关单位串通谋取不正当利益的</w:t>
            </w:r>
          </w:p>
        </w:tc>
        <w:tc>
          <w:tcPr>
            <w:tcW w:w="174" w:type="pct"/>
            <w:noWrap w:val="0"/>
            <w:tcMar>
              <w:top w:w="0" w:type="dxa"/>
              <w:left w:w="0" w:type="dxa"/>
              <w:bottom w:w="0" w:type="dxa"/>
              <w:right w:w="0" w:type="dxa"/>
            </w:tcMar>
            <w:vAlign w:val="center"/>
          </w:tcPr>
          <w:p w14:paraId="3B1ABC4C">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轻微</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20E72FB5">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4403C593">
            <w:pPr>
              <w:spacing w:line="260" w:lineRule="exact"/>
              <w:rPr>
                <w:rFonts w:hint="eastAsia" w:ascii="宋体" w:hAnsi="宋体" w:eastAsia="宋体" w:cs="宋体"/>
                <w:color w:val="000000"/>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520F42F9">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6EB9D489">
            <w:pPr>
              <w:spacing w:line="260" w:lineRule="exact"/>
              <w:rPr>
                <w:rFonts w:hint="eastAsia" w:ascii="宋体" w:hAnsi="宋体" w:eastAsia="宋体" w:cs="宋体"/>
                <w:color w:val="000000"/>
                <w:kern w:val="2"/>
                <w:sz w:val="18"/>
                <w:szCs w:val="18"/>
                <w:vertAlign w:val="baseline"/>
                <w:lang w:val="en-US" w:eastAsia="zh-CN" w:bidi="ar-SA"/>
              </w:rPr>
            </w:pPr>
          </w:p>
        </w:tc>
        <w:tc>
          <w:tcPr>
            <w:tcW w:w="158" w:type="pct"/>
            <w:vMerge w:val="restart"/>
            <w:noWrap w:val="0"/>
            <w:tcMar>
              <w:top w:w="0" w:type="dxa"/>
              <w:left w:w="0" w:type="dxa"/>
              <w:bottom w:w="0" w:type="dxa"/>
              <w:right w:w="0" w:type="dxa"/>
            </w:tcMar>
            <w:vAlign w:val="center"/>
          </w:tcPr>
          <w:p w14:paraId="5A38BFB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4CFB17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2533D7D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41AE7E41">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084558A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6933A96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27E0D788">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较轻</w:t>
            </w:r>
          </w:p>
        </w:tc>
        <w:tc>
          <w:tcPr>
            <w:tcW w:w="561" w:type="pct"/>
            <w:noWrap w:val="0"/>
            <w:tcMar>
              <w:top w:w="0" w:type="dxa"/>
              <w:left w:w="0" w:type="dxa"/>
              <w:bottom w:w="0" w:type="dxa"/>
              <w:right w:w="0" w:type="dxa"/>
            </w:tcMar>
            <w:vAlign w:val="center"/>
          </w:tcPr>
          <w:p w14:paraId="048382E5">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有本条规定的情形，且无违法所得的</w:t>
            </w:r>
          </w:p>
        </w:tc>
        <w:tc>
          <w:tcPr>
            <w:tcW w:w="873" w:type="pct"/>
            <w:noWrap w:val="0"/>
            <w:tcMar>
              <w:top w:w="0" w:type="dxa"/>
              <w:left w:w="0" w:type="dxa"/>
              <w:bottom w:w="0" w:type="dxa"/>
              <w:right w:w="0" w:type="dxa"/>
            </w:tcMar>
            <w:vAlign w:val="center"/>
          </w:tcPr>
          <w:p w14:paraId="0A07BA9C">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处1万元以下罚款</w:t>
            </w:r>
          </w:p>
        </w:tc>
        <w:tc>
          <w:tcPr>
            <w:tcW w:w="158" w:type="pct"/>
            <w:vMerge w:val="continue"/>
            <w:noWrap w:val="0"/>
            <w:tcMar>
              <w:top w:w="0" w:type="dxa"/>
              <w:left w:w="0" w:type="dxa"/>
              <w:bottom w:w="0" w:type="dxa"/>
              <w:right w:w="0" w:type="dxa"/>
            </w:tcMar>
            <w:vAlign w:val="center"/>
          </w:tcPr>
          <w:p w14:paraId="0258FC5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0A4632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247" w:hRule="atLeast"/>
          <w:jc w:val="center"/>
        </w:trPr>
        <w:tc>
          <w:tcPr>
            <w:tcW w:w="156" w:type="pct"/>
            <w:vMerge w:val="continue"/>
            <w:noWrap w:val="0"/>
            <w:tcMar>
              <w:top w:w="0" w:type="dxa"/>
              <w:left w:w="0" w:type="dxa"/>
              <w:bottom w:w="0" w:type="dxa"/>
              <w:right w:w="0" w:type="dxa"/>
            </w:tcMar>
            <w:vAlign w:val="center"/>
          </w:tcPr>
          <w:p w14:paraId="1DFAA00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2859281C">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02D8EDB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75C1BBC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0F256A61">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一般</w:t>
            </w:r>
          </w:p>
        </w:tc>
        <w:tc>
          <w:tcPr>
            <w:tcW w:w="561" w:type="pct"/>
            <w:noWrap w:val="0"/>
            <w:tcMar>
              <w:top w:w="0" w:type="dxa"/>
              <w:left w:w="0" w:type="dxa"/>
              <w:bottom w:w="0" w:type="dxa"/>
              <w:right w:w="0" w:type="dxa"/>
            </w:tcMar>
            <w:vAlign w:val="center"/>
          </w:tcPr>
          <w:p w14:paraId="05761CF8">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有本条规定的情形，在规定期限及时整改的，违法所得在10万元以下的</w:t>
            </w:r>
          </w:p>
        </w:tc>
        <w:tc>
          <w:tcPr>
            <w:tcW w:w="873" w:type="pct"/>
            <w:noWrap w:val="0"/>
            <w:tcMar>
              <w:top w:w="0" w:type="dxa"/>
              <w:left w:w="0" w:type="dxa"/>
              <w:bottom w:w="0" w:type="dxa"/>
              <w:right w:w="0" w:type="dxa"/>
            </w:tcMar>
            <w:vAlign w:val="center"/>
          </w:tcPr>
          <w:p w14:paraId="3F009EB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予以追缴，处违法所得1倍以下且在1万元以上2万元以下的罚款</w:t>
            </w:r>
          </w:p>
        </w:tc>
        <w:tc>
          <w:tcPr>
            <w:tcW w:w="158" w:type="pct"/>
            <w:vMerge w:val="continue"/>
            <w:noWrap w:val="0"/>
            <w:tcMar>
              <w:top w:w="0" w:type="dxa"/>
              <w:left w:w="0" w:type="dxa"/>
              <w:bottom w:w="0" w:type="dxa"/>
              <w:right w:w="0" w:type="dxa"/>
            </w:tcMar>
            <w:vAlign w:val="center"/>
          </w:tcPr>
          <w:p w14:paraId="3C16C2D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1308BA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260" w:hRule="atLeast"/>
          <w:jc w:val="center"/>
        </w:trPr>
        <w:tc>
          <w:tcPr>
            <w:tcW w:w="156" w:type="pct"/>
            <w:vMerge w:val="continue"/>
            <w:noWrap w:val="0"/>
            <w:tcMar>
              <w:top w:w="0" w:type="dxa"/>
              <w:left w:w="0" w:type="dxa"/>
              <w:bottom w:w="0" w:type="dxa"/>
              <w:right w:w="0" w:type="dxa"/>
            </w:tcMar>
            <w:vAlign w:val="center"/>
          </w:tcPr>
          <w:p w14:paraId="5F7212E0">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05C050C7">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2A7B9F9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209179F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6CCA2151">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较重</w:t>
            </w:r>
          </w:p>
        </w:tc>
        <w:tc>
          <w:tcPr>
            <w:tcW w:w="561" w:type="pct"/>
            <w:noWrap w:val="0"/>
            <w:tcMar>
              <w:top w:w="0" w:type="dxa"/>
              <w:left w:w="0" w:type="dxa"/>
              <w:bottom w:w="0" w:type="dxa"/>
              <w:right w:w="0" w:type="dxa"/>
            </w:tcMar>
            <w:vAlign w:val="center"/>
          </w:tcPr>
          <w:p w14:paraId="5B183E1C">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有本条规定的情形，在规定期限及时整改的，违法所得在10万元以上100万元以下的</w:t>
            </w:r>
          </w:p>
        </w:tc>
        <w:tc>
          <w:tcPr>
            <w:tcW w:w="873" w:type="pct"/>
            <w:noWrap w:val="0"/>
            <w:tcMar>
              <w:top w:w="0" w:type="dxa"/>
              <w:left w:w="0" w:type="dxa"/>
              <w:bottom w:w="0" w:type="dxa"/>
              <w:right w:w="0" w:type="dxa"/>
            </w:tcMar>
            <w:vAlign w:val="center"/>
          </w:tcPr>
          <w:p w14:paraId="287106D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予以追缴，处违法所得1倍以上3倍以下且在2万元以上3万元以下的罚款</w:t>
            </w:r>
          </w:p>
        </w:tc>
        <w:tc>
          <w:tcPr>
            <w:tcW w:w="158" w:type="pct"/>
            <w:vMerge w:val="continue"/>
            <w:noWrap w:val="0"/>
            <w:tcMar>
              <w:top w:w="0" w:type="dxa"/>
              <w:left w:w="0" w:type="dxa"/>
              <w:bottom w:w="0" w:type="dxa"/>
              <w:right w:w="0" w:type="dxa"/>
            </w:tcMar>
            <w:vAlign w:val="center"/>
          </w:tcPr>
          <w:p w14:paraId="2259611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237502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513" w:hRule="atLeast"/>
          <w:jc w:val="center"/>
        </w:trPr>
        <w:tc>
          <w:tcPr>
            <w:tcW w:w="156" w:type="pct"/>
            <w:vMerge w:val="continue"/>
            <w:noWrap w:val="0"/>
            <w:tcMar>
              <w:top w:w="0" w:type="dxa"/>
              <w:left w:w="0" w:type="dxa"/>
              <w:bottom w:w="0" w:type="dxa"/>
              <w:right w:w="0" w:type="dxa"/>
            </w:tcMar>
            <w:vAlign w:val="center"/>
          </w:tcPr>
          <w:p w14:paraId="37F6A349">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0C4DD90B">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5BA875F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7450A96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74F10789">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严重</w:t>
            </w:r>
          </w:p>
        </w:tc>
        <w:tc>
          <w:tcPr>
            <w:tcW w:w="561" w:type="pct"/>
            <w:noWrap w:val="0"/>
            <w:tcMar>
              <w:top w:w="0" w:type="dxa"/>
              <w:left w:w="0" w:type="dxa"/>
              <w:bottom w:w="0" w:type="dxa"/>
              <w:right w:w="0" w:type="dxa"/>
            </w:tcMar>
            <w:vAlign w:val="center"/>
          </w:tcPr>
          <w:p w14:paraId="1AF55673">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有本条规定的情形，在规定期限及时整改的，违法所得在100万元以上的，或者在规定期限拒不整改的</w:t>
            </w:r>
          </w:p>
        </w:tc>
        <w:tc>
          <w:tcPr>
            <w:tcW w:w="873" w:type="pct"/>
            <w:noWrap w:val="0"/>
            <w:tcMar>
              <w:top w:w="0" w:type="dxa"/>
              <w:left w:w="0" w:type="dxa"/>
              <w:bottom w:w="0" w:type="dxa"/>
              <w:right w:w="0" w:type="dxa"/>
            </w:tcMar>
            <w:vAlign w:val="center"/>
          </w:tcPr>
          <w:p w14:paraId="663A905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予以追缴，处3万元罚款</w:t>
            </w:r>
          </w:p>
        </w:tc>
        <w:tc>
          <w:tcPr>
            <w:tcW w:w="158" w:type="pct"/>
            <w:vMerge w:val="continue"/>
            <w:noWrap w:val="0"/>
            <w:tcMar>
              <w:top w:w="0" w:type="dxa"/>
              <w:left w:w="0" w:type="dxa"/>
              <w:bottom w:w="0" w:type="dxa"/>
              <w:right w:w="0" w:type="dxa"/>
            </w:tcMar>
            <w:vAlign w:val="center"/>
          </w:tcPr>
          <w:p w14:paraId="341C5B9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3F0F2E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restart"/>
            <w:noWrap w:val="0"/>
            <w:tcMar>
              <w:top w:w="0" w:type="dxa"/>
              <w:left w:w="0" w:type="dxa"/>
              <w:bottom w:w="0" w:type="dxa"/>
              <w:right w:w="0" w:type="dxa"/>
            </w:tcMar>
            <w:vAlign w:val="center"/>
          </w:tcPr>
          <w:p w14:paraId="23FF3681">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r>
              <w:rPr>
                <w:rFonts w:hint="eastAsia" w:ascii="宋体" w:hAnsi="宋体" w:eastAsia="宋体" w:cs="宋体"/>
                <w:color w:val="000000"/>
                <w:sz w:val="18"/>
                <w:szCs w:val="18"/>
                <w:shd w:val="clear" w:color="auto" w:fill="auto"/>
                <w:vertAlign w:val="baseline"/>
                <w:lang w:val="en-US" w:eastAsia="zh-CN"/>
              </w:rPr>
              <w:t>87</w:t>
            </w:r>
          </w:p>
        </w:tc>
        <w:tc>
          <w:tcPr>
            <w:tcW w:w="415" w:type="pct"/>
            <w:vMerge w:val="restart"/>
            <w:noWrap w:val="0"/>
            <w:tcMar>
              <w:top w:w="0" w:type="dxa"/>
              <w:left w:w="0" w:type="dxa"/>
              <w:bottom w:w="0" w:type="dxa"/>
              <w:right w:w="0" w:type="dxa"/>
            </w:tcMar>
            <w:vAlign w:val="center"/>
          </w:tcPr>
          <w:p w14:paraId="34E2DB22">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auto"/>
                <w:sz w:val="18"/>
                <w:szCs w:val="18"/>
                <w:vertAlign w:val="baseline"/>
                <w:lang w:val="en-US" w:eastAsia="zh-CN"/>
              </w:rPr>
              <w:t>对水利工程建设监理单位聘用无相应监理人员资格的人员从事监理业务等行为的行政处罚</w:t>
            </w:r>
          </w:p>
        </w:tc>
        <w:tc>
          <w:tcPr>
            <w:tcW w:w="2168" w:type="pct"/>
            <w:vMerge w:val="restart"/>
            <w:noWrap w:val="0"/>
            <w:tcMar>
              <w:top w:w="0" w:type="dxa"/>
              <w:left w:w="0" w:type="dxa"/>
              <w:bottom w:w="0" w:type="dxa"/>
              <w:right w:w="0" w:type="dxa"/>
            </w:tcMar>
            <w:vAlign w:val="center"/>
          </w:tcPr>
          <w:p w14:paraId="594E38B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《水利工程建设监理规定》第三十条 监理单位有下列行为之一的，责令改正，给予警告；情节严重的，降低资质等级：</w:t>
            </w:r>
          </w:p>
          <w:p w14:paraId="6EDC0B34">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（一）聘用无相应监理人员资格的人员从事监理业务的；</w:t>
            </w:r>
          </w:p>
          <w:p w14:paraId="5FCD7E14">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（二）隐瞒有关情况、拒绝提供材料或者提供虚假材料的。</w:t>
            </w:r>
          </w:p>
        </w:tc>
        <w:tc>
          <w:tcPr>
            <w:tcW w:w="491" w:type="pct"/>
            <w:vMerge w:val="restart"/>
            <w:noWrap w:val="0"/>
            <w:tcMar>
              <w:top w:w="0" w:type="dxa"/>
              <w:left w:w="0" w:type="dxa"/>
              <w:bottom w:w="0" w:type="dxa"/>
              <w:right w:w="0" w:type="dxa"/>
            </w:tcMar>
            <w:vAlign w:val="center"/>
          </w:tcPr>
          <w:p w14:paraId="4543AB7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水利工程建设监理单位聘用无相应监理人员资格的人员从事监理业务的</w:t>
            </w:r>
          </w:p>
        </w:tc>
        <w:tc>
          <w:tcPr>
            <w:tcW w:w="174" w:type="pct"/>
            <w:noWrap w:val="0"/>
            <w:tcMar>
              <w:top w:w="0" w:type="dxa"/>
              <w:left w:w="0" w:type="dxa"/>
              <w:bottom w:w="0" w:type="dxa"/>
              <w:right w:w="0" w:type="dxa"/>
            </w:tcMar>
            <w:vAlign w:val="center"/>
          </w:tcPr>
          <w:p w14:paraId="60C994B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轻微</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00A97BF8">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72AF93EB">
            <w:pPr>
              <w:spacing w:line="260" w:lineRule="exact"/>
              <w:rPr>
                <w:rFonts w:hint="eastAsia" w:ascii="宋体" w:hAnsi="宋体" w:eastAsia="宋体" w:cs="宋体"/>
                <w:color w:val="000000"/>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14EEA73A">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24CEA108">
            <w:pPr>
              <w:spacing w:line="260" w:lineRule="exact"/>
              <w:rPr>
                <w:rFonts w:hint="eastAsia" w:ascii="宋体" w:hAnsi="宋体" w:eastAsia="宋体" w:cs="宋体"/>
                <w:color w:val="000000"/>
                <w:kern w:val="2"/>
                <w:sz w:val="18"/>
                <w:szCs w:val="18"/>
                <w:vertAlign w:val="baseline"/>
                <w:lang w:val="en-US" w:eastAsia="zh-CN" w:bidi="ar-SA"/>
              </w:rPr>
            </w:pPr>
          </w:p>
        </w:tc>
        <w:tc>
          <w:tcPr>
            <w:tcW w:w="158" w:type="pct"/>
            <w:vMerge w:val="restart"/>
            <w:noWrap w:val="0"/>
            <w:tcMar>
              <w:top w:w="0" w:type="dxa"/>
              <w:left w:w="0" w:type="dxa"/>
              <w:bottom w:w="0" w:type="dxa"/>
              <w:right w:w="0" w:type="dxa"/>
            </w:tcMar>
            <w:vAlign w:val="center"/>
          </w:tcPr>
          <w:p w14:paraId="46517265">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42969E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7D9F228C">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1C3CBC24">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23131D5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29886D3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48B87CA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较轻</w:t>
            </w:r>
          </w:p>
        </w:tc>
        <w:tc>
          <w:tcPr>
            <w:tcW w:w="561" w:type="pct"/>
            <w:noWrap w:val="0"/>
            <w:tcMar>
              <w:top w:w="0" w:type="dxa"/>
              <w:left w:w="0" w:type="dxa"/>
              <w:bottom w:w="0" w:type="dxa"/>
              <w:right w:w="0" w:type="dxa"/>
            </w:tcMar>
            <w:vAlign w:val="center"/>
          </w:tcPr>
          <w:p w14:paraId="432B6CB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未造成严重后果的</w:t>
            </w:r>
          </w:p>
        </w:tc>
        <w:tc>
          <w:tcPr>
            <w:tcW w:w="873" w:type="pct"/>
            <w:noWrap w:val="0"/>
            <w:tcMar>
              <w:top w:w="0" w:type="dxa"/>
              <w:left w:w="0" w:type="dxa"/>
              <w:bottom w:w="0" w:type="dxa"/>
              <w:right w:w="0" w:type="dxa"/>
            </w:tcMar>
            <w:vAlign w:val="center"/>
          </w:tcPr>
          <w:p w14:paraId="41D9F997">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给予警告</w:t>
            </w:r>
          </w:p>
        </w:tc>
        <w:tc>
          <w:tcPr>
            <w:tcW w:w="158" w:type="pct"/>
            <w:vMerge w:val="continue"/>
            <w:noWrap w:val="0"/>
            <w:tcMar>
              <w:top w:w="0" w:type="dxa"/>
              <w:left w:w="0" w:type="dxa"/>
              <w:bottom w:w="0" w:type="dxa"/>
              <w:right w:w="0" w:type="dxa"/>
            </w:tcMar>
            <w:vAlign w:val="center"/>
          </w:tcPr>
          <w:p w14:paraId="6F5F0A6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2160F3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5387D87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79569165">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35CB6387">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409D0E6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35B1F0A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一般</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281BD24C">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0F770C80">
            <w:pPr>
              <w:spacing w:line="260" w:lineRule="exact"/>
              <w:rPr>
                <w:rFonts w:hint="eastAsia" w:ascii="宋体" w:hAnsi="宋体" w:eastAsia="宋体" w:cs="宋体"/>
                <w:color w:val="000000"/>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1C3BCDA4">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16079713">
            <w:pPr>
              <w:spacing w:line="260" w:lineRule="exact"/>
              <w:rPr>
                <w:rFonts w:hint="eastAsia" w:ascii="宋体" w:hAnsi="宋体" w:eastAsia="宋体" w:cs="宋体"/>
                <w:color w:val="000000"/>
                <w:kern w:val="2"/>
                <w:sz w:val="18"/>
                <w:szCs w:val="18"/>
                <w:vertAlign w:val="baseline"/>
                <w:lang w:val="en-US" w:eastAsia="zh-CN" w:bidi="ar-SA"/>
              </w:rPr>
            </w:pPr>
          </w:p>
        </w:tc>
        <w:tc>
          <w:tcPr>
            <w:tcW w:w="158" w:type="pct"/>
            <w:vMerge w:val="continue"/>
            <w:noWrap w:val="0"/>
            <w:tcMar>
              <w:top w:w="0" w:type="dxa"/>
              <w:left w:w="0" w:type="dxa"/>
              <w:bottom w:w="0" w:type="dxa"/>
              <w:right w:w="0" w:type="dxa"/>
            </w:tcMar>
            <w:vAlign w:val="center"/>
          </w:tcPr>
          <w:p w14:paraId="7DECF04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6AAB2D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23C9B92A">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13982C07">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70600F0C">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419102B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77CEE699">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较重</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70CF830B">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6F7D2685">
            <w:pPr>
              <w:spacing w:line="260" w:lineRule="exact"/>
              <w:rPr>
                <w:rFonts w:hint="eastAsia" w:ascii="宋体" w:hAnsi="宋体" w:eastAsia="宋体" w:cs="宋体"/>
                <w:color w:val="000000"/>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61502723">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00F19AF8">
            <w:pPr>
              <w:spacing w:line="260" w:lineRule="exact"/>
              <w:rPr>
                <w:rFonts w:hint="eastAsia" w:ascii="宋体" w:hAnsi="宋体" w:eastAsia="宋体" w:cs="宋体"/>
                <w:color w:val="000000"/>
                <w:kern w:val="2"/>
                <w:sz w:val="18"/>
                <w:szCs w:val="18"/>
                <w:vertAlign w:val="baseline"/>
                <w:lang w:val="en-US" w:eastAsia="zh-CN" w:bidi="ar-SA"/>
              </w:rPr>
            </w:pPr>
          </w:p>
        </w:tc>
        <w:tc>
          <w:tcPr>
            <w:tcW w:w="158" w:type="pct"/>
            <w:vMerge w:val="continue"/>
            <w:noWrap w:val="0"/>
            <w:tcMar>
              <w:top w:w="0" w:type="dxa"/>
              <w:left w:w="0" w:type="dxa"/>
              <w:bottom w:w="0" w:type="dxa"/>
              <w:right w:w="0" w:type="dxa"/>
            </w:tcMar>
            <w:vAlign w:val="center"/>
          </w:tcPr>
          <w:p w14:paraId="291F896D">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2025FA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111" w:hRule="atLeast"/>
          <w:jc w:val="center"/>
        </w:trPr>
        <w:tc>
          <w:tcPr>
            <w:tcW w:w="156" w:type="pct"/>
            <w:vMerge w:val="continue"/>
            <w:noWrap w:val="0"/>
            <w:tcMar>
              <w:top w:w="0" w:type="dxa"/>
              <w:left w:w="0" w:type="dxa"/>
              <w:bottom w:w="0" w:type="dxa"/>
              <w:right w:w="0" w:type="dxa"/>
            </w:tcMar>
            <w:vAlign w:val="center"/>
          </w:tcPr>
          <w:p w14:paraId="72BF8061">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01743D9F">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1DA2B73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7806E61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75D825C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严重</w:t>
            </w:r>
          </w:p>
        </w:tc>
        <w:tc>
          <w:tcPr>
            <w:tcW w:w="561" w:type="pct"/>
            <w:noWrap w:val="0"/>
            <w:tcMar>
              <w:top w:w="0" w:type="dxa"/>
              <w:left w:w="0" w:type="dxa"/>
              <w:bottom w:w="0" w:type="dxa"/>
              <w:right w:w="0" w:type="dxa"/>
            </w:tcMar>
            <w:vAlign w:val="center"/>
          </w:tcPr>
          <w:p w14:paraId="751E5444">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造成严重后果的</w:t>
            </w:r>
          </w:p>
        </w:tc>
        <w:tc>
          <w:tcPr>
            <w:tcW w:w="873" w:type="pct"/>
            <w:noWrap w:val="0"/>
            <w:tcMar>
              <w:top w:w="0" w:type="dxa"/>
              <w:left w:w="0" w:type="dxa"/>
              <w:bottom w:w="0" w:type="dxa"/>
              <w:right w:w="0" w:type="dxa"/>
            </w:tcMar>
            <w:vAlign w:val="center"/>
          </w:tcPr>
          <w:p w14:paraId="2787CF9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降低资质等级</w:t>
            </w:r>
          </w:p>
        </w:tc>
        <w:tc>
          <w:tcPr>
            <w:tcW w:w="158" w:type="pct"/>
            <w:vMerge w:val="continue"/>
            <w:noWrap w:val="0"/>
            <w:tcMar>
              <w:top w:w="0" w:type="dxa"/>
              <w:left w:w="0" w:type="dxa"/>
              <w:bottom w:w="0" w:type="dxa"/>
              <w:right w:w="0" w:type="dxa"/>
            </w:tcMar>
            <w:vAlign w:val="center"/>
          </w:tcPr>
          <w:p w14:paraId="17CBFC21">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0EFEFD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156" w:type="pct"/>
            <w:vMerge w:val="restart"/>
            <w:noWrap w:val="0"/>
            <w:tcMar>
              <w:top w:w="0" w:type="dxa"/>
              <w:left w:w="0" w:type="dxa"/>
              <w:bottom w:w="0" w:type="dxa"/>
              <w:right w:w="0" w:type="dxa"/>
            </w:tcMar>
            <w:vAlign w:val="center"/>
          </w:tcPr>
          <w:p w14:paraId="5E48F428">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r>
              <w:rPr>
                <w:rFonts w:hint="eastAsia" w:ascii="宋体" w:hAnsi="宋体" w:eastAsia="宋体" w:cs="宋体"/>
                <w:color w:val="000000"/>
                <w:sz w:val="18"/>
                <w:szCs w:val="18"/>
                <w:shd w:val="clear" w:color="auto" w:fill="auto"/>
                <w:vertAlign w:val="baseline"/>
                <w:lang w:val="en-US" w:eastAsia="zh-CN"/>
              </w:rPr>
              <w:t>88</w:t>
            </w:r>
          </w:p>
        </w:tc>
        <w:tc>
          <w:tcPr>
            <w:tcW w:w="415" w:type="pct"/>
            <w:vMerge w:val="restart"/>
            <w:noWrap w:val="0"/>
            <w:tcMar>
              <w:top w:w="0" w:type="dxa"/>
              <w:left w:w="0" w:type="dxa"/>
              <w:bottom w:w="0" w:type="dxa"/>
              <w:right w:w="0" w:type="dxa"/>
            </w:tcMar>
            <w:vAlign w:val="center"/>
          </w:tcPr>
          <w:p w14:paraId="21F81F81">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auto"/>
                <w:sz w:val="18"/>
                <w:szCs w:val="18"/>
                <w:vertAlign w:val="baseline"/>
                <w:lang w:val="en-US" w:eastAsia="zh-CN"/>
              </w:rPr>
              <w:t>对水利工程建设监理人员利用执（从）业上的便利，索取或者收受相关单位财物，与相关单位串通，谋取不正当利益等行为的行政处罚</w:t>
            </w:r>
          </w:p>
        </w:tc>
        <w:tc>
          <w:tcPr>
            <w:tcW w:w="2168" w:type="pct"/>
            <w:vMerge w:val="restart"/>
            <w:noWrap w:val="0"/>
            <w:tcMar>
              <w:top w:w="0" w:type="dxa"/>
              <w:left w:w="0" w:type="dxa"/>
              <w:bottom w:w="0" w:type="dxa"/>
              <w:right w:w="0" w:type="dxa"/>
            </w:tcMar>
            <w:vAlign w:val="center"/>
          </w:tcPr>
          <w:p w14:paraId="636116B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《水利工程建设监理规定》第三十一条 监理人员从事水利工程建设监理活动，有下列行为之一的，责令改正，给予警告；其中，监理工程师违规情节严重的，注销注册证书，2年内不予注册；有违法所得的，予以追缴，并处1万元以下罚款；造成损失的，依法承担赔偿责任；构成犯罪的，依法追究刑事责任：</w:t>
            </w:r>
          </w:p>
          <w:p w14:paraId="5BCAAF4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（一）利用执（从）业上的便利，索取或者收受项目法人、被监理单位以及建筑材料、建筑构配件和设备供应单位财物的；</w:t>
            </w:r>
          </w:p>
          <w:p w14:paraId="291BB98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（二）与被监理单位以及建筑材料、建筑构配件和设备供应单位串通，谋取不正当利益的；</w:t>
            </w:r>
          </w:p>
          <w:p w14:paraId="5837DBD4">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（三）非法泄露执（从）业中应当保守的秘密的。</w:t>
            </w:r>
          </w:p>
        </w:tc>
        <w:tc>
          <w:tcPr>
            <w:tcW w:w="491" w:type="pct"/>
            <w:vMerge w:val="restart"/>
            <w:noWrap w:val="0"/>
            <w:tcMar>
              <w:top w:w="0" w:type="dxa"/>
              <w:left w:w="0" w:type="dxa"/>
              <w:bottom w:w="0" w:type="dxa"/>
              <w:right w:w="0" w:type="dxa"/>
            </w:tcMar>
            <w:vAlign w:val="center"/>
          </w:tcPr>
          <w:p w14:paraId="05BA89E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水利工程建设监理人员利用执（从）业上的便利，索取或者收受相关单位财物，与相关单位串通，谋取不正当利益的</w:t>
            </w:r>
          </w:p>
        </w:tc>
        <w:tc>
          <w:tcPr>
            <w:tcW w:w="174" w:type="pct"/>
            <w:noWrap w:val="0"/>
            <w:tcMar>
              <w:top w:w="0" w:type="dxa"/>
              <w:left w:w="0" w:type="dxa"/>
              <w:bottom w:w="0" w:type="dxa"/>
              <w:right w:w="0" w:type="dxa"/>
            </w:tcMar>
            <w:vAlign w:val="center"/>
          </w:tcPr>
          <w:p w14:paraId="77C513DA">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轻微</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2FD94B34">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056A9D9D">
            <w:pPr>
              <w:spacing w:line="260" w:lineRule="exact"/>
              <w:rPr>
                <w:rFonts w:hint="eastAsia" w:ascii="宋体" w:hAnsi="宋体" w:eastAsia="宋体" w:cs="宋体"/>
                <w:color w:val="000000"/>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2FD6EDB5">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47D49B62">
            <w:pPr>
              <w:spacing w:line="260" w:lineRule="exact"/>
              <w:rPr>
                <w:rFonts w:hint="eastAsia" w:ascii="宋体" w:hAnsi="宋体" w:eastAsia="宋体" w:cs="宋体"/>
                <w:color w:val="000000"/>
                <w:kern w:val="2"/>
                <w:sz w:val="18"/>
                <w:szCs w:val="18"/>
                <w:vertAlign w:val="baseline"/>
                <w:lang w:val="en-US" w:eastAsia="zh-CN" w:bidi="ar-SA"/>
              </w:rPr>
            </w:pPr>
          </w:p>
        </w:tc>
        <w:tc>
          <w:tcPr>
            <w:tcW w:w="158" w:type="pct"/>
            <w:vMerge w:val="restart"/>
            <w:noWrap w:val="0"/>
            <w:tcMar>
              <w:top w:w="0" w:type="dxa"/>
              <w:left w:w="0" w:type="dxa"/>
              <w:bottom w:w="0" w:type="dxa"/>
              <w:right w:w="0" w:type="dxa"/>
            </w:tcMar>
            <w:vAlign w:val="center"/>
          </w:tcPr>
          <w:p w14:paraId="298278C0">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7831CF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156" w:type="pct"/>
            <w:vMerge w:val="continue"/>
            <w:noWrap w:val="0"/>
            <w:tcMar>
              <w:top w:w="0" w:type="dxa"/>
              <w:left w:w="0" w:type="dxa"/>
              <w:bottom w:w="0" w:type="dxa"/>
              <w:right w:w="0" w:type="dxa"/>
            </w:tcMar>
            <w:vAlign w:val="center"/>
          </w:tcPr>
          <w:p w14:paraId="2DC238DA">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63DF44C4">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738823A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745E6AC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603B2CD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较轻</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4A56CEC7">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289ECD82">
            <w:pPr>
              <w:spacing w:line="260" w:lineRule="exact"/>
              <w:rPr>
                <w:rFonts w:hint="eastAsia" w:ascii="宋体" w:hAnsi="宋体" w:eastAsia="宋体" w:cs="宋体"/>
                <w:color w:val="000000"/>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18CDE5FB">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3F441BF3">
            <w:pPr>
              <w:spacing w:line="260" w:lineRule="exact"/>
              <w:rPr>
                <w:rFonts w:hint="eastAsia" w:ascii="宋体" w:hAnsi="宋体" w:eastAsia="宋体" w:cs="宋体"/>
                <w:color w:val="000000"/>
                <w:kern w:val="2"/>
                <w:sz w:val="18"/>
                <w:szCs w:val="18"/>
                <w:vertAlign w:val="baseline"/>
                <w:lang w:val="en-US" w:eastAsia="zh-CN" w:bidi="ar-SA"/>
              </w:rPr>
            </w:pPr>
          </w:p>
        </w:tc>
        <w:tc>
          <w:tcPr>
            <w:tcW w:w="158" w:type="pct"/>
            <w:vMerge w:val="continue"/>
            <w:noWrap w:val="0"/>
            <w:tcMar>
              <w:top w:w="0" w:type="dxa"/>
              <w:left w:w="0" w:type="dxa"/>
              <w:bottom w:w="0" w:type="dxa"/>
              <w:right w:w="0" w:type="dxa"/>
            </w:tcMar>
            <w:vAlign w:val="center"/>
          </w:tcPr>
          <w:p w14:paraId="53C741B5">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37E86B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158C013B">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6AA2DC39">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2C97FBA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0AE7369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797B86A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一般</w:t>
            </w:r>
          </w:p>
        </w:tc>
        <w:tc>
          <w:tcPr>
            <w:tcW w:w="561" w:type="pct"/>
            <w:noWrap w:val="0"/>
            <w:tcMar>
              <w:top w:w="0" w:type="dxa"/>
              <w:left w:w="0" w:type="dxa"/>
              <w:bottom w:w="0" w:type="dxa"/>
              <w:right w:w="0" w:type="dxa"/>
            </w:tcMar>
            <w:vAlign w:val="center"/>
          </w:tcPr>
          <w:p w14:paraId="0D33E03C">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sz w:val="18"/>
                <w:szCs w:val="18"/>
                <w:vertAlign w:val="baseline"/>
              </w:rPr>
              <w:t>违法所得在1万元以下</w:t>
            </w:r>
          </w:p>
        </w:tc>
        <w:tc>
          <w:tcPr>
            <w:tcW w:w="873" w:type="pct"/>
            <w:noWrap w:val="0"/>
            <w:tcMar>
              <w:top w:w="0" w:type="dxa"/>
              <w:left w:w="0" w:type="dxa"/>
              <w:bottom w:w="0" w:type="dxa"/>
              <w:right w:w="0" w:type="dxa"/>
            </w:tcMar>
            <w:vAlign w:val="center"/>
          </w:tcPr>
          <w:p w14:paraId="7D4A04F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sz w:val="18"/>
                <w:szCs w:val="18"/>
                <w:vertAlign w:val="baseline"/>
              </w:rPr>
              <w:t>给予警告，予以追缴，处</w:t>
            </w:r>
            <w:r>
              <w:rPr>
                <w:rFonts w:hint="eastAsia" w:ascii="宋体" w:hAnsi="宋体" w:eastAsia="宋体" w:cs="宋体"/>
                <w:color w:val="000000"/>
                <w:sz w:val="18"/>
                <w:szCs w:val="18"/>
                <w:vertAlign w:val="baseline"/>
                <w:lang w:val="en-US" w:eastAsia="zh-CN"/>
              </w:rPr>
              <w:t>5</w:t>
            </w:r>
            <w:r>
              <w:rPr>
                <w:rFonts w:hint="eastAsia" w:ascii="宋体" w:hAnsi="宋体" w:eastAsia="宋体" w:cs="宋体"/>
                <w:color w:val="000000"/>
                <w:sz w:val="18"/>
                <w:szCs w:val="18"/>
                <w:vertAlign w:val="baseline"/>
              </w:rPr>
              <w:t>千元以下罚款</w:t>
            </w:r>
          </w:p>
        </w:tc>
        <w:tc>
          <w:tcPr>
            <w:tcW w:w="158" w:type="pct"/>
            <w:vMerge w:val="continue"/>
            <w:noWrap w:val="0"/>
            <w:tcMar>
              <w:top w:w="0" w:type="dxa"/>
              <w:left w:w="0" w:type="dxa"/>
              <w:bottom w:w="0" w:type="dxa"/>
              <w:right w:w="0" w:type="dxa"/>
            </w:tcMar>
            <w:vAlign w:val="center"/>
          </w:tcPr>
          <w:p w14:paraId="714F9A6A">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26194A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1DB953F0">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6D6D2AB6">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76048FF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03B09E6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41EACFAD">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较重</w:t>
            </w:r>
          </w:p>
        </w:tc>
        <w:tc>
          <w:tcPr>
            <w:tcW w:w="561" w:type="pct"/>
            <w:noWrap w:val="0"/>
            <w:tcMar>
              <w:top w:w="0" w:type="dxa"/>
              <w:left w:w="0" w:type="dxa"/>
              <w:bottom w:w="0" w:type="dxa"/>
              <w:right w:w="0" w:type="dxa"/>
            </w:tcMar>
            <w:vAlign w:val="center"/>
          </w:tcPr>
          <w:p w14:paraId="2DD92F4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违法所得在1万元以上10万元以下</w:t>
            </w:r>
          </w:p>
        </w:tc>
        <w:tc>
          <w:tcPr>
            <w:tcW w:w="873" w:type="pct"/>
            <w:noWrap w:val="0"/>
            <w:tcMar>
              <w:top w:w="0" w:type="dxa"/>
              <w:left w:w="0" w:type="dxa"/>
              <w:bottom w:w="0" w:type="dxa"/>
              <w:right w:w="0" w:type="dxa"/>
            </w:tcMar>
            <w:vAlign w:val="center"/>
          </w:tcPr>
          <w:p w14:paraId="0C7B612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给予警告，予以追缴，处5千元以上1万元以下罚款</w:t>
            </w:r>
          </w:p>
        </w:tc>
        <w:tc>
          <w:tcPr>
            <w:tcW w:w="158" w:type="pct"/>
            <w:vMerge w:val="continue"/>
            <w:noWrap w:val="0"/>
            <w:tcMar>
              <w:top w:w="0" w:type="dxa"/>
              <w:left w:w="0" w:type="dxa"/>
              <w:bottom w:w="0" w:type="dxa"/>
              <w:right w:w="0" w:type="dxa"/>
            </w:tcMar>
            <w:vAlign w:val="center"/>
          </w:tcPr>
          <w:p w14:paraId="180C7285">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05034B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78797181">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5F8C94E3">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1CC42EA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0059335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3DA57C68">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严重</w:t>
            </w:r>
          </w:p>
        </w:tc>
        <w:tc>
          <w:tcPr>
            <w:tcW w:w="561" w:type="pct"/>
            <w:noWrap w:val="0"/>
            <w:tcMar>
              <w:top w:w="0" w:type="dxa"/>
              <w:left w:w="0" w:type="dxa"/>
              <w:bottom w:w="0" w:type="dxa"/>
              <w:right w:w="0" w:type="dxa"/>
            </w:tcMar>
            <w:vAlign w:val="center"/>
          </w:tcPr>
          <w:p w14:paraId="3AA4480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违法所得在10万元以上的</w:t>
            </w:r>
            <w:r>
              <w:rPr>
                <w:rFonts w:hint="eastAsia" w:ascii="宋体" w:hAnsi="宋体" w:eastAsia="宋体" w:cs="宋体"/>
                <w:color w:val="000000"/>
                <w:sz w:val="18"/>
                <w:szCs w:val="18"/>
                <w:vertAlign w:val="baseline"/>
                <w:lang w:eastAsia="zh-CN"/>
              </w:rPr>
              <w:t>，</w:t>
            </w:r>
            <w:r>
              <w:rPr>
                <w:rFonts w:hint="eastAsia" w:ascii="宋体" w:hAnsi="宋体" w:eastAsia="宋体" w:cs="宋体"/>
                <w:color w:val="000000"/>
                <w:sz w:val="18"/>
                <w:szCs w:val="18"/>
                <w:vertAlign w:val="baseline"/>
              </w:rPr>
              <w:t>或者拒不整改的</w:t>
            </w:r>
          </w:p>
        </w:tc>
        <w:tc>
          <w:tcPr>
            <w:tcW w:w="873" w:type="pct"/>
            <w:noWrap w:val="0"/>
            <w:tcMar>
              <w:top w:w="0" w:type="dxa"/>
              <w:left w:w="0" w:type="dxa"/>
              <w:bottom w:w="0" w:type="dxa"/>
              <w:right w:w="0" w:type="dxa"/>
            </w:tcMar>
            <w:vAlign w:val="center"/>
          </w:tcPr>
          <w:p w14:paraId="6FC90B4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sz w:val="18"/>
                <w:szCs w:val="18"/>
                <w:vertAlign w:val="baseline"/>
              </w:rPr>
              <w:t>给予警告，予以追缴，处</w:t>
            </w:r>
            <w:r>
              <w:rPr>
                <w:rFonts w:hint="eastAsia" w:ascii="宋体" w:hAnsi="宋体" w:eastAsia="宋体" w:cs="宋体"/>
                <w:color w:val="000000"/>
                <w:sz w:val="18"/>
                <w:szCs w:val="18"/>
                <w:vertAlign w:val="baseline"/>
                <w:lang w:val="en-US" w:eastAsia="zh-CN"/>
              </w:rPr>
              <w:t>1</w:t>
            </w:r>
            <w:r>
              <w:rPr>
                <w:rFonts w:hint="eastAsia" w:ascii="宋体" w:hAnsi="宋体" w:eastAsia="宋体" w:cs="宋体"/>
                <w:color w:val="000000"/>
                <w:sz w:val="18"/>
                <w:szCs w:val="18"/>
                <w:vertAlign w:val="baseline"/>
              </w:rPr>
              <w:t>万元罚款</w:t>
            </w:r>
          </w:p>
        </w:tc>
        <w:tc>
          <w:tcPr>
            <w:tcW w:w="158" w:type="pct"/>
            <w:vMerge w:val="continue"/>
            <w:noWrap w:val="0"/>
            <w:tcMar>
              <w:top w:w="0" w:type="dxa"/>
              <w:left w:w="0" w:type="dxa"/>
              <w:bottom w:w="0" w:type="dxa"/>
              <w:right w:w="0" w:type="dxa"/>
            </w:tcMar>
            <w:vAlign w:val="center"/>
          </w:tcPr>
          <w:p w14:paraId="0FE0E8E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4EBEA7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156" w:type="pct"/>
            <w:vMerge w:val="restart"/>
            <w:noWrap w:val="0"/>
            <w:tcMar>
              <w:top w:w="0" w:type="dxa"/>
              <w:left w:w="0" w:type="dxa"/>
              <w:bottom w:w="0" w:type="dxa"/>
              <w:right w:w="0" w:type="dxa"/>
            </w:tcMar>
            <w:vAlign w:val="center"/>
          </w:tcPr>
          <w:p w14:paraId="74D83F3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default" w:ascii="宋体" w:hAnsi="宋体" w:eastAsia="宋体" w:cs="宋体"/>
                <w:color w:val="000000"/>
                <w:sz w:val="18"/>
                <w:szCs w:val="18"/>
                <w:shd w:val="clear" w:color="auto" w:fill="auto"/>
                <w:vertAlign w:val="baseline"/>
                <w:lang w:val="en-US" w:eastAsia="zh-CN"/>
              </w:rPr>
            </w:pPr>
            <w:r>
              <w:rPr>
                <w:rFonts w:hint="eastAsia" w:ascii="宋体" w:hAnsi="宋体" w:eastAsia="宋体" w:cs="宋体"/>
                <w:color w:val="000000"/>
                <w:sz w:val="18"/>
                <w:szCs w:val="18"/>
                <w:shd w:val="clear" w:color="auto" w:fill="auto"/>
                <w:vertAlign w:val="baseline"/>
                <w:lang w:val="en-US" w:eastAsia="zh-CN"/>
              </w:rPr>
              <w:t>89</w:t>
            </w:r>
          </w:p>
        </w:tc>
        <w:tc>
          <w:tcPr>
            <w:tcW w:w="415" w:type="pct"/>
            <w:vMerge w:val="restart"/>
            <w:noWrap w:val="0"/>
            <w:tcMar>
              <w:top w:w="0" w:type="dxa"/>
              <w:left w:w="0" w:type="dxa"/>
              <w:bottom w:w="0" w:type="dxa"/>
              <w:right w:w="0" w:type="dxa"/>
            </w:tcMar>
            <w:vAlign w:val="center"/>
          </w:tcPr>
          <w:p w14:paraId="50D02352">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对水利工程建设监理人员因过错造成质量事故，未执行法律、法规和工程建设强制性标准等行为的行政处罚</w:t>
            </w:r>
          </w:p>
        </w:tc>
        <w:tc>
          <w:tcPr>
            <w:tcW w:w="2168" w:type="pct"/>
            <w:vMerge w:val="restart"/>
            <w:noWrap w:val="0"/>
            <w:tcMar>
              <w:top w:w="0" w:type="dxa"/>
              <w:left w:w="0" w:type="dxa"/>
              <w:bottom w:w="0" w:type="dxa"/>
              <w:right w:w="0" w:type="dxa"/>
            </w:tcMar>
            <w:vAlign w:val="center"/>
          </w:tcPr>
          <w:p w14:paraId="48E2EE4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《水利工程建设监理规定》第三十二条 监理人员因过错造成质量事故的，责令停止执（从）业1年，其中，监理工程师因过错造成重大质量事故的，注销注册证书，5年内不予注册，情节特别严重的，终身不予注册。</w:t>
            </w:r>
          </w:p>
          <w:p w14:paraId="6AEB9E1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监理人员未执行法律、法规和工程建设强制性标准的，责令停止执（从）业3个月以上1年以下，其中，监理工程师违规情节严重的，注销注册证书，5年内不予注册，造成重大安全事故的，终身不予注册；构成犯罪的，依法追究刑事责任。</w:t>
            </w:r>
          </w:p>
        </w:tc>
        <w:tc>
          <w:tcPr>
            <w:tcW w:w="491" w:type="pct"/>
            <w:vMerge w:val="restart"/>
            <w:noWrap w:val="0"/>
            <w:tcMar>
              <w:top w:w="0" w:type="dxa"/>
              <w:left w:w="0" w:type="dxa"/>
              <w:bottom w:w="0" w:type="dxa"/>
              <w:right w:w="0" w:type="dxa"/>
            </w:tcMar>
            <w:vAlign w:val="center"/>
          </w:tcPr>
          <w:p w14:paraId="6D5E713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水利工程建设监理人员因过错造成质量事故的</w:t>
            </w:r>
          </w:p>
        </w:tc>
        <w:tc>
          <w:tcPr>
            <w:tcW w:w="174" w:type="pct"/>
            <w:noWrap w:val="0"/>
            <w:tcMar>
              <w:top w:w="0" w:type="dxa"/>
              <w:left w:w="0" w:type="dxa"/>
              <w:bottom w:w="0" w:type="dxa"/>
              <w:right w:w="0" w:type="dxa"/>
            </w:tcMar>
            <w:vAlign w:val="center"/>
          </w:tcPr>
          <w:p w14:paraId="2981573B">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轻微</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340F27F7">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2043019A">
            <w:pPr>
              <w:spacing w:line="260" w:lineRule="exact"/>
              <w:rPr>
                <w:rFonts w:hint="eastAsia" w:ascii="宋体" w:hAnsi="宋体" w:eastAsia="宋体" w:cs="宋体"/>
                <w:color w:val="000000"/>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2B9D15E8">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7BF7F985">
            <w:pPr>
              <w:spacing w:line="260" w:lineRule="exact"/>
              <w:rPr>
                <w:rFonts w:hint="eastAsia" w:ascii="宋体" w:hAnsi="宋体" w:eastAsia="宋体" w:cs="宋体"/>
                <w:color w:val="000000"/>
                <w:kern w:val="2"/>
                <w:sz w:val="18"/>
                <w:szCs w:val="18"/>
                <w:vertAlign w:val="baseline"/>
                <w:lang w:val="en-US" w:eastAsia="zh-CN" w:bidi="ar-SA"/>
              </w:rPr>
            </w:pPr>
          </w:p>
        </w:tc>
        <w:tc>
          <w:tcPr>
            <w:tcW w:w="158" w:type="pct"/>
            <w:vMerge w:val="restart"/>
            <w:noWrap w:val="0"/>
            <w:tcMar>
              <w:top w:w="0" w:type="dxa"/>
              <w:left w:w="0" w:type="dxa"/>
              <w:bottom w:w="0" w:type="dxa"/>
              <w:right w:w="0" w:type="dxa"/>
            </w:tcMar>
            <w:vAlign w:val="center"/>
          </w:tcPr>
          <w:p w14:paraId="416AEA9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5DEB48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156" w:type="pct"/>
            <w:vMerge w:val="continue"/>
            <w:noWrap w:val="0"/>
            <w:tcMar>
              <w:top w:w="0" w:type="dxa"/>
              <w:left w:w="0" w:type="dxa"/>
              <w:bottom w:w="0" w:type="dxa"/>
              <w:right w:w="0" w:type="dxa"/>
            </w:tcMar>
            <w:vAlign w:val="center"/>
          </w:tcPr>
          <w:p w14:paraId="3DFAAE69">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283B34A7">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59701C0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1C2FABB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0E910D15">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较轻</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0B93E571">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2F5AC47C">
            <w:pPr>
              <w:spacing w:line="260" w:lineRule="exact"/>
              <w:rPr>
                <w:rFonts w:hint="eastAsia" w:ascii="宋体" w:hAnsi="宋体" w:eastAsia="宋体" w:cs="宋体"/>
                <w:color w:val="000000"/>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5C3531E1">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5AA38A7B">
            <w:pPr>
              <w:spacing w:line="260" w:lineRule="exact"/>
              <w:rPr>
                <w:rFonts w:hint="eastAsia" w:ascii="宋体" w:hAnsi="宋体" w:eastAsia="宋体" w:cs="宋体"/>
                <w:color w:val="000000"/>
                <w:kern w:val="2"/>
                <w:sz w:val="18"/>
                <w:szCs w:val="18"/>
                <w:vertAlign w:val="baseline"/>
                <w:lang w:val="en-US" w:eastAsia="zh-CN" w:bidi="ar-SA"/>
              </w:rPr>
            </w:pPr>
          </w:p>
        </w:tc>
        <w:tc>
          <w:tcPr>
            <w:tcW w:w="158" w:type="pct"/>
            <w:vMerge w:val="continue"/>
            <w:noWrap w:val="0"/>
            <w:tcMar>
              <w:top w:w="0" w:type="dxa"/>
              <w:left w:w="0" w:type="dxa"/>
              <w:bottom w:w="0" w:type="dxa"/>
              <w:right w:w="0" w:type="dxa"/>
            </w:tcMar>
            <w:vAlign w:val="center"/>
          </w:tcPr>
          <w:p w14:paraId="0313B0CB">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133315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38E1483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1BCE141E">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16144AB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3AEE4CD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36A1A0CB">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一般</w:t>
            </w:r>
          </w:p>
        </w:tc>
        <w:tc>
          <w:tcPr>
            <w:tcW w:w="561" w:type="pct"/>
            <w:noWrap w:val="0"/>
            <w:tcMar>
              <w:top w:w="0" w:type="dxa"/>
              <w:left w:w="0" w:type="dxa"/>
              <w:bottom w:w="0" w:type="dxa"/>
              <w:right w:w="0" w:type="dxa"/>
            </w:tcMar>
            <w:vAlign w:val="center"/>
          </w:tcPr>
          <w:p w14:paraId="597F861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sz w:val="18"/>
                <w:szCs w:val="18"/>
                <w:vertAlign w:val="baseline"/>
              </w:rPr>
              <w:t>造成一般质量事故或者其他较严重后果的</w:t>
            </w:r>
          </w:p>
        </w:tc>
        <w:tc>
          <w:tcPr>
            <w:tcW w:w="873" w:type="pct"/>
            <w:noWrap w:val="0"/>
            <w:tcMar>
              <w:top w:w="0" w:type="dxa"/>
              <w:left w:w="0" w:type="dxa"/>
              <w:bottom w:w="0" w:type="dxa"/>
              <w:right w:w="0" w:type="dxa"/>
            </w:tcMar>
            <w:vAlign w:val="center"/>
          </w:tcPr>
          <w:p w14:paraId="5A30797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责令停止执业1年</w:t>
            </w:r>
          </w:p>
        </w:tc>
        <w:tc>
          <w:tcPr>
            <w:tcW w:w="158" w:type="pct"/>
            <w:vMerge w:val="continue"/>
            <w:noWrap w:val="0"/>
            <w:tcMar>
              <w:top w:w="0" w:type="dxa"/>
              <w:left w:w="0" w:type="dxa"/>
              <w:bottom w:w="0" w:type="dxa"/>
              <w:right w:w="0" w:type="dxa"/>
            </w:tcMar>
            <w:vAlign w:val="center"/>
          </w:tcPr>
          <w:p w14:paraId="7EBF31ED">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482C6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00BCD0BD">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657124EF">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58DBDED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2E7BB97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486846A8">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较重</w:t>
            </w:r>
          </w:p>
        </w:tc>
        <w:tc>
          <w:tcPr>
            <w:tcW w:w="561" w:type="pct"/>
            <w:noWrap w:val="0"/>
            <w:tcMar>
              <w:top w:w="0" w:type="dxa"/>
              <w:left w:w="0" w:type="dxa"/>
              <w:bottom w:w="0" w:type="dxa"/>
              <w:right w:w="0" w:type="dxa"/>
            </w:tcMar>
            <w:vAlign w:val="center"/>
          </w:tcPr>
          <w:p w14:paraId="04B39C8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造成较大质量事故或者其他严重后果的</w:t>
            </w:r>
          </w:p>
        </w:tc>
        <w:tc>
          <w:tcPr>
            <w:tcW w:w="873" w:type="pct"/>
            <w:noWrap w:val="0"/>
            <w:tcMar>
              <w:top w:w="0" w:type="dxa"/>
              <w:left w:w="0" w:type="dxa"/>
              <w:bottom w:w="0" w:type="dxa"/>
              <w:right w:w="0" w:type="dxa"/>
            </w:tcMar>
            <w:vAlign w:val="center"/>
          </w:tcPr>
          <w:p w14:paraId="6765BCF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吊销执业资格证书，5年内不予注册</w:t>
            </w:r>
          </w:p>
        </w:tc>
        <w:tc>
          <w:tcPr>
            <w:tcW w:w="158" w:type="pct"/>
            <w:vMerge w:val="continue"/>
            <w:noWrap w:val="0"/>
            <w:tcMar>
              <w:top w:w="0" w:type="dxa"/>
              <w:left w:w="0" w:type="dxa"/>
              <w:bottom w:w="0" w:type="dxa"/>
              <w:right w:w="0" w:type="dxa"/>
            </w:tcMar>
            <w:vAlign w:val="center"/>
          </w:tcPr>
          <w:p w14:paraId="6033AE45">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3B71CB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2F1E6A11">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2D6BD5E1">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4CF354B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1EE72CD7">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5FE6E3A9">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严重</w:t>
            </w:r>
          </w:p>
        </w:tc>
        <w:tc>
          <w:tcPr>
            <w:tcW w:w="561" w:type="pct"/>
            <w:noWrap w:val="0"/>
            <w:tcMar>
              <w:top w:w="0" w:type="dxa"/>
              <w:left w:w="0" w:type="dxa"/>
              <w:bottom w:w="0" w:type="dxa"/>
              <w:right w:w="0" w:type="dxa"/>
            </w:tcMar>
            <w:vAlign w:val="center"/>
          </w:tcPr>
          <w:p w14:paraId="3388EDC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造成重大、特别重大质量事故或者其他特别严重后果的</w:t>
            </w:r>
          </w:p>
        </w:tc>
        <w:tc>
          <w:tcPr>
            <w:tcW w:w="873" w:type="pct"/>
            <w:noWrap w:val="0"/>
            <w:tcMar>
              <w:top w:w="0" w:type="dxa"/>
              <w:left w:w="0" w:type="dxa"/>
              <w:bottom w:w="0" w:type="dxa"/>
              <w:right w:w="0" w:type="dxa"/>
            </w:tcMar>
            <w:vAlign w:val="center"/>
          </w:tcPr>
          <w:p w14:paraId="541D6B5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吊销执业资格证书，终身不予注册</w:t>
            </w:r>
          </w:p>
        </w:tc>
        <w:tc>
          <w:tcPr>
            <w:tcW w:w="158" w:type="pct"/>
            <w:vMerge w:val="continue"/>
            <w:noWrap w:val="0"/>
            <w:tcMar>
              <w:top w:w="0" w:type="dxa"/>
              <w:left w:w="0" w:type="dxa"/>
              <w:bottom w:w="0" w:type="dxa"/>
              <w:right w:w="0" w:type="dxa"/>
            </w:tcMar>
            <w:vAlign w:val="center"/>
          </w:tcPr>
          <w:p w14:paraId="3C5D9379">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765A47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156" w:type="pct"/>
            <w:vMerge w:val="continue"/>
            <w:noWrap w:val="0"/>
            <w:tcMar>
              <w:top w:w="0" w:type="dxa"/>
              <w:left w:w="0" w:type="dxa"/>
              <w:bottom w:w="0" w:type="dxa"/>
              <w:right w:w="0" w:type="dxa"/>
            </w:tcMar>
            <w:vAlign w:val="center"/>
          </w:tcPr>
          <w:p w14:paraId="50797BBC">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25D4EC02">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596821A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restart"/>
            <w:noWrap w:val="0"/>
            <w:tcMar>
              <w:top w:w="0" w:type="dxa"/>
              <w:left w:w="0" w:type="dxa"/>
              <w:bottom w:w="0" w:type="dxa"/>
              <w:right w:w="0" w:type="dxa"/>
            </w:tcMar>
            <w:vAlign w:val="center"/>
          </w:tcPr>
          <w:p w14:paraId="33E701D4">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对水利工程建设监理人员未执行法律、法规和工程建设强制性标准的</w:t>
            </w:r>
          </w:p>
        </w:tc>
        <w:tc>
          <w:tcPr>
            <w:tcW w:w="174" w:type="pct"/>
            <w:noWrap w:val="0"/>
            <w:tcMar>
              <w:top w:w="0" w:type="dxa"/>
              <w:left w:w="0" w:type="dxa"/>
              <w:bottom w:w="0" w:type="dxa"/>
              <w:right w:w="0" w:type="dxa"/>
            </w:tcMar>
            <w:vAlign w:val="center"/>
          </w:tcPr>
          <w:p w14:paraId="1452BBA5">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轻微</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0109893E">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5CC28612">
            <w:pPr>
              <w:spacing w:line="260" w:lineRule="exact"/>
              <w:rPr>
                <w:rFonts w:hint="eastAsia" w:ascii="宋体" w:hAnsi="宋体" w:eastAsia="宋体" w:cs="宋体"/>
                <w:color w:val="000000"/>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7940AD37">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3B439D20">
            <w:pPr>
              <w:spacing w:line="260" w:lineRule="exact"/>
              <w:rPr>
                <w:rFonts w:hint="eastAsia" w:ascii="宋体" w:hAnsi="宋体" w:eastAsia="宋体" w:cs="宋体"/>
                <w:color w:val="000000"/>
                <w:kern w:val="2"/>
                <w:sz w:val="18"/>
                <w:szCs w:val="18"/>
                <w:vertAlign w:val="baseline"/>
                <w:lang w:val="en-US" w:eastAsia="zh-CN" w:bidi="ar-SA"/>
              </w:rPr>
            </w:pPr>
          </w:p>
        </w:tc>
        <w:tc>
          <w:tcPr>
            <w:tcW w:w="158" w:type="pct"/>
            <w:vMerge w:val="restart"/>
            <w:noWrap w:val="0"/>
            <w:tcMar>
              <w:top w:w="0" w:type="dxa"/>
              <w:left w:w="0" w:type="dxa"/>
              <w:bottom w:w="0" w:type="dxa"/>
              <w:right w:w="0" w:type="dxa"/>
            </w:tcMar>
            <w:vAlign w:val="center"/>
          </w:tcPr>
          <w:p w14:paraId="31D3476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0C2EE4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156" w:type="pct"/>
            <w:vMerge w:val="continue"/>
            <w:noWrap w:val="0"/>
            <w:tcMar>
              <w:top w:w="0" w:type="dxa"/>
              <w:left w:w="0" w:type="dxa"/>
              <w:bottom w:w="0" w:type="dxa"/>
              <w:right w:w="0" w:type="dxa"/>
            </w:tcMar>
            <w:vAlign w:val="center"/>
          </w:tcPr>
          <w:p w14:paraId="52B40CC0">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7220F349">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04A0810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435B145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378B6F25">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较轻</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408C4589">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2831176F">
            <w:pPr>
              <w:spacing w:line="260" w:lineRule="exact"/>
              <w:rPr>
                <w:rFonts w:hint="eastAsia" w:ascii="宋体" w:hAnsi="宋体" w:eastAsia="宋体" w:cs="宋体"/>
                <w:color w:val="000000"/>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59956A4C">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4B7C43D1">
            <w:pPr>
              <w:spacing w:line="260" w:lineRule="exact"/>
              <w:rPr>
                <w:rFonts w:hint="eastAsia" w:ascii="宋体" w:hAnsi="宋体" w:eastAsia="宋体" w:cs="宋体"/>
                <w:color w:val="000000"/>
                <w:kern w:val="2"/>
                <w:sz w:val="18"/>
                <w:szCs w:val="18"/>
                <w:vertAlign w:val="baseline"/>
                <w:lang w:val="en-US" w:eastAsia="zh-CN" w:bidi="ar-SA"/>
              </w:rPr>
            </w:pPr>
          </w:p>
        </w:tc>
        <w:tc>
          <w:tcPr>
            <w:tcW w:w="158" w:type="pct"/>
            <w:vMerge w:val="continue"/>
            <w:noWrap w:val="0"/>
            <w:tcMar>
              <w:top w:w="0" w:type="dxa"/>
              <w:left w:w="0" w:type="dxa"/>
              <w:bottom w:w="0" w:type="dxa"/>
              <w:right w:w="0" w:type="dxa"/>
            </w:tcMar>
            <w:vAlign w:val="center"/>
          </w:tcPr>
          <w:p w14:paraId="6A42938D">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5F8476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6661FA11">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695F6A62">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47430F4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1275284C">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412E4DC5">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一般</w:t>
            </w:r>
          </w:p>
        </w:tc>
        <w:tc>
          <w:tcPr>
            <w:tcW w:w="561" w:type="pct"/>
            <w:noWrap w:val="0"/>
            <w:tcMar>
              <w:top w:w="0" w:type="dxa"/>
              <w:left w:w="0" w:type="dxa"/>
              <w:bottom w:w="0" w:type="dxa"/>
              <w:right w:w="0" w:type="dxa"/>
            </w:tcMar>
            <w:vAlign w:val="center"/>
          </w:tcPr>
          <w:p w14:paraId="6DE4D7C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sz w:val="18"/>
                <w:szCs w:val="18"/>
                <w:vertAlign w:val="baseline"/>
              </w:rPr>
              <w:t>造成一般安全事故或者其他较严重后果的</w:t>
            </w:r>
          </w:p>
        </w:tc>
        <w:tc>
          <w:tcPr>
            <w:tcW w:w="873" w:type="pct"/>
            <w:noWrap w:val="0"/>
            <w:tcMar>
              <w:top w:w="0" w:type="dxa"/>
              <w:left w:w="0" w:type="dxa"/>
              <w:bottom w:w="0" w:type="dxa"/>
              <w:right w:w="0" w:type="dxa"/>
            </w:tcMar>
            <w:vAlign w:val="center"/>
          </w:tcPr>
          <w:p w14:paraId="02EF0B44">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责令停止执业3个月以上1年以下（含1年）</w:t>
            </w:r>
          </w:p>
        </w:tc>
        <w:tc>
          <w:tcPr>
            <w:tcW w:w="158" w:type="pct"/>
            <w:vMerge w:val="continue"/>
            <w:noWrap w:val="0"/>
            <w:tcMar>
              <w:top w:w="0" w:type="dxa"/>
              <w:left w:w="0" w:type="dxa"/>
              <w:bottom w:w="0" w:type="dxa"/>
              <w:right w:w="0" w:type="dxa"/>
            </w:tcMar>
            <w:vAlign w:val="center"/>
          </w:tcPr>
          <w:p w14:paraId="6D7CBD8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5491A4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38" w:hRule="atLeast"/>
          <w:jc w:val="center"/>
        </w:trPr>
        <w:tc>
          <w:tcPr>
            <w:tcW w:w="156" w:type="pct"/>
            <w:vMerge w:val="continue"/>
            <w:noWrap w:val="0"/>
            <w:tcMar>
              <w:top w:w="0" w:type="dxa"/>
              <w:left w:w="0" w:type="dxa"/>
              <w:bottom w:w="0" w:type="dxa"/>
              <w:right w:w="0" w:type="dxa"/>
            </w:tcMar>
            <w:vAlign w:val="center"/>
          </w:tcPr>
          <w:p w14:paraId="5B8B5FAC">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451C5353">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534B75C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1871303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7F503589">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较重</w:t>
            </w:r>
          </w:p>
        </w:tc>
        <w:tc>
          <w:tcPr>
            <w:tcW w:w="561" w:type="pct"/>
            <w:noWrap w:val="0"/>
            <w:tcMar>
              <w:top w:w="0" w:type="dxa"/>
              <w:left w:w="0" w:type="dxa"/>
              <w:bottom w:w="0" w:type="dxa"/>
              <w:right w:w="0" w:type="dxa"/>
            </w:tcMar>
            <w:vAlign w:val="center"/>
          </w:tcPr>
          <w:p w14:paraId="59985431">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造成较大安全事故或者其他严重后果的</w:t>
            </w:r>
          </w:p>
        </w:tc>
        <w:tc>
          <w:tcPr>
            <w:tcW w:w="873" w:type="pct"/>
            <w:noWrap w:val="0"/>
            <w:tcMar>
              <w:top w:w="0" w:type="dxa"/>
              <w:left w:w="0" w:type="dxa"/>
              <w:bottom w:w="0" w:type="dxa"/>
              <w:right w:w="0" w:type="dxa"/>
            </w:tcMar>
            <w:vAlign w:val="center"/>
          </w:tcPr>
          <w:p w14:paraId="1D921756">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吊销执业资格证书，5年内不予注册</w:t>
            </w:r>
          </w:p>
        </w:tc>
        <w:tc>
          <w:tcPr>
            <w:tcW w:w="158" w:type="pct"/>
            <w:vMerge w:val="continue"/>
            <w:noWrap w:val="0"/>
            <w:tcMar>
              <w:top w:w="0" w:type="dxa"/>
              <w:left w:w="0" w:type="dxa"/>
              <w:bottom w:w="0" w:type="dxa"/>
              <w:right w:w="0" w:type="dxa"/>
            </w:tcMar>
            <w:vAlign w:val="center"/>
          </w:tcPr>
          <w:p w14:paraId="3D06FECA">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2FAB7C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89" w:hRule="atLeast"/>
          <w:jc w:val="center"/>
        </w:trPr>
        <w:tc>
          <w:tcPr>
            <w:tcW w:w="156" w:type="pct"/>
            <w:vMerge w:val="continue"/>
            <w:noWrap w:val="0"/>
            <w:tcMar>
              <w:top w:w="0" w:type="dxa"/>
              <w:left w:w="0" w:type="dxa"/>
              <w:bottom w:w="0" w:type="dxa"/>
              <w:right w:w="0" w:type="dxa"/>
            </w:tcMar>
            <w:vAlign w:val="center"/>
          </w:tcPr>
          <w:p w14:paraId="4BB44B9B">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5BB18146">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4B65410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7BFE15B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2BCDB6D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严重</w:t>
            </w:r>
          </w:p>
        </w:tc>
        <w:tc>
          <w:tcPr>
            <w:tcW w:w="561" w:type="pct"/>
            <w:noWrap w:val="0"/>
            <w:tcMar>
              <w:top w:w="0" w:type="dxa"/>
              <w:left w:w="0" w:type="dxa"/>
              <w:bottom w:w="0" w:type="dxa"/>
              <w:right w:w="0" w:type="dxa"/>
            </w:tcMar>
            <w:vAlign w:val="center"/>
          </w:tcPr>
          <w:p w14:paraId="58C93255">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造成重大、特别重大安全事故或者其他特别严重后果的</w:t>
            </w:r>
          </w:p>
        </w:tc>
        <w:tc>
          <w:tcPr>
            <w:tcW w:w="873" w:type="pct"/>
            <w:noWrap w:val="0"/>
            <w:tcMar>
              <w:top w:w="0" w:type="dxa"/>
              <w:left w:w="0" w:type="dxa"/>
              <w:bottom w:w="0" w:type="dxa"/>
              <w:right w:w="0" w:type="dxa"/>
            </w:tcMar>
            <w:vAlign w:val="center"/>
          </w:tcPr>
          <w:p w14:paraId="374B9F9A">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吊销执业资格证书，终身不予注册</w:t>
            </w:r>
          </w:p>
        </w:tc>
        <w:tc>
          <w:tcPr>
            <w:tcW w:w="158" w:type="pct"/>
            <w:vMerge w:val="continue"/>
            <w:noWrap w:val="0"/>
            <w:tcMar>
              <w:top w:w="0" w:type="dxa"/>
              <w:left w:w="0" w:type="dxa"/>
              <w:bottom w:w="0" w:type="dxa"/>
              <w:right w:w="0" w:type="dxa"/>
            </w:tcMar>
            <w:vAlign w:val="center"/>
          </w:tcPr>
          <w:p w14:paraId="2E78C18D">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0DF8C4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restart"/>
            <w:noWrap w:val="0"/>
            <w:tcMar>
              <w:top w:w="0" w:type="dxa"/>
              <w:left w:w="0" w:type="dxa"/>
              <w:bottom w:w="0" w:type="dxa"/>
              <w:right w:w="0" w:type="dxa"/>
            </w:tcMar>
            <w:vAlign w:val="center"/>
          </w:tcPr>
          <w:p w14:paraId="73A15BF5">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default" w:ascii="宋体" w:hAnsi="宋体" w:eastAsia="宋体" w:cs="宋体"/>
                <w:color w:val="000000"/>
                <w:sz w:val="18"/>
                <w:szCs w:val="18"/>
                <w:shd w:val="clear" w:color="auto" w:fill="auto"/>
                <w:vertAlign w:val="baseline"/>
                <w:lang w:val="en-US" w:eastAsia="zh-CN"/>
              </w:rPr>
            </w:pPr>
            <w:r>
              <w:rPr>
                <w:rFonts w:hint="eastAsia" w:ascii="宋体" w:hAnsi="宋体" w:eastAsia="宋体" w:cs="宋体"/>
                <w:color w:val="000000"/>
                <w:sz w:val="18"/>
                <w:szCs w:val="18"/>
                <w:shd w:val="clear" w:color="auto" w:fill="auto"/>
                <w:vertAlign w:val="baseline"/>
                <w:lang w:val="en-US" w:eastAsia="zh-CN"/>
              </w:rPr>
              <w:t>90</w:t>
            </w:r>
          </w:p>
        </w:tc>
        <w:tc>
          <w:tcPr>
            <w:tcW w:w="415" w:type="pct"/>
            <w:vMerge w:val="restart"/>
            <w:noWrap w:val="0"/>
            <w:tcMar>
              <w:top w:w="0" w:type="dxa"/>
              <w:left w:w="0" w:type="dxa"/>
              <w:bottom w:w="0" w:type="dxa"/>
              <w:right w:w="0" w:type="dxa"/>
            </w:tcMar>
            <w:vAlign w:val="center"/>
          </w:tcPr>
          <w:p w14:paraId="38217A26">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对水利工程质量检测单位伪造检验数据，出具虚假质量检测报告行为的行政处罚</w:t>
            </w:r>
          </w:p>
        </w:tc>
        <w:tc>
          <w:tcPr>
            <w:tcW w:w="2168" w:type="pct"/>
            <w:vMerge w:val="restart"/>
            <w:noWrap w:val="0"/>
            <w:tcMar>
              <w:top w:w="0" w:type="dxa"/>
              <w:left w:w="0" w:type="dxa"/>
              <w:bottom w:w="0" w:type="dxa"/>
              <w:right w:w="0" w:type="dxa"/>
            </w:tcMar>
            <w:vAlign w:val="center"/>
          </w:tcPr>
          <w:p w14:paraId="3352530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auto"/>
                <w:sz w:val="18"/>
                <w:szCs w:val="18"/>
                <w:vertAlign w:val="baseline"/>
                <w:lang w:val="en-US" w:eastAsia="zh-CN"/>
              </w:rPr>
            </w:pPr>
            <w:r>
              <w:rPr>
                <w:rFonts w:hint="eastAsia" w:ascii="宋体" w:hAnsi="宋体" w:eastAsia="宋体" w:cs="宋体"/>
                <w:color w:val="000000"/>
                <w:sz w:val="18"/>
                <w:szCs w:val="18"/>
                <w:vertAlign w:val="baseline"/>
                <w:lang w:val="en-US" w:eastAsia="zh-CN"/>
              </w:rPr>
              <w:t>《水利工程质量管理规定》第七十二条 水利工程质量检测单位伪造检测数据，出具虚假质量检测</w:t>
            </w:r>
            <w:r>
              <w:rPr>
                <w:rFonts w:hint="eastAsia" w:ascii="宋体" w:hAnsi="宋体" w:eastAsia="宋体" w:cs="宋体"/>
                <w:color w:val="auto"/>
                <w:sz w:val="18"/>
                <w:szCs w:val="18"/>
                <w:vertAlign w:val="baseline"/>
                <w:lang w:val="en-US" w:eastAsia="zh-CN"/>
              </w:rPr>
              <w:t>报告的，由水行政主管部门或者流域管理机构依据职权责令改正，给予警告或者通报批评，处10万元以下罚款；给他人造成损失的，依法承担赔偿责任。</w:t>
            </w:r>
          </w:p>
          <w:p w14:paraId="5B581FA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auto"/>
                <w:sz w:val="18"/>
                <w:szCs w:val="18"/>
                <w:vertAlign w:val="baseline"/>
                <w:lang w:val="en-US" w:eastAsia="zh-CN"/>
              </w:rPr>
              <w:t>第七十三条第二款 依照《建设</w:t>
            </w:r>
            <w:r>
              <w:rPr>
                <w:rFonts w:hint="eastAsia" w:ascii="宋体" w:hAnsi="宋体" w:eastAsia="宋体" w:cs="宋体"/>
                <w:color w:val="000000"/>
                <w:sz w:val="18"/>
                <w:szCs w:val="18"/>
                <w:vertAlign w:val="baseline"/>
                <w:lang w:val="en-US" w:eastAsia="zh-CN"/>
              </w:rPr>
              <w:t>工程质量管理条例》给予单位罚款处罚的，对单位直接负责的主管人员和其他直接责任人员处单位罚款数额5%以上10%以下的罚款。</w:t>
            </w:r>
          </w:p>
        </w:tc>
        <w:tc>
          <w:tcPr>
            <w:tcW w:w="491" w:type="pct"/>
            <w:vMerge w:val="restart"/>
            <w:noWrap w:val="0"/>
            <w:tcMar>
              <w:top w:w="0" w:type="dxa"/>
              <w:left w:w="0" w:type="dxa"/>
              <w:bottom w:w="0" w:type="dxa"/>
              <w:right w:w="0" w:type="dxa"/>
            </w:tcMar>
            <w:vAlign w:val="center"/>
          </w:tcPr>
          <w:p w14:paraId="19472817">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水利工程质量检测单位伪造检验数据，出具虚假质量检测报告的</w:t>
            </w:r>
          </w:p>
        </w:tc>
        <w:tc>
          <w:tcPr>
            <w:tcW w:w="174" w:type="pct"/>
            <w:noWrap w:val="0"/>
            <w:tcMar>
              <w:top w:w="0" w:type="dxa"/>
              <w:left w:w="0" w:type="dxa"/>
              <w:bottom w:w="0" w:type="dxa"/>
              <w:right w:w="0" w:type="dxa"/>
            </w:tcMar>
            <w:vAlign w:val="center"/>
          </w:tcPr>
          <w:p w14:paraId="3A17B01B">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轻微</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7D5D8AF8">
            <w:pPr>
              <w:snapToGrid/>
              <w:spacing w:line="28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67B3274F">
            <w:pPr>
              <w:spacing w:line="280" w:lineRule="exact"/>
              <w:rPr>
                <w:rFonts w:hint="eastAsia" w:ascii="宋体" w:hAnsi="宋体" w:eastAsia="宋体" w:cs="宋体"/>
                <w:color w:val="000000"/>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76EF0BEE">
            <w:pPr>
              <w:snapToGrid/>
              <w:spacing w:line="28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6E199515">
            <w:pPr>
              <w:spacing w:line="280" w:lineRule="exact"/>
              <w:rPr>
                <w:rFonts w:hint="eastAsia" w:ascii="宋体" w:hAnsi="宋体" w:eastAsia="宋体" w:cs="宋体"/>
                <w:color w:val="000000"/>
                <w:kern w:val="2"/>
                <w:sz w:val="18"/>
                <w:szCs w:val="18"/>
                <w:vertAlign w:val="baseline"/>
                <w:lang w:val="en-US" w:eastAsia="zh-CN" w:bidi="ar-SA"/>
              </w:rPr>
            </w:pPr>
          </w:p>
        </w:tc>
        <w:tc>
          <w:tcPr>
            <w:tcW w:w="158" w:type="pct"/>
            <w:vMerge w:val="restart"/>
            <w:noWrap w:val="0"/>
            <w:tcMar>
              <w:top w:w="0" w:type="dxa"/>
              <w:left w:w="0" w:type="dxa"/>
              <w:bottom w:w="0" w:type="dxa"/>
              <w:right w:w="0" w:type="dxa"/>
            </w:tcMar>
            <w:vAlign w:val="center"/>
          </w:tcPr>
          <w:p w14:paraId="5DC3156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525874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360" w:hRule="atLeast"/>
          <w:jc w:val="center"/>
        </w:trPr>
        <w:tc>
          <w:tcPr>
            <w:tcW w:w="156" w:type="pct"/>
            <w:vMerge w:val="continue"/>
            <w:noWrap w:val="0"/>
            <w:tcMar>
              <w:top w:w="0" w:type="dxa"/>
              <w:left w:w="0" w:type="dxa"/>
              <w:bottom w:w="0" w:type="dxa"/>
              <w:right w:w="0" w:type="dxa"/>
            </w:tcMar>
            <w:vAlign w:val="center"/>
          </w:tcPr>
          <w:p w14:paraId="776EB86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23ED8C6F">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322EB47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2103ABA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5816CB2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较轻</w:t>
            </w:r>
          </w:p>
        </w:tc>
        <w:tc>
          <w:tcPr>
            <w:tcW w:w="561" w:type="pct"/>
            <w:noWrap w:val="0"/>
            <w:tcMar>
              <w:top w:w="0" w:type="dxa"/>
              <w:left w:w="0" w:type="dxa"/>
              <w:bottom w:w="0" w:type="dxa"/>
              <w:right w:w="0" w:type="dxa"/>
            </w:tcMar>
            <w:vAlign w:val="center"/>
          </w:tcPr>
          <w:p w14:paraId="33C1052D">
            <w:pPr>
              <w:pStyle w:val="10"/>
              <w:keepNext w:val="0"/>
              <w:keepLines w:val="0"/>
              <w:pageBreakBefore w:val="0"/>
              <w:widowControl w:val="0"/>
              <w:kinsoku/>
              <w:wordWrap/>
              <w:overflowPunct/>
              <w:topLinePunct w:val="0"/>
              <w:autoSpaceDE/>
              <w:autoSpaceDN/>
              <w:bidi w:val="0"/>
              <w:adjustRightInd/>
              <w:snapToGrid/>
              <w:spacing w:beforeAutospacing="0" w:afterAutospacing="0" w:line="280" w:lineRule="exact"/>
              <w:jc w:val="both"/>
              <w:textAlignment w:val="auto"/>
              <w:rPr>
                <w:rFonts w:hint="eastAsia" w:ascii="宋体" w:hAnsi="宋体" w:eastAsia="宋体" w:cs="宋体"/>
                <w:strike/>
                <w:color w:val="auto"/>
                <w:kern w:val="0"/>
                <w:sz w:val="18"/>
                <w:szCs w:val="18"/>
                <w:shd w:val="clear" w:color="FFFFFF" w:fill="D9D9D9"/>
                <w:lang w:val="en-US" w:eastAsia="zh-CN" w:bidi="ar-SA"/>
              </w:rPr>
            </w:pPr>
            <w:r>
              <w:rPr>
                <w:rFonts w:hint="eastAsia" w:ascii="宋体" w:hAnsi="宋体" w:eastAsia="宋体" w:cs="宋体"/>
                <w:color w:val="auto"/>
                <w:sz w:val="18"/>
                <w:szCs w:val="18"/>
              </w:rPr>
              <w:t>出具1次虚假报告的</w:t>
            </w:r>
          </w:p>
        </w:tc>
        <w:tc>
          <w:tcPr>
            <w:tcW w:w="873" w:type="pct"/>
            <w:noWrap w:val="0"/>
            <w:tcMar>
              <w:top w:w="0" w:type="dxa"/>
              <w:left w:w="0" w:type="dxa"/>
              <w:bottom w:w="0" w:type="dxa"/>
              <w:right w:w="0" w:type="dxa"/>
            </w:tcMar>
            <w:vAlign w:val="center"/>
          </w:tcPr>
          <w:p w14:paraId="75A7BDC9">
            <w:pPr>
              <w:pStyle w:val="10"/>
              <w:keepNext w:val="0"/>
              <w:keepLines w:val="0"/>
              <w:pageBreakBefore w:val="0"/>
              <w:widowControl w:val="0"/>
              <w:kinsoku/>
              <w:wordWrap/>
              <w:overflowPunct/>
              <w:topLinePunct w:val="0"/>
              <w:autoSpaceDE/>
              <w:autoSpaceDN/>
              <w:bidi w:val="0"/>
              <w:adjustRightInd/>
              <w:snapToGrid/>
              <w:spacing w:beforeAutospacing="0" w:afterAutospacing="0" w:line="280" w:lineRule="exact"/>
              <w:jc w:val="both"/>
              <w:textAlignment w:val="auto"/>
              <w:rPr>
                <w:rFonts w:hint="eastAsia" w:ascii="宋体" w:hAnsi="宋体" w:eastAsia="宋体" w:cs="宋体"/>
                <w:color w:val="auto"/>
                <w:kern w:val="0"/>
                <w:sz w:val="18"/>
                <w:szCs w:val="18"/>
                <w:lang w:val="en-US" w:eastAsia="zh-CN" w:bidi="ar-SA"/>
              </w:rPr>
            </w:pPr>
            <w:r>
              <w:rPr>
                <w:rFonts w:hint="eastAsia" w:ascii="宋体" w:hAnsi="宋体" w:eastAsia="宋体" w:cs="宋体"/>
                <w:color w:val="auto"/>
                <w:sz w:val="18"/>
                <w:szCs w:val="18"/>
              </w:rPr>
              <w:t>责令改正，给予警告，并处3万元罚款；对单位直接负责的主管人员和其他直接责任人员处单位罚款数额5%以上6.5%以下的罚款</w:t>
            </w:r>
          </w:p>
        </w:tc>
        <w:tc>
          <w:tcPr>
            <w:tcW w:w="158" w:type="pct"/>
            <w:vMerge w:val="continue"/>
            <w:noWrap w:val="0"/>
            <w:tcMar>
              <w:top w:w="0" w:type="dxa"/>
              <w:left w:w="0" w:type="dxa"/>
              <w:bottom w:w="0" w:type="dxa"/>
              <w:right w:w="0" w:type="dxa"/>
            </w:tcMar>
            <w:vAlign w:val="center"/>
          </w:tcPr>
          <w:p w14:paraId="72741291">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49DB2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571" w:hRule="atLeast"/>
          <w:jc w:val="center"/>
        </w:trPr>
        <w:tc>
          <w:tcPr>
            <w:tcW w:w="156" w:type="pct"/>
            <w:vMerge w:val="continue"/>
            <w:noWrap w:val="0"/>
            <w:tcMar>
              <w:top w:w="0" w:type="dxa"/>
              <w:left w:w="0" w:type="dxa"/>
              <w:bottom w:w="0" w:type="dxa"/>
              <w:right w:w="0" w:type="dxa"/>
            </w:tcMar>
            <w:vAlign w:val="center"/>
          </w:tcPr>
          <w:p w14:paraId="370215AD">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4A0FDC77">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4C02B77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5B8DB71C">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14843071">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一般</w:t>
            </w:r>
          </w:p>
        </w:tc>
        <w:tc>
          <w:tcPr>
            <w:tcW w:w="561" w:type="pct"/>
            <w:noWrap w:val="0"/>
            <w:tcMar>
              <w:top w:w="0" w:type="dxa"/>
              <w:left w:w="0" w:type="dxa"/>
              <w:bottom w:w="0" w:type="dxa"/>
              <w:right w:w="0" w:type="dxa"/>
            </w:tcMar>
            <w:vAlign w:val="center"/>
          </w:tcPr>
          <w:p w14:paraId="01D319D1">
            <w:pPr>
              <w:pStyle w:val="10"/>
              <w:keepNext w:val="0"/>
              <w:keepLines w:val="0"/>
              <w:pageBreakBefore w:val="0"/>
              <w:widowControl w:val="0"/>
              <w:kinsoku/>
              <w:wordWrap/>
              <w:overflowPunct/>
              <w:topLinePunct w:val="0"/>
              <w:autoSpaceDE/>
              <w:autoSpaceDN/>
              <w:bidi w:val="0"/>
              <w:adjustRightInd/>
              <w:snapToGrid/>
              <w:spacing w:beforeAutospacing="0" w:afterAutospacing="0" w:line="280" w:lineRule="exact"/>
              <w:jc w:val="both"/>
              <w:textAlignment w:val="auto"/>
              <w:rPr>
                <w:rFonts w:hint="eastAsia" w:ascii="宋体" w:hAnsi="宋体" w:eastAsia="宋体" w:cs="宋体"/>
                <w:strike/>
                <w:color w:val="auto"/>
                <w:kern w:val="0"/>
                <w:sz w:val="18"/>
                <w:szCs w:val="18"/>
                <w:shd w:val="clear" w:color="FFFFFF" w:fill="D9D9D9"/>
                <w:lang w:val="en-US" w:eastAsia="zh-CN" w:bidi="ar-SA"/>
              </w:rPr>
            </w:pPr>
            <w:r>
              <w:rPr>
                <w:rFonts w:hint="eastAsia" w:ascii="宋体" w:hAnsi="宋体" w:eastAsia="宋体" w:cs="宋体"/>
                <w:color w:val="auto"/>
                <w:sz w:val="18"/>
                <w:szCs w:val="18"/>
              </w:rPr>
              <w:t>出具2次虚假报告的</w:t>
            </w:r>
          </w:p>
        </w:tc>
        <w:tc>
          <w:tcPr>
            <w:tcW w:w="873" w:type="pct"/>
            <w:noWrap w:val="0"/>
            <w:tcMar>
              <w:top w:w="0" w:type="dxa"/>
              <w:left w:w="0" w:type="dxa"/>
              <w:bottom w:w="0" w:type="dxa"/>
              <w:right w:w="0" w:type="dxa"/>
            </w:tcMar>
            <w:vAlign w:val="center"/>
          </w:tcPr>
          <w:p w14:paraId="54A9EB5E">
            <w:pPr>
              <w:pStyle w:val="10"/>
              <w:keepNext w:val="0"/>
              <w:keepLines w:val="0"/>
              <w:pageBreakBefore w:val="0"/>
              <w:widowControl w:val="0"/>
              <w:kinsoku/>
              <w:wordWrap/>
              <w:overflowPunct/>
              <w:topLinePunct w:val="0"/>
              <w:autoSpaceDE/>
              <w:autoSpaceDN/>
              <w:bidi w:val="0"/>
              <w:adjustRightInd/>
              <w:snapToGrid/>
              <w:spacing w:beforeAutospacing="0" w:afterAutospacing="0" w:line="280" w:lineRule="exact"/>
              <w:jc w:val="both"/>
              <w:textAlignment w:val="auto"/>
              <w:rPr>
                <w:rFonts w:hint="eastAsia" w:ascii="宋体" w:hAnsi="宋体" w:eastAsia="宋体" w:cs="宋体"/>
                <w:color w:val="auto"/>
                <w:kern w:val="0"/>
                <w:sz w:val="18"/>
                <w:szCs w:val="18"/>
                <w:lang w:val="en-US" w:eastAsia="zh-CN" w:bidi="ar-SA"/>
              </w:rPr>
            </w:pPr>
            <w:r>
              <w:rPr>
                <w:rFonts w:hint="eastAsia" w:ascii="宋体" w:hAnsi="宋体" w:eastAsia="宋体" w:cs="宋体"/>
                <w:color w:val="auto"/>
                <w:sz w:val="18"/>
                <w:szCs w:val="18"/>
              </w:rPr>
              <w:t>责令改正，通报批评，并处3万元以上7万元以下罚款；对单位直接负责的主管人员和其他直接责任人员处单位罚款数额6.5%以上8.5%以下的罚款</w:t>
            </w:r>
          </w:p>
        </w:tc>
        <w:tc>
          <w:tcPr>
            <w:tcW w:w="158" w:type="pct"/>
            <w:vMerge w:val="continue"/>
            <w:noWrap w:val="0"/>
            <w:tcMar>
              <w:top w:w="0" w:type="dxa"/>
              <w:left w:w="0" w:type="dxa"/>
              <w:bottom w:w="0" w:type="dxa"/>
              <w:right w:w="0" w:type="dxa"/>
            </w:tcMar>
            <w:vAlign w:val="center"/>
          </w:tcPr>
          <w:p w14:paraId="1041C92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147C33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628" w:hRule="atLeast"/>
          <w:jc w:val="center"/>
        </w:trPr>
        <w:tc>
          <w:tcPr>
            <w:tcW w:w="156" w:type="pct"/>
            <w:vMerge w:val="continue"/>
            <w:noWrap w:val="0"/>
            <w:tcMar>
              <w:top w:w="0" w:type="dxa"/>
              <w:left w:w="0" w:type="dxa"/>
              <w:bottom w:w="0" w:type="dxa"/>
              <w:right w:w="0" w:type="dxa"/>
            </w:tcMar>
            <w:vAlign w:val="center"/>
          </w:tcPr>
          <w:p w14:paraId="304BF7D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104453FB">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02895B4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3DB9AE9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0026503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较重</w:t>
            </w:r>
          </w:p>
        </w:tc>
        <w:tc>
          <w:tcPr>
            <w:tcW w:w="561" w:type="pct"/>
            <w:noWrap w:val="0"/>
            <w:tcMar>
              <w:top w:w="0" w:type="dxa"/>
              <w:left w:w="0" w:type="dxa"/>
              <w:bottom w:w="0" w:type="dxa"/>
              <w:right w:w="0" w:type="dxa"/>
            </w:tcMar>
            <w:vAlign w:val="center"/>
          </w:tcPr>
          <w:p w14:paraId="36B6F1E6">
            <w:pPr>
              <w:pStyle w:val="10"/>
              <w:keepNext w:val="0"/>
              <w:keepLines w:val="0"/>
              <w:pageBreakBefore w:val="0"/>
              <w:widowControl w:val="0"/>
              <w:kinsoku/>
              <w:wordWrap/>
              <w:overflowPunct/>
              <w:topLinePunct w:val="0"/>
              <w:autoSpaceDE/>
              <w:autoSpaceDN/>
              <w:bidi w:val="0"/>
              <w:adjustRightInd/>
              <w:snapToGrid/>
              <w:spacing w:beforeAutospacing="0" w:afterAutospacing="0" w:line="280" w:lineRule="exact"/>
              <w:jc w:val="both"/>
              <w:textAlignment w:val="auto"/>
              <w:rPr>
                <w:rFonts w:hint="eastAsia" w:ascii="宋体" w:hAnsi="宋体" w:eastAsia="宋体" w:cs="宋体"/>
                <w:strike/>
                <w:color w:val="auto"/>
                <w:kern w:val="0"/>
                <w:sz w:val="18"/>
                <w:szCs w:val="18"/>
                <w:shd w:val="clear" w:color="FFFFFF" w:fill="D9D9D9"/>
                <w:lang w:val="en-US" w:eastAsia="zh-CN" w:bidi="ar-SA"/>
              </w:rPr>
            </w:pPr>
            <w:r>
              <w:rPr>
                <w:rFonts w:hint="eastAsia" w:ascii="宋体" w:hAnsi="宋体" w:eastAsia="宋体" w:cs="宋体"/>
                <w:color w:val="auto"/>
                <w:sz w:val="18"/>
                <w:szCs w:val="18"/>
              </w:rPr>
              <w:t>出具3次虚假报告的；或者1年内出具2次虚假报告的</w:t>
            </w:r>
          </w:p>
        </w:tc>
        <w:tc>
          <w:tcPr>
            <w:tcW w:w="873" w:type="pct"/>
            <w:noWrap w:val="0"/>
            <w:tcMar>
              <w:top w:w="0" w:type="dxa"/>
              <w:left w:w="0" w:type="dxa"/>
              <w:bottom w:w="0" w:type="dxa"/>
              <w:right w:w="0" w:type="dxa"/>
            </w:tcMar>
            <w:vAlign w:val="center"/>
          </w:tcPr>
          <w:p w14:paraId="493B939F">
            <w:pPr>
              <w:pStyle w:val="10"/>
              <w:keepNext w:val="0"/>
              <w:keepLines w:val="0"/>
              <w:pageBreakBefore w:val="0"/>
              <w:widowControl w:val="0"/>
              <w:kinsoku/>
              <w:wordWrap/>
              <w:overflowPunct/>
              <w:topLinePunct w:val="0"/>
              <w:autoSpaceDE/>
              <w:autoSpaceDN/>
              <w:bidi w:val="0"/>
              <w:adjustRightInd/>
              <w:snapToGrid/>
              <w:spacing w:beforeAutospacing="0" w:afterAutospacing="0" w:line="280" w:lineRule="exact"/>
              <w:jc w:val="both"/>
              <w:textAlignment w:val="auto"/>
              <w:rPr>
                <w:rFonts w:hint="eastAsia" w:ascii="宋体" w:hAnsi="宋体" w:eastAsia="宋体" w:cs="宋体"/>
                <w:color w:val="auto"/>
                <w:kern w:val="0"/>
                <w:sz w:val="18"/>
                <w:szCs w:val="18"/>
                <w:lang w:val="en-US" w:eastAsia="zh-CN" w:bidi="ar-SA"/>
              </w:rPr>
            </w:pPr>
            <w:r>
              <w:rPr>
                <w:rFonts w:hint="eastAsia" w:ascii="宋体" w:hAnsi="宋体" w:eastAsia="宋体" w:cs="宋体"/>
                <w:color w:val="auto"/>
                <w:sz w:val="18"/>
                <w:szCs w:val="18"/>
              </w:rPr>
              <w:t>责令改正，通报批评，并处7万元以上10万元以下罚款；对单位直接负责的主管人员和其他直接责任人员处单位罚款数额8.5%以上10%以下的罚款</w:t>
            </w:r>
          </w:p>
        </w:tc>
        <w:tc>
          <w:tcPr>
            <w:tcW w:w="158" w:type="pct"/>
            <w:vMerge w:val="continue"/>
            <w:noWrap w:val="0"/>
            <w:tcMar>
              <w:top w:w="0" w:type="dxa"/>
              <w:left w:w="0" w:type="dxa"/>
              <w:bottom w:w="0" w:type="dxa"/>
              <w:right w:w="0" w:type="dxa"/>
            </w:tcMar>
            <w:vAlign w:val="center"/>
          </w:tcPr>
          <w:p w14:paraId="741500A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3974F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360" w:hRule="atLeast"/>
          <w:jc w:val="center"/>
        </w:trPr>
        <w:tc>
          <w:tcPr>
            <w:tcW w:w="156" w:type="pct"/>
            <w:vMerge w:val="continue"/>
            <w:noWrap w:val="0"/>
            <w:tcMar>
              <w:top w:w="0" w:type="dxa"/>
              <w:left w:w="0" w:type="dxa"/>
              <w:bottom w:w="0" w:type="dxa"/>
              <w:right w:w="0" w:type="dxa"/>
            </w:tcMar>
            <w:vAlign w:val="center"/>
          </w:tcPr>
          <w:p w14:paraId="4445662B">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2217038C">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3793F4A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4741E4B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3A7925AC">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严重</w:t>
            </w:r>
          </w:p>
        </w:tc>
        <w:tc>
          <w:tcPr>
            <w:tcW w:w="561" w:type="pct"/>
            <w:noWrap w:val="0"/>
            <w:tcMar>
              <w:top w:w="0" w:type="dxa"/>
              <w:left w:w="0" w:type="dxa"/>
              <w:bottom w:w="0" w:type="dxa"/>
              <w:right w:w="0" w:type="dxa"/>
            </w:tcMar>
            <w:vAlign w:val="center"/>
          </w:tcPr>
          <w:p w14:paraId="0DA13169">
            <w:pPr>
              <w:pStyle w:val="10"/>
              <w:keepNext w:val="0"/>
              <w:keepLines w:val="0"/>
              <w:pageBreakBefore w:val="0"/>
              <w:widowControl w:val="0"/>
              <w:kinsoku/>
              <w:wordWrap/>
              <w:overflowPunct/>
              <w:topLinePunct w:val="0"/>
              <w:autoSpaceDE/>
              <w:autoSpaceDN/>
              <w:bidi w:val="0"/>
              <w:adjustRightInd/>
              <w:snapToGrid/>
              <w:spacing w:beforeAutospacing="0" w:afterAutospacing="0" w:line="280" w:lineRule="exact"/>
              <w:jc w:val="both"/>
              <w:textAlignment w:val="auto"/>
              <w:rPr>
                <w:rFonts w:hint="eastAsia" w:ascii="宋体" w:hAnsi="宋体" w:eastAsia="宋体" w:cs="宋体"/>
                <w:strike/>
                <w:color w:val="auto"/>
                <w:kern w:val="0"/>
                <w:sz w:val="18"/>
                <w:szCs w:val="18"/>
                <w:shd w:val="clear" w:color="FFFFFF" w:fill="D9D9D9"/>
                <w:lang w:val="en-US" w:eastAsia="zh-CN" w:bidi="ar-SA"/>
              </w:rPr>
            </w:pPr>
            <w:r>
              <w:rPr>
                <w:rFonts w:hint="eastAsia" w:ascii="宋体" w:hAnsi="宋体" w:eastAsia="宋体" w:cs="宋体"/>
                <w:color w:val="auto"/>
                <w:sz w:val="18"/>
                <w:szCs w:val="18"/>
              </w:rPr>
              <w:t>出具4次以上虚假报告的；或者1年内出具3次以上虚假报告的</w:t>
            </w:r>
          </w:p>
        </w:tc>
        <w:tc>
          <w:tcPr>
            <w:tcW w:w="873" w:type="pct"/>
            <w:noWrap w:val="0"/>
            <w:tcMar>
              <w:top w:w="0" w:type="dxa"/>
              <w:left w:w="0" w:type="dxa"/>
              <w:bottom w:w="0" w:type="dxa"/>
              <w:right w:w="0" w:type="dxa"/>
            </w:tcMar>
            <w:vAlign w:val="center"/>
          </w:tcPr>
          <w:p w14:paraId="45FB0B84">
            <w:pPr>
              <w:pStyle w:val="10"/>
              <w:keepNext w:val="0"/>
              <w:keepLines w:val="0"/>
              <w:pageBreakBefore w:val="0"/>
              <w:widowControl w:val="0"/>
              <w:kinsoku/>
              <w:wordWrap/>
              <w:overflowPunct/>
              <w:topLinePunct w:val="0"/>
              <w:autoSpaceDE/>
              <w:autoSpaceDN/>
              <w:bidi w:val="0"/>
              <w:adjustRightInd/>
              <w:snapToGrid/>
              <w:spacing w:beforeAutospacing="0" w:afterAutospacing="0" w:line="280" w:lineRule="exact"/>
              <w:jc w:val="both"/>
              <w:textAlignment w:val="auto"/>
              <w:rPr>
                <w:rFonts w:hint="eastAsia" w:ascii="宋体" w:hAnsi="宋体" w:eastAsia="宋体" w:cs="宋体"/>
                <w:color w:val="auto"/>
                <w:kern w:val="0"/>
                <w:sz w:val="18"/>
                <w:szCs w:val="18"/>
                <w:lang w:val="en-US" w:eastAsia="zh-CN" w:bidi="ar-SA"/>
              </w:rPr>
            </w:pPr>
            <w:r>
              <w:rPr>
                <w:rFonts w:hint="eastAsia" w:ascii="宋体" w:hAnsi="宋体" w:eastAsia="宋体" w:cs="宋体"/>
                <w:color w:val="auto"/>
                <w:sz w:val="18"/>
                <w:szCs w:val="18"/>
              </w:rPr>
              <w:t>责令改正，通报批评，并处10万元罚款；对单位直接负责的主管人员和其他直接责任人员处单位罚款数额10%的罚款</w:t>
            </w:r>
          </w:p>
        </w:tc>
        <w:tc>
          <w:tcPr>
            <w:tcW w:w="158" w:type="pct"/>
            <w:vMerge w:val="continue"/>
            <w:noWrap w:val="0"/>
            <w:tcMar>
              <w:top w:w="0" w:type="dxa"/>
              <w:left w:w="0" w:type="dxa"/>
              <w:bottom w:w="0" w:type="dxa"/>
              <w:right w:w="0" w:type="dxa"/>
            </w:tcMar>
            <w:vAlign w:val="center"/>
          </w:tcPr>
          <w:p w14:paraId="27BF837B">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143842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restart"/>
            <w:noWrap w:val="0"/>
            <w:tcMar>
              <w:top w:w="0" w:type="dxa"/>
              <w:left w:w="0" w:type="dxa"/>
              <w:bottom w:w="0" w:type="dxa"/>
              <w:right w:w="0" w:type="dxa"/>
            </w:tcMar>
            <w:vAlign w:val="center"/>
          </w:tcPr>
          <w:p w14:paraId="74DBFDD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default" w:ascii="宋体" w:hAnsi="宋体" w:eastAsia="宋体" w:cs="宋体"/>
                <w:color w:val="000000"/>
                <w:sz w:val="18"/>
                <w:szCs w:val="18"/>
                <w:shd w:val="clear" w:color="auto" w:fill="auto"/>
                <w:vertAlign w:val="baseline"/>
                <w:lang w:val="en-US" w:eastAsia="zh-CN"/>
              </w:rPr>
            </w:pPr>
            <w:r>
              <w:rPr>
                <w:rFonts w:hint="eastAsia" w:ascii="宋体" w:hAnsi="宋体" w:eastAsia="宋体" w:cs="宋体"/>
                <w:color w:val="000000"/>
                <w:sz w:val="18"/>
                <w:szCs w:val="18"/>
                <w:shd w:val="clear" w:color="auto" w:fill="auto"/>
                <w:vertAlign w:val="baseline"/>
                <w:lang w:val="en-US" w:eastAsia="zh-CN"/>
              </w:rPr>
              <w:t>91</w:t>
            </w:r>
          </w:p>
        </w:tc>
        <w:tc>
          <w:tcPr>
            <w:tcW w:w="415" w:type="pct"/>
            <w:vMerge w:val="restart"/>
            <w:noWrap w:val="0"/>
            <w:tcMar>
              <w:top w:w="0" w:type="dxa"/>
              <w:left w:w="0" w:type="dxa"/>
              <w:bottom w:w="0" w:type="dxa"/>
              <w:right w:w="0" w:type="dxa"/>
            </w:tcMar>
            <w:vAlign w:val="center"/>
          </w:tcPr>
          <w:p w14:paraId="6B73C093">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对水利工程质量检测单位使用不符合条件的检测人员、未按规定上报发现的违法违规行为和检测不合格事项等行为的行政处罚</w:t>
            </w:r>
          </w:p>
        </w:tc>
        <w:tc>
          <w:tcPr>
            <w:tcW w:w="2168" w:type="pct"/>
            <w:vMerge w:val="restart"/>
            <w:noWrap w:val="0"/>
            <w:tcMar>
              <w:top w:w="0" w:type="dxa"/>
              <w:left w:w="0" w:type="dxa"/>
              <w:bottom w:w="0" w:type="dxa"/>
              <w:right w:w="0" w:type="dxa"/>
            </w:tcMar>
            <w:vAlign w:val="center"/>
          </w:tcPr>
          <w:p w14:paraId="42290CE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auto"/>
                <w:sz w:val="18"/>
                <w:szCs w:val="18"/>
                <w:vertAlign w:val="baseline"/>
                <w:lang w:val="en-US" w:eastAsia="zh-CN"/>
              </w:rPr>
            </w:pPr>
            <w:r>
              <w:rPr>
                <w:rFonts w:hint="eastAsia" w:ascii="宋体" w:hAnsi="宋体" w:eastAsia="宋体" w:cs="宋体"/>
                <w:color w:val="000000"/>
                <w:sz w:val="18"/>
                <w:szCs w:val="18"/>
                <w:vertAlign w:val="baseline"/>
                <w:lang w:val="en-US" w:eastAsia="zh-CN"/>
              </w:rPr>
              <w:t>《水利工程质量检测管理规定》第二十七条 检测单位违反本规定，有下列行为之一的，由县级以上人民政府</w:t>
            </w:r>
            <w:r>
              <w:rPr>
                <w:rFonts w:hint="eastAsia" w:ascii="宋体" w:hAnsi="宋体" w:eastAsia="宋体" w:cs="宋体"/>
                <w:color w:val="auto"/>
                <w:sz w:val="18"/>
                <w:szCs w:val="18"/>
                <w:vertAlign w:val="baseline"/>
                <w:lang w:val="en-US" w:eastAsia="zh-CN"/>
              </w:rPr>
              <w:t>水行政主管部门责令改正，有违法所得的，没收违法所得，可并处1万元以上3万元以下的罚款；构成犯罪的，依法追究刑事责任：</w:t>
            </w:r>
          </w:p>
          <w:p w14:paraId="6FDF8AE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auto"/>
                <w:sz w:val="18"/>
                <w:szCs w:val="18"/>
                <w:vertAlign w:val="baseline"/>
                <w:lang w:val="en-US" w:eastAsia="zh-CN"/>
              </w:rPr>
              <w:t>（一）超出资质等级范围从事检</w:t>
            </w:r>
            <w:r>
              <w:rPr>
                <w:rFonts w:hint="eastAsia" w:ascii="宋体" w:hAnsi="宋体" w:eastAsia="宋体" w:cs="宋体"/>
                <w:color w:val="000000"/>
                <w:sz w:val="18"/>
                <w:szCs w:val="18"/>
                <w:vertAlign w:val="baseline"/>
                <w:lang w:val="en-US" w:eastAsia="zh-CN"/>
              </w:rPr>
              <w:t>测活动的；（二）涂改、倒卖、出租、出借或者以其他形式非法转让《资质等级证书》的；（三）使用不符合条件的检测人员的；（四）未按规定上报发现的违法违规行为和检测不合格事项的；（五）未按规定在质量检测报告上签字盖章的；（六）未按照国家和行业标准进行检测的；（七）档案资料管理混乱，造成检测数据无法追溯的；（八）转包、违规分包检测业务的。</w:t>
            </w:r>
          </w:p>
        </w:tc>
        <w:tc>
          <w:tcPr>
            <w:tcW w:w="491" w:type="pct"/>
            <w:vMerge w:val="restart"/>
            <w:noWrap w:val="0"/>
            <w:tcMar>
              <w:top w:w="0" w:type="dxa"/>
              <w:left w:w="0" w:type="dxa"/>
              <w:bottom w:w="0" w:type="dxa"/>
              <w:right w:w="0" w:type="dxa"/>
            </w:tcMar>
            <w:vAlign w:val="center"/>
          </w:tcPr>
          <w:p w14:paraId="06F7D764">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检测机构使用不能满足所开展建设工程质量检测活动要求的检测人员或者仪器设备的</w:t>
            </w:r>
          </w:p>
        </w:tc>
        <w:tc>
          <w:tcPr>
            <w:tcW w:w="174" w:type="pct"/>
            <w:noWrap w:val="0"/>
            <w:tcMar>
              <w:top w:w="0" w:type="dxa"/>
              <w:left w:w="0" w:type="dxa"/>
              <w:bottom w:w="0" w:type="dxa"/>
              <w:right w:w="0" w:type="dxa"/>
            </w:tcMar>
            <w:vAlign w:val="center"/>
          </w:tcPr>
          <w:p w14:paraId="546343DD">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轻微</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085A272D">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64E5D8B9">
            <w:pPr>
              <w:spacing w:line="260" w:lineRule="exact"/>
              <w:rPr>
                <w:rFonts w:hint="eastAsia" w:ascii="宋体" w:hAnsi="宋体" w:eastAsia="宋体" w:cs="宋体"/>
                <w:color w:val="000000"/>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307E3336">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57645621">
            <w:pPr>
              <w:spacing w:line="260" w:lineRule="exact"/>
              <w:rPr>
                <w:rFonts w:hint="eastAsia" w:ascii="宋体" w:hAnsi="宋体" w:eastAsia="宋体" w:cs="宋体"/>
                <w:color w:val="000000"/>
                <w:kern w:val="2"/>
                <w:sz w:val="18"/>
                <w:szCs w:val="18"/>
                <w:vertAlign w:val="baseline"/>
                <w:lang w:val="en-US" w:eastAsia="zh-CN" w:bidi="ar-SA"/>
              </w:rPr>
            </w:pPr>
          </w:p>
        </w:tc>
        <w:tc>
          <w:tcPr>
            <w:tcW w:w="158" w:type="pct"/>
            <w:vMerge w:val="restart"/>
            <w:noWrap w:val="0"/>
            <w:tcMar>
              <w:top w:w="0" w:type="dxa"/>
              <w:left w:w="0" w:type="dxa"/>
              <w:bottom w:w="0" w:type="dxa"/>
              <w:right w:w="0" w:type="dxa"/>
            </w:tcMar>
            <w:vAlign w:val="center"/>
          </w:tcPr>
          <w:p w14:paraId="5C8D01B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338494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7D86189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3441D355">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430C708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64A9990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30030F51">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较轻</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1045F486">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222FB85F">
            <w:pPr>
              <w:spacing w:line="260" w:lineRule="exact"/>
              <w:rPr>
                <w:rFonts w:hint="eastAsia" w:ascii="宋体" w:hAnsi="宋体" w:eastAsia="宋体" w:cs="宋体"/>
                <w:color w:val="000000"/>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375AF09D">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1AD47A6D">
            <w:pPr>
              <w:spacing w:line="260" w:lineRule="exact"/>
              <w:rPr>
                <w:rFonts w:hint="eastAsia" w:ascii="宋体" w:hAnsi="宋体" w:eastAsia="宋体" w:cs="宋体"/>
                <w:color w:val="000000"/>
                <w:kern w:val="2"/>
                <w:sz w:val="18"/>
                <w:szCs w:val="18"/>
                <w:vertAlign w:val="baseline"/>
                <w:lang w:val="en-US" w:eastAsia="zh-CN" w:bidi="ar-SA"/>
              </w:rPr>
            </w:pPr>
          </w:p>
        </w:tc>
        <w:tc>
          <w:tcPr>
            <w:tcW w:w="158" w:type="pct"/>
            <w:vMerge w:val="continue"/>
            <w:noWrap w:val="0"/>
            <w:tcMar>
              <w:top w:w="0" w:type="dxa"/>
              <w:left w:w="0" w:type="dxa"/>
              <w:bottom w:w="0" w:type="dxa"/>
              <w:right w:w="0" w:type="dxa"/>
            </w:tcMar>
            <w:vAlign w:val="center"/>
          </w:tcPr>
          <w:p w14:paraId="151A3A9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0B8710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78" w:hRule="atLeast"/>
          <w:jc w:val="center"/>
        </w:trPr>
        <w:tc>
          <w:tcPr>
            <w:tcW w:w="156" w:type="pct"/>
            <w:vMerge w:val="continue"/>
            <w:noWrap w:val="0"/>
            <w:tcMar>
              <w:top w:w="0" w:type="dxa"/>
              <w:left w:w="0" w:type="dxa"/>
              <w:bottom w:w="0" w:type="dxa"/>
              <w:right w:w="0" w:type="dxa"/>
            </w:tcMar>
            <w:vAlign w:val="center"/>
          </w:tcPr>
          <w:p w14:paraId="52B53720">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6D9B28EF">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1A771AD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68C37797">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46FD55C0">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一般</w:t>
            </w:r>
          </w:p>
        </w:tc>
        <w:tc>
          <w:tcPr>
            <w:tcW w:w="561" w:type="pct"/>
            <w:noWrap w:val="0"/>
            <w:tcMar>
              <w:top w:w="0" w:type="dxa"/>
              <w:left w:w="0" w:type="dxa"/>
              <w:bottom w:w="0" w:type="dxa"/>
              <w:right w:w="0" w:type="dxa"/>
            </w:tcMar>
            <w:vAlign w:val="center"/>
          </w:tcPr>
          <w:p w14:paraId="49A16ED0">
            <w:pPr>
              <w:pStyle w:val="10"/>
              <w:keepNext w:val="0"/>
              <w:keepLines w:val="0"/>
              <w:pageBreakBefore w:val="0"/>
              <w:widowControl w:val="0"/>
              <w:kinsoku/>
              <w:wordWrap/>
              <w:overflowPunct/>
              <w:topLinePunct w:val="0"/>
              <w:autoSpaceDE/>
              <w:autoSpaceDN/>
              <w:bidi w:val="0"/>
              <w:adjustRightInd/>
              <w:snapToGrid/>
              <w:spacing w:beforeAutospacing="0" w:afterAutospacing="0"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auto"/>
                <w:sz w:val="18"/>
                <w:szCs w:val="18"/>
              </w:rPr>
              <w:t>未造成后果或造成轻微危害后果的</w:t>
            </w:r>
          </w:p>
        </w:tc>
        <w:tc>
          <w:tcPr>
            <w:tcW w:w="873" w:type="pct"/>
            <w:noWrap w:val="0"/>
            <w:tcMar>
              <w:top w:w="0" w:type="dxa"/>
              <w:left w:w="0" w:type="dxa"/>
              <w:bottom w:w="0" w:type="dxa"/>
              <w:right w:w="0" w:type="dxa"/>
            </w:tcMar>
            <w:vAlign w:val="center"/>
          </w:tcPr>
          <w:p w14:paraId="0F4FA43B">
            <w:pPr>
              <w:pStyle w:val="10"/>
              <w:keepNext w:val="0"/>
              <w:keepLines w:val="0"/>
              <w:pageBreakBefore w:val="0"/>
              <w:widowControl w:val="0"/>
              <w:kinsoku/>
              <w:wordWrap/>
              <w:overflowPunct/>
              <w:topLinePunct w:val="0"/>
              <w:autoSpaceDE/>
              <w:autoSpaceDN/>
              <w:bidi w:val="0"/>
              <w:adjustRightInd/>
              <w:snapToGrid/>
              <w:spacing w:beforeAutospacing="0" w:afterAutospacing="0" w:line="28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auto"/>
                <w:sz w:val="18"/>
                <w:szCs w:val="18"/>
              </w:rPr>
              <w:t>责令改正，有违法所得的，没收违法所得，可并处1万元以上1.5万元以下的罚款</w:t>
            </w:r>
          </w:p>
        </w:tc>
        <w:tc>
          <w:tcPr>
            <w:tcW w:w="158" w:type="pct"/>
            <w:vMerge w:val="continue"/>
            <w:noWrap w:val="0"/>
            <w:tcMar>
              <w:top w:w="0" w:type="dxa"/>
              <w:left w:w="0" w:type="dxa"/>
              <w:bottom w:w="0" w:type="dxa"/>
              <w:right w:w="0" w:type="dxa"/>
            </w:tcMar>
            <w:vAlign w:val="center"/>
          </w:tcPr>
          <w:p w14:paraId="79F8732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758AC5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884" w:hRule="atLeast"/>
          <w:jc w:val="center"/>
        </w:trPr>
        <w:tc>
          <w:tcPr>
            <w:tcW w:w="156" w:type="pct"/>
            <w:vMerge w:val="continue"/>
            <w:noWrap w:val="0"/>
            <w:tcMar>
              <w:top w:w="0" w:type="dxa"/>
              <w:left w:w="0" w:type="dxa"/>
              <w:bottom w:w="0" w:type="dxa"/>
              <w:right w:w="0" w:type="dxa"/>
            </w:tcMar>
            <w:vAlign w:val="center"/>
          </w:tcPr>
          <w:p w14:paraId="1397B9D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2EEA2CD4">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6D08EBE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17F513D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6A3B2225">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较重</w:t>
            </w:r>
          </w:p>
        </w:tc>
        <w:tc>
          <w:tcPr>
            <w:tcW w:w="561" w:type="pct"/>
            <w:noWrap w:val="0"/>
            <w:tcMar>
              <w:top w:w="0" w:type="dxa"/>
              <w:left w:w="0" w:type="dxa"/>
              <w:bottom w:w="0" w:type="dxa"/>
              <w:right w:w="0" w:type="dxa"/>
            </w:tcMar>
            <w:vAlign w:val="center"/>
          </w:tcPr>
          <w:p w14:paraId="05B8AF92">
            <w:pPr>
              <w:pStyle w:val="10"/>
              <w:keepNext w:val="0"/>
              <w:keepLines w:val="0"/>
              <w:pageBreakBefore w:val="0"/>
              <w:widowControl w:val="0"/>
              <w:kinsoku/>
              <w:wordWrap/>
              <w:overflowPunct/>
              <w:topLinePunct w:val="0"/>
              <w:autoSpaceDE/>
              <w:autoSpaceDN/>
              <w:bidi w:val="0"/>
              <w:adjustRightInd/>
              <w:snapToGrid/>
              <w:spacing w:beforeAutospacing="0" w:afterAutospacing="0"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auto"/>
                <w:sz w:val="18"/>
                <w:szCs w:val="18"/>
              </w:rPr>
              <w:t>造成一般危害后果的</w:t>
            </w:r>
          </w:p>
        </w:tc>
        <w:tc>
          <w:tcPr>
            <w:tcW w:w="873" w:type="pct"/>
            <w:noWrap w:val="0"/>
            <w:tcMar>
              <w:top w:w="0" w:type="dxa"/>
              <w:left w:w="0" w:type="dxa"/>
              <w:bottom w:w="0" w:type="dxa"/>
              <w:right w:w="0" w:type="dxa"/>
            </w:tcMar>
            <w:vAlign w:val="center"/>
          </w:tcPr>
          <w:p w14:paraId="461678B4">
            <w:pPr>
              <w:pStyle w:val="10"/>
              <w:keepNext w:val="0"/>
              <w:keepLines w:val="0"/>
              <w:pageBreakBefore w:val="0"/>
              <w:widowControl w:val="0"/>
              <w:kinsoku/>
              <w:wordWrap/>
              <w:overflowPunct/>
              <w:topLinePunct w:val="0"/>
              <w:autoSpaceDE/>
              <w:autoSpaceDN/>
              <w:bidi w:val="0"/>
              <w:adjustRightInd/>
              <w:snapToGrid/>
              <w:spacing w:beforeAutospacing="0" w:afterAutospacing="0" w:line="28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auto"/>
                <w:sz w:val="18"/>
                <w:szCs w:val="18"/>
              </w:rPr>
              <w:t>责令改正，有违法所得的，没收违法所得，可并处1.5万元以上2.5万元以下的罚款</w:t>
            </w:r>
          </w:p>
        </w:tc>
        <w:tc>
          <w:tcPr>
            <w:tcW w:w="158" w:type="pct"/>
            <w:vMerge w:val="continue"/>
            <w:noWrap w:val="0"/>
            <w:tcMar>
              <w:top w:w="0" w:type="dxa"/>
              <w:left w:w="0" w:type="dxa"/>
              <w:bottom w:w="0" w:type="dxa"/>
              <w:right w:w="0" w:type="dxa"/>
            </w:tcMar>
            <w:vAlign w:val="center"/>
          </w:tcPr>
          <w:p w14:paraId="0AB7BD00">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6B47EA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39" w:hRule="atLeast"/>
          <w:jc w:val="center"/>
        </w:trPr>
        <w:tc>
          <w:tcPr>
            <w:tcW w:w="156" w:type="pct"/>
            <w:vMerge w:val="continue"/>
            <w:noWrap w:val="0"/>
            <w:tcMar>
              <w:top w:w="0" w:type="dxa"/>
              <w:left w:w="0" w:type="dxa"/>
              <w:bottom w:w="0" w:type="dxa"/>
              <w:right w:w="0" w:type="dxa"/>
            </w:tcMar>
            <w:vAlign w:val="center"/>
          </w:tcPr>
          <w:p w14:paraId="7A6E34E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09F96D01">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61D11E47">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7A62B1B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671AE398">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严重</w:t>
            </w:r>
          </w:p>
        </w:tc>
        <w:tc>
          <w:tcPr>
            <w:tcW w:w="561" w:type="pct"/>
            <w:noWrap w:val="0"/>
            <w:tcMar>
              <w:top w:w="0" w:type="dxa"/>
              <w:left w:w="0" w:type="dxa"/>
              <w:bottom w:w="0" w:type="dxa"/>
              <w:right w:w="0" w:type="dxa"/>
            </w:tcMar>
            <w:vAlign w:val="center"/>
          </w:tcPr>
          <w:p w14:paraId="1C6E1A75">
            <w:pPr>
              <w:pStyle w:val="10"/>
              <w:keepNext w:val="0"/>
              <w:keepLines w:val="0"/>
              <w:pageBreakBefore w:val="0"/>
              <w:widowControl w:val="0"/>
              <w:kinsoku/>
              <w:wordWrap/>
              <w:overflowPunct/>
              <w:topLinePunct w:val="0"/>
              <w:autoSpaceDE/>
              <w:autoSpaceDN/>
              <w:bidi w:val="0"/>
              <w:adjustRightInd/>
              <w:snapToGrid/>
              <w:spacing w:beforeAutospacing="0" w:afterAutospacing="0"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auto"/>
                <w:sz w:val="18"/>
                <w:szCs w:val="18"/>
              </w:rPr>
              <w:t>造成严重危害后果的</w:t>
            </w:r>
          </w:p>
        </w:tc>
        <w:tc>
          <w:tcPr>
            <w:tcW w:w="873" w:type="pct"/>
            <w:noWrap w:val="0"/>
            <w:tcMar>
              <w:top w:w="0" w:type="dxa"/>
              <w:left w:w="0" w:type="dxa"/>
              <w:bottom w:w="0" w:type="dxa"/>
              <w:right w:w="0" w:type="dxa"/>
            </w:tcMar>
            <w:vAlign w:val="center"/>
          </w:tcPr>
          <w:p w14:paraId="3598B159">
            <w:pPr>
              <w:pStyle w:val="10"/>
              <w:keepNext w:val="0"/>
              <w:keepLines w:val="0"/>
              <w:pageBreakBefore w:val="0"/>
              <w:widowControl w:val="0"/>
              <w:kinsoku/>
              <w:wordWrap/>
              <w:overflowPunct/>
              <w:topLinePunct w:val="0"/>
              <w:autoSpaceDE/>
              <w:autoSpaceDN/>
              <w:bidi w:val="0"/>
              <w:adjustRightInd/>
              <w:snapToGrid/>
              <w:spacing w:beforeAutospacing="0" w:afterAutospacing="0" w:line="28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auto"/>
                <w:sz w:val="18"/>
                <w:szCs w:val="18"/>
              </w:rPr>
              <w:t>责令改正，有违法所得的，没收违法所得，可并处2.5万元以上3万元以下的罚款</w:t>
            </w:r>
          </w:p>
        </w:tc>
        <w:tc>
          <w:tcPr>
            <w:tcW w:w="158" w:type="pct"/>
            <w:vMerge w:val="continue"/>
            <w:noWrap w:val="0"/>
            <w:tcMar>
              <w:top w:w="0" w:type="dxa"/>
              <w:left w:w="0" w:type="dxa"/>
              <w:bottom w:w="0" w:type="dxa"/>
              <w:right w:w="0" w:type="dxa"/>
            </w:tcMar>
            <w:vAlign w:val="center"/>
          </w:tcPr>
          <w:p w14:paraId="361E9A60">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4C2864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156" w:type="pct"/>
            <w:vMerge w:val="continue"/>
            <w:noWrap w:val="0"/>
            <w:tcMar>
              <w:top w:w="0" w:type="dxa"/>
              <w:left w:w="0" w:type="dxa"/>
              <w:bottom w:w="0" w:type="dxa"/>
              <w:right w:w="0" w:type="dxa"/>
            </w:tcMar>
            <w:vAlign w:val="center"/>
          </w:tcPr>
          <w:p w14:paraId="56B1E225">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2DFE25B7">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6D0CCFE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restart"/>
            <w:noWrap w:val="0"/>
            <w:tcMar>
              <w:top w:w="0" w:type="dxa"/>
              <w:left w:w="0" w:type="dxa"/>
              <w:bottom w:w="0" w:type="dxa"/>
              <w:right w:w="0" w:type="dxa"/>
            </w:tcMar>
            <w:vAlign w:val="center"/>
          </w:tcPr>
          <w:p w14:paraId="7CC8C27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检测机构未及时报告涉及结构安全、主要使用功能的不合格检测结果的</w:t>
            </w:r>
          </w:p>
        </w:tc>
        <w:tc>
          <w:tcPr>
            <w:tcW w:w="174" w:type="pct"/>
            <w:noWrap w:val="0"/>
            <w:tcMar>
              <w:top w:w="0" w:type="dxa"/>
              <w:left w:w="0" w:type="dxa"/>
              <w:bottom w:w="0" w:type="dxa"/>
              <w:right w:w="0" w:type="dxa"/>
            </w:tcMar>
            <w:vAlign w:val="center"/>
          </w:tcPr>
          <w:p w14:paraId="02B21CD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轻微</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3CBDC626">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511597D7">
            <w:pPr>
              <w:spacing w:line="260" w:lineRule="exact"/>
              <w:rPr>
                <w:rFonts w:hint="eastAsia" w:ascii="宋体" w:hAnsi="宋体" w:eastAsia="宋体" w:cs="宋体"/>
                <w:color w:val="000000"/>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244E7039">
            <w:pPr>
              <w:snapToGrid/>
              <w:spacing w:line="28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13B07871">
            <w:pPr>
              <w:spacing w:line="280" w:lineRule="exact"/>
              <w:rPr>
                <w:rFonts w:hint="eastAsia" w:ascii="宋体" w:hAnsi="宋体" w:eastAsia="宋体" w:cs="宋体"/>
                <w:color w:val="000000"/>
                <w:kern w:val="2"/>
                <w:sz w:val="18"/>
                <w:szCs w:val="18"/>
                <w:vertAlign w:val="baseline"/>
                <w:lang w:val="en-US" w:eastAsia="zh-CN" w:bidi="ar-SA"/>
              </w:rPr>
            </w:pPr>
          </w:p>
        </w:tc>
        <w:tc>
          <w:tcPr>
            <w:tcW w:w="158" w:type="pct"/>
            <w:vMerge w:val="restart"/>
            <w:noWrap w:val="0"/>
            <w:tcMar>
              <w:top w:w="0" w:type="dxa"/>
              <w:left w:w="0" w:type="dxa"/>
              <w:bottom w:w="0" w:type="dxa"/>
              <w:right w:w="0" w:type="dxa"/>
            </w:tcMar>
            <w:vAlign w:val="center"/>
          </w:tcPr>
          <w:p w14:paraId="78407AF8">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76BE39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156" w:type="pct"/>
            <w:vMerge w:val="continue"/>
            <w:noWrap w:val="0"/>
            <w:tcMar>
              <w:top w:w="0" w:type="dxa"/>
              <w:left w:w="0" w:type="dxa"/>
              <w:bottom w:w="0" w:type="dxa"/>
              <w:right w:w="0" w:type="dxa"/>
            </w:tcMar>
            <w:vAlign w:val="center"/>
          </w:tcPr>
          <w:p w14:paraId="72764621">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65C3EE69">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1F8F4D1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59A2F2FC">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38AB1AE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较轻</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62CDF3F8">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3A49286E">
            <w:pPr>
              <w:spacing w:line="260" w:lineRule="exact"/>
              <w:rPr>
                <w:rFonts w:hint="eastAsia" w:ascii="宋体" w:hAnsi="宋体" w:eastAsia="宋体" w:cs="宋体"/>
                <w:color w:val="000000"/>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1DAD4126">
            <w:pPr>
              <w:snapToGrid/>
              <w:spacing w:line="28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175FB51A">
            <w:pPr>
              <w:spacing w:line="280" w:lineRule="exact"/>
              <w:rPr>
                <w:rFonts w:hint="eastAsia" w:ascii="宋体" w:hAnsi="宋体" w:eastAsia="宋体" w:cs="宋体"/>
                <w:color w:val="000000"/>
                <w:kern w:val="2"/>
                <w:sz w:val="18"/>
                <w:szCs w:val="18"/>
                <w:vertAlign w:val="baseline"/>
                <w:lang w:val="en-US" w:eastAsia="zh-CN" w:bidi="ar-SA"/>
              </w:rPr>
            </w:pPr>
          </w:p>
        </w:tc>
        <w:tc>
          <w:tcPr>
            <w:tcW w:w="158" w:type="pct"/>
            <w:vMerge w:val="continue"/>
            <w:noWrap w:val="0"/>
            <w:tcMar>
              <w:top w:w="0" w:type="dxa"/>
              <w:left w:w="0" w:type="dxa"/>
              <w:bottom w:w="0" w:type="dxa"/>
              <w:right w:w="0" w:type="dxa"/>
            </w:tcMar>
            <w:vAlign w:val="center"/>
          </w:tcPr>
          <w:p w14:paraId="7760C15B">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0B70BC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78" w:hRule="atLeast"/>
          <w:jc w:val="center"/>
        </w:trPr>
        <w:tc>
          <w:tcPr>
            <w:tcW w:w="156" w:type="pct"/>
            <w:vMerge w:val="continue"/>
            <w:noWrap w:val="0"/>
            <w:tcMar>
              <w:top w:w="0" w:type="dxa"/>
              <w:left w:w="0" w:type="dxa"/>
              <w:bottom w:w="0" w:type="dxa"/>
              <w:right w:w="0" w:type="dxa"/>
            </w:tcMar>
            <w:vAlign w:val="center"/>
          </w:tcPr>
          <w:p w14:paraId="422EC88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202D6FBA">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24EE56EC">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084EB5C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31A135C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一般</w:t>
            </w:r>
          </w:p>
        </w:tc>
        <w:tc>
          <w:tcPr>
            <w:tcW w:w="561" w:type="pct"/>
            <w:noWrap w:val="0"/>
            <w:tcMar>
              <w:top w:w="0" w:type="dxa"/>
              <w:left w:w="0" w:type="dxa"/>
              <w:bottom w:w="0" w:type="dxa"/>
              <w:right w:w="0" w:type="dxa"/>
            </w:tcMar>
            <w:vAlign w:val="center"/>
          </w:tcPr>
          <w:p w14:paraId="0FAA2937">
            <w:pPr>
              <w:pStyle w:val="10"/>
              <w:keepNext w:val="0"/>
              <w:keepLines w:val="0"/>
              <w:pageBreakBefore w:val="0"/>
              <w:widowControl w:val="0"/>
              <w:kinsoku/>
              <w:wordWrap/>
              <w:overflowPunct/>
              <w:topLinePunct w:val="0"/>
              <w:autoSpaceDE/>
              <w:autoSpaceDN/>
              <w:bidi w:val="0"/>
              <w:adjustRightInd/>
              <w:snapToGrid/>
              <w:spacing w:beforeAutospacing="0" w:afterAutospacing="0"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auto"/>
                <w:sz w:val="18"/>
                <w:szCs w:val="18"/>
              </w:rPr>
              <w:t>未造成后果或造成轻微危害后果的</w:t>
            </w:r>
          </w:p>
        </w:tc>
        <w:tc>
          <w:tcPr>
            <w:tcW w:w="873" w:type="pct"/>
            <w:noWrap w:val="0"/>
            <w:tcMar>
              <w:top w:w="0" w:type="dxa"/>
              <w:left w:w="0" w:type="dxa"/>
              <w:bottom w:w="0" w:type="dxa"/>
              <w:right w:w="0" w:type="dxa"/>
            </w:tcMar>
            <w:vAlign w:val="center"/>
          </w:tcPr>
          <w:p w14:paraId="7DD7B696">
            <w:pPr>
              <w:pStyle w:val="10"/>
              <w:keepNext w:val="0"/>
              <w:keepLines w:val="0"/>
              <w:pageBreakBefore w:val="0"/>
              <w:widowControl w:val="0"/>
              <w:kinsoku/>
              <w:wordWrap/>
              <w:overflowPunct/>
              <w:topLinePunct w:val="0"/>
              <w:autoSpaceDE/>
              <w:autoSpaceDN/>
              <w:bidi w:val="0"/>
              <w:adjustRightInd/>
              <w:snapToGrid/>
              <w:spacing w:beforeAutospacing="0" w:afterAutospacing="0" w:line="28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auto"/>
                <w:sz w:val="18"/>
                <w:szCs w:val="18"/>
              </w:rPr>
              <w:t>责令改正，有违法所得的，没收违法所得，可并处1万元以上1.5万元以下的罚款</w:t>
            </w:r>
          </w:p>
        </w:tc>
        <w:tc>
          <w:tcPr>
            <w:tcW w:w="158" w:type="pct"/>
            <w:vMerge w:val="continue"/>
            <w:noWrap w:val="0"/>
            <w:tcMar>
              <w:top w:w="0" w:type="dxa"/>
              <w:left w:w="0" w:type="dxa"/>
              <w:bottom w:w="0" w:type="dxa"/>
              <w:right w:w="0" w:type="dxa"/>
            </w:tcMar>
            <w:vAlign w:val="center"/>
          </w:tcPr>
          <w:p w14:paraId="239F595A">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34864A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43" w:hRule="atLeast"/>
          <w:jc w:val="center"/>
        </w:trPr>
        <w:tc>
          <w:tcPr>
            <w:tcW w:w="156" w:type="pct"/>
            <w:vMerge w:val="continue"/>
            <w:noWrap w:val="0"/>
            <w:tcMar>
              <w:top w:w="0" w:type="dxa"/>
              <w:left w:w="0" w:type="dxa"/>
              <w:bottom w:w="0" w:type="dxa"/>
              <w:right w:w="0" w:type="dxa"/>
            </w:tcMar>
            <w:vAlign w:val="center"/>
          </w:tcPr>
          <w:p w14:paraId="4B9DCFC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0789761F">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4EC4218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49E4EC17">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5E15CE11">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较重</w:t>
            </w:r>
          </w:p>
        </w:tc>
        <w:tc>
          <w:tcPr>
            <w:tcW w:w="561" w:type="pct"/>
            <w:noWrap w:val="0"/>
            <w:tcMar>
              <w:top w:w="0" w:type="dxa"/>
              <w:left w:w="0" w:type="dxa"/>
              <w:bottom w:w="0" w:type="dxa"/>
              <w:right w:w="0" w:type="dxa"/>
            </w:tcMar>
            <w:vAlign w:val="center"/>
          </w:tcPr>
          <w:p w14:paraId="18A6CBAE">
            <w:pPr>
              <w:pStyle w:val="10"/>
              <w:keepNext w:val="0"/>
              <w:keepLines w:val="0"/>
              <w:pageBreakBefore w:val="0"/>
              <w:widowControl w:val="0"/>
              <w:kinsoku/>
              <w:wordWrap/>
              <w:overflowPunct/>
              <w:topLinePunct w:val="0"/>
              <w:autoSpaceDE/>
              <w:autoSpaceDN/>
              <w:bidi w:val="0"/>
              <w:adjustRightInd/>
              <w:snapToGrid/>
              <w:spacing w:beforeAutospacing="0" w:afterAutospacing="0"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auto"/>
                <w:sz w:val="18"/>
                <w:szCs w:val="18"/>
              </w:rPr>
              <w:t>造成一般危害后果的</w:t>
            </w:r>
          </w:p>
        </w:tc>
        <w:tc>
          <w:tcPr>
            <w:tcW w:w="873" w:type="pct"/>
            <w:noWrap w:val="0"/>
            <w:tcMar>
              <w:top w:w="0" w:type="dxa"/>
              <w:left w:w="0" w:type="dxa"/>
              <w:bottom w:w="0" w:type="dxa"/>
              <w:right w:w="0" w:type="dxa"/>
            </w:tcMar>
            <w:vAlign w:val="center"/>
          </w:tcPr>
          <w:p w14:paraId="029BBF0A">
            <w:pPr>
              <w:pStyle w:val="10"/>
              <w:keepNext w:val="0"/>
              <w:keepLines w:val="0"/>
              <w:pageBreakBefore w:val="0"/>
              <w:widowControl w:val="0"/>
              <w:kinsoku/>
              <w:wordWrap/>
              <w:overflowPunct/>
              <w:topLinePunct w:val="0"/>
              <w:autoSpaceDE/>
              <w:autoSpaceDN/>
              <w:bidi w:val="0"/>
              <w:adjustRightInd/>
              <w:snapToGrid/>
              <w:spacing w:beforeAutospacing="0" w:afterAutospacing="0" w:line="28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auto"/>
                <w:sz w:val="18"/>
                <w:szCs w:val="18"/>
              </w:rPr>
              <w:t>责令改正，有违法所得的，没收违法所得，可并处1.5万元以上2.5万元以下的罚款</w:t>
            </w:r>
          </w:p>
        </w:tc>
        <w:tc>
          <w:tcPr>
            <w:tcW w:w="158" w:type="pct"/>
            <w:vMerge w:val="continue"/>
            <w:noWrap w:val="0"/>
            <w:tcMar>
              <w:top w:w="0" w:type="dxa"/>
              <w:left w:w="0" w:type="dxa"/>
              <w:bottom w:w="0" w:type="dxa"/>
              <w:right w:w="0" w:type="dxa"/>
            </w:tcMar>
            <w:vAlign w:val="center"/>
          </w:tcPr>
          <w:p w14:paraId="78B28F3D">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77FF57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000" w:hRule="atLeast"/>
          <w:jc w:val="center"/>
        </w:trPr>
        <w:tc>
          <w:tcPr>
            <w:tcW w:w="156" w:type="pct"/>
            <w:vMerge w:val="continue"/>
            <w:noWrap w:val="0"/>
            <w:tcMar>
              <w:top w:w="0" w:type="dxa"/>
              <w:left w:w="0" w:type="dxa"/>
              <w:bottom w:w="0" w:type="dxa"/>
              <w:right w:w="0" w:type="dxa"/>
            </w:tcMar>
            <w:vAlign w:val="center"/>
          </w:tcPr>
          <w:p w14:paraId="5D8291FC">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2FEBB486">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111DBF77">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5D940B5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19687639">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严重</w:t>
            </w:r>
          </w:p>
        </w:tc>
        <w:tc>
          <w:tcPr>
            <w:tcW w:w="561" w:type="pct"/>
            <w:noWrap w:val="0"/>
            <w:tcMar>
              <w:top w:w="0" w:type="dxa"/>
              <w:left w:w="0" w:type="dxa"/>
              <w:bottom w:w="0" w:type="dxa"/>
              <w:right w:w="0" w:type="dxa"/>
            </w:tcMar>
            <w:vAlign w:val="center"/>
          </w:tcPr>
          <w:p w14:paraId="38C2B77D">
            <w:pPr>
              <w:pStyle w:val="10"/>
              <w:keepNext w:val="0"/>
              <w:keepLines w:val="0"/>
              <w:pageBreakBefore w:val="0"/>
              <w:widowControl w:val="0"/>
              <w:kinsoku/>
              <w:wordWrap/>
              <w:overflowPunct/>
              <w:topLinePunct w:val="0"/>
              <w:autoSpaceDE/>
              <w:autoSpaceDN/>
              <w:bidi w:val="0"/>
              <w:adjustRightInd/>
              <w:snapToGrid/>
              <w:spacing w:beforeAutospacing="0" w:afterAutospacing="0"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auto"/>
                <w:sz w:val="18"/>
                <w:szCs w:val="18"/>
              </w:rPr>
              <w:t>造成严重危害后果的</w:t>
            </w:r>
          </w:p>
        </w:tc>
        <w:tc>
          <w:tcPr>
            <w:tcW w:w="873" w:type="pct"/>
            <w:noWrap w:val="0"/>
            <w:tcMar>
              <w:top w:w="0" w:type="dxa"/>
              <w:left w:w="0" w:type="dxa"/>
              <w:bottom w:w="0" w:type="dxa"/>
              <w:right w:w="0" w:type="dxa"/>
            </w:tcMar>
            <w:vAlign w:val="center"/>
          </w:tcPr>
          <w:p w14:paraId="3563A725">
            <w:pPr>
              <w:pStyle w:val="10"/>
              <w:keepNext w:val="0"/>
              <w:keepLines w:val="0"/>
              <w:pageBreakBefore w:val="0"/>
              <w:widowControl w:val="0"/>
              <w:kinsoku/>
              <w:wordWrap/>
              <w:overflowPunct/>
              <w:topLinePunct w:val="0"/>
              <w:autoSpaceDE/>
              <w:autoSpaceDN/>
              <w:bidi w:val="0"/>
              <w:adjustRightInd/>
              <w:snapToGrid/>
              <w:spacing w:beforeAutospacing="0" w:afterAutospacing="0" w:line="28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auto"/>
                <w:sz w:val="18"/>
                <w:szCs w:val="18"/>
              </w:rPr>
              <w:t>责令改正，有违法所得的，没收违法所得，可并处2.5万元以上3万元以下的罚款</w:t>
            </w:r>
          </w:p>
        </w:tc>
        <w:tc>
          <w:tcPr>
            <w:tcW w:w="158" w:type="pct"/>
            <w:vMerge w:val="continue"/>
            <w:noWrap w:val="0"/>
            <w:tcMar>
              <w:top w:w="0" w:type="dxa"/>
              <w:left w:w="0" w:type="dxa"/>
              <w:bottom w:w="0" w:type="dxa"/>
              <w:right w:w="0" w:type="dxa"/>
            </w:tcMar>
            <w:vAlign w:val="center"/>
          </w:tcPr>
          <w:p w14:paraId="1449477A">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2D4F3B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156" w:type="pct"/>
            <w:vMerge w:val="restart"/>
            <w:noWrap w:val="0"/>
            <w:tcMar>
              <w:top w:w="0" w:type="dxa"/>
              <w:left w:w="0" w:type="dxa"/>
              <w:bottom w:w="0" w:type="dxa"/>
              <w:right w:w="0" w:type="dxa"/>
            </w:tcMar>
            <w:vAlign w:val="center"/>
          </w:tcPr>
          <w:p w14:paraId="4D0F07F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default" w:ascii="宋体" w:hAnsi="宋体" w:eastAsia="宋体" w:cs="宋体"/>
                <w:color w:val="000000"/>
                <w:sz w:val="18"/>
                <w:szCs w:val="18"/>
                <w:shd w:val="clear" w:color="auto" w:fill="auto"/>
                <w:vertAlign w:val="baseline"/>
                <w:lang w:val="en-US" w:eastAsia="zh-CN"/>
              </w:rPr>
            </w:pPr>
            <w:r>
              <w:rPr>
                <w:rFonts w:hint="eastAsia" w:ascii="宋体" w:hAnsi="宋体" w:eastAsia="宋体" w:cs="宋体"/>
                <w:color w:val="000000"/>
                <w:sz w:val="18"/>
                <w:szCs w:val="18"/>
                <w:shd w:val="clear" w:color="auto" w:fill="auto"/>
                <w:vertAlign w:val="baseline"/>
                <w:lang w:val="en-US" w:eastAsia="zh-CN"/>
              </w:rPr>
              <w:t>92</w:t>
            </w:r>
          </w:p>
        </w:tc>
        <w:tc>
          <w:tcPr>
            <w:tcW w:w="415" w:type="pct"/>
            <w:vMerge w:val="restart"/>
            <w:noWrap w:val="0"/>
            <w:tcMar>
              <w:top w:w="0" w:type="dxa"/>
              <w:left w:w="0" w:type="dxa"/>
              <w:bottom w:w="0" w:type="dxa"/>
              <w:right w:w="0" w:type="dxa"/>
            </w:tcMar>
            <w:vAlign w:val="center"/>
          </w:tcPr>
          <w:p w14:paraId="0B3E9B9A">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对水利领域委托方委托未取得相应资质的检测单位进行检测，明示或暗示检测单位出具虚假检测报告，篡改或伪造检测报告等行为的行政处罚</w:t>
            </w:r>
          </w:p>
        </w:tc>
        <w:tc>
          <w:tcPr>
            <w:tcW w:w="2168" w:type="pct"/>
            <w:vMerge w:val="restart"/>
            <w:noWrap w:val="0"/>
            <w:tcMar>
              <w:top w:w="0" w:type="dxa"/>
              <w:left w:w="0" w:type="dxa"/>
              <w:bottom w:w="0" w:type="dxa"/>
              <w:right w:w="0" w:type="dxa"/>
            </w:tcMar>
            <w:vAlign w:val="center"/>
          </w:tcPr>
          <w:p w14:paraId="2AE410C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auto"/>
                <w:sz w:val="18"/>
                <w:szCs w:val="18"/>
                <w:vertAlign w:val="baseline"/>
                <w:lang w:val="en-US" w:eastAsia="zh-CN"/>
              </w:rPr>
            </w:pPr>
            <w:r>
              <w:rPr>
                <w:rFonts w:hint="eastAsia" w:ascii="宋体" w:hAnsi="宋体" w:eastAsia="宋体" w:cs="宋体"/>
                <w:color w:val="000000"/>
                <w:sz w:val="18"/>
                <w:szCs w:val="18"/>
                <w:vertAlign w:val="baseline"/>
                <w:lang w:val="en-US" w:eastAsia="zh-CN"/>
              </w:rPr>
              <w:t>《水利工程质量检测管理规定》第二十九条 违反本规定，委托方有</w:t>
            </w:r>
            <w:r>
              <w:rPr>
                <w:rFonts w:hint="eastAsia" w:ascii="宋体" w:hAnsi="宋体" w:eastAsia="宋体" w:cs="宋体"/>
                <w:color w:val="auto"/>
                <w:sz w:val="18"/>
                <w:szCs w:val="18"/>
                <w:vertAlign w:val="baseline"/>
                <w:lang w:val="en-US" w:eastAsia="zh-CN"/>
              </w:rPr>
              <w:t>下列行为之一的，由县级以上人民政府水行政主管部门责令改正，可并处1万元以上3万元以下的罚款：</w:t>
            </w:r>
          </w:p>
          <w:p w14:paraId="3D6FE1B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auto"/>
                <w:sz w:val="18"/>
                <w:szCs w:val="18"/>
                <w:vertAlign w:val="baseline"/>
                <w:lang w:val="en-US" w:eastAsia="zh-CN"/>
              </w:rPr>
            </w:pPr>
            <w:r>
              <w:rPr>
                <w:rFonts w:hint="eastAsia" w:ascii="宋体" w:hAnsi="宋体" w:eastAsia="宋体" w:cs="宋体"/>
                <w:color w:val="auto"/>
                <w:sz w:val="18"/>
                <w:szCs w:val="18"/>
                <w:vertAlign w:val="baseline"/>
                <w:lang w:val="en-US" w:eastAsia="zh-CN"/>
              </w:rPr>
              <w:t>（一）委托未取得相应资质的检测单位进行检测的；</w:t>
            </w:r>
          </w:p>
          <w:p w14:paraId="6EE6D4A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（二）明示或暗示检测单位出具虚假检测报告，篡改或伪造检测报告的；</w:t>
            </w:r>
          </w:p>
          <w:p w14:paraId="70BB934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（三）送检试样弄虚作假的。</w:t>
            </w:r>
          </w:p>
        </w:tc>
        <w:tc>
          <w:tcPr>
            <w:tcW w:w="491" w:type="pct"/>
            <w:vMerge w:val="restart"/>
            <w:noWrap w:val="0"/>
            <w:tcMar>
              <w:top w:w="0" w:type="dxa"/>
              <w:left w:w="0" w:type="dxa"/>
              <w:bottom w:w="0" w:type="dxa"/>
              <w:right w:w="0" w:type="dxa"/>
            </w:tcMar>
            <w:vAlign w:val="center"/>
          </w:tcPr>
          <w:p w14:paraId="2D563D8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水利领域委托方委托未取得相应资质的检测单位进行检测的</w:t>
            </w:r>
          </w:p>
        </w:tc>
        <w:tc>
          <w:tcPr>
            <w:tcW w:w="174" w:type="pct"/>
            <w:noWrap w:val="0"/>
            <w:tcMar>
              <w:top w:w="0" w:type="dxa"/>
              <w:left w:w="0" w:type="dxa"/>
              <w:bottom w:w="0" w:type="dxa"/>
              <w:right w:w="0" w:type="dxa"/>
            </w:tcMar>
            <w:vAlign w:val="center"/>
          </w:tcPr>
          <w:p w14:paraId="2FB9D64B">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轻微</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17017A64">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29A551FC">
            <w:pPr>
              <w:spacing w:line="260" w:lineRule="exact"/>
              <w:rPr>
                <w:rFonts w:hint="eastAsia" w:ascii="宋体" w:hAnsi="宋体" w:eastAsia="宋体" w:cs="宋体"/>
                <w:color w:val="000000"/>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4ABFA0E5">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01AF66DD">
            <w:pPr>
              <w:spacing w:line="260" w:lineRule="exact"/>
              <w:rPr>
                <w:rFonts w:hint="eastAsia" w:ascii="宋体" w:hAnsi="宋体" w:eastAsia="宋体" w:cs="宋体"/>
                <w:color w:val="000000"/>
                <w:kern w:val="2"/>
                <w:sz w:val="18"/>
                <w:szCs w:val="18"/>
                <w:vertAlign w:val="baseline"/>
                <w:lang w:val="en-US" w:eastAsia="zh-CN" w:bidi="ar-SA"/>
              </w:rPr>
            </w:pPr>
          </w:p>
        </w:tc>
        <w:tc>
          <w:tcPr>
            <w:tcW w:w="158" w:type="pct"/>
            <w:vMerge w:val="restart"/>
            <w:noWrap w:val="0"/>
            <w:tcMar>
              <w:top w:w="0" w:type="dxa"/>
              <w:left w:w="0" w:type="dxa"/>
              <w:bottom w:w="0" w:type="dxa"/>
              <w:right w:w="0" w:type="dxa"/>
            </w:tcMar>
            <w:vAlign w:val="center"/>
          </w:tcPr>
          <w:p w14:paraId="6D5AA57F">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color w:val="000000"/>
                <w:sz w:val="18"/>
                <w:szCs w:val="18"/>
                <w:vertAlign w:val="baseline"/>
              </w:rPr>
            </w:pPr>
          </w:p>
        </w:tc>
      </w:tr>
      <w:tr w14:paraId="7820F3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156" w:type="pct"/>
            <w:vMerge w:val="continue"/>
            <w:noWrap w:val="0"/>
            <w:tcMar>
              <w:top w:w="0" w:type="dxa"/>
              <w:left w:w="0" w:type="dxa"/>
              <w:bottom w:w="0" w:type="dxa"/>
              <w:right w:w="0" w:type="dxa"/>
            </w:tcMar>
            <w:vAlign w:val="center"/>
          </w:tcPr>
          <w:p w14:paraId="701B767B">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6C538B65">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4CF0FDB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242D7D1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096981B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较轻</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4B11AC4D">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6D91EA23">
            <w:pPr>
              <w:spacing w:line="260" w:lineRule="exact"/>
              <w:rPr>
                <w:rFonts w:hint="eastAsia" w:ascii="宋体" w:hAnsi="宋体" w:eastAsia="宋体" w:cs="宋体"/>
                <w:color w:val="000000"/>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6BD372BD">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39CD10C5">
            <w:pPr>
              <w:spacing w:line="260" w:lineRule="exact"/>
              <w:rPr>
                <w:rFonts w:hint="eastAsia" w:ascii="宋体" w:hAnsi="宋体" w:eastAsia="宋体" w:cs="宋体"/>
                <w:color w:val="000000"/>
                <w:kern w:val="2"/>
                <w:sz w:val="18"/>
                <w:szCs w:val="18"/>
                <w:vertAlign w:val="baseline"/>
                <w:lang w:val="en-US" w:eastAsia="zh-CN" w:bidi="ar-SA"/>
              </w:rPr>
            </w:pPr>
          </w:p>
        </w:tc>
        <w:tc>
          <w:tcPr>
            <w:tcW w:w="158" w:type="pct"/>
            <w:vMerge w:val="continue"/>
            <w:noWrap w:val="0"/>
            <w:tcMar>
              <w:top w:w="0" w:type="dxa"/>
              <w:left w:w="0" w:type="dxa"/>
              <w:bottom w:w="0" w:type="dxa"/>
              <w:right w:w="0" w:type="dxa"/>
            </w:tcMar>
            <w:vAlign w:val="center"/>
          </w:tcPr>
          <w:p w14:paraId="10AFA2AD">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color w:val="000000"/>
                <w:sz w:val="18"/>
                <w:szCs w:val="18"/>
                <w:vertAlign w:val="baseline"/>
              </w:rPr>
            </w:pPr>
          </w:p>
        </w:tc>
      </w:tr>
      <w:tr w14:paraId="4A2B72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07" w:hRule="atLeast"/>
          <w:jc w:val="center"/>
        </w:trPr>
        <w:tc>
          <w:tcPr>
            <w:tcW w:w="156" w:type="pct"/>
            <w:vMerge w:val="continue"/>
            <w:noWrap w:val="0"/>
            <w:tcMar>
              <w:top w:w="0" w:type="dxa"/>
              <w:left w:w="0" w:type="dxa"/>
              <w:bottom w:w="0" w:type="dxa"/>
              <w:right w:w="0" w:type="dxa"/>
            </w:tcMar>
            <w:vAlign w:val="center"/>
          </w:tcPr>
          <w:p w14:paraId="1E3D81A1">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12869610">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53B6E0E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6CBC738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3A0C43CA">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一般</w:t>
            </w:r>
          </w:p>
        </w:tc>
        <w:tc>
          <w:tcPr>
            <w:tcW w:w="561" w:type="pct"/>
            <w:noWrap w:val="0"/>
            <w:tcMar>
              <w:top w:w="0" w:type="dxa"/>
              <w:left w:w="0" w:type="dxa"/>
              <w:bottom w:w="0" w:type="dxa"/>
              <w:right w:w="0" w:type="dxa"/>
            </w:tcMar>
            <w:vAlign w:val="center"/>
          </w:tcPr>
          <w:p w14:paraId="06E96D98">
            <w:pPr>
              <w:pStyle w:val="10"/>
              <w:keepNext w:val="0"/>
              <w:keepLines w:val="0"/>
              <w:pageBreakBefore w:val="0"/>
              <w:widowControl w:val="0"/>
              <w:kinsoku/>
              <w:wordWrap/>
              <w:overflowPunct/>
              <w:topLinePunct w:val="0"/>
              <w:autoSpaceDE/>
              <w:autoSpaceDN/>
              <w:bidi w:val="0"/>
              <w:adjustRightInd/>
              <w:snapToGrid/>
              <w:spacing w:beforeAutospacing="0" w:afterAutospacing="0" w:line="260" w:lineRule="exact"/>
              <w:jc w:val="both"/>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auto"/>
                <w:sz w:val="18"/>
                <w:szCs w:val="18"/>
              </w:rPr>
              <w:t>未造成工程质量事故的</w:t>
            </w:r>
          </w:p>
        </w:tc>
        <w:tc>
          <w:tcPr>
            <w:tcW w:w="873" w:type="pct"/>
            <w:noWrap w:val="0"/>
            <w:tcMar>
              <w:top w:w="0" w:type="dxa"/>
              <w:left w:w="0" w:type="dxa"/>
              <w:bottom w:w="0" w:type="dxa"/>
              <w:right w:w="0" w:type="dxa"/>
            </w:tcMar>
            <w:vAlign w:val="center"/>
          </w:tcPr>
          <w:p w14:paraId="1401383E">
            <w:pPr>
              <w:pStyle w:val="10"/>
              <w:keepNext w:val="0"/>
              <w:keepLines w:val="0"/>
              <w:pageBreakBefore w:val="0"/>
              <w:widowControl w:val="0"/>
              <w:kinsoku/>
              <w:wordWrap/>
              <w:overflowPunct/>
              <w:topLinePunct w:val="0"/>
              <w:autoSpaceDE/>
              <w:autoSpaceDN/>
              <w:bidi w:val="0"/>
              <w:adjustRightInd/>
              <w:snapToGrid/>
              <w:spacing w:beforeAutospacing="0" w:afterAutospacing="0" w:line="260" w:lineRule="exact"/>
              <w:jc w:val="both"/>
              <w:rPr>
                <w:rFonts w:hint="eastAsia" w:ascii="宋体" w:hAnsi="宋体" w:eastAsia="宋体" w:cs="宋体"/>
                <w:color w:val="auto"/>
                <w:kern w:val="2"/>
                <w:sz w:val="18"/>
                <w:szCs w:val="18"/>
                <w:vertAlign w:val="baseline"/>
                <w:lang w:val="en-US" w:eastAsia="zh-CN" w:bidi="ar-SA"/>
              </w:rPr>
            </w:pPr>
            <w:r>
              <w:rPr>
                <w:rFonts w:hint="eastAsia" w:ascii="宋体" w:hAnsi="宋体" w:eastAsia="宋体" w:cs="宋体"/>
                <w:color w:val="auto"/>
                <w:sz w:val="18"/>
                <w:szCs w:val="18"/>
              </w:rPr>
              <w:t>责令改正，可并处1万元以上1.5万元以下罚款</w:t>
            </w:r>
          </w:p>
        </w:tc>
        <w:tc>
          <w:tcPr>
            <w:tcW w:w="158" w:type="pct"/>
            <w:vMerge w:val="continue"/>
            <w:noWrap w:val="0"/>
            <w:tcMar>
              <w:top w:w="0" w:type="dxa"/>
              <w:left w:w="0" w:type="dxa"/>
              <w:bottom w:w="0" w:type="dxa"/>
              <w:right w:w="0" w:type="dxa"/>
            </w:tcMar>
            <w:vAlign w:val="center"/>
          </w:tcPr>
          <w:p w14:paraId="664E6B35">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color w:val="000000"/>
                <w:sz w:val="18"/>
                <w:szCs w:val="18"/>
                <w:vertAlign w:val="baseline"/>
              </w:rPr>
            </w:pPr>
          </w:p>
        </w:tc>
      </w:tr>
      <w:tr w14:paraId="3E8A69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57" w:hRule="atLeast"/>
          <w:jc w:val="center"/>
        </w:trPr>
        <w:tc>
          <w:tcPr>
            <w:tcW w:w="156" w:type="pct"/>
            <w:vMerge w:val="continue"/>
            <w:noWrap w:val="0"/>
            <w:tcMar>
              <w:top w:w="0" w:type="dxa"/>
              <w:left w:w="0" w:type="dxa"/>
              <w:bottom w:w="0" w:type="dxa"/>
              <w:right w:w="0" w:type="dxa"/>
            </w:tcMar>
            <w:vAlign w:val="center"/>
          </w:tcPr>
          <w:p w14:paraId="2253DC5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4B2655CA">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6533AE3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1323ED4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15D6ADD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较重</w:t>
            </w:r>
          </w:p>
        </w:tc>
        <w:tc>
          <w:tcPr>
            <w:tcW w:w="561" w:type="pct"/>
            <w:noWrap w:val="0"/>
            <w:tcMar>
              <w:top w:w="0" w:type="dxa"/>
              <w:left w:w="0" w:type="dxa"/>
              <w:bottom w:w="0" w:type="dxa"/>
              <w:right w:w="0" w:type="dxa"/>
            </w:tcMar>
            <w:vAlign w:val="center"/>
          </w:tcPr>
          <w:p w14:paraId="3EEE2D5C">
            <w:pPr>
              <w:pStyle w:val="10"/>
              <w:keepNext w:val="0"/>
              <w:keepLines w:val="0"/>
              <w:pageBreakBefore w:val="0"/>
              <w:widowControl w:val="0"/>
              <w:kinsoku/>
              <w:wordWrap/>
              <w:overflowPunct/>
              <w:topLinePunct w:val="0"/>
              <w:autoSpaceDE/>
              <w:autoSpaceDN/>
              <w:bidi w:val="0"/>
              <w:adjustRightInd/>
              <w:snapToGrid/>
              <w:spacing w:beforeAutospacing="0" w:afterAutospacing="0" w:line="260" w:lineRule="exact"/>
              <w:jc w:val="both"/>
              <w:rPr>
                <w:rFonts w:hint="eastAsia" w:ascii="宋体" w:hAnsi="宋体" w:eastAsia="宋体" w:cs="宋体"/>
                <w:color w:val="000000"/>
                <w:sz w:val="18"/>
                <w:szCs w:val="18"/>
                <w:vertAlign w:val="baseline"/>
              </w:rPr>
            </w:pPr>
            <w:r>
              <w:rPr>
                <w:rFonts w:hint="eastAsia" w:ascii="宋体" w:hAnsi="宋体" w:eastAsia="宋体" w:cs="宋体"/>
                <w:color w:val="auto"/>
                <w:sz w:val="18"/>
                <w:szCs w:val="18"/>
              </w:rPr>
              <w:t>造成一般工程质量事故的</w:t>
            </w:r>
          </w:p>
        </w:tc>
        <w:tc>
          <w:tcPr>
            <w:tcW w:w="873" w:type="pct"/>
            <w:noWrap w:val="0"/>
            <w:tcMar>
              <w:top w:w="0" w:type="dxa"/>
              <w:left w:w="0" w:type="dxa"/>
              <w:bottom w:w="0" w:type="dxa"/>
              <w:right w:w="0" w:type="dxa"/>
            </w:tcMar>
            <w:vAlign w:val="center"/>
          </w:tcPr>
          <w:p w14:paraId="1EBB6419">
            <w:pPr>
              <w:pStyle w:val="10"/>
              <w:keepNext w:val="0"/>
              <w:keepLines w:val="0"/>
              <w:pageBreakBefore w:val="0"/>
              <w:widowControl w:val="0"/>
              <w:kinsoku/>
              <w:wordWrap/>
              <w:overflowPunct/>
              <w:topLinePunct w:val="0"/>
              <w:autoSpaceDE/>
              <w:autoSpaceDN/>
              <w:bidi w:val="0"/>
              <w:adjustRightInd/>
              <w:snapToGrid/>
              <w:spacing w:beforeAutospacing="0" w:afterAutospacing="0" w:line="260" w:lineRule="exact"/>
              <w:jc w:val="both"/>
              <w:rPr>
                <w:rFonts w:hint="eastAsia" w:ascii="宋体" w:hAnsi="宋体" w:eastAsia="宋体" w:cs="宋体"/>
                <w:color w:val="auto"/>
                <w:kern w:val="2"/>
                <w:sz w:val="18"/>
                <w:szCs w:val="18"/>
                <w:vertAlign w:val="baseline"/>
                <w:lang w:val="en-US" w:eastAsia="zh-CN" w:bidi="ar-SA"/>
              </w:rPr>
            </w:pPr>
            <w:r>
              <w:rPr>
                <w:rFonts w:hint="eastAsia" w:ascii="宋体" w:hAnsi="宋体" w:eastAsia="宋体" w:cs="宋体"/>
                <w:color w:val="auto"/>
                <w:sz w:val="18"/>
                <w:szCs w:val="18"/>
              </w:rPr>
              <w:t>责令改正，可并处1.5万元以上2.5万元以下的罚款</w:t>
            </w:r>
          </w:p>
        </w:tc>
        <w:tc>
          <w:tcPr>
            <w:tcW w:w="158" w:type="pct"/>
            <w:vMerge w:val="continue"/>
            <w:noWrap w:val="0"/>
            <w:tcMar>
              <w:top w:w="0" w:type="dxa"/>
              <w:left w:w="0" w:type="dxa"/>
              <w:bottom w:w="0" w:type="dxa"/>
              <w:right w:w="0" w:type="dxa"/>
            </w:tcMar>
            <w:vAlign w:val="center"/>
          </w:tcPr>
          <w:p w14:paraId="2697C3CE">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color w:val="000000"/>
                <w:sz w:val="18"/>
                <w:szCs w:val="18"/>
                <w:vertAlign w:val="baseline"/>
              </w:rPr>
            </w:pPr>
          </w:p>
        </w:tc>
      </w:tr>
      <w:tr w14:paraId="68156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57" w:hRule="atLeast"/>
          <w:jc w:val="center"/>
        </w:trPr>
        <w:tc>
          <w:tcPr>
            <w:tcW w:w="156" w:type="pct"/>
            <w:vMerge w:val="continue"/>
            <w:noWrap w:val="0"/>
            <w:tcMar>
              <w:top w:w="0" w:type="dxa"/>
              <w:left w:w="0" w:type="dxa"/>
              <w:bottom w:w="0" w:type="dxa"/>
              <w:right w:w="0" w:type="dxa"/>
            </w:tcMar>
            <w:vAlign w:val="center"/>
          </w:tcPr>
          <w:p w14:paraId="354E65AB">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2CC02212">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52BEBFA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2AAA270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313AFD78">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严重</w:t>
            </w:r>
          </w:p>
        </w:tc>
        <w:tc>
          <w:tcPr>
            <w:tcW w:w="561" w:type="pct"/>
            <w:noWrap w:val="0"/>
            <w:tcMar>
              <w:top w:w="0" w:type="dxa"/>
              <w:left w:w="0" w:type="dxa"/>
              <w:bottom w:w="0" w:type="dxa"/>
              <w:right w:w="0" w:type="dxa"/>
            </w:tcMar>
            <w:vAlign w:val="center"/>
          </w:tcPr>
          <w:p w14:paraId="18F9E96E">
            <w:pPr>
              <w:pStyle w:val="10"/>
              <w:keepNext w:val="0"/>
              <w:keepLines w:val="0"/>
              <w:pageBreakBefore w:val="0"/>
              <w:widowControl w:val="0"/>
              <w:kinsoku/>
              <w:wordWrap/>
              <w:overflowPunct/>
              <w:topLinePunct w:val="0"/>
              <w:autoSpaceDE/>
              <w:autoSpaceDN/>
              <w:bidi w:val="0"/>
              <w:adjustRightInd/>
              <w:snapToGrid/>
              <w:spacing w:beforeAutospacing="0" w:afterAutospacing="0" w:line="260" w:lineRule="exact"/>
              <w:jc w:val="both"/>
              <w:rPr>
                <w:rFonts w:hint="eastAsia" w:ascii="宋体" w:hAnsi="宋体" w:eastAsia="宋体" w:cs="宋体"/>
                <w:color w:val="000000"/>
                <w:sz w:val="18"/>
                <w:szCs w:val="18"/>
                <w:vertAlign w:val="baseline"/>
              </w:rPr>
            </w:pPr>
            <w:r>
              <w:rPr>
                <w:rFonts w:hint="eastAsia" w:ascii="宋体" w:hAnsi="宋体" w:eastAsia="宋体" w:cs="宋体"/>
                <w:color w:val="auto"/>
                <w:sz w:val="18"/>
                <w:szCs w:val="18"/>
              </w:rPr>
              <w:t>造成较大以上工程质量事故的</w:t>
            </w:r>
          </w:p>
        </w:tc>
        <w:tc>
          <w:tcPr>
            <w:tcW w:w="873" w:type="pct"/>
            <w:noWrap w:val="0"/>
            <w:tcMar>
              <w:top w:w="0" w:type="dxa"/>
              <w:left w:w="0" w:type="dxa"/>
              <w:bottom w:w="0" w:type="dxa"/>
              <w:right w:w="0" w:type="dxa"/>
            </w:tcMar>
            <w:vAlign w:val="center"/>
          </w:tcPr>
          <w:p w14:paraId="0A28EACF">
            <w:pPr>
              <w:pStyle w:val="10"/>
              <w:keepNext w:val="0"/>
              <w:keepLines w:val="0"/>
              <w:pageBreakBefore w:val="0"/>
              <w:widowControl w:val="0"/>
              <w:kinsoku/>
              <w:wordWrap/>
              <w:overflowPunct/>
              <w:topLinePunct w:val="0"/>
              <w:autoSpaceDE/>
              <w:autoSpaceDN/>
              <w:bidi w:val="0"/>
              <w:adjustRightInd/>
              <w:snapToGrid/>
              <w:spacing w:beforeAutospacing="0" w:afterAutospacing="0" w:line="260" w:lineRule="exact"/>
              <w:jc w:val="both"/>
              <w:rPr>
                <w:rFonts w:hint="eastAsia" w:ascii="宋体" w:hAnsi="宋体" w:eastAsia="宋体" w:cs="宋体"/>
                <w:color w:val="auto"/>
                <w:kern w:val="2"/>
                <w:sz w:val="18"/>
                <w:szCs w:val="18"/>
                <w:vertAlign w:val="baseline"/>
                <w:lang w:val="en-US" w:eastAsia="zh-CN" w:bidi="ar-SA"/>
              </w:rPr>
            </w:pPr>
            <w:r>
              <w:rPr>
                <w:rFonts w:hint="eastAsia" w:ascii="宋体" w:hAnsi="宋体" w:eastAsia="宋体" w:cs="宋体"/>
                <w:color w:val="auto"/>
                <w:sz w:val="18"/>
                <w:szCs w:val="18"/>
              </w:rPr>
              <w:t>责令改正，可并处2.5万元以上3万元以下的罚款</w:t>
            </w:r>
          </w:p>
        </w:tc>
        <w:tc>
          <w:tcPr>
            <w:tcW w:w="158" w:type="pct"/>
            <w:vMerge w:val="continue"/>
            <w:noWrap w:val="0"/>
            <w:tcMar>
              <w:top w:w="0" w:type="dxa"/>
              <w:left w:w="0" w:type="dxa"/>
              <w:bottom w:w="0" w:type="dxa"/>
              <w:right w:w="0" w:type="dxa"/>
            </w:tcMar>
            <w:vAlign w:val="center"/>
          </w:tcPr>
          <w:p w14:paraId="66FE1A54">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color w:val="000000"/>
                <w:sz w:val="18"/>
                <w:szCs w:val="18"/>
                <w:vertAlign w:val="baseline"/>
              </w:rPr>
            </w:pPr>
          </w:p>
        </w:tc>
      </w:tr>
      <w:tr w14:paraId="6F9DCA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156" w:type="pct"/>
            <w:vMerge w:val="continue"/>
            <w:noWrap w:val="0"/>
            <w:tcMar>
              <w:top w:w="0" w:type="dxa"/>
              <w:left w:w="0" w:type="dxa"/>
              <w:bottom w:w="0" w:type="dxa"/>
              <w:right w:w="0" w:type="dxa"/>
            </w:tcMar>
            <w:vAlign w:val="center"/>
          </w:tcPr>
          <w:p w14:paraId="56F8763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14DB9890">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7B0A97EC">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restart"/>
            <w:noWrap w:val="0"/>
            <w:tcMar>
              <w:top w:w="0" w:type="dxa"/>
              <w:left w:w="0" w:type="dxa"/>
              <w:bottom w:w="0" w:type="dxa"/>
              <w:right w:w="0" w:type="dxa"/>
            </w:tcMar>
            <w:vAlign w:val="center"/>
          </w:tcPr>
          <w:p w14:paraId="06F075C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建设、施工、监理等单位明示或暗示检测单位出具虚假检测报告，篡改或伪造检测报告的</w:t>
            </w:r>
          </w:p>
        </w:tc>
        <w:tc>
          <w:tcPr>
            <w:tcW w:w="174" w:type="pct"/>
            <w:noWrap w:val="0"/>
            <w:tcMar>
              <w:top w:w="0" w:type="dxa"/>
              <w:left w:w="0" w:type="dxa"/>
              <w:bottom w:w="0" w:type="dxa"/>
              <w:right w:w="0" w:type="dxa"/>
            </w:tcMar>
            <w:vAlign w:val="center"/>
          </w:tcPr>
          <w:p w14:paraId="21FFF9A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轻微</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75F4C24B">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3FD7B8F7">
            <w:pPr>
              <w:spacing w:line="260" w:lineRule="exact"/>
              <w:rPr>
                <w:rFonts w:hint="eastAsia" w:ascii="宋体" w:hAnsi="宋体" w:eastAsia="宋体" w:cs="宋体"/>
                <w:color w:val="000000"/>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55DD5518">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7B6E53DD">
            <w:pPr>
              <w:spacing w:line="260" w:lineRule="exact"/>
              <w:rPr>
                <w:rFonts w:hint="eastAsia" w:ascii="宋体" w:hAnsi="宋体" w:eastAsia="宋体" w:cs="宋体"/>
                <w:color w:val="000000"/>
                <w:kern w:val="2"/>
                <w:sz w:val="18"/>
                <w:szCs w:val="18"/>
                <w:vertAlign w:val="baseline"/>
                <w:lang w:val="en-US" w:eastAsia="zh-CN" w:bidi="ar-SA"/>
              </w:rPr>
            </w:pPr>
          </w:p>
        </w:tc>
        <w:tc>
          <w:tcPr>
            <w:tcW w:w="158" w:type="pct"/>
            <w:vMerge w:val="restart"/>
            <w:noWrap w:val="0"/>
            <w:tcMar>
              <w:top w:w="0" w:type="dxa"/>
              <w:left w:w="0" w:type="dxa"/>
              <w:bottom w:w="0" w:type="dxa"/>
              <w:right w:w="0" w:type="dxa"/>
            </w:tcMar>
            <w:vAlign w:val="center"/>
          </w:tcPr>
          <w:p w14:paraId="707557FA">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color w:val="000000"/>
                <w:sz w:val="18"/>
                <w:szCs w:val="18"/>
                <w:vertAlign w:val="baseline"/>
              </w:rPr>
            </w:pPr>
          </w:p>
        </w:tc>
      </w:tr>
      <w:tr w14:paraId="7271EC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156" w:type="pct"/>
            <w:vMerge w:val="continue"/>
            <w:noWrap w:val="0"/>
            <w:tcMar>
              <w:top w:w="0" w:type="dxa"/>
              <w:left w:w="0" w:type="dxa"/>
              <w:bottom w:w="0" w:type="dxa"/>
              <w:right w:w="0" w:type="dxa"/>
            </w:tcMar>
            <w:vAlign w:val="center"/>
          </w:tcPr>
          <w:p w14:paraId="135B0A45">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2F65CC8B">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0E5E98A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25E066D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396B12E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较轻</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7B01BCBE">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146B735E">
            <w:pPr>
              <w:spacing w:line="260" w:lineRule="exact"/>
              <w:rPr>
                <w:rFonts w:hint="eastAsia" w:ascii="宋体" w:hAnsi="宋体" w:eastAsia="宋体" w:cs="宋体"/>
                <w:color w:val="000000"/>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622FDD0C">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77016839">
            <w:pPr>
              <w:spacing w:line="260" w:lineRule="exact"/>
              <w:rPr>
                <w:rFonts w:hint="eastAsia" w:ascii="宋体" w:hAnsi="宋体" w:eastAsia="宋体" w:cs="宋体"/>
                <w:color w:val="000000"/>
                <w:kern w:val="2"/>
                <w:sz w:val="18"/>
                <w:szCs w:val="18"/>
                <w:vertAlign w:val="baseline"/>
                <w:lang w:val="en-US" w:eastAsia="zh-CN" w:bidi="ar-SA"/>
              </w:rPr>
            </w:pPr>
          </w:p>
        </w:tc>
        <w:tc>
          <w:tcPr>
            <w:tcW w:w="158" w:type="pct"/>
            <w:vMerge w:val="continue"/>
            <w:noWrap w:val="0"/>
            <w:tcMar>
              <w:top w:w="0" w:type="dxa"/>
              <w:left w:w="0" w:type="dxa"/>
              <w:bottom w:w="0" w:type="dxa"/>
              <w:right w:w="0" w:type="dxa"/>
            </w:tcMar>
            <w:vAlign w:val="center"/>
          </w:tcPr>
          <w:p w14:paraId="074B3960">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0369CE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55" w:hRule="atLeast"/>
          <w:jc w:val="center"/>
        </w:trPr>
        <w:tc>
          <w:tcPr>
            <w:tcW w:w="156" w:type="pct"/>
            <w:vMerge w:val="continue"/>
            <w:noWrap w:val="0"/>
            <w:tcMar>
              <w:top w:w="0" w:type="dxa"/>
              <w:left w:w="0" w:type="dxa"/>
              <w:bottom w:w="0" w:type="dxa"/>
              <w:right w:w="0" w:type="dxa"/>
            </w:tcMar>
            <w:vAlign w:val="center"/>
          </w:tcPr>
          <w:p w14:paraId="6FBA6CA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70A60B24">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1D805A5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0B36E40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557D499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一般</w:t>
            </w:r>
          </w:p>
        </w:tc>
        <w:tc>
          <w:tcPr>
            <w:tcW w:w="561" w:type="pct"/>
            <w:noWrap w:val="0"/>
            <w:tcMar>
              <w:top w:w="0" w:type="dxa"/>
              <w:left w:w="0" w:type="dxa"/>
              <w:bottom w:w="0" w:type="dxa"/>
              <w:right w:w="0" w:type="dxa"/>
            </w:tcMar>
            <w:vAlign w:val="center"/>
          </w:tcPr>
          <w:p w14:paraId="45B36462">
            <w:pPr>
              <w:pStyle w:val="10"/>
              <w:keepNext w:val="0"/>
              <w:keepLines w:val="0"/>
              <w:pageBreakBefore w:val="0"/>
              <w:widowControl w:val="0"/>
              <w:kinsoku/>
              <w:wordWrap/>
              <w:overflowPunct/>
              <w:topLinePunct w:val="0"/>
              <w:autoSpaceDE/>
              <w:autoSpaceDN/>
              <w:bidi w:val="0"/>
              <w:adjustRightInd/>
              <w:snapToGrid/>
              <w:spacing w:beforeAutospacing="0" w:afterAutospacing="0" w:line="260" w:lineRule="exact"/>
              <w:jc w:val="both"/>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auto"/>
                <w:sz w:val="18"/>
                <w:szCs w:val="18"/>
              </w:rPr>
              <w:t>未造成工程质量事故的</w:t>
            </w:r>
          </w:p>
        </w:tc>
        <w:tc>
          <w:tcPr>
            <w:tcW w:w="873" w:type="pct"/>
            <w:noWrap w:val="0"/>
            <w:tcMar>
              <w:top w:w="0" w:type="dxa"/>
              <w:left w:w="0" w:type="dxa"/>
              <w:bottom w:w="0" w:type="dxa"/>
              <w:right w:w="0" w:type="dxa"/>
            </w:tcMar>
            <w:vAlign w:val="center"/>
          </w:tcPr>
          <w:p w14:paraId="5D0EAF66">
            <w:pPr>
              <w:pStyle w:val="10"/>
              <w:keepNext w:val="0"/>
              <w:keepLines w:val="0"/>
              <w:pageBreakBefore w:val="0"/>
              <w:widowControl w:val="0"/>
              <w:kinsoku/>
              <w:wordWrap/>
              <w:overflowPunct/>
              <w:topLinePunct w:val="0"/>
              <w:autoSpaceDE/>
              <w:autoSpaceDN/>
              <w:bidi w:val="0"/>
              <w:adjustRightInd/>
              <w:snapToGrid/>
              <w:spacing w:beforeAutospacing="0" w:afterAutospacing="0" w:line="260" w:lineRule="exact"/>
              <w:jc w:val="both"/>
              <w:rPr>
                <w:rFonts w:hint="eastAsia" w:ascii="宋体" w:hAnsi="宋体" w:eastAsia="宋体" w:cs="宋体"/>
                <w:color w:val="auto"/>
                <w:kern w:val="2"/>
                <w:sz w:val="18"/>
                <w:szCs w:val="18"/>
                <w:vertAlign w:val="baseline"/>
                <w:lang w:val="en-US" w:eastAsia="zh-CN" w:bidi="ar-SA"/>
              </w:rPr>
            </w:pPr>
            <w:r>
              <w:rPr>
                <w:rFonts w:hint="eastAsia" w:ascii="宋体" w:hAnsi="宋体" w:eastAsia="宋体" w:cs="宋体"/>
                <w:color w:val="auto"/>
                <w:sz w:val="18"/>
                <w:szCs w:val="18"/>
              </w:rPr>
              <w:t>责令改正，可并处1万元以上1.5万元以下罚款</w:t>
            </w:r>
          </w:p>
        </w:tc>
        <w:tc>
          <w:tcPr>
            <w:tcW w:w="158" w:type="pct"/>
            <w:vMerge w:val="continue"/>
            <w:noWrap w:val="0"/>
            <w:tcMar>
              <w:top w:w="0" w:type="dxa"/>
              <w:left w:w="0" w:type="dxa"/>
              <w:bottom w:w="0" w:type="dxa"/>
              <w:right w:w="0" w:type="dxa"/>
            </w:tcMar>
            <w:vAlign w:val="center"/>
          </w:tcPr>
          <w:p w14:paraId="2548597D">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7C701A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55" w:hRule="atLeast"/>
          <w:jc w:val="center"/>
        </w:trPr>
        <w:tc>
          <w:tcPr>
            <w:tcW w:w="156" w:type="pct"/>
            <w:vMerge w:val="continue"/>
            <w:noWrap w:val="0"/>
            <w:tcMar>
              <w:top w:w="0" w:type="dxa"/>
              <w:left w:w="0" w:type="dxa"/>
              <w:bottom w:w="0" w:type="dxa"/>
              <w:right w:w="0" w:type="dxa"/>
            </w:tcMar>
            <w:vAlign w:val="center"/>
          </w:tcPr>
          <w:p w14:paraId="4FF4318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218D3409">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230EA4F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7A09D7D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388F202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较重</w:t>
            </w:r>
          </w:p>
        </w:tc>
        <w:tc>
          <w:tcPr>
            <w:tcW w:w="561" w:type="pct"/>
            <w:noWrap w:val="0"/>
            <w:tcMar>
              <w:top w:w="0" w:type="dxa"/>
              <w:left w:w="0" w:type="dxa"/>
              <w:bottom w:w="0" w:type="dxa"/>
              <w:right w:w="0" w:type="dxa"/>
            </w:tcMar>
            <w:vAlign w:val="center"/>
          </w:tcPr>
          <w:p w14:paraId="510EF0A6">
            <w:pPr>
              <w:pStyle w:val="10"/>
              <w:keepNext w:val="0"/>
              <w:keepLines w:val="0"/>
              <w:pageBreakBefore w:val="0"/>
              <w:widowControl w:val="0"/>
              <w:kinsoku/>
              <w:wordWrap/>
              <w:overflowPunct/>
              <w:topLinePunct w:val="0"/>
              <w:autoSpaceDE/>
              <w:autoSpaceDN/>
              <w:bidi w:val="0"/>
              <w:adjustRightInd/>
              <w:snapToGrid/>
              <w:spacing w:beforeAutospacing="0" w:afterAutospacing="0" w:line="260" w:lineRule="exact"/>
              <w:jc w:val="both"/>
              <w:rPr>
                <w:rFonts w:hint="eastAsia" w:ascii="宋体" w:hAnsi="宋体" w:eastAsia="宋体" w:cs="宋体"/>
                <w:color w:val="000000"/>
                <w:sz w:val="18"/>
                <w:szCs w:val="18"/>
                <w:vertAlign w:val="baseline"/>
              </w:rPr>
            </w:pPr>
            <w:r>
              <w:rPr>
                <w:rFonts w:hint="eastAsia" w:ascii="宋体" w:hAnsi="宋体" w:eastAsia="宋体" w:cs="宋体"/>
                <w:color w:val="auto"/>
                <w:sz w:val="18"/>
                <w:szCs w:val="18"/>
              </w:rPr>
              <w:t>造成一般工程质量事故的</w:t>
            </w:r>
          </w:p>
        </w:tc>
        <w:tc>
          <w:tcPr>
            <w:tcW w:w="873" w:type="pct"/>
            <w:noWrap w:val="0"/>
            <w:tcMar>
              <w:top w:w="0" w:type="dxa"/>
              <w:left w:w="0" w:type="dxa"/>
              <w:bottom w:w="0" w:type="dxa"/>
              <w:right w:w="0" w:type="dxa"/>
            </w:tcMar>
            <w:vAlign w:val="center"/>
          </w:tcPr>
          <w:p w14:paraId="5F325D6D">
            <w:pPr>
              <w:pStyle w:val="10"/>
              <w:keepNext w:val="0"/>
              <w:keepLines w:val="0"/>
              <w:pageBreakBefore w:val="0"/>
              <w:widowControl w:val="0"/>
              <w:kinsoku/>
              <w:wordWrap/>
              <w:overflowPunct/>
              <w:topLinePunct w:val="0"/>
              <w:autoSpaceDE/>
              <w:autoSpaceDN/>
              <w:bidi w:val="0"/>
              <w:adjustRightInd/>
              <w:snapToGrid/>
              <w:spacing w:beforeAutospacing="0" w:afterAutospacing="0" w:line="260" w:lineRule="exact"/>
              <w:jc w:val="both"/>
              <w:rPr>
                <w:rFonts w:hint="eastAsia" w:ascii="宋体" w:hAnsi="宋体" w:eastAsia="宋体" w:cs="宋体"/>
                <w:color w:val="auto"/>
                <w:kern w:val="2"/>
                <w:sz w:val="18"/>
                <w:szCs w:val="18"/>
                <w:vertAlign w:val="baseline"/>
                <w:lang w:val="en-US" w:eastAsia="zh-CN" w:bidi="ar-SA"/>
              </w:rPr>
            </w:pPr>
            <w:r>
              <w:rPr>
                <w:rFonts w:hint="eastAsia" w:ascii="宋体" w:hAnsi="宋体" w:eastAsia="宋体" w:cs="宋体"/>
                <w:color w:val="auto"/>
                <w:sz w:val="18"/>
                <w:szCs w:val="18"/>
              </w:rPr>
              <w:t>责令改正，可并处1.5万元以上2.5万元以下的罚款</w:t>
            </w:r>
          </w:p>
        </w:tc>
        <w:tc>
          <w:tcPr>
            <w:tcW w:w="158" w:type="pct"/>
            <w:vMerge w:val="continue"/>
            <w:noWrap w:val="0"/>
            <w:tcMar>
              <w:top w:w="0" w:type="dxa"/>
              <w:left w:w="0" w:type="dxa"/>
              <w:bottom w:w="0" w:type="dxa"/>
              <w:right w:w="0" w:type="dxa"/>
            </w:tcMar>
            <w:vAlign w:val="center"/>
          </w:tcPr>
          <w:p w14:paraId="102C714A">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1771A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737" w:hRule="atLeast"/>
          <w:jc w:val="center"/>
        </w:trPr>
        <w:tc>
          <w:tcPr>
            <w:tcW w:w="156" w:type="pct"/>
            <w:vMerge w:val="continue"/>
            <w:noWrap w:val="0"/>
            <w:tcMar>
              <w:top w:w="0" w:type="dxa"/>
              <w:left w:w="0" w:type="dxa"/>
              <w:bottom w:w="0" w:type="dxa"/>
              <w:right w:w="0" w:type="dxa"/>
            </w:tcMar>
            <w:vAlign w:val="center"/>
          </w:tcPr>
          <w:p w14:paraId="60C9034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631C585F">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551C38D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319FBDB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110EB2E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严重</w:t>
            </w:r>
          </w:p>
        </w:tc>
        <w:tc>
          <w:tcPr>
            <w:tcW w:w="561" w:type="pct"/>
            <w:noWrap w:val="0"/>
            <w:tcMar>
              <w:top w:w="0" w:type="dxa"/>
              <w:left w:w="0" w:type="dxa"/>
              <w:bottom w:w="0" w:type="dxa"/>
              <w:right w:w="0" w:type="dxa"/>
            </w:tcMar>
            <w:vAlign w:val="center"/>
          </w:tcPr>
          <w:p w14:paraId="1E106AED">
            <w:pPr>
              <w:pStyle w:val="10"/>
              <w:keepNext w:val="0"/>
              <w:keepLines w:val="0"/>
              <w:pageBreakBefore w:val="0"/>
              <w:widowControl w:val="0"/>
              <w:kinsoku/>
              <w:wordWrap/>
              <w:overflowPunct/>
              <w:topLinePunct w:val="0"/>
              <w:autoSpaceDE/>
              <w:autoSpaceDN/>
              <w:bidi w:val="0"/>
              <w:adjustRightInd/>
              <w:snapToGrid/>
              <w:spacing w:beforeAutospacing="0" w:afterAutospacing="0" w:line="260" w:lineRule="exact"/>
              <w:jc w:val="both"/>
              <w:rPr>
                <w:rFonts w:hint="eastAsia" w:ascii="宋体" w:hAnsi="宋体" w:eastAsia="宋体" w:cs="宋体"/>
                <w:color w:val="000000"/>
                <w:sz w:val="18"/>
                <w:szCs w:val="18"/>
                <w:vertAlign w:val="baseline"/>
              </w:rPr>
            </w:pPr>
            <w:r>
              <w:rPr>
                <w:rFonts w:hint="eastAsia" w:ascii="宋体" w:hAnsi="宋体" w:eastAsia="宋体" w:cs="宋体"/>
                <w:color w:val="auto"/>
                <w:sz w:val="18"/>
                <w:szCs w:val="18"/>
              </w:rPr>
              <w:t>造成较大以上工程质量事故的</w:t>
            </w:r>
          </w:p>
        </w:tc>
        <w:tc>
          <w:tcPr>
            <w:tcW w:w="873" w:type="pct"/>
            <w:noWrap w:val="0"/>
            <w:tcMar>
              <w:top w:w="0" w:type="dxa"/>
              <w:left w:w="0" w:type="dxa"/>
              <w:bottom w:w="0" w:type="dxa"/>
              <w:right w:w="0" w:type="dxa"/>
            </w:tcMar>
            <w:vAlign w:val="center"/>
          </w:tcPr>
          <w:p w14:paraId="1056C14B">
            <w:pPr>
              <w:pStyle w:val="10"/>
              <w:keepNext w:val="0"/>
              <w:keepLines w:val="0"/>
              <w:pageBreakBefore w:val="0"/>
              <w:widowControl w:val="0"/>
              <w:kinsoku/>
              <w:wordWrap/>
              <w:overflowPunct/>
              <w:topLinePunct w:val="0"/>
              <w:autoSpaceDE/>
              <w:autoSpaceDN/>
              <w:bidi w:val="0"/>
              <w:adjustRightInd/>
              <w:snapToGrid/>
              <w:spacing w:beforeAutospacing="0" w:afterAutospacing="0" w:line="260" w:lineRule="exact"/>
              <w:jc w:val="both"/>
              <w:rPr>
                <w:rFonts w:hint="eastAsia" w:ascii="宋体" w:hAnsi="宋体" w:eastAsia="宋体" w:cs="宋体"/>
                <w:color w:val="auto"/>
                <w:kern w:val="2"/>
                <w:sz w:val="18"/>
                <w:szCs w:val="18"/>
                <w:vertAlign w:val="baseline"/>
                <w:lang w:val="en-US" w:eastAsia="zh-CN" w:bidi="ar-SA"/>
              </w:rPr>
            </w:pPr>
            <w:r>
              <w:rPr>
                <w:rFonts w:hint="eastAsia" w:ascii="宋体" w:hAnsi="宋体" w:eastAsia="宋体" w:cs="宋体"/>
                <w:color w:val="auto"/>
                <w:sz w:val="18"/>
                <w:szCs w:val="18"/>
              </w:rPr>
              <w:t>责令改正，可并处2.5万元以上3万元以下的罚款</w:t>
            </w:r>
          </w:p>
        </w:tc>
        <w:tc>
          <w:tcPr>
            <w:tcW w:w="158" w:type="pct"/>
            <w:vMerge w:val="continue"/>
            <w:noWrap w:val="0"/>
            <w:tcMar>
              <w:top w:w="0" w:type="dxa"/>
              <w:left w:w="0" w:type="dxa"/>
              <w:bottom w:w="0" w:type="dxa"/>
              <w:right w:w="0" w:type="dxa"/>
            </w:tcMar>
            <w:vAlign w:val="center"/>
          </w:tcPr>
          <w:p w14:paraId="27088AB1">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1147D6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156" w:type="pct"/>
            <w:vMerge w:val="restart"/>
            <w:noWrap w:val="0"/>
            <w:tcMar>
              <w:top w:w="0" w:type="dxa"/>
              <w:left w:w="0" w:type="dxa"/>
              <w:bottom w:w="0" w:type="dxa"/>
              <w:right w:w="0" w:type="dxa"/>
            </w:tcMar>
            <w:vAlign w:val="center"/>
          </w:tcPr>
          <w:p w14:paraId="0968F420">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r>
              <w:rPr>
                <w:rFonts w:hint="eastAsia" w:ascii="宋体" w:hAnsi="宋体" w:eastAsia="宋体" w:cs="宋体"/>
                <w:color w:val="000000"/>
                <w:sz w:val="18"/>
                <w:szCs w:val="18"/>
                <w:shd w:val="clear" w:color="auto" w:fill="auto"/>
                <w:vertAlign w:val="baseline"/>
                <w:lang w:val="en-US" w:eastAsia="zh-CN"/>
              </w:rPr>
              <w:t>93</w:t>
            </w:r>
          </w:p>
        </w:tc>
        <w:tc>
          <w:tcPr>
            <w:tcW w:w="415" w:type="pct"/>
            <w:vMerge w:val="restart"/>
            <w:noWrap w:val="0"/>
            <w:tcMar>
              <w:top w:w="0" w:type="dxa"/>
              <w:left w:w="0" w:type="dxa"/>
              <w:bottom w:w="0" w:type="dxa"/>
              <w:right w:w="0" w:type="dxa"/>
            </w:tcMar>
            <w:vAlign w:val="center"/>
          </w:tcPr>
          <w:p w14:paraId="0D47B76A">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auto"/>
                <w:sz w:val="18"/>
                <w:szCs w:val="18"/>
                <w:vertAlign w:val="baseline"/>
                <w:lang w:val="en-US" w:eastAsia="zh-CN"/>
              </w:rPr>
              <w:t>对水利工程质量检测人员从事质量检测活动中不如实记录、随意取舍检测数据，弄虚作假、伪造数据等行为的行政处罚</w:t>
            </w:r>
          </w:p>
        </w:tc>
        <w:tc>
          <w:tcPr>
            <w:tcW w:w="2168" w:type="pct"/>
            <w:vMerge w:val="restart"/>
            <w:noWrap w:val="0"/>
            <w:tcMar>
              <w:top w:w="0" w:type="dxa"/>
              <w:left w:w="0" w:type="dxa"/>
              <w:bottom w:w="0" w:type="dxa"/>
              <w:right w:w="0" w:type="dxa"/>
            </w:tcMar>
            <w:vAlign w:val="center"/>
          </w:tcPr>
          <w:p w14:paraId="46DF212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《水利工程质量检测管理规定》第三十条 检测人员从事质量检测活动中，有下列行为之一的，由县级以上人民政府水行政主管部门责令改正，给予警告，可并处1千元以下罚款：</w:t>
            </w:r>
          </w:p>
          <w:p w14:paraId="225CA0F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（一）不如实记录，随意取舍检测数据的；（二）弄虚作假、伪造数据的；（三）未执行法律、法规和强制性标准的。</w:t>
            </w:r>
          </w:p>
        </w:tc>
        <w:tc>
          <w:tcPr>
            <w:tcW w:w="491" w:type="pct"/>
            <w:vMerge w:val="restart"/>
            <w:noWrap w:val="0"/>
            <w:tcMar>
              <w:top w:w="0" w:type="dxa"/>
              <w:left w:w="0" w:type="dxa"/>
              <w:bottom w:w="0" w:type="dxa"/>
              <w:right w:w="0" w:type="dxa"/>
            </w:tcMar>
            <w:vAlign w:val="center"/>
          </w:tcPr>
          <w:p w14:paraId="4128C83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对水利工程质量检测人员从事质量检测活动中不如实记录、随意取舍检测数据，弄虚作假、伪造数据的</w:t>
            </w:r>
          </w:p>
        </w:tc>
        <w:tc>
          <w:tcPr>
            <w:tcW w:w="174" w:type="pct"/>
            <w:noWrap w:val="0"/>
            <w:tcMar>
              <w:top w:w="0" w:type="dxa"/>
              <w:left w:w="0" w:type="dxa"/>
              <w:bottom w:w="0" w:type="dxa"/>
              <w:right w:w="0" w:type="dxa"/>
            </w:tcMar>
            <w:vAlign w:val="center"/>
          </w:tcPr>
          <w:p w14:paraId="394833B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轻微</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3F968B88">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5746BA13">
            <w:pPr>
              <w:spacing w:line="260" w:lineRule="exact"/>
              <w:rPr>
                <w:rFonts w:hint="eastAsia" w:ascii="宋体" w:hAnsi="宋体" w:eastAsia="宋体" w:cs="宋体"/>
                <w:color w:val="000000"/>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1E3D2FD0">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59CBC6F8">
            <w:pPr>
              <w:spacing w:line="260" w:lineRule="exact"/>
              <w:rPr>
                <w:rFonts w:hint="eastAsia" w:ascii="宋体" w:hAnsi="宋体" w:eastAsia="宋体" w:cs="宋体"/>
                <w:color w:val="000000"/>
                <w:kern w:val="2"/>
                <w:sz w:val="18"/>
                <w:szCs w:val="18"/>
                <w:vertAlign w:val="baseline"/>
                <w:lang w:val="en-US" w:eastAsia="zh-CN" w:bidi="ar-SA"/>
              </w:rPr>
            </w:pPr>
          </w:p>
        </w:tc>
        <w:tc>
          <w:tcPr>
            <w:tcW w:w="158" w:type="pct"/>
            <w:vMerge w:val="restart"/>
            <w:noWrap w:val="0"/>
            <w:tcMar>
              <w:top w:w="0" w:type="dxa"/>
              <w:left w:w="0" w:type="dxa"/>
              <w:bottom w:w="0" w:type="dxa"/>
              <w:right w:w="0" w:type="dxa"/>
            </w:tcMar>
            <w:vAlign w:val="center"/>
          </w:tcPr>
          <w:p w14:paraId="20F38904">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color w:val="000000"/>
                <w:sz w:val="18"/>
                <w:szCs w:val="18"/>
                <w:vertAlign w:val="baseline"/>
              </w:rPr>
            </w:pPr>
          </w:p>
        </w:tc>
      </w:tr>
      <w:tr w14:paraId="3F8437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156" w:type="pct"/>
            <w:vMerge w:val="continue"/>
            <w:noWrap w:val="0"/>
            <w:tcMar>
              <w:top w:w="0" w:type="dxa"/>
              <w:left w:w="0" w:type="dxa"/>
              <w:bottom w:w="0" w:type="dxa"/>
              <w:right w:w="0" w:type="dxa"/>
            </w:tcMar>
            <w:vAlign w:val="center"/>
          </w:tcPr>
          <w:p w14:paraId="46C8943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63563F75">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36B5C5D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205D944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4E82700D">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较轻</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0E047D7E">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70C683D1">
            <w:pPr>
              <w:spacing w:line="260" w:lineRule="exact"/>
              <w:rPr>
                <w:rFonts w:hint="eastAsia" w:ascii="宋体" w:hAnsi="宋体" w:eastAsia="宋体" w:cs="宋体"/>
                <w:color w:val="000000"/>
                <w:kern w:val="2"/>
                <w:sz w:val="18"/>
                <w:szCs w:val="18"/>
                <w:vertAlign w:val="baseline"/>
                <w:lang w:val="en-US" w:eastAsia="zh-CN" w:bidi="ar-SA"/>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3EBFF470">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7C6ECFCA">
            <w:pPr>
              <w:spacing w:line="260" w:lineRule="exact"/>
              <w:rPr>
                <w:rFonts w:hint="eastAsia" w:ascii="宋体" w:hAnsi="宋体" w:eastAsia="宋体" w:cs="宋体"/>
                <w:color w:val="000000"/>
                <w:kern w:val="2"/>
                <w:sz w:val="18"/>
                <w:szCs w:val="18"/>
                <w:vertAlign w:val="baseline"/>
                <w:lang w:val="en-US" w:eastAsia="zh-CN" w:bidi="ar-SA"/>
              </w:rPr>
            </w:pPr>
          </w:p>
        </w:tc>
        <w:tc>
          <w:tcPr>
            <w:tcW w:w="158" w:type="pct"/>
            <w:vMerge w:val="continue"/>
            <w:noWrap w:val="0"/>
            <w:tcMar>
              <w:top w:w="0" w:type="dxa"/>
              <w:left w:w="0" w:type="dxa"/>
              <w:bottom w:w="0" w:type="dxa"/>
              <w:right w:w="0" w:type="dxa"/>
            </w:tcMar>
            <w:vAlign w:val="center"/>
          </w:tcPr>
          <w:p w14:paraId="07B40C71">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44B66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40" w:hRule="atLeast"/>
          <w:jc w:val="center"/>
        </w:trPr>
        <w:tc>
          <w:tcPr>
            <w:tcW w:w="156" w:type="pct"/>
            <w:vMerge w:val="continue"/>
            <w:noWrap w:val="0"/>
            <w:tcMar>
              <w:top w:w="0" w:type="dxa"/>
              <w:left w:w="0" w:type="dxa"/>
              <w:bottom w:w="0" w:type="dxa"/>
              <w:right w:w="0" w:type="dxa"/>
            </w:tcMar>
            <w:vAlign w:val="center"/>
          </w:tcPr>
          <w:p w14:paraId="0C02C9B1">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4D84E8C7">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61360564">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17AD879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151326F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一般</w:t>
            </w:r>
          </w:p>
        </w:tc>
        <w:tc>
          <w:tcPr>
            <w:tcW w:w="561" w:type="pct"/>
            <w:noWrap w:val="0"/>
            <w:tcMar>
              <w:top w:w="0" w:type="dxa"/>
              <w:left w:w="0" w:type="dxa"/>
              <w:bottom w:w="0" w:type="dxa"/>
              <w:right w:w="0" w:type="dxa"/>
            </w:tcMar>
            <w:vAlign w:val="center"/>
          </w:tcPr>
          <w:p w14:paraId="02FF4E4D">
            <w:pPr>
              <w:pStyle w:val="10"/>
              <w:keepNext w:val="0"/>
              <w:keepLines w:val="0"/>
              <w:pageBreakBefore w:val="0"/>
              <w:widowControl w:val="0"/>
              <w:kinsoku/>
              <w:wordWrap/>
              <w:overflowPunct/>
              <w:topLinePunct w:val="0"/>
              <w:autoSpaceDE/>
              <w:autoSpaceDN/>
              <w:bidi w:val="0"/>
              <w:adjustRightInd/>
              <w:snapToGrid/>
              <w:spacing w:beforeAutospacing="0" w:afterAutospacing="0" w:line="260" w:lineRule="exact"/>
              <w:jc w:val="both"/>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auto"/>
                <w:sz w:val="18"/>
                <w:szCs w:val="18"/>
              </w:rPr>
              <w:t>未造成工程质量事故的</w:t>
            </w:r>
          </w:p>
        </w:tc>
        <w:tc>
          <w:tcPr>
            <w:tcW w:w="873" w:type="pct"/>
            <w:noWrap w:val="0"/>
            <w:tcMar>
              <w:top w:w="0" w:type="dxa"/>
              <w:left w:w="0" w:type="dxa"/>
              <w:bottom w:w="0" w:type="dxa"/>
              <w:right w:w="0" w:type="dxa"/>
            </w:tcMar>
            <w:vAlign w:val="center"/>
          </w:tcPr>
          <w:p w14:paraId="1298DD38">
            <w:pPr>
              <w:pStyle w:val="10"/>
              <w:keepNext w:val="0"/>
              <w:keepLines w:val="0"/>
              <w:pageBreakBefore w:val="0"/>
              <w:widowControl w:val="0"/>
              <w:kinsoku/>
              <w:wordWrap/>
              <w:overflowPunct/>
              <w:topLinePunct w:val="0"/>
              <w:autoSpaceDE/>
              <w:autoSpaceDN/>
              <w:bidi w:val="0"/>
              <w:adjustRightInd/>
              <w:snapToGrid/>
              <w:spacing w:beforeAutospacing="0" w:afterAutospacing="0" w:line="260" w:lineRule="exact"/>
              <w:jc w:val="both"/>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auto"/>
                <w:sz w:val="18"/>
                <w:szCs w:val="18"/>
              </w:rPr>
              <w:t>责令改正，给予警告，可并处300元以下的罚款</w:t>
            </w:r>
          </w:p>
        </w:tc>
        <w:tc>
          <w:tcPr>
            <w:tcW w:w="158" w:type="pct"/>
            <w:vMerge w:val="continue"/>
            <w:noWrap w:val="0"/>
            <w:tcMar>
              <w:top w:w="0" w:type="dxa"/>
              <w:left w:w="0" w:type="dxa"/>
              <w:bottom w:w="0" w:type="dxa"/>
              <w:right w:w="0" w:type="dxa"/>
            </w:tcMar>
            <w:vAlign w:val="center"/>
          </w:tcPr>
          <w:p w14:paraId="22A2C401">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26F705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30E36A8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7A88E62D">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2C2AE74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76A2647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7409160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较重</w:t>
            </w:r>
          </w:p>
        </w:tc>
        <w:tc>
          <w:tcPr>
            <w:tcW w:w="561" w:type="pct"/>
            <w:noWrap w:val="0"/>
            <w:tcMar>
              <w:top w:w="0" w:type="dxa"/>
              <w:left w:w="0" w:type="dxa"/>
              <w:bottom w:w="0" w:type="dxa"/>
              <w:right w:w="0" w:type="dxa"/>
            </w:tcMar>
            <w:vAlign w:val="center"/>
          </w:tcPr>
          <w:p w14:paraId="119FC446">
            <w:pPr>
              <w:pStyle w:val="10"/>
              <w:keepNext w:val="0"/>
              <w:keepLines w:val="0"/>
              <w:pageBreakBefore w:val="0"/>
              <w:widowControl w:val="0"/>
              <w:kinsoku/>
              <w:wordWrap/>
              <w:overflowPunct/>
              <w:topLinePunct w:val="0"/>
              <w:autoSpaceDE/>
              <w:autoSpaceDN/>
              <w:bidi w:val="0"/>
              <w:adjustRightInd/>
              <w:snapToGrid/>
              <w:spacing w:beforeAutospacing="0" w:afterAutospacing="0" w:line="260" w:lineRule="exact"/>
              <w:jc w:val="both"/>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auto"/>
                <w:sz w:val="18"/>
                <w:szCs w:val="18"/>
              </w:rPr>
              <w:t>造成一般工程质量事故的</w:t>
            </w:r>
          </w:p>
        </w:tc>
        <w:tc>
          <w:tcPr>
            <w:tcW w:w="873" w:type="pct"/>
            <w:noWrap w:val="0"/>
            <w:tcMar>
              <w:top w:w="0" w:type="dxa"/>
              <w:left w:w="0" w:type="dxa"/>
              <w:bottom w:w="0" w:type="dxa"/>
              <w:right w:w="0" w:type="dxa"/>
            </w:tcMar>
            <w:vAlign w:val="center"/>
          </w:tcPr>
          <w:p w14:paraId="1D4CAF3B">
            <w:pPr>
              <w:pStyle w:val="10"/>
              <w:keepNext w:val="0"/>
              <w:keepLines w:val="0"/>
              <w:pageBreakBefore w:val="0"/>
              <w:widowControl w:val="0"/>
              <w:kinsoku/>
              <w:wordWrap/>
              <w:overflowPunct/>
              <w:topLinePunct w:val="0"/>
              <w:autoSpaceDE/>
              <w:autoSpaceDN/>
              <w:bidi w:val="0"/>
              <w:adjustRightInd/>
              <w:snapToGrid/>
              <w:spacing w:beforeAutospacing="0" w:afterAutospacing="0" w:line="260" w:lineRule="exact"/>
              <w:jc w:val="both"/>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auto"/>
                <w:sz w:val="18"/>
                <w:szCs w:val="18"/>
              </w:rPr>
              <w:t>责令改正，给予警告，可并处300元以上700元以下的罚款</w:t>
            </w:r>
          </w:p>
        </w:tc>
        <w:tc>
          <w:tcPr>
            <w:tcW w:w="158" w:type="pct"/>
            <w:vMerge w:val="continue"/>
            <w:noWrap w:val="0"/>
            <w:tcMar>
              <w:top w:w="0" w:type="dxa"/>
              <w:left w:w="0" w:type="dxa"/>
              <w:bottom w:w="0" w:type="dxa"/>
              <w:right w:w="0" w:type="dxa"/>
            </w:tcMar>
            <w:vAlign w:val="center"/>
          </w:tcPr>
          <w:p w14:paraId="2A4C777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0A3A28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57" w:hRule="atLeast"/>
          <w:jc w:val="center"/>
        </w:trPr>
        <w:tc>
          <w:tcPr>
            <w:tcW w:w="156" w:type="pct"/>
            <w:vMerge w:val="continue"/>
            <w:noWrap w:val="0"/>
            <w:tcMar>
              <w:top w:w="0" w:type="dxa"/>
              <w:left w:w="0" w:type="dxa"/>
              <w:bottom w:w="0" w:type="dxa"/>
              <w:right w:w="0" w:type="dxa"/>
            </w:tcMar>
            <w:vAlign w:val="center"/>
          </w:tcPr>
          <w:p w14:paraId="7FDE7A50">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3E512F18">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76041D5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2771ED97">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571758CD">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严重</w:t>
            </w:r>
          </w:p>
        </w:tc>
        <w:tc>
          <w:tcPr>
            <w:tcW w:w="561" w:type="pct"/>
            <w:noWrap w:val="0"/>
            <w:tcMar>
              <w:top w:w="0" w:type="dxa"/>
              <w:left w:w="0" w:type="dxa"/>
              <w:bottom w:w="0" w:type="dxa"/>
              <w:right w:w="0" w:type="dxa"/>
            </w:tcMar>
            <w:vAlign w:val="center"/>
          </w:tcPr>
          <w:p w14:paraId="1F600378">
            <w:pPr>
              <w:pStyle w:val="10"/>
              <w:keepNext w:val="0"/>
              <w:keepLines w:val="0"/>
              <w:pageBreakBefore w:val="0"/>
              <w:widowControl w:val="0"/>
              <w:kinsoku/>
              <w:wordWrap/>
              <w:overflowPunct/>
              <w:topLinePunct w:val="0"/>
              <w:autoSpaceDE/>
              <w:autoSpaceDN/>
              <w:bidi w:val="0"/>
              <w:adjustRightInd/>
              <w:snapToGrid/>
              <w:spacing w:beforeAutospacing="0" w:afterAutospacing="0" w:line="260" w:lineRule="exact"/>
              <w:jc w:val="both"/>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auto"/>
                <w:sz w:val="18"/>
                <w:szCs w:val="18"/>
              </w:rPr>
              <w:t>造成较大以上工程质量事故的</w:t>
            </w:r>
          </w:p>
        </w:tc>
        <w:tc>
          <w:tcPr>
            <w:tcW w:w="873" w:type="pct"/>
            <w:noWrap w:val="0"/>
            <w:tcMar>
              <w:top w:w="0" w:type="dxa"/>
              <w:left w:w="0" w:type="dxa"/>
              <w:bottom w:w="0" w:type="dxa"/>
              <w:right w:w="0" w:type="dxa"/>
            </w:tcMar>
            <w:vAlign w:val="center"/>
          </w:tcPr>
          <w:p w14:paraId="2C1683C3">
            <w:pPr>
              <w:pStyle w:val="10"/>
              <w:keepNext w:val="0"/>
              <w:keepLines w:val="0"/>
              <w:pageBreakBefore w:val="0"/>
              <w:widowControl w:val="0"/>
              <w:kinsoku/>
              <w:wordWrap/>
              <w:overflowPunct/>
              <w:topLinePunct w:val="0"/>
              <w:autoSpaceDE/>
              <w:autoSpaceDN/>
              <w:bidi w:val="0"/>
              <w:adjustRightInd/>
              <w:snapToGrid/>
              <w:spacing w:beforeAutospacing="0" w:afterAutospacing="0" w:line="260" w:lineRule="exact"/>
              <w:jc w:val="both"/>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auto"/>
                <w:sz w:val="18"/>
                <w:szCs w:val="18"/>
              </w:rPr>
              <w:t>责令改正，给予警告，可并处700元以上1000元以下的罚款</w:t>
            </w:r>
          </w:p>
        </w:tc>
        <w:tc>
          <w:tcPr>
            <w:tcW w:w="158" w:type="pct"/>
            <w:vMerge w:val="continue"/>
            <w:noWrap w:val="0"/>
            <w:tcMar>
              <w:top w:w="0" w:type="dxa"/>
              <w:left w:w="0" w:type="dxa"/>
              <w:bottom w:w="0" w:type="dxa"/>
              <w:right w:w="0" w:type="dxa"/>
            </w:tcMar>
            <w:vAlign w:val="center"/>
          </w:tcPr>
          <w:p w14:paraId="09F2CB38">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70D7B2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156" w:type="pct"/>
            <w:vMerge w:val="restart"/>
            <w:noWrap w:val="0"/>
            <w:tcMar>
              <w:top w:w="0" w:type="dxa"/>
              <w:left w:w="0" w:type="dxa"/>
              <w:bottom w:w="0" w:type="dxa"/>
              <w:right w:w="0" w:type="dxa"/>
            </w:tcMar>
            <w:vAlign w:val="center"/>
          </w:tcPr>
          <w:p w14:paraId="36312385">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r>
              <w:rPr>
                <w:rFonts w:hint="eastAsia" w:ascii="宋体" w:hAnsi="宋体" w:eastAsia="宋体" w:cs="宋体"/>
                <w:color w:val="000000"/>
                <w:sz w:val="18"/>
                <w:szCs w:val="18"/>
                <w:shd w:val="clear" w:color="auto" w:fill="auto"/>
                <w:vertAlign w:val="baseline"/>
                <w:lang w:val="en-US" w:eastAsia="zh-CN"/>
              </w:rPr>
              <w:t>94</w:t>
            </w:r>
          </w:p>
        </w:tc>
        <w:tc>
          <w:tcPr>
            <w:tcW w:w="415" w:type="pct"/>
            <w:vMerge w:val="restart"/>
            <w:noWrap w:val="0"/>
            <w:tcMar>
              <w:top w:w="0" w:type="dxa"/>
              <w:left w:w="0" w:type="dxa"/>
              <w:bottom w:w="0" w:type="dxa"/>
              <w:right w:w="0" w:type="dxa"/>
            </w:tcMar>
            <w:vAlign w:val="center"/>
          </w:tcPr>
          <w:p w14:paraId="0B1BEBBD">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对水利领域承担安全评价、认证、检测、检验职责的机构出具失实报告，租借资质、挂靠、出具虚假报告等行为的行政处罚</w:t>
            </w:r>
          </w:p>
        </w:tc>
        <w:tc>
          <w:tcPr>
            <w:tcW w:w="2168" w:type="pct"/>
            <w:vMerge w:val="restart"/>
            <w:noWrap w:val="0"/>
            <w:tcMar>
              <w:top w:w="0" w:type="dxa"/>
              <w:left w:w="0" w:type="dxa"/>
              <w:bottom w:w="0" w:type="dxa"/>
              <w:right w:w="0" w:type="dxa"/>
            </w:tcMar>
            <w:vAlign w:val="center"/>
          </w:tcPr>
          <w:p w14:paraId="40618827">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《中华人民共和国安全生产法》第九十二条 承担安全评价、认证、检测、检验职责的机构出具失实报告的，责令停业整顿，并处三万元以上十万元以下的罚款；给他人造成损害的，依法承担赔偿责任。</w:t>
            </w:r>
          </w:p>
          <w:p w14:paraId="28684EDD">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承担安全评价、认证、检测、检验职责的机构租借资质、挂靠、出具虚假报告的，没收违法所得；违法所得在十万元以上的，并处违法所得二倍以上五倍以下的罚款，没有违法所得或者违法所得不足十万元的，单处或者并处十万元以上二十万元以下的罚款；对其直接负责的主管人员和其他直接责任人员处五万元以上十万元以下的罚款；给他人造成损害的，与生产经营单位承担连带赔偿责任；构成犯罪的，依照刑法有关规定追究刑事责任。</w:t>
            </w:r>
          </w:p>
          <w:p w14:paraId="1C90C0D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对有前款违法行为的机构及其直接责任人员，吊销其相应资质和资格，五年内不得从事安全评价、认证、检测、检验等工作；情节严重的，实行终身行业和职业禁入。</w:t>
            </w:r>
          </w:p>
        </w:tc>
        <w:tc>
          <w:tcPr>
            <w:tcW w:w="491" w:type="pct"/>
            <w:vMerge w:val="restart"/>
            <w:noWrap w:val="0"/>
            <w:tcMar>
              <w:top w:w="0" w:type="dxa"/>
              <w:left w:w="0" w:type="dxa"/>
              <w:bottom w:w="0" w:type="dxa"/>
              <w:right w:w="0" w:type="dxa"/>
            </w:tcMar>
            <w:vAlign w:val="center"/>
          </w:tcPr>
          <w:p w14:paraId="7CB48157">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水利领域承担安全评价、认证、检测、检验职责的机构，出具失实报告的</w:t>
            </w:r>
          </w:p>
        </w:tc>
        <w:tc>
          <w:tcPr>
            <w:tcW w:w="174" w:type="pct"/>
            <w:noWrap w:val="0"/>
            <w:tcMar>
              <w:top w:w="0" w:type="dxa"/>
              <w:left w:w="0" w:type="dxa"/>
              <w:bottom w:w="0" w:type="dxa"/>
              <w:right w:w="0" w:type="dxa"/>
            </w:tcMar>
            <w:vAlign w:val="center"/>
          </w:tcPr>
          <w:p w14:paraId="6D12C79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轻微</w:t>
            </w:r>
          </w:p>
        </w:tc>
        <w:tc>
          <w:tcPr>
            <w:tcW w:w="561" w:type="pct"/>
            <w:noWrap w:val="0"/>
            <w:tcMar>
              <w:top w:w="0" w:type="dxa"/>
              <w:left w:w="0" w:type="dxa"/>
              <w:bottom w:w="0" w:type="dxa"/>
              <w:right w:w="0" w:type="dxa"/>
            </w:tcMar>
            <w:vAlign w:val="center"/>
          </w:tcPr>
          <w:p w14:paraId="1502C91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p>
        </w:tc>
        <w:tc>
          <w:tcPr>
            <w:tcW w:w="873" w:type="pct"/>
            <w:noWrap w:val="0"/>
            <w:tcMar>
              <w:top w:w="0" w:type="dxa"/>
              <w:left w:w="0" w:type="dxa"/>
              <w:bottom w:w="0" w:type="dxa"/>
              <w:right w:w="0" w:type="dxa"/>
            </w:tcMar>
            <w:vAlign w:val="center"/>
          </w:tcPr>
          <w:p w14:paraId="0A730AF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p>
        </w:tc>
        <w:tc>
          <w:tcPr>
            <w:tcW w:w="158" w:type="pct"/>
            <w:vMerge w:val="restart"/>
            <w:noWrap w:val="0"/>
            <w:tcMar>
              <w:top w:w="0" w:type="dxa"/>
              <w:left w:w="0" w:type="dxa"/>
              <w:bottom w:w="0" w:type="dxa"/>
              <w:right w:w="0" w:type="dxa"/>
            </w:tcMar>
            <w:vAlign w:val="center"/>
          </w:tcPr>
          <w:p w14:paraId="37528AE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lang w:val="en-US" w:eastAsia="zh-CN"/>
              </w:rPr>
            </w:pPr>
          </w:p>
        </w:tc>
      </w:tr>
      <w:tr w14:paraId="019EF5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150" w:hRule="atLeast"/>
          <w:jc w:val="center"/>
        </w:trPr>
        <w:tc>
          <w:tcPr>
            <w:tcW w:w="156" w:type="pct"/>
            <w:vMerge w:val="continue"/>
            <w:noWrap w:val="0"/>
            <w:tcMar>
              <w:top w:w="0" w:type="dxa"/>
              <w:left w:w="0" w:type="dxa"/>
              <w:bottom w:w="0" w:type="dxa"/>
              <w:right w:w="0" w:type="dxa"/>
            </w:tcMar>
            <w:vAlign w:val="center"/>
          </w:tcPr>
          <w:p w14:paraId="25FEAC20">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137BE120">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5999EAB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0931B3A7">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200ED455">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较轻</w:t>
            </w:r>
          </w:p>
        </w:tc>
        <w:tc>
          <w:tcPr>
            <w:tcW w:w="561" w:type="pct"/>
            <w:noWrap w:val="0"/>
            <w:tcMar>
              <w:top w:w="0" w:type="dxa"/>
              <w:left w:w="0" w:type="dxa"/>
              <w:bottom w:w="0" w:type="dxa"/>
              <w:right w:w="0" w:type="dxa"/>
            </w:tcMar>
            <w:vAlign w:val="center"/>
          </w:tcPr>
          <w:p w14:paraId="4844650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承担安全评价、认证、检测、检验职责的机构出具失实报告，失实2处以下的</w:t>
            </w:r>
          </w:p>
        </w:tc>
        <w:tc>
          <w:tcPr>
            <w:tcW w:w="873" w:type="pct"/>
            <w:noWrap w:val="0"/>
            <w:tcMar>
              <w:top w:w="0" w:type="dxa"/>
              <w:left w:w="0" w:type="dxa"/>
              <w:bottom w:w="0" w:type="dxa"/>
              <w:right w:w="0" w:type="dxa"/>
            </w:tcMar>
            <w:vAlign w:val="center"/>
          </w:tcPr>
          <w:p w14:paraId="6CF2C2A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责令停业整顿；对机构处3万元的罚款；给他人造成损害的，依法承担赔偿责任</w:t>
            </w:r>
          </w:p>
        </w:tc>
        <w:tc>
          <w:tcPr>
            <w:tcW w:w="158" w:type="pct"/>
            <w:vMerge w:val="continue"/>
            <w:noWrap w:val="0"/>
            <w:tcMar>
              <w:top w:w="0" w:type="dxa"/>
              <w:left w:w="0" w:type="dxa"/>
              <w:bottom w:w="0" w:type="dxa"/>
              <w:right w:w="0" w:type="dxa"/>
            </w:tcMar>
            <w:vAlign w:val="center"/>
          </w:tcPr>
          <w:p w14:paraId="4F9C4B95">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lang w:val="en-US" w:eastAsia="zh-CN"/>
              </w:rPr>
            </w:pPr>
          </w:p>
        </w:tc>
      </w:tr>
      <w:tr w14:paraId="0FBCA3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255" w:hRule="atLeast"/>
          <w:jc w:val="center"/>
        </w:trPr>
        <w:tc>
          <w:tcPr>
            <w:tcW w:w="156" w:type="pct"/>
            <w:vMerge w:val="continue"/>
            <w:noWrap w:val="0"/>
            <w:tcMar>
              <w:top w:w="0" w:type="dxa"/>
              <w:left w:w="0" w:type="dxa"/>
              <w:bottom w:w="0" w:type="dxa"/>
              <w:right w:w="0" w:type="dxa"/>
            </w:tcMar>
            <w:vAlign w:val="center"/>
          </w:tcPr>
          <w:p w14:paraId="5609EFED">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6FDEF104">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6BB101B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5886E0D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250A6708">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一般</w:t>
            </w:r>
          </w:p>
        </w:tc>
        <w:tc>
          <w:tcPr>
            <w:tcW w:w="561" w:type="pct"/>
            <w:noWrap w:val="0"/>
            <w:tcMar>
              <w:top w:w="0" w:type="dxa"/>
              <w:left w:w="0" w:type="dxa"/>
              <w:bottom w:w="0" w:type="dxa"/>
              <w:right w:w="0" w:type="dxa"/>
            </w:tcMar>
            <w:vAlign w:val="center"/>
          </w:tcPr>
          <w:p w14:paraId="0B8974D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承担安全评价、认证、检测、检验职责的机构出具失实报告，失实2处以上、5处以下的</w:t>
            </w:r>
          </w:p>
        </w:tc>
        <w:tc>
          <w:tcPr>
            <w:tcW w:w="873" w:type="pct"/>
            <w:noWrap w:val="0"/>
            <w:tcMar>
              <w:top w:w="0" w:type="dxa"/>
              <w:left w:w="0" w:type="dxa"/>
              <w:bottom w:w="0" w:type="dxa"/>
              <w:right w:w="0" w:type="dxa"/>
            </w:tcMar>
            <w:vAlign w:val="center"/>
          </w:tcPr>
          <w:p w14:paraId="4F1FDE8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责令停业整顿；对机构处3万元以上5万元以下的罚款；给他人造成损害的，依法承担赔偿责任</w:t>
            </w:r>
          </w:p>
        </w:tc>
        <w:tc>
          <w:tcPr>
            <w:tcW w:w="158" w:type="pct"/>
            <w:vMerge w:val="continue"/>
            <w:noWrap w:val="0"/>
            <w:tcMar>
              <w:top w:w="0" w:type="dxa"/>
              <w:left w:w="0" w:type="dxa"/>
              <w:bottom w:w="0" w:type="dxa"/>
              <w:right w:w="0" w:type="dxa"/>
            </w:tcMar>
            <w:vAlign w:val="center"/>
          </w:tcPr>
          <w:p w14:paraId="5B5E790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lang w:val="en-US" w:eastAsia="zh-CN"/>
              </w:rPr>
            </w:pPr>
          </w:p>
        </w:tc>
      </w:tr>
      <w:tr w14:paraId="0739C8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6D57118C">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53AFAC74">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3C226DC4">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429A869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07872ECC">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较重</w:t>
            </w:r>
          </w:p>
        </w:tc>
        <w:tc>
          <w:tcPr>
            <w:tcW w:w="561" w:type="pct"/>
            <w:noWrap w:val="0"/>
            <w:tcMar>
              <w:top w:w="0" w:type="dxa"/>
              <w:left w:w="0" w:type="dxa"/>
              <w:bottom w:w="0" w:type="dxa"/>
              <w:right w:w="0" w:type="dxa"/>
            </w:tcMar>
            <w:vAlign w:val="center"/>
          </w:tcPr>
          <w:p w14:paraId="701E7A6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承担安全评价、认证、检测、检验职责的机构出具失实报告，失实5处以上、10处以下的</w:t>
            </w:r>
          </w:p>
        </w:tc>
        <w:tc>
          <w:tcPr>
            <w:tcW w:w="873" w:type="pct"/>
            <w:noWrap w:val="0"/>
            <w:tcMar>
              <w:top w:w="0" w:type="dxa"/>
              <w:left w:w="0" w:type="dxa"/>
              <w:bottom w:w="0" w:type="dxa"/>
              <w:right w:w="0" w:type="dxa"/>
            </w:tcMar>
            <w:vAlign w:val="center"/>
          </w:tcPr>
          <w:p w14:paraId="7E968E3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责令停业整顿；对机构处5万元以上8万元以下的罚款；给他人造成损害的，依法承担赔偿责任</w:t>
            </w:r>
          </w:p>
        </w:tc>
        <w:tc>
          <w:tcPr>
            <w:tcW w:w="158" w:type="pct"/>
            <w:vMerge w:val="continue"/>
            <w:noWrap w:val="0"/>
            <w:tcMar>
              <w:top w:w="0" w:type="dxa"/>
              <w:left w:w="0" w:type="dxa"/>
              <w:bottom w:w="0" w:type="dxa"/>
              <w:right w:w="0" w:type="dxa"/>
            </w:tcMar>
            <w:vAlign w:val="center"/>
          </w:tcPr>
          <w:p w14:paraId="0AF6F12D">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lang w:val="en-US" w:eastAsia="zh-CN"/>
              </w:rPr>
            </w:pPr>
          </w:p>
        </w:tc>
      </w:tr>
      <w:tr w14:paraId="77DCC5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17470128">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76DB2BEE">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61822F9C">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0C915E3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14F16B78">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严重</w:t>
            </w:r>
          </w:p>
        </w:tc>
        <w:tc>
          <w:tcPr>
            <w:tcW w:w="561" w:type="pct"/>
            <w:noWrap w:val="0"/>
            <w:tcMar>
              <w:top w:w="0" w:type="dxa"/>
              <w:left w:w="0" w:type="dxa"/>
              <w:bottom w:w="0" w:type="dxa"/>
              <w:right w:w="0" w:type="dxa"/>
            </w:tcMar>
            <w:vAlign w:val="center"/>
          </w:tcPr>
          <w:p w14:paraId="2D84E3D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承担安全评价、认证、检测、检验职责的机构出具失实报告，失实10处以上的</w:t>
            </w:r>
          </w:p>
        </w:tc>
        <w:tc>
          <w:tcPr>
            <w:tcW w:w="873" w:type="pct"/>
            <w:noWrap w:val="0"/>
            <w:tcMar>
              <w:top w:w="0" w:type="dxa"/>
              <w:left w:w="0" w:type="dxa"/>
              <w:bottom w:w="0" w:type="dxa"/>
              <w:right w:w="0" w:type="dxa"/>
            </w:tcMar>
            <w:vAlign w:val="center"/>
          </w:tcPr>
          <w:p w14:paraId="1BF79E5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责令停业整顿；对机构处8万元以上10万元以下的罚款；给他人造成损害的，依法承担赔偿责任</w:t>
            </w:r>
          </w:p>
        </w:tc>
        <w:tc>
          <w:tcPr>
            <w:tcW w:w="158" w:type="pct"/>
            <w:vMerge w:val="continue"/>
            <w:noWrap w:val="0"/>
            <w:tcMar>
              <w:top w:w="0" w:type="dxa"/>
              <w:left w:w="0" w:type="dxa"/>
              <w:bottom w:w="0" w:type="dxa"/>
              <w:right w:w="0" w:type="dxa"/>
            </w:tcMar>
            <w:vAlign w:val="center"/>
          </w:tcPr>
          <w:p w14:paraId="5F79022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lang w:val="en-US" w:eastAsia="zh-CN"/>
              </w:rPr>
            </w:pPr>
          </w:p>
        </w:tc>
      </w:tr>
      <w:tr w14:paraId="39217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156" w:type="pct"/>
            <w:vMerge w:val="continue"/>
            <w:noWrap w:val="0"/>
            <w:tcMar>
              <w:top w:w="0" w:type="dxa"/>
              <w:left w:w="0" w:type="dxa"/>
              <w:bottom w:w="0" w:type="dxa"/>
              <w:right w:w="0" w:type="dxa"/>
            </w:tcMar>
            <w:vAlign w:val="center"/>
          </w:tcPr>
          <w:p w14:paraId="76A213B8">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06CBEE6C">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55EA3E3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restart"/>
            <w:noWrap w:val="0"/>
            <w:tcMar>
              <w:top w:w="0" w:type="dxa"/>
              <w:left w:w="0" w:type="dxa"/>
              <w:bottom w:w="0" w:type="dxa"/>
              <w:right w:w="0" w:type="dxa"/>
            </w:tcMar>
            <w:vAlign w:val="center"/>
          </w:tcPr>
          <w:p w14:paraId="12896BD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承担安全评价、认证、检测、检验职责的机构，租借资质、挂靠、出具虚假报告的</w:t>
            </w:r>
          </w:p>
        </w:tc>
        <w:tc>
          <w:tcPr>
            <w:tcW w:w="174" w:type="pct"/>
            <w:noWrap w:val="0"/>
            <w:tcMar>
              <w:top w:w="0" w:type="dxa"/>
              <w:left w:w="0" w:type="dxa"/>
              <w:bottom w:w="0" w:type="dxa"/>
              <w:right w:w="0" w:type="dxa"/>
            </w:tcMar>
            <w:vAlign w:val="center"/>
          </w:tcPr>
          <w:p w14:paraId="090D6255">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轻微</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1F274728">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4257EE11">
            <w:pPr>
              <w:spacing w:line="260" w:lineRule="exact"/>
              <w:rPr>
                <w:rFonts w:hint="eastAsia" w:ascii="宋体" w:hAnsi="宋体" w:eastAsia="宋体" w:cs="宋体"/>
                <w:color w:val="000000"/>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70B17ADC">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32243B08">
            <w:pPr>
              <w:spacing w:line="260" w:lineRule="exact"/>
              <w:rPr>
                <w:rFonts w:hint="eastAsia" w:ascii="宋体" w:hAnsi="宋体" w:eastAsia="宋体" w:cs="宋体"/>
                <w:color w:val="000000"/>
                <w:kern w:val="2"/>
                <w:sz w:val="18"/>
                <w:szCs w:val="18"/>
                <w:vertAlign w:val="baseline"/>
                <w:lang w:val="en-US" w:eastAsia="zh-CN" w:bidi="ar-SA"/>
              </w:rPr>
            </w:pPr>
          </w:p>
        </w:tc>
        <w:tc>
          <w:tcPr>
            <w:tcW w:w="158" w:type="pct"/>
            <w:vMerge w:val="restart"/>
            <w:noWrap w:val="0"/>
            <w:tcMar>
              <w:top w:w="0" w:type="dxa"/>
              <w:left w:w="0" w:type="dxa"/>
              <w:bottom w:w="0" w:type="dxa"/>
              <w:right w:w="0" w:type="dxa"/>
            </w:tcMar>
            <w:vAlign w:val="center"/>
          </w:tcPr>
          <w:p w14:paraId="2D80DB3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29478A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468" w:hRule="atLeast"/>
          <w:jc w:val="center"/>
        </w:trPr>
        <w:tc>
          <w:tcPr>
            <w:tcW w:w="156" w:type="pct"/>
            <w:vMerge w:val="continue"/>
            <w:noWrap w:val="0"/>
            <w:tcMar>
              <w:top w:w="0" w:type="dxa"/>
              <w:left w:w="0" w:type="dxa"/>
              <w:bottom w:w="0" w:type="dxa"/>
              <w:right w:w="0" w:type="dxa"/>
            </w:tcMar>
            <w:vAlign w:val="center"/>
          </w:tcPr>
          <w:p w14:paraId="3B16ADBA">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5739B08A">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20DEC8E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2733B98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10A3B66D">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较轻</w:t>
            </w:r>
          </w:p>
        </w:tc>
        <w:tc>
          <w:tcPr>
            <w:tcW w:w="561" w:type="pct"/>
            <w:noWrap w:val="0"/>
            <w:tcMar>
              <w:top w:w="0" w:type="dxa"/>
              <w:left w:w="0" w:type="dxa"/>
              <w:bottom w:w="0" w:type="dxa"/>
              <w:right w:w="0" w:type="dxa"/>
            </w:tcMar>
            <w:vAlign w:val="center"/>
          </w:tcPr>
          <w:p w14:paraId="464D2407">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承担安全评价、认证、检测、检验职责的机构租借资质、挂靠、出具虚假报告</w:t>
            </w:r>
            <w:r>
              <w:rPr>
                <w:rFonts w:hint="eastAsia" w:ascii="宋体" w:hAnsi="宋体" w:eastAsia="宋体" w:cs="宋体"/>
                <w:color w:val="000000"/>
                <w:sz w:val="18"/>
                <w:szCs w:val="18"/>
                <w:vertAlign w:val="baseline"/>
                <w:lang w:eastAsia="zh-CN"/>
              </w:rPr>
              <w:t>，</w:t>
            </w:r>
            <w:r>
              <w:rPr>
                <w:rFonts w:hint="eastAsia" w:ascii="宋体" w:hAnsi="宋体" w:eastAsia="宋体" w:cs="宋体"/>
                <w:color w:val="000000"/>
                <w:sz w:val="18"/>
                <w:szCs w:val="18"/>
                <w:vertAlign w:val="baseline"/>
              </w:rPr>
              <w:t>没有违法所得的</w:t>
            </w:r>
          </w:p>
        </w:tc>
        <w:tc>
          <w:tcPr>
            <w:tcW w:w="873" w:type="pct"/>
            <w:noWrap w:val="0"/>
            <w:tcMar>
              <w:top w:w="0" w:type="dxa"/>
              <w:left w:w="0" w:type="dxa"/>
              <w:bottom w:w="0" w:type="dxa"/>
              <w:right w:w="0" w:type="dxa"/>
            </w:tcMar>
            <w:vAlign w:val="center"/>
          </w:tcPr>
          <w:p w14:paraId="014F7C64">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对机构处10万元以上15万元以下的罚款；对其直接负责的主管人员和其他直接责任人员处5万元的罚款</w:t>
            </w:r>
          </w:p>
        </w:tc>
        <w:tc>
          <w:tcPr>
            <w:tcW w:w="158" w:type="pct"/>
            <w:vMerge w:val="continue"/>
            <w:noWrap w:val="0"/>
            <w:tcMar>
              <w:top w:w="0" w:type="dxa"/>
              <w:left w:w="0" w:type="dxa"/>
              <w:bottom w:w="0" w:type="dxa"/>
              <w:right w:w="0" w:type="dxa"/>
            </w:tcMar>
            <w:vAlign w:val="center"/>
          </w:tcPr>
          <w:p w14:paraId="328A2339">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290A0F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482" w:hRule="atLeast"/>
          <w:jc w:val="center"/>
        </w:trPr>
        <w:tc>
          <w:tcPr>
            <w:tcW w:w="156" w:type="pct"/>
            <w:vMerge w:val="continue"/>
            <w:noWrap w:val="0"/>
            <w:tcMar>
              <w:top w:w="0" w:type="dxa"/>
              <w:left w:w="0" w:type="dxa"/>
              <w:bottom w:w="0" w:type="dxa"/>
              <w:right w:w="0" w:type="dxa"/>
            </w:tcMar>
            <w:vAlign w:val="center"/>
          </w:tcPr>
          <w:p w14:paraId="37D3712B">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4249B424">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5449C6F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665EB46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3DAC3A3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一般</w:t>
            </w:r>
          </w:p>
        </w:tc>
        <w:tc>
          <w:tcPr>
            <w:tcW w:w="561" w:type="pct"/>
            <w:noWrap w:val="0"/>
            <w:tcMar>
              <w:top w:w="0" w:type="dxa"/>
              <w:left w:w="0" w:type="dxa"/>
              <w:bottom w:w="0" w:type="dxa"/>
              <w:right w:w="0" w:type="dxa"/>
            </w:tcMar>
            <w:vAlign w:val="center"/>
          </w:tcPr>
          <w:p w14:paraId="2BE98DD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承担安全评价、认证、检测、检验职责的机构租借资质、挂靠、出具虚假报告</w:t>
            </w:r>
            <w:r>
              <w:rPr>
                <w:rFonts w:hint="eastAsia" w:ascii="宋体" w:hAnsi="宋体" w:eastAsia="宋体" w:cs="宋体"/>
                <w:color w:val="000000"/>
                <w:sz w:val="18"/>
                <w:szCs w:val="18"/>
                <w:vertAlign w:val="baseline"/>
                <w:lang w:eastAsia="zh-CN"/>
              </w:rPr>
              <w:t>，</w:t>
            </w:r>
            <w:r>
              <w:rPr>
                <w:rFonts w:hint="eastAsia" w:ascii="宋体" w:hAnsi="宋体" w:eastAsia="宋体" w:cs="宋体"/>
                <w:color w:val="000000"/>
                <w:sz w:val="18"/>
                <w:szCs w:val="18"/>
                <w:vertAlign w:val="baseline"/>
              </w:rPr>
              <w:t>违法所得不足10万元的</w:t>
            </w:r>
          </w:p>
        </w:tc>
        <w:tc>
          <w:tcPr>
            <w:tcW w:w="873" w:type="pct"/>
            <w:noWrap w:val="0"/>
            <w:tcMar>
              <w:top w:w="0" w:type="dxa"/>
              <w:left w:w="0" w:type="dxa"/>
              <w:bottom w:w="0" w:type="dxa"/>
              <w:right w:w="0" w:type="dxa"/>
            </w:tcMar>
            <w:vAlign w:val="center"/>
          </w:tcPr>
          <w:p w14:paraId="12B1BEA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没收违法所得，并对机构并处15万元以上20万元以下的罚款；对其直接负责的主管人员和其他直接责任人员处5万元以上6万元以下的罚款</w:t>
            </w:r>
          </w:p>
        </w:tc>
        <w:tc>
          <w:tcPr>
            <w:tcW w:w="158" w:type="pct"/>
            <w:vMerge w:val="continue"/>
            <w:noWrap w:val="0"/>
            <w:tcMar>
              <w:top w:w="0" w:type="dxa"/>
              <w:left w:w="0" w:type="dxa"/>
              <w:bottom w:w="0" w:type="dxa"/>
              <w:right w:w="0" w:type="dxa"/>
            </w:tcMar>
            <w:vAlign w:val="center"/>
          </w:tcPr>
          <w:p w14:paraId="28E5D73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4027E2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60E31FE9">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0300FE4D">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32F4CBC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0A64D7D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01203ED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较重</w:t>
            </w:r>
          </w:p>
        </w:tc>
        <w:tc>
          <w:tcPr>
            <w:tcW w:w="561" w:type="pct"/>
            <w:noWrap w:val="0"/>
            <w:tcMar>
              <w:top w:w="0" w:type="dxa"/>
              <w:left w:w="0" w:type="dxa"/>
              <w:bottom w:w="0" w:type="dxa"/>
              <w:right w:w="0" w:type="dxa"/>
            </w:tcMar>
            <w:vAlign w:val="center"/>
          </w:tcPr>
          <w:p w14:paraId="449CDAC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承担安全评价、认证、检测、检验职责的机构租借资质、挂靠、出具虚假报告 违法所得10万元以上不足20万元的</w:t>
            </w:r>
          </w:p>
        </w:tc>
        <w:tc>
          <w:tcPr>
            <w:tcW w:w="873" w:type="pct"/>
            <w:noWrap w:val="0"/>
            <w:tcMar>
              <w:top w:w="0" w:type="dxa"/>
              <w:left w:w="0" w:type="dxa"/>
              <w:bottom w:w="0" w:type="dxa"/>
              <w:right w:w="0" w:type="dxa"/>
            </w:tcMar>
            <w:vAlign w:val="center"/>
          </w:tcPr>
          <w:p w14:paraId="64102B9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没收违法所得，对机构并处违法所得2-3倍的罚款；对其直接负责的主管人员和其他直接责任人员处6万元以上8元以下的罚款</w:t>
            </w:r>
          </w:p>
        </w:tc>
        <w:tc>
          <w:tcPr>
            <w:tcW w:w="158" w:type="pct"/>
            <w:vMerge w:val="continue"/>
            <w:noWrap w:val="0"/>
            <w:tcMar>
              <w:top w:w="0" w:type="dxa"/>
              <w:left w:w="0" w:type="dxa"/>
              <w:bottom w:w="0" w:type="dxa"/>
              <w:right w:w="0" w:type="dxa"/>
            </w:tcMar>
            <w:vAlign w:val="center"/>
          </w:tcPr>
          <w:p w14:paraId="4AB7918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1CB79C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3111C7CB">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759CB89E">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0999CC0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0D9C34E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48513259">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严重</w:t>
            </w:r>
          </w:p>
        </w:tc>
        <w:tc>
          <w:tcPr>
            <w:tcW w:w="561" w:type="pct"/>
            <w:noWrap w:val="0"/>
            <w:tcMar>
              <w:top w:w="0" w:type="dxa"/>
              <w:left w:w="0" w:type="dxa"/>
              <w:bottom w:w="0" w:type="dxa"/>
              <w:right w:w="0" w:type="dxa"/>
            </w:tcMar>
            <w:vAlign w:val="center"/>
          </w:tcPr>
          <w:p w14:paraId="5B9470C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承担安全评价、认证、检测、检验职责的机构租借资质、挂靠、出具虚假报告，违法所得20万元以上的</w:t>
            </w:r>
          </w:p>
        </w:tc>
        <w:tc>
          <w:tcPr>
            <w:tcW w:w="873" w:type="pct"/>
            <w:noWrap w:val="0"/>
            <w:tcMar>
              <w:top w:w="0" w:type="dxa"/>
              <w:left w:w="0" w:type="dxa"/>
              <w:bottom w:w="0" w:type="dxa"/>
              <w:right w:w="0" w:type="dxa"/>
            </w:tcMar>
            <w:vAlign w:val="center"/>
          </w:tcPr>
          <w:p w14:paraId="3381DBD7">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没收违法所得 ,对机构并处违法所得3-5倍的罚款；对其直接负责的主管人员和其他直接责任人员处8万元以上10万元以下的罚款</w:t>
            </w:r>
          </w:p>
        </w:tc>
        <w:tc>
          <w:tcPr>
            <w:tcW w:w="158" w:type="pct"/>
            <w:vMerge w:val="continue"/>
            <w:noWrap w:val="0"/>
            <w:tcMar>
              <w:top w:w="0" w:type="dxa"/>
              <w:left w:w="0" w:type="dxa"/>
              <w:bottom w:w="0" w:type="dxa"/>
              <w:right w:w="0" w:type="dxa"/>
            </w:tcMar>
            <w:vAlign w:val="center"/>
          </w:tcPr>
          <w:p w14:paraId="439C9D3A">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54D5A3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restart"/>
            <w:noWrap w:val="0"/>
            <w:tcMar>
              <w:top w:w="0" w:type="dxa"/>
              <w:left w:w="0" w:type="dxa"/>
              <w:bottom w:w="0" w:type="dxa"/>
              <w:right w:w="0" w:type="dxa"/>
            </w:tcMar>
            <w:vAlign w:val="center"/>
          </w:tcPr>
          <w:p w14:paraId="3C3DCDD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r>
              <w:rPr>
                <w:rFonts w:hint="eastAsia" w:ascii="宋体" w:hAnsi="宋体" w:eastAsia="宋体" w:cs="宋体"/>
                <w:color w:val="000000"/>
                <w:sz w:val="18"/>
                <w:szCs w:val="18"/>
                <w:shd w:val="clear" w:color="auto" w:fill="auto"/>
                <w:vertAlign w:val="baseline"/>
                <w:lang w:val="en-US" w:eastAsia="zh-CN"/>
              </w:rPr>
              <w:t>95</w:t>
            </w:r>
          </w:p>
        </w:tc>
        <w:tc>
          <w:tcPr>
            <w:tcW w:w="415" w:type="pct"/>
            <w:vMerge w:val="restart"/>
            <w:noWrap w:val="0"/>
            <w:tcMar>
              <w:top w:w="0" w:type="dxa"/>
              <w:left w:w="0" w:type="dxa"/>
              <w:bottom w:w="0" w:type="dxa"/>
              <w:right w:w="0" w:type="dxa"/>
            </w:tcMar>
            <w:vAlign w:val="center"/>
          </w:tcPr>
          <w:p w14:paraId="305F1DFF">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highlight w:val="none"/>
                <w:vertAlign w:val="baseline"/>
                <w:lang w:val="en-US" w:eastAsia="zh-CN"/>
              </w:rPr>
              <w:t>对水利领域生产经营单位的决策机构、主要负责人或者个人经营的投资人不依照规定保证安全生产所必需的资金投入，致使生产经营单位不具备安全生产条件，挪用列入建设工程概算的安全生产作业环境及安全施工措施所需费用等行为的行政处罚</w:t>
            </w:r>
          </w:p>
        </w:tc>
        <w:tc>
          <w:tcPr>
            <w:tcW w:w="2168" w:type="pct"/>
            <w:vMerge w:val="restart"/>
            <w:noWrap w:val="0"/>
            <w:tcMar>
              <w:top w:w="0" w:type="dxa"/>
              <w:left w:w="0" w:type="dxa"/>
              <w:bottom w:w="0" w:type="dxa"/>
              <w:right w:w="0" w:type="dxa"/>
            </w:tcMar>
            <w:vAlign w:val="center"/>
          </w:tcPr>
          <w:p w14:paraId="19A5DA34">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《中华人民共和国安全生产法》第九十三条 生产经营单位的决策机构、主要负责人或者个人经营的投资人不依照本法规定保证安全生产所必需的资金投入，致使生产经营单位不具备安全生产条件的，责令限期改正，提供必需的资金；逾期未改正的，责令生产经营单位停产停业整顿。</w:t>
            </w:r>
          </w:p>
          <w:p w14:paraId="15DC3F3C">
            <w:pPr>
              <w:pStyle w:val="2"/>
              <w:keepNext w:val="0"/>
              <w:keepLines w:val="0"/>
              <w:pageBreakBefore w:val="0"/>
              <w:kinsoku/>
              <w:wordWrap/>
              <w:overflowPunct/>
              <w:topLinePunct w:val="0"/>
              <w:autoSpaceDE/>
              <w:autoSpaceDN/>
              <w:bidi w:val="0"/>
              <w:adjustRightInd/>
              <w:spacing w:line="260" w:lineRule="exact"/>
              <w:rPr>
                <w:rFonts w:hint="eastAsia" w:ascii="宋体" w:hAnsi="宋体" w:eastAsia="宋体" w:cs="宋体"/>
                <w:sz w:val="18"/>
                <w:szCs w:val="18"/>
                <w:lang w:val="en-US" w:eastAsia="zh-CN"/>
              </w:rPr>
            </w:pPr>
            <w:r>
              <w:rPr>
                <w:rFonts w:hint="eastAsia" w:ascii="宋体" w:hAnsi="宋体" w:eastAsia="宋体" w:cs="宋体"/>
                <w:color w:val="000000"/>
                <w:kern w:val="2"/>
                <w:sz w:val="18"/>
                <w:szCs w:val="18"/>
                <w:vertAlign w:val="baseline"/>
                <w:lang w:val="en-US" w:eastAsia="zh-CN" w:bidi="ar-SA"/>
              </w:rPr>
              <w:t>有前款违法行为，导致发生生产安全事故的，对生产经营单位的主要负责人给予撤职处分，对个人经营的投资人处二万元以上二十万元以下的罚款；构成犯罪的，依照刑法有关规定追究刑事责任。</w:t>
            </w:r>
          </w:p>
          <w:p w14:paraId="44BB888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《建设工程安全生产管理条例》第五十四条 违反本条例的规定，建设单位未提供建设工程安全生产作业环境及安全施工措施所需费用的，责令限期改正；逾期未改正的，责令该建设工程停止施工。</w:t>
            </w:r>
          </w:p>
          <w:p w14:paraId="62C949F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建设单位未将保证安全施工的措施或者拆除工程的有关资料报送有关部门备案的，责令限期改正，给予警告。</w:t>
            </w:r>
          </w:p>
          <w:p w14:paraId="7573B1E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第六十三条 违反本条例的规定，施工单位挪用列入建设工程概算的安全生产作业环境及安全施工措施所需费用的，责令限期改正，处挪用费用20%以上50%以下的罚款；造成损失的，依法承担赔偿责任。</w:t>
            </w:r>
          </w:p>
        </w:tc>
        <w:tc>
          <w:tcPr>
            <w:tcW w:w="491" w:type="pct"/>
            <w:vMerge w:val="restart"/>
            <w:noWrap w:val="0"/>
            <w:tcMar>
              <w:top w:w="0" w:type="dxa"/>
              <w:left w:w="0" w:type="dxa"/>
              <w:bottom w:w="0" w:type="dxa"/>
              <w:right w:w="0" w:type="dxa"/>
            </w:tcMar>
            <w:vAlign w:val="center"/>
          </w:tcPr>
          <w:p w14:paraId="2108F48C">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水利领域生产经营单位的决策机构、主要负责人或者个人经营的投资人不依照规定保证安全生产所必需的资金投入，致使生产经营单位不具备安全生产条件，导致发生事故的</w:t>
            </w:r>
          </w:p>
        </w:tc>
        <w:tc>
          <w:tcPr>
            <w:tcW w:w="174" w:type="pct"/>
            <w:noWrap w:val="0"/>
            <w:tcMar>
              <w:top w:w="0" w:type="dxa"/>
              <w:left w:w="0" w:type="dxa"/>
              <w:bottom w:w="0" w:type="dxa"/>
              <w:right w:w="0" w:type="dxa"/>
            </w:tcMar>
            <w:vAlign w:val="center"/>
          </w:tcPr>
          <w:p w14:paraId="65676CAC">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轻微</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68025FD5">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24ADA7A4">
            <w:pPr>
              <w:spacing w:line="260" w:lineRule="exact"/>
              <w:rPr>
                <w:rFonts w:hint="eastAsia" w:ascii="宋体" w:hAnsi="宋体" w:eastAsia="宋体" w:cs="宋体"/>
                <w:color w:val="000000"/>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6B307D8E">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4BAFFEE2">
            <w:pPr>
              <w:spacing w:line="260" w:lineRule="exact"/>
              <w:rPr>
                <w:rFonts w:hint="eastAsia" w:ascii="宋体" w:hAnsi="宋体" w:eastAsia="宋体" w:cs="宋体"/>
                <w:color w:val="000000"/>
                <w:kern w:val="2"/>
                <w:sz w:val="18"/>
                <w:szCs w:val="18"/>
                <w:vertAlign w:val="baseline"/>
                <w:lang w:val="en-US" w:eastAsia="zh-CN" w:bidi="ar-SA"/>
              </w:rPr>
            </w:pPr>
          </w:p>
        </w:tc>
        <w:tc>
          <w:tcPr>
            <w:tcW w:w="158" w:type="pct"/>
            <w:vMerge w:val="restart"/>
            <w:noWrap w:val="0"/>
            <w:tcMar>
              <w:top w:w="0" w:type="dxa"/>
              <w:left w:w="0" w:type="dxa"/>
              <w:bottom w:w="0" w:type="dxa"/>
              <w:right w:w="0" w:type="dxa"/>
            </w:tcMar>
            <w:vAlign w:val="center"/>
          </w:tcPr>
          <w:p w14:paraId="0FD5ADF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751D96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5997650C">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4E778021">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2B582D7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139BB84C">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320C427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较轻</w:t>
            </w:r>
          </w:p>
        </w:tc>
        <w:tc>
          <w:tcPr>
            <w:tcW w:w="561" w:type="pct"/>
            <w:noWrap w:val="0"/>
            <w:tcMar>
              <w:top w:w="0" w:type="dxa"/>
              <w:left w:w="0" w:type="dxa"/>
              <w:bottom w:w="0" w:type="dxa"/>
              <w:right w:w="0" w:type="dxa"/>
            </w:tcMar>
            <w:vAlign w:val="center"/>
          </w:tcPr>
          <w:p w14:paraId="15931E0B">
            <w:pPr>
              <w:pStyle w:val="10"/>
              <w:keepNext w:val="0"/>
              <w:keepLines w:val="0"/>
              <w:pageBreakBefore w:val="0"/>
              <w:widowControl w:val="0"/>
              <w:kinsoku/>
              <w:wordWrap/>
              <w:overflowPunct/>
              <w:topLinePunct w:val="0"/>
              <w:autoSpaceDE/>
              <w:autoSpaceDN/>
              <w:bidi w:val="0"/>
              <w:adjustRightInd/>
              <w:snapToGrid/>
              <w:spacing w:beforeAutospacing="0" w:afterAutospacing="0" w:line="260" w:lineRule="exact"/>
              <w:jc w:val="both"/>
              <w:rPr>
                <w:rFonts w:hint="eastAsia" w:ascii="宋体" w:hAnsi="宋体" w:eastAsia="宋体" w:cs="宋体"/>
                <w:strike/>
                <w:color w:val="auto"/>
                <w:kern w:val="0"/>
                <w:sz w:val="18"/>
                <w:szCs w:val="18"/>
                <w:lang w:val="en-US" w:eastAsia="zh-CN" w:bidi="ar-SA"/>
              </w:rPr>
            </w:pPr>
            <w:r>
              <w:rPr>
                <w:rFonts w:hint="eastAsia" w:ascii="宋体" w:hAnsi="宋体" w:eastAsia="宋体" w:cs="宋体"/>
                <w:color w:val="auto"/>
                <w:sz w:val="18"/>
                <w:szCs w:val="18"/>
              </w:rPr>
              <w:t>发生一般事故的</w:t>
            </w:r>
          </w:p>
        </w:tc>
        <w:tc>
          <w:tcPr>
            <w:tcW w:w="873" w:type="pct"/>
            <w:noWrap w:val="0"/>
            <w:tcMar>
              <w:top w:w="0" w:type="dxa"/>
              <w:left w:w="0" w:type="dxa"/>
              <w:bottom w:w="0" w:type="dxa"/>
              <w:right w:w="0" w:type="dxa"/>
            </w:tcMar>
            <w:vAlign w:val="center"/>
          </w:tcPr>
          <w:p w14:paraId="3DE8144C">
            <w:pPr>
              <w:pStyle w:val="10"/>
              <w:keepNext w:val="0"/>
              <w:keepLines w:val="0"/>
              <w:pageBreakBefore w:val="0"/>
              <w:widowControl w:val="0"/>
              <w:kinsoku/>
              <w:wordWrap/>
              <w:overflowPunct/>
              <w:topLinePunct w:val="0"/>
              <w:autoSpaceDE/>
              <w:autoSpaceDN/>
              <w:bidi w:val="0"/>
              <w:adjustRightInd/>
              <w:snapToGrid/>
              <w:spacing w:beforeAutospacing="0" w:afterAutospacing="0" w:line="260" w:lineRule="exact"/>
              <w:jc w:val="both"/>
              <w:rPr>
                <w:rFonts w:hint="eastAsia" w:ascii="宋体" w:hAnsi="宋体" w:eastAsia="宋体" w:cs="宋体"/>
                <w:color w:val="auto"/>
                <w:kern w:val="0"/>
                <w:sz w:val="18"/>
                <w:szCs w:val="18"/>
                <w:lang w:val="en-US" w:eastAsia="zh-CN" w:bidi="ar-SA"/>
              </w:rPr>
            </w:pPr>
            <w:r>
              <w:rPr>
                <w:rFonts w:hint="eastAsia" w:ascii="宋体" w:hAnsi="宋体" w:eastAsia="宋体" w:cs="宋体"/>
                <w:color w:val="auto"/>
                <w:sz w:val="18"/>
                <w:szCs w:val="18"/>
              </w:rPr>
              <w:t>对个人经营的投资人处2万元以上5万元以下的罚款</w:t>
            </w:r>
          </w:p>
        </w:tc>
        <w:tc>
          <w:tcPr>
            <w:tcW w:w="158" w:type="pct"/>
            <w:vMerge w:val="continue"/>
            <w:noWrap w:val="0"/>
            <w:tcMar>
              <w:top w:w="0" w:type="dxa"/>
              <w:left w:w="0" w:type="dxa"/>
              <w:bottom w:w="0" w:type="dxa"/>
              <w:right w:w="0" w:type="dxa"/>
            </w:tcMar>
            <w:vAlign w:val="center"/>
          </w:tcPr>
          <w:p w14:paraId="6292893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lang w:val="en-US" w:eastAsia="zh-CN"/>
              </w:rPr>
            </w:pPr>
          </w:p>
        </w:tc>
      </w:tr>
      <w:tr w14:paraId="660645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79803289">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7B1E07E2">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0BA97A1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71214A6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560E077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一般</w:t>
            </w:r>
          </w:p>
        </w:tc>
        <w:tc>
          <w:tcPr>
            <w:tcW w:w="561" w:type="pct"/>
            <w:noWrap w:val="0"/>
            <w:tcMar>
              <w:top w:w="0" w:type="dxa"/>
              <w:left w:w="0" w:type="dxa"/>
              <w:bottom w:w="0" w:type="dxa"/>
              <w:right w:w="0" w:type="dxa"/>
            </w:tcMar>
            <w:vAlign w:val="center"/>
          </w:tcPr>
          <w:p w14:paraId="444BE590">
            <w:pPr>
              <w:pStyle w:val="10"/>
              <w:keepNext w:val="0"/>
              <w:keepLines w:val="0"/>
              <w:pageBreakBefore w:val="0"/>
              <w:widowControl w:val="0"/>
              <w:kinsoku/>
              <w:wordWrap/>
              <w:overflowPunct/>
              <w:topLinePunct w:val="0"/>
              <w:autoSpaceDE/>
              <w:autoSpaceDN/>
              <w:bidi w:val="0"/>
              <w:adjustRightInd/>
              <w:snapToGrid/>
              <w:spacing w:beforeAutospacing="0" w:afterAutospacing="0" w:line="260" w:lineRule="exact"/>
              <w:jc w:val="both"/>
              <w:rPr>
                <w:rFonts w:hint="eastAsia" w:ascii="宋体" w:hAnsi="宋体" w:eastAsia="宋体" w:cs="宋体"/>
                <w:strike/>
                <w:color w:val="auto"/>
                <w:kern w:val="0"/>
                <w:sz w:val="18"/>
                <w:szCs w:val="18"/>
                <w:lang w:val="en-US" w:eastAsia="zh-CN" w:bidi="ar-SA"/>
              </w:rPr>
            </w:pPr>
            <w:r>
              <w:rPr>
                <w:rFonts w:hint="eastAsia" w:ascii="宋体" w:hAnsi="宋体" w:eastAsia="宋体" w:cs="宋体"/>
                <w:color w:val="auto"/>
                <w:sz w:val="18"/>
                <w:szCs w:val="18"/>
              </w:rPr>
              <w:t>发生较大事故的</w:t>
            </w:r>
          </w:p>
        </w:tc>
        <w:tc>
          <w:tcPr>
            <w:tcW w:w="873" w:type="pct"/>
            <w:noWrap w:val="0"/>
            <w:tcMar>
              <w:top w:w="0" w:type="dxa"/>
              <w:left w:w="0" w:type="dxa"/>
              <w:bottom w:w="0" w:type="dxa"/>
              <w:right w:w="0" w:type="dxa"/>
            </w:tcMar>
            <w:vAlign w:val="center"/>
          </w:tcPr>
          <w:p w14:paraId="63E94A5B">
            <w:pPr>
              <w:pStyle w:val="10"/>
              <w:keepNext w:val="0"/>
              <w:keepLines w:val="0"/>
              <w:pageBreakBefore w:val="0"/>
              <w:widowControl w:val="0"/>
              <w:kinsoku/>
              <w:wordWrap/>
              <w:overflowPunct/>
              <w:topLinePunct w:val="0"/>
              <w:autoSpaceDE/>
              <w:autoSpaceDN/>
              <w:bidi w:val="0"/>
              <w:adjustRightInd/>
              <w:snapToGrid/>
              <w:spacing w:beforeAutospacing="0" w:afterAutospacing="0" w:line="260" w:lineRule="exact"/>
              <w:jc w:val="both"/>
              <w:rPr>
                <w:rFonts w:hint="eastAsia" w:ascii="宋体" w:hAnsi="宋体" w:eastAsia="宋体" w:cs="宋体"/>
                <w:color w:val="auto"/>
                <w:kern w:val="0"/>
                <w:sz w:val="18"/>
                <w:szCs w:val="18"/>
                <w:lang w:val="en-US" w:eastAsia="zh-CN" w:bidi="ar-SA"/>
              </w:rPr>
            </w:pPr>
            <w:r>
              <w:rPr>
                <w:rFonts w:hint="eastAsia" w:ascii="宋体" w:hAnsi="宋体" w:eastAsia="宋体" w:cs="宋体"/>
                <w:color w:val="auto"/>
                <w:sz w:val="18"/>
                <w:szCs w:val="18"/>
              </w:rPr>
              <w:t>对个人经营的投资人处5万元以上10万元以下的罚款</w:t>
            </w:r>
          </w:p>
        </w:tc>
        <w:tc>
          <w:tcPr>
            <w:tcW w:w="158" w:type="pct"/>
            <w:vMerge w:val="continue"/>
            <w:noWrap w:val="0"/>
            <w:tcMar>
              <w:top w:w="0" w:type="dxa"/>
              <w:left w:w="0" w:type="dxa"/>
              <w:bottom w:w="0" w:type="dxa"/>
              <w:right w:w="0" w:type="dxa"/>
            </w:tcMar>
            <w:vAlign w:val="center"/>
          </w:tcPr>
          <w:p w14:paraId="3F983CF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lang w:val="en-US" w:eastAsia="zh-CN"/>
              </w:rPr>
            </w:pPr>
          </w:p>
        </w:tc>
      </w:tr>
      <w:tr w14:paraId="22633E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4B63395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705373F8">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7C5226F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3726FCF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4EEB3E4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较重</w:t>
            </w:r>
          </w:p>
        </w:tc>
        <w:tc>
          <w:tcPr>
            <w:tcW w:w="561" w:type="pct"/>
            <w:noWrap w:val="0"/>
            <w:tcMar>
              <w:top w:w="0" w:type="dxa"/>
              <w:left w:w="0" w:type="dxa"/>
              <w:bottom w:w="0" w:type="dxa"/>
              <w:right w:w="0" w:type="dxa"/>
            </w:tcMar>
            <w:vAlign w:val="center"/>
          </w:tcPr>
          <w:p w14:paraId="661C7CE6">
            <w:pPr>
              <w:pStyle w:val="10"/>
              <w:keepNext w:val="0"/>
              <w:keepLines w:val="0"/>
              <w:pageBreakBefore w:val="0"/>
              <w:widowControl w:val="0"/>
              <w:kinsoku/>
              <w:wordWrap/>
              <w:overflowPunct/>
              <w:topLinePunct w:val="0"/>
              <w:autoSpaceDE/>
              <w:autoSpaceDN/>
              <w:bidi w:val="0"/>
              <w:adjustRightInd/>
              <w:snapToGrid/>
              <w:spacing w:beforeAutospacing="0" w:afterAutospacing="0" w:line="260" w:lineRule="exact"/>
              <w:jc w:val="both"/>
              <w:rPr>
                <w:rFonts w:hint="eastAsia" w:ascii="宋体" w:hAnsi="宋体" w:eastAsia="宋体" w:cs="宋体"/>
                <w:strike/>
                <w:color w:val="auto"/>
                <w:kern w:val="0"/>
                <w:sz w:val="18"/>
                <w:szCs w:val="18"/>
                <w:lang w:val="en-US" w:eastAsia="zh-CN" w:bidi="ar-SA"/>
              </w:rPr>
            </w:pPr>
            <w:r>
              <w:rPr>
                <w:rFonts w:hint="eastAsia" w:ascii="宋体" w:hAnsi="宋体" w:eastAsia="宋体" w:cs="宋体"/>
                <w:color w:val="auto"/>
                <w:sz w:val="18"/>
                <w:szCs w:val="18"/>
              </w:rPr>
              <w:t>发生重大事故的</w:t>
            </w:r>
          </w:p>
        </w:tc>
        <w:tc>
          <w:tcPr>
            <w:tcW w:w="873" w:type="pct"/>
            <w:noWrap w:val="0"/>
            <w:tcMar>
              <w:top w:w="0" w:type="dxa"/>
              <w:left w:w="0" w:type="dxa"/>
              <w:bottom w:w="0" w:type="dxa"/>
              <w:right w:w="0" w:type="dxa"/>
            </w:tcMar>
            <w:vAlign w:val="center"/>
          </w:tcPr>
          <w:p w14:paraId="336DA046">
            <w:pPr>
              <w:pStyle w:val="10"/>
              <w:keepNext w:val="0"/>
              <w:keepLines w:val="0"/>
              <w:pageBreakBefore w:val="0"/>
              <w:widowControl w:val="0"/>
              <w:kinsoku/>
              <w:wordWrap/>
              <w:overflowPunct/>
              <w:topLinePunct w:val="0"/>
              <w:autoSpaceDE/>
              <w:autoSpaceDN/>
              <w:bidi w:val="0"/>
              <w:adjustRightInd/>
              <w:snapToGrid/>
              <w:spacing w:beforeAutospacing="0" w:afterAutospacing="0" w:line="260" w:lineRule="exact"/>
              <w:jc w:val="both"/>
              <w:rPr>
                <w:rFonts w:hint="eastAsia" w:ascii="宋体" w:hAnsi="宋体" w:eastAsia="宋体" w:cs="宋体"/>
                <w:color w:val="auto"/>
                <w:kern w:val="0"/>
                <w:sz w:val="18"/>
                <w:szCs w:val="18"/>
                <w:lang w:val="en-US" w:eastAsia="zh-CN" w:bidi="ar-SA"/>
              </w:rPr>
            </w:pPr>
            <w:r>
              <w:rPr>
                <w:rFonts w:hint="eastAsia" w:ascii="宋体" w:hAnsi="宋体" w:eastAsia="宋体" w:cs="宋体"/>
                <w:color w:val="auto"/>
                <w:sz w:val="18"/>
                <w:szCs w:val="18"/>
              </w:rPr>
              <w:t>对个人经营的投资人处10万元以上15万元以下的罚款</w:t>
            </w:r>
          </w:p>
        </w:tc>
        <w:tc>
          <w:tcPr>
            <w:tcW w:w="158" w:type="pct"/>
            <w:vMerge w:val="continue"/>
            <w:noWrap w:val="0"/>
            <w:tcMar>
              <w:top w:w="0" w:type="dxa"/>
              <w:left w:w="0" w:type="dxa"/>
              <w:bottom w:w="0" w:type="dxa"/>
              <w:right w:w="0" w:type="dxa"/>
            </w:tcMar>
            <w:vAlign w:val="center"/>
          </w:tcPr>
          <w:p w14:paraId="4AAFD27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lang w:val="en-US" w:eastAsia="zh-CN"/>
              </w:rPr>
            </w:pPr>
          </w:p>
        </w:tc>
      </w:tr>
      <w:tr w14:paraId="4C798E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642E5A18">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4F7FA158">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0C27814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276BEE7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55B1047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严重</w:t>
            </w:r>
          </w:p>
        </w:tc>
        <w:tc>
          <w:tcPr>
            <w:tcW w:w="561" w:type="pct"/>
            <w:noWrap w:val="0"/>
            <w:tcMar>
              <w:top w:w="0" w:type="dxa"/>
              <w:left w:w="0" w:type="dxa"/>
              <w:bottom w:w="0" w:type="dxa"/>
              <w:right w:w="0" w:type="dxa"/>
            </w:tcMar>
            <w:vAlign w:val="center"/>
          </w:tcPr>
          <w:p w14:paraId="537F6271">
            <w:pPr>
              <w:pStyle w:val="10"/>
              <w:keepNext w:val="0"/>
              <w:keepLines w:val="0"/>
              <w:pageBreakBefore w:val="0"/>
              <w:widowControl w:val="0"/>
              <w:kinsoku/>
              <w:wordWrap/>
              <w:overflowPunct/>
              <w:topLinePunct w:val="0"/>
              <w:autoSpaceDE/>
              <w:autoSpaceDN/>
              <w:bidi w:val="0"/>
              <w:adjustRightInd/>
              <w:snapToGrid/>
              <w:spacing w:beforeAutospacing="0" w:afterAutospacing="0" w:line="260" w:lineRule="exact"/>
              <w:jc w:val="both"/>
              <w:rPr>
                <w:rFonts w:hint="eastAsia" w:ascii="宋体" w:hAnsi="宋体" w:eastAsia="宋体" w:cs="宋体"/>
                <w:color w:val="auto"/>
                <w:kern w:val="0"/>
                <w:sz w:val="18"/>
                <w:szCs w:val="18"/>
                <w:lang w:val="en-US" w:eastAsia="zh-CN" w:bidi="ar-SA"/>
              </w:rPr>
            </w:pPr>
            <w:r>
              <w:rPr>
                <w:rFonts w:hint="eastAsia" w:ascii="宋体" w:hAnsi="宋体" w:eastAsia="宋体" w:cs="宋体"/>
                <w:color w:val="auto"/>
                <w:sz w:val="18"/>
                <w:szCs w:val="18"/>
              </w:rPr>
              <w:t>发生特别重大事故的</w:t>
            </w:r>
          </w:p>
        </w:tc>
        <w:tc>
          <w:tcPr>
            <w:tcW w:w="873" w:type="pct"/>
            <w:noWrap w:val="0"/>
            <w:tcMar>
              <w:top w:w="0" w:type="dxa"/>
              <w:left w:w="0" w:type="dxa"/>
              <w:bottom w:w="0" w:type="dxa"/>
              <w:right w:w="0" w:type="dxa"/>
            </w:tcMar>
            <w:vAlign w:val="center"/>
          </w:tcPr>
          <w:p w14:paraId="2D3DF6AE">
            <w:pPr>
              <w:pStyle w:val="10"/>
              <w:keepNext w:val="0"/>
              <w:keepLines w:val="0"/>
              <w:pageBreakBefore w:val="0"/>
              <w:widowControl w:val="0"/>
              <w:kinsoku/>
              <w:wordWrap/>
              <w:overflowPunct/>
              <w:topLinePunct w:val="0"/>
              <w:autoSpaceDE/>
              <w:autoSpaceDN/>
              <w:bidi w:val="0"/>
              <w:adjustRightInd/>
              <w:snapToGrid/>
              <w:spacing w:beforeAutospacing="0" w:afterAutospacing="0" w:line="260" w:lineRule="exact"/>
              <w:jc w:val="both"/>
              <w:rPr>
                <w:rFonts w:hint="eastAsia" w:ascii="宋体" w:hAnsi="宋体" w:eastAsia="宋体" w:cs="宋体"/>
                <w:color w:val="auto"/>
                <w:kern w:val="0"/>
                <w:sz w:val="18"/>
                <w:szCs w:val="18"/>
                <w:lang w:val="en-US" w:eastAsia="zh-CN" w:bidi="ar-SA"/>
              </w:rPr>
            </w:pPr>
            <w:r>
              <w:rPr>
                <w:rFonts w:hint="eastAsia" w:ascii="宋体" w:hAnsi="宋体" w:eastAsia="宋体" w:cs="宋体"/>
                <w:color w:val="auto"/>
                <w:sz w:val="18"/>
                <w:szCs w:val="18"/>
              </w:rPr>
              <w:t>对个人经营的投资人处15万元以上20万元以下的罚款</w:t>
            </w:r>
          </w:p>
        </w:tc>
        <w:tc>
          <w:tcPr>
            <w:tcW w:w="158" w:type="pct"/>
            <w:vMerge w:val="continue"/>
            <w:noWrap w:val="0"/>
            <w:tcMar>
              <w:top w:w="0" w:type="dxa"/>
              <w:left w:w="0" w:type="dxa"/>
              <w:bottom w:w="0" w:type="dxa"/>
              <w:right w:w="0" w:type="dxa"/>
            </w:tcMar>
            <w:vAlign w:val="center"/>
          </w:tcPr>
          <w:p w14:paraId="4DBE9DB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lang w:val="en-US" w:eastAsia="zh-CN"/>
              </w:rPr>
            </w:pPr>
          </w:p>
        </w:tc>
      </w:tr>
      <w:tr w14:paraId="2F6AFC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79262330">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033C3633">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60CF0B4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restart"/>
            <w:noWrap w:val="0"/>
            <w:tcMar>
              <w:top w:w="0" w:type="dxa"/>
              <w:left w:w="0" w:type="dxa"/>
              <w:bottom w:w="0" w:type="dxa"/>
              <w:right w:w="0" w:type="dxa"/>
            </w:tcMar>
            <w:vAlign w:val="center"/>
          </w:tcPr>
          <w:p w14:paraId="7A54EA1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auto"/>
                <w:sz w:val="18"/>
                <w:szCs w:val="18"/>
                <w:vertAlign w:val="baseline"/>
                <w:lang w:val="en-US" w:eastAsia="zh-CN"/>
              </w:rPr>
              <w:t>主要负责人或者个人经营的投资人挪用列入建设工程概算的安全生产作业环境及安全施工措施所需费用的</w:t>
            </w:r>
          </w:p>
        </w:tc>
        <w:tc>
          <w:tcPr>
            <w:tcW w:w="174" w:type="pct"/>
            <w:noWrap w:val="0"/>
            <w:tcMar>
              <w:top w:w="0" w:type="dxa"/>
              <w:left w:w="0" w:type="dxa"/>
              <w:bottom w:w="0" w:type="dxa"/>
              <w:right w:w="0" w:type="dxa"/>
            </w:tcMar>
            <w:vAlign w:val="center"/>
          </w:tcPr>
          <w:p w14:paraId="64E76E80">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轻微</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25996F1A">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7B4618B0">
            <w:pPr>
              <w:spacing w:line="260" w:lineRule="exact"/>
              <w:rPr>
                <w:rFonts w:hint="eastAsia" w:ascii="宋体" w:hAnsi="宋体" w:eastAsia="宋体" w:cs="宋体"/>
                <w:color w:val="000000"/>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3075D601">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39D12C39">
            <w:pPr>
              <w:spacing w:line="260" w:lineRule="exact"/>
              <w:rPr>
                <w:rFonts w:hint="eastAsia" w:ascii="宋体" w:hAnsi="宋体" w:eastAsia="宋体" w:cs="宋体"/>
                <w:color w:val="000000"/>
                <w:kern w:val="2"/>
                <w:sz w:val="18"/>
                <w:szCs w:val="18"/>
                <w:vertAlign w:val="baseline"/>
                <w:lang w:val="en-US" w:eastAsia="zh-CN" w:bidi="ar-SA"/>
              </w:rPr>
            </w:pPr>
          </w:p>
        </w:tc>
        <w:tc>
          <w:tcPr>
            <w:tcW w:w="158" w:type="pct"/>
            <w:vMerge w:val="restart"/>
            <w:noWrap w:val="0"/>
            <w:tcMar>
              <w:top w:w="0" w:type="dxa"/>
              <w:left w:w="0" w:type="dxa"/>
              <w:bottom w:w="0" w:type="dxa"/>
              <w:right w:w="0" w:type="dxa"/>
            </w:tcMar>
            <w:vAlign w:val="center"/>
          </w:tcPr>
          <w:p w14:paraId="162DEFF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68746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5FCB6F65">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1AD65783">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1A79755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786C7877">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0113660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较轻</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374D76BC">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2FE98CA6">
            <w:pPr>
              <w:spacing w:line="260" w:lineRule="exact"/>
              <w:rPr>
                <w:rFonts w:hint="eastAsia" w:ascii="宋体" w:hAnsi="宋体" w:eastAsia="宋体" w:cs="宋体"/>
                <w:color w:val="000000"/>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2AF259F4">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12211A41">
            <w:pPr>
              <w:spacing w:line="260" w:lineRule="exact"/>
              <w:rPr>
                <w:rFonts w:hint="eastAsia" w:ascii="宋体" w:hAnsi="宋体" w:eastAsia="宋体" w:cs="宋体"/>
                <w:color w:val="000000"/>
                <w:kern w:val="2"/>
                <w:sz w:val="18"/>
                <w:szCs w:val="18"/>
                <w:vertAlign w:val="baseline"/>
                <w:lang w:val="en-US" w:eastAsia="zh-CN" w:bidi="ar-SA"/>
              </w:rPr>
            </w:pPr>
          </w:p>
        </w:tc>
        <w:tc>
          <w:tcPr>
            <w:tcW w:w="158" w:type="pct"/>
            <w:vMerge w:val="continue"/>
            <w:noWrap w:val="0"/>
            <w:tcMar>
              <w:top w:w="0" w:type="dxa"/>
              <w:left w:w="0" w:type="dxa"/>
              <w:bottom w:w="0" w:type="dxa"/>
              <w:right w:w="0" w:type="dxa"/>
            </w:tcMar>
            <w:vAlign w:val="center"/>
          </w:tcPr>
          <w:p w14:paraId="1161DC7D">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7A1F65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490" w:hRule="atLeast"/>
          <w:jc w:val="center"/>
        </w:trPr>
        <w:tc>
          <w:tcPr>
            <w:tcW w:w="156" w:type="pct"/>
            <w:vMerge w:val="continue"/>
            <w:noWrap w:val="0"/>
            <w:tcMar>
              <w:top w:w="0" w:type="dxa"/>
              <w:left w:w="0" w:type="dxa"/>
              <w:bottom w:w="0" w:type="dxa"/>
              <w:right w:w="0" w:type="dxa"/>
            </w:tcMar>
            <w:vAlign w:val="center"/>
          </w:tcPr>
          <w:p w14:paraId="56417239">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2BB6F90F">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51280E0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35EB9F9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6566024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一般</w:t>
            </w:r>
          </w:p>
        </w:tc>
        <w:tc>
          <w:tcPr>
            <w:tcW w:w="561" w:type="pct"/>
            <w:noWrap w:val="0"/>
            <w:tcMar>
              <w:top w:w="0" w:type="dxa"/>
              <w:left w:w="0" w:type="dxa"/>
              <w:bottom w:w="0" w:type="dxa"/>
              <w:right w:w="0" w:type="dxa"/>
            </w:tcMar>
            <w:vAlign w:val="center"/>
          </w:tcPr>
          <w:p w14:paraId="18F0764E">
            <w:pPr>
              <w:pStyle w:val="10"/>
              <w:keepNext w:val="0"/>
              <w:keepLines w:val="0"/>
              <w:pageBreakBefore w:val="0"/>
              <w:widowControl w:val="0"/>
              <w:kinsoku/>
              <w:wordWrap/>
              <w:overflowPunct/>
              <w:topLinePunct w:val="0"/>
              <w:autoSpaceDE/>
              <w:autoSpaceDN/>
              <w:bidi w:val="0"/>
              <w:adjustRightInd/>
              <w:snapToGrid/>
              <w:spacing w:beforeAutospacing="0" w:afterAutospacing="0" w:line="260" w:lineRule="exact"/>
              <w:jc w:val="both"/>
              <w:rPr>
                <w:rFonts w:hint="eastAsia" w:ascii="宋体" w:hAnsi="宋体" w:eastAsia="宋体" w:cs="宋体"/>
                <w:strike/>
                <w:color w:val="auto"/>
                <w:kern w:val="0"/>
                <w:sz w:val="18"/>
                <w:szCs w:val="18"/>
                <w:lang w:val="en-US" w:eastAsia="zh-CN" w:bidi="ar-SA"/>
              </w:rPr>
            </w:pPr>
            <w:r>
              <w:rPr>
                <w:rFonts w:hint="eastAsia" w:ascii="宋体" w:hAnsi="宋体" w:eastAsia="宋体" w:cs="宋体"/>
                <w:color w:val="auto"/>
                <w:sz w:val="18"/>
                <w:szCs w:val="18"/>
              </w:rPr>
              <w:t>挪用费用占列入建设工程概算的安全生产作业环境及安全施工措施所需费用比例5%以下的</w:t>
            </w:r>
          </w:p>
        </w:tc>
        <w:tc>
          <w:tcPr>
            <w:tcW w:w="873" w:type="pct"/>
            <w:noWrap w:val="0"/>
            <w:tcMar>
              <w:top w:w="0" w:type="dxa"/>
              <w:left w:w="0" w:type="dxa"/>
              <w:bottom w:w="0" w:type="dxa"/>
              <w:right w:w="0" w:type="dxa"/>
            </w:tcMar>
            <w:vAlign w:val="center"/>
          </w:tcPr>
          <w:p w14:paraId="582DF2A8">
            <w:pPr>
              <w:pStyle w:val="10"/>
              <w:keepNext w:val="0"/>
              <w:keepLines w:val="0"/>
              <w:pageBreakBefore w:val="0"/>
              <w:widowControl w:val="0"/>
              <w:kinsoku/>
              <w:wordWrap/>
              <w:overflowPunct/>
              <w:topLinePunct w:val="0"/>
              <w:autoSpaceDE/>
              <w:autoSpaceDN/>
              <w:bidi w:val="0"/>
              <w:adjustRightInd/>
              <w:snapToGrid/>
              <w:spacing w:beforeAutospacing="0" w:afterAutospacing="0" w:line="260" w:lineRule="exact"/>
              <w:jc w:val="both"/>
              <w:rPr>
                <w:rFonts w:hint="eastAsia" w:ascii="宋体" w:hAnsi="宋体" w:eastAsia="宋体" w:cs="宋体"/>
                <w:color w:val="auto"/>
                <w:kern w:val="0"/>
                <w:sz w:val="18"/>
                <w:szCs w:val="18"/>
                <w:lang w:val="en-US" w:eastAsia="zh-CN" w:bidi="ar-SA"/>
              </w:rPr>
            </w:pPr>
            <w:r>
              <w:rPr>
                <w:rFonts w:hint="eastAsia" w:ascii="宋体" w:hAnsi="宋体" w:eastAsia="宋体" w:cs="宋体"/>
                <w:color w:val="auto"/>
                <w:sz w:val="18"/>
                <w:szCs w:val="18"/>
              </w:rPr>
              <w:t>责令限期改正，处挪用费用20%以上30%以下的罚款</w:t>
            </w:r>
          </w:p>
        </w:tc>
        <w:tc>
          <w:tcPr>
            <w:tcW w:w="158" w:type="pct"/>
            <w:vMerge w:val="continue"/>
            <w:noWrap w:val="0"/>
            <w:tcMar>
              <w:top w:w="0" w:type="dxa"/>
              <w:left w:w="0" w:type="dxa"/>
              <w:bottom w:w="0" w:type="dxa"/>
              <w:right w:w="0" w:type="dxa"/>
            </w:tcMar>
            <w:vAlign w:val="center"/>
          </w:tcPr>
          <w:p w14:paraId="2A1DCF9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69CA75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340" w:hRule="atLeast"/>
          <w:jc w:val="center"/>
        </w:trPr>
        <w:tc>
          <w:tcPr>
            <w:tcW w:w="156" w:type="pct"/>
            <w:vMerge w:val="continue"/>
            <w:noWrap w:val="0"/>
            <w:tcMar>
              <w:top w:w="0" w:type="dxa"/>
              <w:left w:w="0" w:type="dxa"/>
              <w:bottom w:w="0" w:type="dxa"/>
              <w:right w:w="0" w:type="dxa"/>
            </w:tcMar>
            <w:vAlign w:val="center"/>
          </w:tcPr>
          <w:p w14:paraId="78C4411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2C0EA951">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78EE1BE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0DBE5C6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5CB5177D">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较重</w:t>
            </w:r>
          </w:p>
        </w:tc>
        <w:tc>
          <w:tcPr>
            <w:tcW w:w="561" w:type="pct"/>
            <w:noWrap w:val="0"/>
            <w:tcMar>
              <w:top w:w="0" w:type="dxa"/>
              <w:left w:w="0" w:type="dxa"/>
              <w:bottom w:w="0" w:type="dxa"/>
              <w:right w:w="0" w:type="dxa"/>
            </w:tcMar>
            <w:vAlign w:val="center"/>
          </w:tcPr>
          <w:p w14:paraId="26F0D41F">
            <w:pPr>
              <w:pStyle w:val="10"/>
              <w:keepNext w:val="0"/>
              <w:keepLines w:val="0"/>
              <w:pageBreakBefore w:val="0"/>
              <w:widowControl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strike/>
                <w:color w:val="auto"/>
                <w:kern w:val="0"/>
                <w:sz w:val="18"/>
                <w:szCs w:val="18"/>
                <w:lang w:val="en-US" w:eastAsia="zh-CN" w:bidi="ar-SA"/>
              </w:rPr>
            </w:pPr>
            <w:r>
              <w:rPr>
                <w:rFonts w:hint="eastAsia" w:ascii="宋体" w:hAnsi="宋体" w:eastAsia="宋体" w:cs="宋体"/>
                <w:color w:val="auto"/>
                <w:sz w:val="18"/>
                <w:szCs w:val="18"/>
              </w:rPr>
              <w:t>挪用费用占列入建设工程概算的安全生产作业环境及安全施工措施所需费用比例5%以上20%以下的</w:t>
            </w:r>
          </w:p>
        </w:tc>
        <w:tc>
          <w:tcPr>
            <w:tcW w:w="873" w:type="pct"/>
            <w:noWrap w:val="0"/>
            <w:tcMar>
              <w:top w:w="0" w:type="dxa"/>
              <w:left w:w="0" w:type="dxa"/>
              <w:bottom w:w="0" w:type="dxa"/>
              <w:right w:w="0" w:type="dxa"/>
            </w:tcMar>
            <w:vAlign w:val="center"/>
          </w:tcPr>
          <w:p w14:paraId="792D6290">
            <w:pPr>
              <w:pStyle w:val="10"/>
              <w:keepNext w:val="0"/>
              <w:keepLines w:val="0"/>
              <w:pageBreakBefore w:val="0"/>
              <w:widowControl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kern w:val="0"/>
                <w:sz w:val="18"/>
                <w:szCs w:val="18"/>
                <w:lang w:val="en-US" w:eastAsia="zh-CN" w:bidi="ar-SA"/>
              </w:rPr>
            </w:pPr>
            <w:r>
              <w:rPr>
                <w:rFonts w:hint="eastAsia" w:ascii="宋体" w:hAnsi="宋体" w:eastAsia="宋体" w:cs="宋体"/>
                <w:color w:val="auto"/>
                <w:sz w:val="18"/>
                <w:szCs w:val="18"/>
              </w:rPr>
              <w:t>责令限期改正，处挪用费用30%以上40%以下的罚款</w:t>
            </w:r>
          </w:p>
        </w:tc>
        <w:tc>
          <w:tcPr>
            <w:tcW w:w="158" w:type="pct"/>
            <w:vMerge w:val="continue"/>
            <w:noWrap w:val="0"/>
            <w:tcMar>
              <w:top w:w="0" w:type="dxa"/>
              <w:left w:w="0" w:type="dxa"/>
              <w:bottom w:w="0" w:type="dxa"/>
              <w:right w:w="0" w:type="dxa"/>
            </w:tcMar>
            <w:vAlign w:val="center"/>
          </w:tcPr>
          <w:p w14:paraId="7B432829">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2301AE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607" w:hRule="atLeast"/>
          <w:jc w:val="center"/>
        </w:trPr>
        <w:tc>
          <w:tcPr>
            <w:tcW w:w="156" w:type="pct"/>
            <w:vMerge w:val="continue"/>
            <w:noWrap w:val="0"/>
            <w:tcMar>
              <w:top w:w="0" w:type="dxa"/>
              <w:left w:w="0" w:type="dxa"/>
              <w:bottom w:w="0" w:type="dxa"/>
              <w:right w:w="0" w:type="dxa"/>
            </w:tcMar>
            <w:vAlign w:val="center"/>
          </w:tcPr>
          <w:p w14:paraId="12504C1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735B2E3F">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06CE7BD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6CEBA31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229FB5AA">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严重</w:t>
            </w:r>
          </w:p>
        </w:tc>
        <w:tc>
          <w:tcPr>
            <w:tcW w:w="561" w:type="pct"/>
            <w:noWrap w:val="0"/>
            <w:tcMar>
              <w:top w:w="0" w:type="dxa"/>
              <w:left w:w="0" w:type="dxa"/>
              <w:bottom w:w="0" w:type="dxa"/>
              <w:right w:w="0" w:type="dxa"/>
            </w:tcMar>
            <w:vAlign w:val="center"/>
          </w:tcPr>
          <w:p w14:paraId="0AA75CC8">
            <w:pPr>
              <w:pStyle w:val="10"/>
              <w:keepNext w:val="0"/>
              <w:keepLines w:val="0"/>
              <w:pageBreakBefore w:val="0"/>
              <w:widowControl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strike/>
                <w:color w:val="auto"/>
                <w:kern w:val="0"/>
                <w:sz w:val="18"/>
                <w:szCs w:val="18"/>
                <w:lang w:val="en-US" w:eastAsia="zh-CN" w:bidi="ar-SA"/>
              </w:rPr>
            </w:pPr>
            <w:r>
              <w:rPr>
                <w:rFonts w:hint="eastAsia" w:ascii="宋体" w:hAnsi="宋体" w:eastAsia="宋体" w:cs="宋体"/>
                <w:color w:val="auto"/>
                <w:sz w:val="18"/>
                <w:szCs w:val="18"/>
              </w:rPr>
              <w:t>挪用费用占列入建设工程概算的安全生产作业环境及安全施工措施所需费用比例20%以上或造成安全事故的</w:t>
            </w:r>
          </w:p>
        </w:tc>
        <w:tc>
          <w:tcPr>
            <w:tcW w:w="873" w:type="pct"/>
            <w:noWrap w:val="0"/>
            <w:tcMar>
              <w:top w:w="0" w:type="dxa"/>
              <w:left w:w="0" w:type="dxa"/>
              <w:bottom w:w="0" w:type="dxa"/>
              <w:right w:w="0" w:type="dxa"/>
            </w:tcMar>
            <w:vAlign w:val="center"/>
          </w:tcPr>
          <w:p w14:paraId="07B044E4">
            <w:pPr>
              <w:pStyle w:val="10"/>
              <w:keepNext w:val="0"/>
              <w:keepLines w:val="0"/>
              <w:pageBreakBefore w:val="0"/>
              <w:widowControl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kern w:val="0"/>
                <w:sz w:val="18"/>
                <w:szCs w:val="18"/>
                <w:lang w:val="en-US" w:eastAsia="zh-CN" w:bidi="ar-SA"/>
              </w:rPr>
            </w:pPr>
            <w:r>
              <w:rPr>
                <w:rFonts w:hint="eastAsia" w:ascii="宋体" w:hAnsi="宋体" w:eastAsia="宋体" w:cs="宋体"/>
                <w:color w:val="auto"/>
                <w:sz w:val="18"/>
                <w:szCs w:val="18"/>
              </w:rPr>
              <w:t>责令限期改正，处挪用费用40%以上50%以下的罚款</w:t>
            </w:r>
          </w:p>
        </w:tc>
        <w:tc>
          <w:tcPr>
            <w:tcW w:w="158" w:type="pct"/>
            <w:vMerge w:val="continue"/>
            <w:noWrap w:val="0"/>
            <w:tcMar>
              <w:top w:w="0" w:type="dxa"/>
              <w:left w:w="0" w:type="dxa"/>
              <w:bottom w:w="0" w:type="dxa"/>
              <w:right w:w="0" w:type="dxa"/>
            </w:tcMar>
            <w:vAlign w:val="center"/>
          </w:tcPr>
          <w:p w14:paraId="3312ED2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2418D5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156" w:type="pct"/>
            <w:vMerge w:val="restart"/>
            <w:noWrap w:val="0"/>
            <w:tcMar>
              <w:top w:w="0" w:type="dxa"/>
              <w:left w:w="0" w:type="dxa"/>
              <w:bottom w:w="0" w:type="dxa"/>
              <w:right w:w="0" w:type="dxa"/>
            </w:tcMar>
            <w:vAlign w:val="center"/>
          </w:tcPr>
          <w:p w14:paraId="19ACB920">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r>
              <w:rPr>
                <w:rFonts w:hint="eastAsia" w:ascii="宋体" w:hAnsi="宋体" w:eastAsia="宋体" w:cs="宋体"/>
                <w:color w:val="000000"/>
                <w:sz w:val="18"/>
                <w:szCs w:val="18"/>
                <w:shd w:val="clear" w:color="auto" w:fill="auto"/>
                <w:vertAlign w:val="baseline"/>
                <w:lang w:val="en-US" w:eastAsia="zh-CN"/>
              </w:rPr>
              <w:t>96</w:t>
            </w:r>
          </w:p>
        </w:tc>
        <w:tc>
          <w:tcPr>
            <w:tcW w:w="415" w:type="pct"/>
            <w:vMerge w:val="restart"/>
            <w:noWrap w:val="0"/>
            <w:tcMar>
              <w:top w:w="0" w:type="dxa"/>
              <w:left w:w="0" w:type="dxa"/>
              <w:bottom w:w="0" w:type="dxa"/>
              <w:right w:w="0" w:type="dxa"/>
            </w:tcMar>
            <w:vAlign w:val="center"/>
          </w:tcPr>
          <w:p w14:paraId="2ACDD507">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对水利领域生产经营单位主要负责人未履行规定的安全生产管理职责行为的行政处罚</w:t>
            </w:r>
          </w:p>
        </w:tc>
        <w:tc>
          <w:tcPr>
            <w:tcW w:w="2168" w:type="pct"/>
            <w:vMerge w:val="restart"/>
            <w:noWrap w:val="0"/>
            <w:tcMar>
              <w:top w:w="0" w:type="dxa"/>
              <w:left w:w="0" w:type="dxa"/>
              <w:bottom w:w="0" w:type="dxa"/>
              <w:right w:w="0" w:type="dxa"/>
            </w:tcMar>
            <w:vAlign w:val="center"/>
          </w:tcPr>
          <w:p w14:paraId="6D5881F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《中华人民共和国安全生产法》第九十四条第一款 生产经营单位的主要负责人未履行本法规定的安全生产管理职责的，责令限期改正，处二万元以上五万元以下的罚款；逾期未改正的，处五万元以上十万元以下的罚款，责令生产经营单位停产停业整顿。</w:t>
            </w:r>
          </w:p>
          <w:p w14:paraId="118B55B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第九十四条第三款 生产经营单位的主要负责人依照前款规定受刑事处罚或者撤职处分的，自刑罚执行完毕或者受处分之日起，五年内不得担任任何生产经营单位的主要负责人；对重大、特别重大生产安全事故负有责任的，终身不得担任本行业生产经营单位的主要负责人。</w:t>
            </w:r>
          </w:p>
        </w:tc>
        <w:tc>
          <w:tcPr>
            <w:tcW w:w="491" w:type="pct"/>
            <w:vMerge w:val="restart"/>
            <w:noWrap w:val="0"/>
            <w:tcMar>
              <w:top w:w="0" w:type="dxa"/>
              <w:left w:w="0" w:type="dxa"/>
              <w:bottom w:w="0" w:type="dxa"/>
              <w:right w:w="0" w:type="dxa"/>
            </w:tcMar>
            <w:vAlign w:val="center"/>
          </w:tcPr>
          <w:p w14:paraId="3217712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水利领域生产经营单位主要负责人未履行规定的安全生产管理职责的</w:t>
            </w:r>
          </w:p>
        </w:tc>
        <w:tc>
          <w:tcPr>
            <w:tcW w:w="174" w:type="pct"/>
            <w:noWrap w:val="0"/>
            <w:tcMar>
              <w:top w:w="0" w:type="dxa"/>
              <w:left w:w="0" w:type="dxa"/>
              <w:bottom w:w="0" w:type="dxa"/>
              <w:right w:w="0" w:type="dxa"/>
            </w:tcMar>
            <w:vAlign w:val="center"/>
          </w:tcPr>
          <w:p w14:paraId="430ED3C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轻微</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3FB382DA">
            <w:pPr>
              <w:snapToGrid/>
              <w:spacing w:line="24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5DF7F9FA">
            <w:pPr>
              <w:spacing w:line="240" w:lineRule="exact"/>
              <w:rPr>
                <w:rFonts w:hint="eastAsia" w:ascii="宋体" w:hAnsi="宋体" w:eastAsia="宋体" w:cs="宋体"/>
                <w:color w:val="000000"/>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19D7CABB">
            <w:pPr>
              <w:snapToGrid/>
              <w:spacing w:line="24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4BE541EA">
            <w:pPr>
              <w:spacing w:line="240" w:lineRule="exact"/>
              <w:rPr>
                <w:rFonts w:hint="eastAsia" w:ascii="宋体" w:hAnsi="宋体" w:eastAsia="宋体" w:cs="宋体"/>
                <w:color w:val="000000"/>
                <w:kern w:val="2"/>
                <w:sz w:val="18"/>
                <w:szCs w:val="18"/>
                <w:vertAlign w:val="baseline"/>
                <w:lang w:val="en-US" w:eastAsia="zh-CN" w:bidi="ar-SA"/>
              </w:rPr>
            </w:pPr>
          </w:p>
        </w:tc>
        <w:tc>
          <w:tcPr>
            <w:tcW w:w="158" w:type="pct"/>
            <w:vMerge w:val="restart"/>
            <w:noWrap w:val="0"/>
            <w:tcMar>
              <w:top w:w="0" w:type="dxa"/>
              <w:left w:w="0" w:type="dxa"/>
              <w:bottom w:w="0" w:type="dxa"/>
              <w:right w:w="0" w:type="dxa"/>
            </w:tcMar>
            <w:vAlign w:val="center"/>
          </w:tcPr>
          <w:p w14:paraId="68A2E5C5">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47EE41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156" w:type="pct"/>
            <w:vMerge w:val="continue"/>
            <w:noWrap w:val="0"/>
            <w:tcMar>
              <w:top w:w="0" w:type="dxa"/>
              <w:left w:w="0" w:type="dxa"/>
              <w:bottom w:w="0" w:type="dxa"/>
              <w:right w:w="0" w:type="dxa"/>
            </w:tcMar>
            <w:vAlign w:val="center"/>
          </w:tcPr>
          <w:p w14:paraId="7E48306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6F9EB3A0">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7EF0D59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071DCCE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20ACCF70">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较轻</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2A748C7D">
            <w:pPr>
              <w:snapToGrid/>
              <w:spacing w:line="24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009C0F31">
            <w:pPr>
              <w:spacing w:line="240" w:lineRule="exact"/>
              <w:rPr>
                <w:rFonts w:hint="eastAsia" w:ascii="宋体" w:hAnsi="宋体" w:eastAsia="宋体" w:cs="宋体"/>
                <w:color w:val="000000"/>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618BCA3E">
            <w:pPr>
              <w:snapToGrid/>
              <w:spacing w:line="24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51F98265">
            <w:pPr>
              <w:spacing w:line="240" w:lineRule="exact"/>
              <w:rPr>
                <w:rFonts w:hint="eastAsia" w:ascii="宋体" w:hAnsi="宋体" w:eastAsia="宋体" w:cs="宋体"/>
                <w:color w:val="000000"/>
                <w:kern w:val="2"/>
                <w:sz w:val="18"/>
                <w:szCs w:val="18"/>
                <w:vertAlign w:val="baseline"/>
                <w:lang w:val="en-US" w:eastAsia="zh-CN" w:bidi="ar-SA"/>
              </w:rPr>
            </w:pPr>
          </w:p>
        </w:tc>
        <w:tc>
          <w:tcPr>
            <w:tcW w:w="158" w:type="pct"/>
            <w:vMerge w:val="continue"/>
            <w:noWrap w:val="0"/>
            <w:tcMar>
              <w:top w:w="0" w:type="dxa"/>
              <w:left w:w="0" w:type="dxa"/>
              <w:bottom w:w="0" w:type="dxa"/>
              <w:right w:w="0" w:type="dxa"/>
            </w:tcMar>
            <w:vAlign w:val="center"/>
          </w:tcPr>
          <w:p w14:paraId="2C397595">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43F3A5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14" w:hRule="atLeast"/>
          <w:jc w:val="center"/>
        </w:trPr>
        <w:tc>
          <w:tcPr>
            <w:tcW w:w="156" w:type="pct"/>
            <w:vMerge w:val="continue"/>
            <w:noWrap w:val="0"/>
            <w:tcMar>
              <w:top w:w="0" w:type="dxa"/>
              <w:left w:w="0" w:type="dxa"/>
              <w:bottom w:w="0" w:type="dxa"/>
              <w:right w:w="0" w:type="dxa"/>
            </w:tcMar>
            <w:vAlign w:val="center"/>
          </w:tcPr>
          <w:p w14:paraId="4986087A">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63FCD9CD">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64552064">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048FEFE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5CF38FF5">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一般</w:t>
            </w:r>
          </w:p>
        </w:tc>
        <w:tc>
          <w:tcPr>
            <w:tcW w:w="561" w:type="pct"/>
            <w:noWrap w:val="0"/>
            <w:tcMar>
              <w:top w:w="0" w:type="dxa"/>
              <w:left w:w="0" w:type="dxa"/>
              <w:bottom w:w="0" w:type="dxa"/>
              <w:right w:w="0" w:type="dxa"/>
            </w:tcMar>
            <w:vAlign w:val="center"/>
          </w:tcPr>
          <w:p w14:paraId="1BD0527D">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未履行1项法定职责的</w:t>
            </w:r>
          </w:p>
        </w:tc>
        <w:tc>
          <w:tcPr>
            <w:tcW w:w="873" w:type="pct"/>
            <w:noWrap w:val="0"/>
            <w:tcMar>
              <w:top w:w="0" w:type="dxa"/>
              <w:left w:w="0" w:type="dxa"/>
              <w:bottom w:w="0" w:type="dxa"/>
              <w:right w:w="0" w:type="dxa"/>
            </w:tcMar>
            <w:vAlign w:val="center"/>
          </w:tcPr>
          <w:p w14:paraId="513E634B">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处2万元以上3万元以下的罚款；逾期未改正的，处5万元以上6万元以下的罚款</w:t>
            </w:r>
          </w:p>
        </w:tc>
        <w:tc>
          <w:tcPr>
            <w:tcW w:w="158" w:type="pct"/>
            <w:vMerge w:val="continue"/>
            <w:noWrap w:val="0"/>
            <w:tcMar>
              <w:top w:w="0" w:type="dxa"/>
              <w:left w:w="0" w:type="dxa"/>
              <w:bottom w:w="0" w:type="dxa"/>
              <w:right w:w="0" w:type="dxa"/>
            </w:tcMar>
            <w:vAlign w:val="center"/>
          </w:tcPr>
          <w:p w14:paraId="13500CB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lang w:val="en-US" w:eastAsia="zh-CN"/>
              </w:rPr>
            </w:pPr>
          </w:p>
        </w:tc>
      </w:tr>
      <w:tr w14:paraId="1FB8F4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15" w:hRule="atLeast"/>
          <w:jc w:val="center"/>
        </w:trPr>
        <w:tc>
          <w:tcPr>
            <w:tcW w:w="156" w:type="pct"/>
            <w:vMerge w:val="continue"/>
            <w:noWrap w:val="0"/>
            <w:tcMar>
              <w:top w:w="0" w:type="dxa"/>
              <w:left w:w="0" w:type="dxa"/>
              <w:bottom w:w="0" w:type="dxa"/>
              <w:right w:w="0" w:type="dxa"/>
            </w:tcMar>
            <w:vAlign w:val="center"/>
          </w:tcPr>
          <w:p w14:paraId="2112BA1A">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570534CA">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1404BEF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4BD7A21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052C587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较重</w:t>
            </w:r>
          </w:p>
        </w:tc>
        <w:tc>
          <w:tcPr>
            <w:tcW w:w="561" w:type="pct"/>
            <w:noWrap w:val="0"/>
            <w:tcMar>
              <w:top w:w="0" w:type="dxa"/>
              <w:left w:w="0" w:type="dxa"/>
              <w:bottom w:w="0" w:type="dxa"/>
              <w:right w:w="0" w:type="dxa"/>
            </w:tcMar>
            <w:vAlign w:val="center"/>
          </w:tcPr>
          <w:p w14:paraId="3F298D67">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未履行</w:t>
            </w:r>
            <w:r>
              <w:rPr>
                <w:rFonts w:hint="eastAsia" w:ascii="宋体" w:hAnsi="宋体" w:eastAsia="宋体" w:cs="宋体"/>
                <w:color w:val="000000"/>
                <w:sz w:val="18"/>
                <w:szCs w:val="18"/>
                <w:vertAlign w:val="baseline"/>
                <w:lang w:val="en-US" w:eastAsia="zh-CN"/>
              </w:rPr>
              <w:t>2</w:t>
            </w:r>
            <w:r>
              <w:rPr>
                <w:rFonts w:hint="eastAsia" w:ascii="宋体" w:hAnsi="宋体" w:eastAsia="宋体" w:cs="宋体"/>
                <w:color w:val="000000"/>
                <w:sz w:val="18"/>
                <w:szCs w:val="18"/>
                <w:vertAlign w:val="baseline"/>
              </w:rPr>
              <w:t>项法定职责的</w:t>
            </w:r>
          </w:p>
        </w:tc>
        <w:tc>
          <w:tcPr>
            <w:tcW w:w="873" w:type="pct"/>
            <w:noWrap w:val="0"/>
            <w:tcMar>
              <w:top w:w="0" w:type="dxa"/>
              <w:left w:w="0" w:type="dxa"/>
              <w:bottom w:w="0" w:type="dxa"/>
              <w:right w:w="0" w:type="dxa"/>
            </w:tcMar>
            <w:vAlign w:val="center"/>
          </w:tcPr>
          <w:p w14:paraId="326D0F8E">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处3万元以上4万元以下的罚款；逾期未改正的，处6万元以上8万元以下的罚款</w:t>
            </w:r>
          </w:p>
        </w:tc>
        <w:tc>
          <w:tcPr>
            <w:tcW w:w="158" w:type="pct"/>
            <w:vMerge w:val="continue"/>
            <w:noWrap w:val="0"/>
            <w:tcMar>
              <w:top w:w="0" w:type="dxa"/>
              <w:left w:w="0" w:type="dxa"/>
              <w:bottom w:w="0" w:type="dxa"/>
              <w:right w:w="0" w:type="dxa"/>
            </w:tcMar>
            <w:vAlign w:val="center"/>
          </w:tcPr>
          <w:p w14:paraId="20E38F9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lang w:val="en-US" w:eastAsia="zh-CN"/>
              </w:rPr>
            </w:pPr>
          </w:p>
        </w:tc>
      </w:tr>
      <w:tr w14:paraId="70ADC9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69" w:hRule="atLeast"/>
          <w:jc w:val="center"/>
        </w:trPr>
        <w:tc>
          <w:tcPr>
            <w:tcW w:w="156" w:type="pct"/>
            <w:vMerge w:val="continue"/>
            <w:noWrap w:val="0"/>
            <w:tcMar>
              <w:top w:w="0" w:type="dxa"/>
              <w:left w:w="0" w:type="dxa"/>
              <w:bottom w:w="0" w:type="dxa"/>
              <w:right w:w="0" w:type="dxa"/>
            </w:tcMar>
            <w:vAlign w:val="center"/>
          </w:tcPr>
          <w:p w14:paraId="4CEF86D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7574B34B">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05BFB584">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726DAB3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55BA9DEA">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严重</w:t>
            </w:r>
          </w:p>
        </w:tc>
        <w:tc>
          <w:tcPr>
            <w:tcW w:w="561" w:type="pct"/>
            <w:noWrap w:val="0"/>
            <w:tcMar>
              <w:top w:w="0" w:type="dxa"/>
              <w:left w:w="0" w:type="dxa"/>
              <w:bottom w:w="0" w:type="dxa"/>
              <w:right w:w="0" w:type="dxa"/>
            </w:tcMar>
            <w:vAlign w:val="center"/>
          </w:tcPr>
          <w:p w14:paraId="2CB5D663">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未履行</w:t>
            </w:r>
            <w:r>
              <w:rPr>
                <w:rFonts w:hint="eastAsia" w:ascii="宋体" w:hAnsi="宋体" w:eastAsia="宋体" w:cs="宋体"/>
                <w:color w:val="000000"/>
                <w:sz w:val="18"/>
                <w:szCs w:val="18"/>
                <w:vertAlign w:val="baseline"/>
                <w:lang w:val="en-US" w:eastAsia="zh-CN"/>
              </w:rPr>
              <w:t>3</w:t>
            </w:r>
            <w:r>
              <w:rPr>
                <w:rFonts w:hint="eastAsia" w:ascii="宋体" w:hAnsi="宋体" w:eastAsia="宋体" w:cs="宋体"/>
                <w:color w:val="000000"/>
                <w:sz w:val="18"/>
                <w:szCs w:val="18"/>
                <w:vertAlign w:val="baseline"/>
              </w:rPr>
              <w:t>项</w:t>
            </w:r>
            <w:r>
              <w:rPr>
                <w:rFonts w:hint="eastAsia" w:ascii="宋体" w:hAnsi="宋体" w:eastAsia="宋体" w:cs="宋体"/>
                <w:color w:val="000000"/>
                <w:sz w:val="18"/>
                <w:szCs w:val="18"/>
                <w:vertAlign w:val="baseline"/>
                <w:lang w:val="en-US" w:eastAsia="zh-CN"/>
              </w:rPr>
              <w:t>及以上</w:t>
            </w:r>
            <w:r>
              <w:rPr>
                <w:rFonts w:hint="eastAsia" w:ascii="宋体" w:hAnsi="宋体" w:eastAsia="宋体" w:cs="宋体"/>
                <w:color w:val="000000"/>
                <w:sz w:val="18"/>
                <w:szCs w:val="18"/>
                <w:vertAlign w:val="baseline"/>
              </w:rPr>
              <w:t>法定职责的</w:t>
            </w:r>
          </w:p>
        </w:tc>
        <w:tc>
          <w:tcPr>
            <w:tcW w:w="873" w:type="pct"/>
            <w:noWrap w:val="0"/>
            <w:tcMar>
              <w:top w:w="0" w:type="dxa"/>
              <w:left w:w="0" w:type="dxa"/>
              <w:bottom w:w="0" w:type="dxa"/>
              <w:right w:w="0" w:type="dxa"/>
            </w:tcMar>
            <w:vAlign w:val="center"/>
          </w:tcPr>
          <w:p w14:paraId="7881CF60">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处4万元以上5万元以下的罚款；逾期未改正的，处8万元以上10万元以下的罚款</w:t>
            </w:r>
          </w:p>
        </w:tc>
        <w:tc>
          <w:tcPr>
            <w:tcW w:w="158" w:type="pct"/>
            <w:vMerge w:val="continue"/>
            <w:noWrap w:val="0"/>
            <w:tcMar>
              <w:top w:w="0" w:type="dxa"/>
              <w:left w:w="0" w:type="dxa"/>
              <w:bottom w:w="0" w:type="dxa"/>
              <w:right w:w="0" w:type="dxa"/>
            </w:tcMar>
            <w:vAlign w:val="center"/>
          </w:tcPr>
          <w:p w14:paraId="7C97E83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lang w:val="en-US" w:eastAsia="zh-CN"/>
              </w:rPr>
            </w:pPr>
          </w:p>
        </w:tc>
      </w:tr>
      <w:tr w14:paraId="028111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156" w:type="pct"/>
            <w:vMerge w:val="restart"/>
            <w:noWrap w:val="0"/>
            <w:tcMar>
              <w:top w:w="0" w:type="dxa"/>
              <w:left w:w="0" w:type="dxa"/>
              <w:bottom w:w="0" w:type="dxa"/>
              <w:right w:w="0" w:type="dxa"/>
            </w:tcMar>
            <w:vAlign w:val="center"/>
          </w:tcPr>
          <w:p w14:paraId="5E5F44E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r>
              <w:rPr>
                <w:rFonts w:hint="eastAsia" w:ascii="宋体" w:hAnsi="宋体" w:eastAsia="宋体" w:cs="宋体"/>
                <w:color w:val="000000"/>
                <w:sz w:val="18"/>
                <w:szCs w:val="18"/>
                <w:shd w:val="clear" w:color="auto" w:fill="auto"/>
                <w:vertAlign w:val="baseline"/>
                <w:lang w:val="en-US" w:eastAsia="zh-CN"/>
              </w:rPr>
              <w:t>97</w:t>
            </w:r>
          </w:p>
        </w:tc>
        <w:tc>
          <w:tcPr>
            <w:tcW w:w="415" w:type="pct"/>
            <w:vMerge w:val="restart"/>
            <w:noWrap w:val="0"/>
            <w:tcMar>
              <w:top w:w="0" w:type="dxa"/>
              <w:left w:w="0" w:type="dxa"/>
              <w:bottom w:w="0" w:type="dxa"/>
              <w:right w:w="0" w:type="dxa"/>
            </w:tcMar>
            <w:vAlign w:val="center"/>
          </w:tcPr>
          <w:p w14:paraId="4A53C285">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对水利工程施工单位主要负责人、项目负责人未履行规定的安全生产管理职责等行为的行政处罚</w:t>
            </w:r>
          </w:p>
        </w:tc>
        <w:tc>
          <w:tcPr>
            <w:tcW w:w="2168" w:type="pct"/>
            <w:vMerge w:val="restart"/>
            <w:noWrap w:val="0"/>
            <w:tcMar>
              <w:top w:w="0" w:type="dxa"/>
              <w:left w:w="0" w:type="dxa"/>
              <w:bottom w:w="0" w:type="dxa"/>
              <w:right w:w="0" w:type="dxa"/>
            </w:tcMar>
            <w:vAlign w:val="center"/>
          </w:tcPr>
          <w:p w14:paraId="6D7FD274">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《建设工程安全生产管理条例》第六十六条 违反本条例的规定，施工单位的主要负责人、项目负责人未履行安全生产管理职责的，责令限期改正；逾期未改正的，责令施工单位停业整顿；造成重大安全事故、重大伤亡事故或者其他严重后果，构成犯罪的，依照刑法有关规定追究刑事责任。</w:t>
            </w:r>
          </w:p>
          <w:p w14:paraId="1588718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作业人员不服管理、违反规章制度和操作规程冒险作业造成重大伤亡事故或者其他严重后果，构成犯罪的，依照刑法有关规定追究刑事责任。</w:t>
            </w:r>
          </w:p>
          <w:p w14:paraId="7A02FD0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施工单位的主要负责人、项目负责人有前款违法行为，尚不够刑事处罚的，处2万元以上20万元以下的罚款或者按照管理权限给予撤职处分；自刑罚执行完毕或者受处分之日起，5年内不得担任任何施工单位的主要负责人、项目负责人。</w:t>
            </w:r>
          </w:p>
        </w:tc>
        <w:tc>
          <w:tcPr>
            <w:tcW w:w="491" w:type="pct"/>
            <w:vMerge w:val="restart"/>
            <w:noWrap w:val="0"/>
            <w:tcMar>
              <w:top w:w="0" w:type="dxa"/>
              <w:left w:w="0" w:type="dxa"/>
              <w:bottom w:w="0" w:type="dxa"/>
              <w:right w:w="0" w:type="dxa"/>
            </w:tcMar>
            <w:vAlign w:val="center"/>
          </w:tcPr>
          <w:p w14:paraId="496AC4A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施工单位的主要负责人未履行安全生产管理职责的</w:t>
            </w:r>
          </w:p>
        </w:tc>
        <w:tc>
          <w:tcPr>
            <w:tcW w:w="174" w:type="pct"/>
            <w:noWrap w:val="0"/>
            <w:tcMar>
              <w:top w:w="0" w:type="dxa"/>
              <w:left w:w="0" w:type="dxa"/>
              <w:bottom w:w="0" w:type="dxa"/>
              <w:right w:w="0" w:type="dxa"/>
            </w:tcMar>
            <w:vAlign w:val="center"/>
          </w:tcPr>
          <w:p w14:paraId="765396F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轻微</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22A4648F">
            <w:pPr>
              <w:snapToGrid/>
              <w:spacing w:line="24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72A0B945">
            <w:pPr>
              <w:spacing w:line="240" w:lineRule="exact"/>
              <w:rPr>
                <w:rFonts w:hint="eastAsia" w:ascii="宋体" w:hAnsi="宋体" w:eastAsia="宋体" w:cs="宋体"/>
                <w:color w:val="000000"/>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0CBAA2B0">
            <w:pPr>
              <w:snapToGrid/>
              <w:spacing w:line="24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05F48F98">
            <w:pPr>
              <w:spacing w:line="240" w:lineRule="exact"/>
              <w:rPr>
                <w:rFonts w:hint="eastAsia" w:ascii="宋体" w:hAnsi="宋体" w:eastAsia="宋体" w:cs="宋体"/>
                <w:color w:val="000000"/>
                <w:kern w:val="2"/>
                <w:sz w:val="18"/>
                <w:szCs w:val="18"/>
                <w:vertAlign w:val="baseline"/>
                <w:lang w:val="en-US" w:eastAsia="zh-CN" w:bidi="ar-SA"/>
              </w:rPr>
            </w:pPr>
          </w:p>
        </w:tc>
        <w:tc>
          <w:tcPr>
            <w:tcW w:w="158" w:type="pct"/>
            <w:vMerge w:val="restart"/>
            <w:noWrap w:val="0"/>
            <w:tcMar>
              <w:top w:w="0" w:type="dxa"/>
              <w:left w:w="0" w:type="dxa"/>
              <w:bottom w:w="0" w:type="dxa"/>
              <w:right w:w="0" w:type="dxa"/>
            </w:tcMar>
            <w:vAlign w:val="center"/>
          </w:tcPr>
          <w:p w14:paraId="0593AA0D">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6AABB2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156" w:type="pct"/>
            <w:vMerge w:val="continue"/>
            <w:noWrap w:val="0"/>
            <w:tcMar>
              <w:top w:w="0" w:type="dxa"/>
              <w:left w:w="0" w:type="dxa"/>
              <w:bottom w:w="0" w:type="dxa"/>
              <w:right w:w="0" w:type="dxa"/>
            </w:tcMar>
            <w:vAlign w:val="center"/>
          </w:tcPr>
          <w:p w14:paraId="1ED400E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29C60BBC">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3C8A7A5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44D19F57">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0BD4615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较轻</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18092F87">
            <w:pPr>
              <w:snapToGrid/>
              <w:spacing w:line="24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02D18FFF">
            <w:pPr>
              <w:spacing w:line="240" w:lineRule="exact"/>
              <w:rPr>
                <w:rFonts w:hint="eastAsia" w:ascii="宋体" w:hAnsi="宋体" w:eastAsia="宋体" w:cs="宋体"/>
                <w:color w:val="000000"/>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06776C05">
            <w:pPr>
              <w:snapToGrid/>
              <w:spacing w:line="24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37261F88">
            <w:pPr>
              <w:spacing w:line="240" w:lineRule="exact"/>
              <w:rPr>
                <w:rFonts w:hint="eastAsia" w:ascii="宋体" w:hAnsi="宋体" w:eastAsia="宋体" w:cs="宋体"/>
                <w:color w:val="000000"/>
                <w:kern w:val="2"/>
                <w:sz w:val="18"/>
                <w:szCs w:val="18"/>
                <w:vertAlign w:val="baseline"/>
                <w:lang w:val="en-US" w:eastAsia="zh-CN" w:bidi="ar-SA"/>
              </w:rPr>
            </w:pPr>
          </w:p>
        </w:tc>
        <w:tc>
          <w:tcPr>
            <w:tcW w:w="158" w:type="pct"/>
            <w:vMerge w:val="continue"/>
            <w:noWrap w:val="0"/>
            <w:tcMar>
              <w:top w:w="0" w:type="dxa"/>
              <w:left w:w="0" w:type="dxa"/>
              <w:bottom w:w="0" w:type="dxa"/>
              <w:right w:w="0" w:type="dxa"/>
            </w:tcMar>
            <w:vAlign w:val="center"/>
          </w:tcPr>
          <w:p w14:paraId="38E226BA">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1420D2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721" w:hRule="atLeast"/>
          <w:jc w:val="center"/>
        </w:trPr>
        <w:tc>
          <w:tcPr>
            <w:tcW w:w="156" w:type="pct"/>
            <w:vMerge w:val="continue"/>
            <w:noWrap w:val="0"/>
            <w:tcMar>
              <w:top w:w="0" w:type="dxa"/>
              <w:left w:w="0" w:type="dxa"/>
              <w:bottom w:w="0" w:type="dxa"/>
              <w:right w:w="0" w:type="dxa"/>
            </w:tcMar>
            <w:vAlign w:val="center"/>
          </w:tcPr>
          <w:p w14:paraId="4F11B92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29CFFF44">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501BF62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7047C67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4FA6068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一般</w:t>
            </w:r>
          </w:p>
        </w:tc>
        <w:tc>
          <w:tcPr>
            <w:tcW w:w="561" w:type="pct"/>
            <w:noWrap w:val="0"/>
            <w:tcMar>
              <w:top w:w="0" w:type="dxa"/>
              <w:left w:w="0" w:type="dxa"/>
              <w:bottom w:w="0" w:type="dxa"/>
              <w:right w:w="0" w:type="dxa"/>
            </w:tcMar>
            <w:vAlign w:val="center"/>
          </w:tcPr>
          <w:p w14:paraId="77590B8F">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sz w:val="18"/>
                <w:szCs w:val="18"/>
                <w:vertAlign w:val="baseline"/>
              </w:rPr>
              <w:t>限期内改正的</w:t>
            </w:r>
          </w:p>
        </w:tc>
        <w:tc>
          <w:tcPr>
            <w:tcW w:w="873" w:type="pct"/>
            <w:noWrap w:val="0"/>
            <w:tcMar>
              <w:top w:w="0" w:type="dxa"/>
              <w:left w:w="0" w:type="dxa"/>
              <w:bottom w:w="0" w:type="dxa"/>
              <w:right w:w="0" w:type="dxa"/>
            </w:tcMar>
            <w:vAlign w:val="center"/>
          </w:tcPr>
          <w:p w14:paraId="71C94577">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对主要负责人处2万元以上5万元以下的罚款</w:t>
            </w:r>
          </w:p>
        </w:tc>
        <w:tc>
          <w:tcPr>
            <w:tcW w:w="158" w:type="pct"/>
            <w:vMerge w:val="continue"/>
            <w:noWrap w:val="0"/>
            <w:tcMar>
              <w:top w:w="0" w:type="dxa"/>
              <w:left w:w="0" w:type="dxa"/>
              <w:bottom w:w="0" w:type="dxa"/>
              <w:right w:w="0" w:type="dxa"/>
            </w:tcMar>
            <w:vAlign w:val="center"/>
          </w:tcPr>
          <w:p w14:paraId="429E00A1">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35CD77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82" w:hRule="atLeast"/>
          <w:jc w:val="center"/>
        </w:trPr>
        <w:tc>
          <w:tcPr>
            <w:tcW w:w="156" w:type="pct"/>
            <w:vMerge w:val="continue"/>
            <w:noWrap w:val="0"/>
            <w:tcMar>
              <w:top w:w="0" w:type="dxa"/>
              <w:left w:w="0" w:type="dxa"/>
              <w:bottom w:w="0" w:type="dxa"/>
              <w:right w:w="0" w:type="dxa"/>
            </w:tcMar>
            <w:vAlign w:val="center"/>
          </w:tcPr>
          <w:p w14:paraId="661DBE91">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0BEE0B3A">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3AA1D02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2725CE2C">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31926151">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较重</w:t>
            </w:r>
          </w:p>
        </w:tc>
        <w:tc>
          <w:tcPr>
            <w:tcW w:w="561" w:type="pct"/>
            <w:noWrap w:val="0"/>
            <w:tcMar>
              <w:top w:w="0" w:type="dxa"/>
              <w:left w:w="0" w:type="dxa"/>
              <w:bottom w:w="0" w:type="dxa"/>
              <w:right w:w="0" w:type="dxa"/>
            </w:tcMar>
            <w:vAlign w:val="center"/>
          </w:tcPr>
          <w:p w14:paraId="68F7DA2D">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逾期未改正的</w:t>
            </w:r>
          </w:p>
        </w:tc>
        <w:tc>
          <w:tcPr>
            <w:tcW w:w="873" w:type="pct"/>
            <w:noWrap w:val="0"/>
            <w:tcMar>
              <w:top w:w="0" w:type="dxa"/>
              <w:left w:w="0" w:type="dxa"/>
              <w:bottom w:w="0" w:type="dxa"/>
              <w:right w:w="0" w:type="dxa"/>
            </w:tcMar>
            <w:vAlign w:val="center"/>
          </w:tcPr>
          <w:p w14:paraId="29EB8714">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对施工单位责令停业整顿，直至改正违法行为；对主要负责人处5万元以上10万元以下的罚款</w:t>
            </w:r>
          </w:p>
        </w:tc>
        <w:tc>
          <w:tcPr>
            <w:tcW w:w="158" w:type="pct"/>
            <w:vMerge w:val="continue"/>
            <w:noWrap w:val="0"/>
            <w:tcMar>
              <w:top w:w="0" w:type="dxa"/>
              <w:left w:w="0" w:type="dxa"/>
              <w:bottom w:w="0" w:type="dxa"/>
              <w:right w:w="0" w:type="dxa"/>
            </w:tcMar>
            <w:vAlign w:val="center"/>
          </w:tcPr>
          <w:p w14:paraId="0588BF8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496587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88" w:hRule="atLeast"/>
          <w:jc w:val="center"/>
        </w:trPr>
        <w:tc>
          <w:tcPr>
            <w:tcW w:w="156" w:type="pct"/>
            <w:vMerge w:val="continue"/>
            <w:noWrap w:val="0"/>
            <w:tcMar>
              <w:top w:w="0" w:type="dxa"/>
              <w:left w:w="0" w:type="dxa"/>
              <w:bottom w:w="0" w:type="dxa"/>
              <w:right w:w="0" w:type="dxa"/>
            </w:tcMar>
            <w:vAlign w:val="center"/>
          </w:tcPr>
          <w:p w14:paraId="2722E4AB">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695444DD">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0791FF3C">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30C264D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4B3DB439">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严重</w:t>
            </w:r>
          </w:p>
        </w:tc>
        <w:tc>
          <w:tcPr>
            <w:tcW w:w="561" w:type="pct"/>
            <w:noWrap w:val="0"/>
            <w:tcMar>
              <w:top w:w="0" w:type="dxa"/>
              <w:left w:w="0" w:type="dxa"/>
              <w:bottom w:w="0" w:type="dxa"/>
              <w:right w:w="0" w:type="dxa"/>
            </w:tcMar>
            <w:vAlign w:val="center"/>
          </w:tcPr>
          <w:p w14:paraId="1E5B62B8">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导致发生较大及以上生产安全事故的</w:t>
            </w:r>
          </w:p>
        </w:tc>
        <w:tc>
          <w:tcPr>
            <w:tcW w:w="873" w:type="pct"/>
            <w:noWrap w:val="0"/>
            <w:tcMar>
              <w:top w:w="0" w:type="dxa"/>
              <w:left w:w="0" w:type="dxa"/>
              <w:bottom w:w="0" w:type="dxa"/>
              <w:right w:w="0" w:type="dxa"/>
            </w:tcMar>
            <w:vAlign w:val="center"/>
          </w:tcPr>
          <w:p w14:paraId="5EEC79F0">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吊销安全生产考核合格证书</w:t>
            </w:r>
          </w:p>
        </w:tc>
        <w:tc>
          <w:tcPr>
            <w:tcW w:w="158" w:type="pct"/>
            <w:vMerge w:val="continue"/>
            <w:noWrap w:val="0"/>
            <w:tcMar>
              <w:top w:w="0" w:type="dxa"/>
              <w:left w:w="0" w:type="dxa"/>
              <w:bottom w:w="0" w:type="dxa"/>
              <w:right w:w="0" w:type="dxa"/>
            </w:tcMar>
            <w:vAlign w:val="center"/>
          </w:tcPr>
          <w:p w14:paraId="745E175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78476E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4F03B6F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060A60E4">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646DA20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restart"/>
            <w:noWrap w:val="0"/>
            <w:tcMar>
              <w:top w:w="0" w:type="dxa"/>
              <w:left w:w="0" w:type="dxa"/>
              <w:bottom w:w="0" w:type="dxa"/>
              <w:right w:w="0" w:type="dxa"/>
            </w:tcMar>
            <w:vAlign w:val="center"/>
          </w:tcPr>
          <w:p w14:paraId="1699405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施工单位的项目负责人未履行安全生产管理职责的</w:t>
            </w:r>
          </w:p>
        </w:tc>
        <w:tc>
          <w:tcPr>
            <w:tcW w:w="174" w:type="pct"/>
            <w:noWrap w:val="0"/>
            <w:tcMar>
              <w:top w:w="0" w:type="dxa"/>
              <w:left w:w="0" w:type="dxa"/>
              <w:bottom w:w="0" w:type="dxa"/>
              <w:right w:w="0" w:type="dxa"/>
            </w:tcMar>
            <w:vAlign w:val="center"/>
          </w:tcPr>
          <w:p w14:paraId="3BE0EFEA">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轻微</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319A33F5">
            <w:pPr>
              <w:snapToGrid/>
              <w:spacing w:line="24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66B4BDF2">
            <w:pPr>
              <w:spacing w:line="240" w:lineRule="exact"/>
              <w:rPr>
                <w:rFonts w:hint="eastAsia" w:ascii="宋体" w:hAnsi="宋体" w:eastAsia="宋体" w:cs="宋体"/>
                <w:color w:val="000000"/>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3654B0C9">
            <w:pPr>
              <w:snapToGrid/>
              <w:spacing w:line="24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1C61244A">
            <w:pPr>
              <w:spacing w:line="240" w:lineRule="exact"/>
              <w:rPr>
                <w:rFonts w:hint="eastAsia" w:ascii="宋体" w:hAnsi="宋体" w:eastAsia="宋体" w:cs="宋体"/>
                <w:color w:val="000000"/>
                <w:kern w:val="2"/>
                <w:sz w:val="18"/>
                <w:szCs w:val="18"/>
                <w:vertAlign w:val="baseline"/>
                <w:lang w:val="en-US" w:eastAsia="zh-CN" w:bidi="ar-SA"/>
              </w:rPr>
            </w:pPr>
          </w:p>
        </w:tc>
        <w:tc>
          <w:tcPr>
            <w:tcW w:w="158" w:type="pct"/>
            <w:vMerge w:val="restart"/>
            <w:noWrap w:val="0"/>
            <w:tcMar>
              <w:top w:w="0" w:type="dxa"/>
              <w:left w:w="0" w:type="dxa"/>
              <w:bottom w:w="0" w:type="dxa"/>
              <w:right w:w="0" w:type="dxa"/>
            </w:tcMar>
            <w:vAlign w:val="center"/>
          </w:tcPr>
          <w:p w14:paraId="46452DD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7FC46B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774" w:hRule="atLeast"/>
          <w:jc w:val="center"/>
        </w:trPr>
        <w:tc>
          <w:tcPr>
            <w:tcW w:w="156" w:type="pct"/>
            <w:vMerge w:val="continue"/>
            <w:noWrap w:val="0"/>
            <w:tcMar>
              <w:top w:w="0" w:type="dxa"/>
              <w:left w:w="0" w:type="dxa"/>
              <w:bottom w:w="0" w:type="dxa"/>
              <w:right w:w="0" w:type="dxa"/>
            </w:tcMar>
            <w:vAlign w:val="center"/>
          </w:tcPr>
          <w:p w14:paraId="45361160">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332A42A1">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1C55B69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3B3DE57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44E21C85">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较轻</w:t>
            </w:r>
          </w:p>
        </w:tc>
        <w:tc>
          <w:tcPr>
            <w:tcW w:w="561" w:type="pct"/>
            <w:noWrap w:val="0"/>
            <w:tcMar>
              <w:top w:w="0" w:type="dxa"/>
              <w:left w:w="0" w:type="dxa"/>
              <w:bottom w:w="0" w:type="dxa"/>
              <w:right w:w="0" w:type="dxa"/>
            </w:tcMar>
            <w:vAlign w:val="center"/>
          </w:tcPr>
          <w:p w14:paraId="4902A41F">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限期内改正的</w:t>
            </w:r>
          </w:p>
        </w:tc>
        <w:tc>
          <w:tcPr>
            <w:tcW w:w="873" w:type="pct"/>
            <w:noWrap w:val="0"/>
            <w:tcMar>
              <w:top w:w="0" w:type="dxa"/>
              <w:left w:w="0" w:type="dxa"/>
              <w:bottom w:w="0" w:type="dxa"/>
              <w:right w:w="0" w:type="dxa"/>
            </w:tcMar>
            <w:vAlign w:val="center"/>
          </w:tcPr>
          <w:p w14:paraId="3F637153">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对项目负责人处1万以上2万元以下的罚款</w:t>
            </w:r>
          </w:p>
        </w:tc>
        <w:tc>
          <w:tcPr>
            <w:tcW w:w="158" w:type="pct"/>
            <w:vMerge w:val="continue"/>
            <w:noWrap w:val="0"/>
            <w:tcMar>
              <w:top w:w="0" w:type="dxa"/>
              <w:left w:w="0" w:type="dxa"/>
              <w:bottom w:w="0" w:type="dxa"/>
              <w:right w:w="0" w:type="dxa"/>
            </w:tcMar>
            <w:vAlign w:val="center"/>
          </w:tcPr>
          <w:p w14:paraId="26EED5AD">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0274CA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037" w:hRule="atLeast"/>
          <w:jc w:val="center"/>
        </w:trPr>
        <w:tc>
          <w:tcPr>
            <w:tcW w:w="156" w:type="pct"/>
            <w:vMerge w:val="continue"/>
            <w:noWrap w:val="0"/>
            <w:tcMar>
              <w:top w:w="0" w:type="dxa"/>
              <w:left w:w="0" w:type="dxa"/>
              <w:bottom w:w="0" w:type="dxa"/>
              <w:right w:w="0" w:type="dxa"/>
            </w:tcMar>
            <w:vAlign w:val="center"/>
          </w:tcPr>
          <w:p w14:paraId="5311B69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15317B71">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398C26B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4AE0B47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26D9C7E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一般</w:t>
            </w:r>
          </w:p>
        </w:tc>
        <w:tc>
          <w:tcPr>
            <w:tcW w:w="561" w:type="pct"/>
            <w:noWrap w:val="0"/>
            <w:tcMar>
              <w:top w:w="0" w:type="dxa"/>
              <w:left w:w="0" w:type="dxa"/>
              <w:bottom w:w="0" w:type="dxa"/>
              <w:right w:w="0" w:type="dxa"/>
            </w:tcMar>
            <w:vAlign w:val="center"/>
          </w:tcPr>
          <w:p w14:paraId="2378E08E">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逾期未改正的</w:t>
            </w:r>
          </w:p>
        </w:tc>
        <w:tc>
          <w:tcPr>
            <w:tcW w:w="873" w:type="pct"/>
            <w:noWrap w:val="0"/>
            <w:tcMar>
              <w:top w:w="0" w:type="dxa"/>
              <w:left w:w="0" w:type="dxa"/>
              <w:bottom w:w="0" w:type="dxa"/>
              <w:right w:w="0" w:type="dxa"/>
            </w:tcMar>
            <w:vAlign w:val="center"/>
          </w:tcPr>
          <w:p w14:paraId="0C52DEA4">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对施工单位责令停业整顿，直至改正违法行为；对项目负责人处2万元以上3万元以下的罚款</w:t>
            </w:r>
          </w:p>
        </w:tc>
        <w:tc>
          <w:tcPr>
            <w:tcW w:w="158" w:type="pct"/>
            <w:vMerge w:val="continue"/>
            <w:noWrap w:val="0"/>
            <w:tcMar>
              <w:top w:w="0" w:type="dxa"/>
              <w:left w:w="0" w:type="dxa"/>
              <w:bottom w:w="0" w:type="dxa"/>
              <w:right w:w="0" w:type="dxa"/>
            </w:tcMar>
            <w:vAlign w:val="center"/>
          </w:tcPr>
          <w:p w14:paraId="246584E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035A09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878" w:hRule="atLeast"/>
          <w:jc w:val="center"/>
        </w:trPr>
        <w:tc>
          <w:tcPr>
            <w:tcW w:w="156" w:type="pct"/>
            <w:vMerge w:val="continue"/>
            <w:noWrap w:val="0"/>
            <w:tcMar>
              <w:top w:w="0" w:type="dxa"/>
              <w:left w:w="0" w:type="dxa"/>
              <w:bottom w:w="0" w:type="dxa"/>
              <w:right w:w="0" w:type="dxa"/>
            </w:tcMar>
            <w:vAlign w:val="center"/>
          </w:tcPr>
          <w:p w14:paraId="1BA750B9">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240320CD">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3A36F13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5DFC058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75B67B9B">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较重</w:t>
            </w:r>
          </w:p>
        </w:tc>
        <w:tc>
          <w:tcPr>
            <w:tcW w:w="561" w:type="pct"/>
            <w:noWrap w:val="0"/>
            <w:tcMar>
              <w:top w:w="0" w:type="dxa"/>
              <w:left w:w="0" w:type="dxa"/>
              <w:bottom w:w="0" w:type="dxa"/>
              <w:right w:w="0" w:type="dxa"/>
            </w:tcMar>
            <w:vAlign w:val="center"/>
          </w:tcPr>
          <w:p w14:paraId="5B4767B1">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导致发生一般生产安全事故的</w:t>
            </w:r>
          </w:p>
        </w:tc>
        <w:tc>
          <w:tcPr>
            <w:tcW w:w="873" w:type="pct"/>
            <w:noWrap w:val="0"/>
            <w:tcMar>
              <w:top w:w="0" w:type="dxa"/>
              <w:left w:w="0" w:type="dxa"/>
              <w:bottom w:w="0" w:type="dxa"/>
              <w:right w:w="0" w:type="dxa"/>
            </w:tcMar>
            <w:vAlign w:val="center"/>
          </w:tcPr>
          <w:p w14:paraId="55AF81ED">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对项目负责人处上一年年收入20%以上35%以下的罚款</w:t>
            </w:r>
          </w:p>
        </w:tc>
        <w:tc>
          <w:tcPr>
            <w:tcW w:w="158" w:type="pct"/>
            <w:vMerge w:val="continue"/>
            <w:noWrap w:val="0"/>
            <w:tcMar>
              <w:top w:w="0" w:type="dxa"/>
              <w:left w:w="0" w:type="dxa"/>
              <w:bottom w:w="0" w:type="dxa"/>
              <w:right w:w="0" w:type="dxa"/>
            </w:tcMar>
            <w:vAlign w:val="center"/>
          </w:tcPr>
          <w:p w14:paraId="07A3E5A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29426E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189" w:hRule="atLeast"/>
          <w:jc w:val="center"/>
        </w:trPr>
        <w:tc>
          <w:tcPr>
            <w:tcW w:w="156" w:type="pct"/>
            <w:vMerge w:val="continue"/>
            <w:noWrap w:val="0"/>
            <w:tcMar>
              <w:top w:w="0" w:type="dxa"/>
              <w:left w:w="0" w:type="dxa"/>
              <w:bottom w:w="0" w:type="dxa"/>
              <w:right w:w="0" w:type="dxa"/>
            </w:tcMar>
            <w:vAlign w:val="center"/>
          </w:tcPr>
          <w:p w14:paraId="54102BD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033D7277">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7CFD7BD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2AB299B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74E8F65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严重</w:t>
            </w:r>
          </w:p>
        </w:tc>
        <w:tc>
          <w:tcPr>
            <w:tcW w:w="561" w:type="pct"/>
            <w:noWrap w:val="0"/>
            <w:tcMar>
              <w:top w:w="0" w:type="dxa"/>
              <w:left w:w="0" w:type="dxa"/>
              <w:bottom w:w="0" w:type="dxa"/>
              <w:right w:w="0" w:type="dxa"/>
            </w:tcMar>
            <w:vAlign w:val="center"/>
          </w:tcPr>
          <w:p w14:paraId="5539945A">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导致发生较大及以上生产安全事故的</w:t>
            </w:r>
          </w:p>
        </w:tc>
        <w:tc>
          <w:tcPr>
            <w:tcW w:w="873" w:type="pct"/>
            <w:noWrap w:val="0"/>
            <w:tcMar>
              <w:top w:w="0" w:type="dxa"/>
              <w:left w:w="0" w:type="dxa"/>
              <w:bottom w:w="0" w:type="dxa"/>
              <w:right w:w="0" w:type="dxa"/>
            </w:tcMar>
            <w:vAlign w:val="center"/>
          </w:tcPr>
          <w:p w14:paraId="2B3E1612">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对项目负责人处上一年年收入35%以上50%以下的罚款；吊销安全生产考核合格证书</w:t>
            </w:r>
          </w:p>
        </w:tc>
        <w:tc>
          <w:tcPr>
            <w:tcW w:w="158" w:type="pct"/>
            <w:vMerge w:val="continue"/>
            <w:noWrap w:val="0"/>
            <w:tcMar>
              <w:top w:w="0" w:type="dxa"/>
              <w:left w:w="0" w:type="dxa"/>
              <w:bottom w:w="0" w:type="dxa"/>
              <w:right w:w="0" w:type="dxa"/>
            </w:tcMar>
            <w:vAlign w:val="center"/>
          </w:tcPr>
          <w:p w14:paraId="1F66E359">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1CFCDF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970" w:hRule="atLeast"/>
          <w:jc w:val="center"/>
        </w:trPr>
        <w:tc>
          <w:tcPr>
            <w:tcW w:w="156" w:type="pct"/>
            <w:vMerge w:val="restart"/>
            <w:noWrap w:val="0"/>
            <w:tcMar>
              <w:top w:w="0" w:type="dxa"/>
              <w:left w:w="0" w:type="dxa"/>
              <w:bottom w:w="0" w:type="dxa"/>
              <w:right w:w="0" w:type="dxa"/>
            </w:tcMar>
            <w:vAlign w:val="center"/>
          </w:tcPr>
          <w:p w14:paraId="22DFC22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r>
              <w:rPr>
                <w:rFonts w:hint="eastAsia" w:ascii="宋体" w:hAnsi="宋体" w:eastAsia="宋体" w:cs="宋体"/>
                <w:color w:val="000000"/>
                <w:sz w:val="18"/>
                <w:szCs w:val="18"/>
                <w:shd w:val="clear" w:color="auto" w:fill="auto"/>
                <w:vertAlign w:val="baseline"/>
                <w:lang w:val="en-US" w:eastAsia="zh-CN"/>
              </w:rPr>
              <w:t>98</w:t>
            </w:r>
          </w:p>
        </w:tc>
        <w:tc>
          <w:tcPr>
            <w:tcW w:w="415" w:type="pct"/>
            <w:vMerge w:val="restart"/>
            <w:noWrap w:val="0"/>
            <w:tcMar>
              <w:top w:w="0" w:type="dxa"/>
              <w:left w:w="0" w:type="dxa"/>
              <w:bottom w:w="0" w:type="dxa"/>
              <w:right w:w="0" w:type="dxa"/>
            </w:tcMar>
            <w:vAlign w:val="center"/>
          </w:tcPr>
          <w:p w14:paraId="039002FD">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对水利领域生产经营单位的其他负责人和安全生产管理人员未履行本法规定的安全生产管理职责等行为的行政处罚</w:t>
            </w:r>
          </w:p>
        </w:tc>
        <w:tc>
          <w:tcPr>
            <w:tcW w:w="2168" w:type="pct"/>
            <w:vMerge w:val="restart"/>
            <w:noWrap w:val="0"/>
            <w:tcMar>
              <w:top w:w="0" w:type="dxa"/>
              <w:left w:w="0" w:type="dxa"/>
              <w:bottom w:w="0" w:type="dxa"/>
              <w:right w:w="0" w:type="dxa"/>
            </w:tcMar>
            <w:vAlign w:val="center"/>
          </w:tcPr>
          <w:p w14:paraId="1BC9256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《中华人民共和国安全生产法》第九十六条 生产经营单位的其他负责人和安全生产管理人员未履行本法规定的安全生产管理职责的，责令限期改正，处一万元以上三万元以下的罚款；导致发生生产安全事故的，暂停或者吊销其与安全生产有关的资格，并处上一年年收入百分之二十以上百分之五十以下的罚款；构成犯罪的，依照刑法有关规定追究刑事责任。</w:t>
            </w:r>
          </w:p>
        </w:tc>
        <w:tc>
          <w:tcPr>
            <w:tcW w:w="491" w:type="pct"/>
            <w:vMerge w:val="restart"/>
            <w:noWrap w:val="0"/>
            <w:tcMar>
              <w:top w:w="0" w:type="dxa"/>
              <w:left w:w="0" w:type="dxa"/>
              <w:bottom w:w="0" w:type="dxa"/>
              <w:right w:w="0" w:type="dxa"/>
            </w:tcMar>
            <w:vAlign w:val="center"/>
          </w:tcPr>
          <w:p w14:paraId="17317F1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生产经营单位的其他负责人和安全生产管理人员未履行本法规定的安全生产管理职责的</w:t>
            </w:r>
          </w:p>
        </w:tc>
        <w:tc>
          <w:tcPr>
            <w:tcW w:w="174" w:type="pct"/>
            <w:noWrap w:val="0"/>
            <w:tcMar>
              <w:top w:w="0" w:type="dxa"/>
              <w:left w:w="0" w:type="dxa"/>
              <w:bottom w:w="0" w:type="dxa"/>
              <w:right w:w="0" w:type="dxa"/>
            </w:tcMar>
            <w:vAlign w:val="center"/>
          </w:tcPr>
          <w:p w14:paraId="745952C5">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轻微</w:t>
            </w:r>
          </w:p>
        </w:tc>
        <w:tc>
          <w:tcPr>
            <w:tcW w:w="561" w:type="pct"/>
            <w:noWrap w:val="0"/>
            <w:tcMar>
              <w:top w:w="0" w:type="dxa"/>
              <w:left w:w="0" w:type="dxa"/>
              <w:bottom w:w="0" w:type="dxa"/>
              <w:right w:w="0" w:type="dxa"/>
            </w:tcMar>
            <w:vAlign w:val="center"/>
          </w:tcPr>
          <w:p w14:paraId="7E6D4439">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未履行本条规定的第（一）项职责的；一般行业生产经营单位；初次违法；在限定期限内完成整改；未造成危害后果</w:t>
            </w:r>
          </w:p>
        </w:tc>
        <w:tc>
          <w:tcPr>
            <w:tcW w:w="873" w:type="pct"/>
            <w:noWrap w:val="0"/>
            <w:tcMar>
              <w:top w:w="0" w:type="dxa"/>
              <w:left w:w="0" w:type="dxa"/>
              <w:bottom w:w="0" w:type="dxa"/>
              <w:right w:w="0" w:type="dxa"/>
            </w:tcMar>
            <w:vAlign w:val="center"/>
          </w:tcPr>
          <w:p w14:paraId="2EB96CA8">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不予处罚</w:t>
            </w:r>
          </w:p>
        </w:tc>
        <w:tc>
          <w:tcPr>
            <w:tcW w:w="158" w:type="pct"/>
            <w:vMerge w:val="restart"/>
            <w:noWrap w:val="0"/>
            <w:tcMar>
              <w:top w:w="0" w:type="dxa"/>
              <w:left w:w="0" w:type="dxa"/>
              <w:bottom w:w="0" w:type="dxa"/>
              <w:right w:w="0" w:type="dxa"/>
            </w:tcMar>
            <w:vAlign w:val="center"/>
          </w:tcPr>
          <w:p w14:paraId="038AC8A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lang w:val="en-US" w:eastAsia="zh-CN"/>
              </w:rPr>
            </w:pPr>
          </w:p>
        </w:tc>
      </w:tr>
      <w:tr w14:paraId="65851F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156" w:type="pct"/>
            <w:vMerge w:val="continue"/>
            <w:noWrap w:val="0"/>
            <w:tcMar>
              <w:top w:w="0" w:type="dxa"/>
              <w:left w:w="0" w:type="dxa"/>
              <w:bottom w:w="0" w:type="dxa"/>
              <w:right w:w="0" w:type="dxa"/>
            </w:tcMar>
            <w:vAlign w:val="center"/>
          </w:tcPr>
          <w:p w14:paraId="40BE64EA">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39D5FE6E">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45FD356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1DE67B47">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70CA76F1">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较轻</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10BDC413">
            <w:pPr>
              <w:snapToGrid/>
              <w:spacing w:line="28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2ECB6C5D">
            <w:pPr>
              <w:spacing w:line="280" w:lineRule="exact"/>
              <w:rPr>
                <w:rFonts w:hint="eastAsia" w:ascii="宋体" w:hAnsi="宋体" w:eastAsia="宋体" w:cs="宋体"/>
                <w:color w:val="000000"/>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7A7CC589">
            <w:pPr>
              <w:snapToGrid/>
              <w:spacing w:line="28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5F58A7E4">
            <w:pPr>
              <w:spacing w:line="280" w:lineRule="exact"/>
              <w:rPr>
                <w:rFonts w:hint="eastAsia" w:ascii="宋体" w:hAnsi="宋体" w:eastAsia="宋体" w:cs="宋体"/>
                <w:color w:val="000000"/>
                <w:kern w:val="2"/>
                <w:sz w:val="18"/>
                <w:szCs w:val="18"/>
                <w:vertAlign w:val="baseline"/>
                <w:lang w:val="en-US" w:eastAsia="zh-CN" w:bidi="ar-SA"/>
              </w:rPr>
            </w:pPr>
          </w:p>
        </w:tc>
        <w:tc>
          <w:tcPr>
            <w:tcW w:w="158" w:type="pct"/>
            <w:vMerge w:val="continue"/>
            <w:noWrap w:val="0"/>
            <w:tcMar>
              <w:top w:w="0" w:type="dxa"/>
              <w:left w:w="0" w:type="dxa"/>
              <w:bottom w:w="0" w:type="dxa"/>
              <w:right w:w="0" w:type="dxa"/>
            </w:tcMar>
            <w:vAlign w:val="center"/>
          </w:tcPr>
          <w:p w14:paraId="7F95481A">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2F9358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802" w:hRule="atLeast"/>
          <w:jc w:val="center"/>
        </w:trPr>
        <w:tc>
          <w:tcPr>
            <w:tcW w:w="156" w:type="pct"/>
            <w:vMerge w:val="continue"/>
            <w:noWrap w:val="0"/>
            <w:tcMar>
              <w:top w:w="0" w:type="dxa"/>
              <w:left w:w="0" w:type="dxa"/>
              <w:bottom w:w="0" w:type="dxa"/>
              <w:right w:w="0" w:type="dxa"/>
            </w:tcMar>
            <w:vAlign w:val="center"/>
          </w:tcPr>
          <w:p w14:paraId="78DEC69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660911CE">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2BC0C31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45F07F6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5E3DDAA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一般</w:t>
            </w:r>
          </w:p>
        </w:tc>
        <w:tc>
          <w:tcPr>
            <w:tcW w:w="561" w:type="pct"/>
            <w:noWrap w:val="0"/>
            <w:tcMar>
              <w:top w:w="0" w:type="dxa"/>
              <w:left w:w="0" w:type="dxa"/>
              <w:bottom w:w="0" w:type="dxa"/>
              <w:right w:w="0" w:type="dxa"/>
            </w:tcMar>
            <w:vAlign w:val="center"/>
          </w:tcPr>
          <w:p w14:paraId="736988D0">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未履行1项法定职责的</w:t>
            </w:r>
          </w:p>
        </w:tc>
        <w:tc>
          <w:tcPr>
            <w:tcW w:w="873" w:type="pct"/>
            <w:noWrap w:val="0"/>
            <w:tcMar>
              <w:top w:w="0" w:type="dxa"/>
              <w:left w:w="0" w:type="dxa"/>
              <w:bottom w:w="0" w:type="dxa"/>
              <w:right w:w="0" w:type="dxa"/>
            </w:tcMar>
            <w:vAlign w:val="center"/>
          </w:tcPr>
          <w:p w14:paraId="687A8EBC">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处1万元以上1.5万元以下的罚款</w:t>
            </w:r>
          </w:p>
        </w:tc>
        <w:tc>
          <w:tcPr>
            <w:tcW w:w="158" w:type="pct"/>
            <w:vMerge w:val="continue"/>
            <w:noWrap w:val="0"/>
            <w:tcMar>
              <w:top w:w="0" w:type="dxa"/>
              <w:left w:w="0" w:type="dxa"/>
              <w:bottom w:w="0" w:type="dxa"/>
              <w:right w:w="0" w:type="dxa"/>
            </w:tcMar>
            <w:vAlign w:val="center"/>
          </w:tcPr>
          <w:p w14:paraId="6C2EEB8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lang w:val="en-US" w:eastAsia="zh-CN"/>
              </w:rPr>
            </w:pPr>
          </w:p>
        </w:tc>
      </w:tr>
      <w:tr w14:paraId="125AD9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816" w:hRule="atLeast"/>
          <w:jc w:val="center"/>
        </w:trPr>
        <w:tc>
          <w:tcPr>
            <w:tcW w:w="156" w:type="pct"/>
            <w:vMerge w:val="continue"/>
            <w:noWrap w:val="0"/>
            <w:tcMar>
              <w:top w:w="0" w:type="dxa"/>
              <w:left w:w="0" w:type="dxa"/>
              <w:bottom w:w="0" w:type="dxa"/>
              <w:right w:w="0" w:type="dxa"/>
            </w:tcMar>
            <w:vAlign w:val="center"/>
          </w:tcPr>
          <w:p w14:paraId="56B2354D">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4D9D8495">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4B756FF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76D9C30C">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0EE2130C">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较重</w:t>
            </w:r>
          </w:p>
        </w:tc>
        <w:tc>
          <w:tcPr>
            <w:tcW w:w="561" w:type="pct"/>
            <w:noWrap w:val="0"/>
            <w:tcMar>
              <w:top w:w="0" w:type="dxa"/>
              <w:left w:w="0" w:type="dxa"/>
              <w:bottom w:w="0" w:type="dxa"/>
              <w:right w:w="0" w:type="dxa"/>
            </w:tcMar>
            <w:vAlign w:val="center"/>
          </w:tcPr>
          <w:p w14:paraId="701F416B">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未履行</w:t>
            </w:r>
            <w:r>
              <w:rPr>
                <w:rFonts w:hint="eastAsia" w:ascii="宋体" w:hAnsi="宋体" w:eastAsia="宋体" w:cs="宋体"/>
                <w:color w:val="000000"/>
                <w:sz w:val="18"/>
                <w:szCs w:val="18"/>
                <w:vertAlign w:val="baseline"/>
                <w:lang w:val="en-US" w:eastAsia="zh-CN"/>
              </w:rPr>
              <w:t>2</w:t>
            </w:r>
            <w:r>
              <w:rPr>
                <w:rFonts w:hint="eastAsia" w:ascii="宋体" w:hAnsi="宋体" w:eastAsia="宋体" w:cs="宋体"/>
                <w:color w:val="000000"/>
                <w:sz w:val="18"/>
                <w:szCs w:val="18"/>
                <w:vertAlign w:val="baseline"/>
              </w:rPr>
              <w:t>项法定职责的</w:t>
            </w:r>
          </w:p>
        </w:tc>
        <w:tc>
          <w:tcPr>
            <w:tcW w:w="873" w:type="pct"/>
            <w:noWrap w:val="0"/>
            <w:tcMar>
              <w:top w:w="0" w:type="dxa"/>
              <w:left w:w="0" w:type="dxa"/>
              <w:bottom w:w="0" w:type="dxa"/>
              <w:right w:w="0" w:type="dxa"/>
            </w:tcMar>
            <w:vAlign w:val="center"/>
          </w:tcPr>
          <w:p w14:paraId="7E209B69">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处1.5万元以上2万元以下的罚款</w:t>
            </w:r>
          </w:p>
        </w:tc>
        <w:tc>
          <w:tcPr>
            <w:tcW w:w="158" w:type="pct"/>
            <w:vMerge w:val="continue"/>
            <w:noWrap w:val="0"/>
            <w:tcMar>
              <w:top w:w="0" w:type="dxa"/>
              <w:left w:w="0" w:type="dxa"/>
              <w:bottom w:w="0" w:type="dxa"/>
              <w:right w:w="0" w:type="dxa"/>
            </w:tcMar>
            <w:vAlign w:val="center"/>
          </w:tcPr>
          <w:p w14:paraId="1187595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lang w:val="en-US" w:eastAsia="zh-CN"/>
              </w:rPr>
            </w:pPr>
          </w:p>
        </w:tc>
      </w:tr>
      <w:tr w14:paraId="4BA4B6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055" w:hRule="atLeast"/>
          <w:jc w:val="center"/>
        </w:trPr>
        <w:tc>
          <w:tcPr>
            <w:tcW w:w="156" w:type="pct"/>
            <w:vMerge w:val="continue"/>
            <w:noWrap w:val="0"/>
            <w:tcMar>
              <w:top w:w="0" w:type="dxa"/>
              <w:left w:w="0" w:type="dxa"/>
              <w:bottom w:w="0" w:type="dxa"/>
              <w:right w:w="0" w:type="dxa"/>
            </w:tcMar>
            <w:vAlign w:val="center"/>
          </w:tcPr>
          <w:p w14:paraId="581B148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42747C51">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7A9447B4">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606572A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6E3760D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严重</w:t>
            </w:r>
          </w:p>
        </w:tc>
        <w:tc>
          <w:tcPr>
            <w:tcW w:w="561" w:type="pct"/>
            <w:noWrap w:val="0"/>
            <w:tcMar>
              <w:top w:w="0" w:type="dxa"/>
              <w:left w:w="0" w:type="dxa"/>
              <w:bottom w:w="0" w:type="dxa"/>
              <w:right w:w="0" w:type="dxa"/>
            </w:tcMar>
            <w:vAlign w:val="center"/>
          </w:tcPr>
          <w:p w14:paraId="43E44746">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未履行</w:t>
            </w:r>
            <w:r>
              <w:rPr>
                <w:rFonts w:hint="eastAsia" w:ascii="宋体" w:hAnsi="宋体" w:eastAsia="宋体" w:cs="宋体"/>
                <w:color w:val="000000"/>
                <w:sz w:val="18"/>
                <w:szCs w:val="18"/>
                <w:vertAlign w:val="baseline"/>
                <w:lang w:val="en-US" w:eastAsia="zh-CN"/>
              </w:rPr>
              <w:t>3</w:t>
            </w:r>
            <w:r>
              <w:rPr>
                <w:rFonts w:hint="eastAsia" w:ascii="宋体" w:hAnsi="宋体" w:eastAsia="宋体" w:cs="宋体"/>
                <w:color w:val="000000"/>
                <w:sz w:val="18"/>
                <w:szCs w:val="18"/>
                <w:vertAlign w:val="baseline"/>
              </w:rPr>
              <w:t>项</w:t>
            </w:r>
            <w:r>
              <w:rPr>
                <w:rFonts w:hint="eastAsia" w:ascii="宋体" w:hAnsi="宋体" w:eastAsia="宋体" w:cs="宋体"/>
                <w:color w:val="000000"/>
                <w:sz w:val="18"/>
                <w:szCs w:val="18"/>
                <w:vertAlign w:val="baseline"/>
                <w:lang w:val="en-US" w:eastAsia="zh-CN"/>
              </w:rPr>
              <w:t>及以上</w:t>
            </w:r>
            <w:r>
              <w:rPr>
                <w:rFonts w:hint="eastAsia" w:ascii="宋体" w:hAnsi="宋体" w:eastAsia="宋体" w:cs="宋体"/>
                <w:color w:val="000000"/>
                <w:sz w:val="18"/>
                <w:szCs w:val="18"/>
                <w:vertAlign w:val="baseline"/>
              </w:rPr>
              <w:t>法定职责的</w:t>
            </w:r>
          </w:p>
        </w:tc>
        <w:tc>
          <w:tcPr>
            <w:tcW w:w="873" w:type="pct"/>
            <w:noWrap w:val="0"/>
            <w:tcMar>
              <w:top w:w="0" w:type="dxa"/>
              <w:left w:w="0" w:type="dxa"/>
              <w:bottom w:w="0" w:type="dxa"/>
              <w:right w:w="0" w:type="dxa"/>
            </w:tcMar>
            <w:vAlign w:val="center"/>
          </w:tcPr>
          <w:p w14:paraId="45007855">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处2万元以3万元以下的罚款</w:t>
            </w:r>
          </w:p>
        </w:tc>
        <w:tc>
          <w:tcPr>
            <w:tcW w:w="158" w:type="pct"/>
            <w:vMerge w:val="continue"/>
            <w:noWrap w:val="0"/>
            <w:tcMar>
              <w:top w:w="0" w:type="dxa"/>
              <w:left w:w="0" w:type="dxa"/>
              <w:bottom w:w="0" w:type="dxa"/>
              <w:right w:w="0" w:type="dxa"/>
            </w:tcMar>
            <w:vAlign w:val="center"/>
          </w:tcPr>
          <w:p w14:paraId="6DFE174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lang w:val="en-US" w:eastAsia="zh-CN"/>
              </w:rPr>
            </w:pPr>
          </w:p>
        </w:tc>
      </w:tr>
      <w:tr w14:paraId="79A976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326" w:hRule="atLeast"/>
          <w:jc w:val="center"/>
        </w:trPr>
        <w:tc>
          <w:tcPr>
            <w:tcW w:w="156" w:type="pct"/>
            <w:vMerge w:val="restart"/>
            <w:noWrap w:val="0"/>
            <w:tcMar>
              <w:top w:w="0" w:type="dxa"/>
              <w:left w:w="0" w:type="dxa"/>
              <w:bottom w:w="0" w:type="dxa"/>
              <w:right w:w="0" w:type="dxa"/>
            </w:tcMar>
            <w:vAlign w:val="center"/>
          </w:tcPr>
          <w:p w14:paraId="4FDD0BF0">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r>
              <w:rPr>
                <w:rFonts w:hint="eastAsia" w:ascii="宋体" w:hAnsi="宋体" w:eastAsia="宋体" w:cs="宋体"/>
                <w:color w:val="000000"/>
                <w:sz w:val="18"/>
                <w:szCs w:val="18"/>
                <w:shd w:val="clear" w:color="auto" w:fill="auto"/>
                <w:vertAlign w:val="baseline"/>
                <w:lang w:val="en-US" w:eastAsia="zh-CN"/>
              </w:rPr>
              <w:t>99</w:t>
            </w:r>
          </w:p>
        </w:tc>
        <w:tc>
          <w:tcPr>
            <w:tcW w:w="415" w:type="pct"/>
            <w:vMerge w:val="restart"/>
            <w:noWrap w:val="0"/>
            <w:tcMar>
              <w:top w:w="0" w:type="dxa"/>
              <w:left w:w="0" w:type="dxa"/>
              <w:bottom w:w="0" w:type="dxa"/>
              <w:right w:w="0" w:type="dxa"/>
            </w:tcMar>
            <w:vAlign w:val="center"/>
          </w:tcPr>
          <w:p w14:paraId="5BDAA42F">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对水利领域生产经营单位未按照规定设置安全生产管理机构或者配备安全生产管理人员、注册安全工程师，主要负责人和安全生产管理人员未按照规定经考核合格等行为的行政处罚</w:t>
            </w:r>
          </w:p>
        </w:tc>
        <w:tc>
          <w:tcPr>
            <w:tcW w:w="2168" w:type="pct"/>
            <w:vMerge w:val="restart"/>
            <w:noWrap w:val="0"/>
            <w:tcMar>
              <w:top w:w="0" w:type="dxa"/>
              <w:left w:w="0" w:type="dxa"/>
              <w:bottom w:w="0" w:type="dxa"/>
              <w:right w:w="0" w:type="dxa"/>
            </w:tcMar>
            <w:vAlign w:val="center"/>
          </w:tcPr>
          <w:p w14:paraId="19FD446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《中华人民共和国安全生产法》第九十七条 生产经营单位有下列行为之一的，责令限期改正，处十万元以下的罚款；逾期未改正的，责令停产停业整顿，并处十万元以上二十万元以下的罚款，对其直接负责的主管人员和其他直接责任人员处二万元以上五万元以下的罚款：</w:t>
            </w:r>
          </w:p>
          <w:p w14:paraId="7BF8D0B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（一）未按照规定设置安全生产管理机构或者配备安全生产管理人员、注册安全工程师的；</w:t>
            </w:r>
          </w:p>
          <w:p w14:paraId="7D776B3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（二）危险物品的生产、经营、储存、装卸单位以及矿山、金属冶炼、建筑施工、运输单位的主要负责人和安全生产管理人员未按照规定经考核合格的；</w:t>
            </w:r>
          </w:p>
          <w:p w14:paraId="01DCE7C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（三）未按照规定对从业人员、被派遣劳动者、实习学生进行安全生产教育和培训，或者未按照规定如实告知有关的安全生产事项的；</w:t>
            </w:r>
          </w:p>
          <w:p w14:paraId="78234D8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（四）未如实记录安全生产教育和培训情况的；</w:t>
            </w:r>
          </w:p>
          <w:p w14:paraId="4D636A1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（五）未将事故隐患排查治理情况如实记录或者未向从业人员通报的；</w:t>
            </w:r>
          </w:p>
          <w:p w14:paraId="65DD98C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（六）未按照规定制定生产安全事故应急救援预案或者未定期组织演练的；</w:t>
            </w:r>
          </w:p>
          <w:p w14:paraId="170E46C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（七）特种作业人员未按照规定经专门的安全作业培训并取得相应资格，上岗作业的。</w:t>
            </w:r>
          </w:p>
          <w:p w14:paraId="64F1B81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《建设工程安全生产管理条例》第六十二条 违反本条例的规定，施工单位有下列行为之一的，责令限期改正；逾期未改正的，责令停业整顿，依照《中华人民共和国安全生产法》的有关规定处以罚款；造成重大安全事故，构成犯罪的，对直接责任人员，依照刑法有关规定追究刑事责任：</w:t>
            </w:r>
          </w:p>
          <w:p w14:paraId="2704324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（一）未设立安全生产管理机构、配备专职安全生产管理人员或者分部分项工程施工时无专职安全生产管理人员现场监督的；</w:t>
            </w:r>
          </w:p>
          <w:p w14:paraId="40598A6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（二）施工单位的主要负责人、项目负责人、专职安全生产管理人员、作业人员或者特种作业人员，未经安全教育培训或者经考核不合格即从事相关工作的；</w:t>
            </w:r>
          </w:p>
          <w:p w14:paraId="3EEE8E3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（三）未在施工现场的危险部位设置明显的安全警示标志，或者未按照国家有关规定在施工现场设置消防通道、消防水源、配备消防设施和灭火器材的；</w:t>
            </w:r>
          </w:p>
          <w:p w14:paraId="5E69A4D7">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（四）未向作业人员提供安全防护用具和安全防护服装的；</w:t>
            </w:r>
          </w:p>
          <w:p w14:paraId="731D7BC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（五）未按照规定在施工起重机械和整体提升脚手架、模板等自升式架设设施验收合格后登记的；</w:t>
            </w:r>
          </w:p>
          <w:p w14:paraId="0613655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（六）使用国家明令淘汰、禁止使用的危及施工安全的工艺、设备、材料的。</w:t>
            </w:r>
          </w:p>
        </w:tc>
        <w:tc>
          <w:tcPr>
            <w:tcW w:w="491" w:type="pct"/>
            <w:vMerge w:val="restart"/>
            <w:noWrap w:val="0"/>
            <w:tcMar>
              <w:top w:w="0" w:type="dxa"/>
              <w:left w:w="0" w:type="dxa"/>
              <w:bottom w:w="0" w:type="dxa"/>
              <w:right w:w="0" w:type="dxa"/>
            </w:tcMar>
            <w:vAlign w:val="center"/>
          </w:tcPr>
          <w:p w14:paraId="301571B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水利领域生产经营单位未按照规定设置安全生产管理机构或者配备安全生产管理人员、注册安全工程师的</w:t>
            </w:r>
          </w:p>
        </w:tc>
        <w:tc>
          <w:tcPr>
            <w:tcW w:w="174" w:type="pct"/>
            <w:noWrap w:val="0"/>
            <w:tcMar>
              <w:top w:w="0" w:type="dxa"/>
              <w:left w:w="0" w:type="dxa"/>
              <w:bottom w:w="0" w:type="dxa"/>
              <w:right w:w="0" w:type="dxa"/>
            </w:tcMar>
            <w:vAlign w:val="center"/>
          </w:tcPr>
          <w:p w14:paraId="59DC1A13">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轻微</w:t>
            </w:r>
          </w:p>
        </w:tc>
        <w:tc>
          <w:tcPr>
            <w:tcW w:w="561" w:type="pct"/>
            <w:noWrap w:val="0"/>
            <w:tcMar>
              <w:top w:w="0" w:type="dxa"/>
              <w:left w:w="0" w:type="dxa"/>
              <w:bottom w:w="0" w:type="dxa"/>
              <w:right w:w="0" w:type="dxa"/>
            </w:tcMar>
            <w:vAlign w:val="center"/>
          </w:tcPr>
          <w:p w14:paraId="0D5A84F3">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1.原来已按规定配备安全生产管理人员，但因人员离职（不含退休、内部调动），致使人员配备不足，首次被发现的；</w:t>
            </w:r>
          </w:p>
          <w:p w14:paraId="7E3B1351">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2.当事人配合检查并按规定时间改正的；</w:t>
            </w:r>
          </w:p>
          <w:p w14:paraId="0AE8AB5D">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3.没有造成危害后果的；</w:t>
            </w:r>
          </w:p>
          <w:p w14:paraId="141CE78F">
            <w:pPr>
              <w:pStyle w:val="2"/>
              <w:spacing w:line="280" w:lineRule="exact"/>
              <w:rPr>
                <w:rFonts w:hint="eastAsia" w:ascii="宋体" w:hAnsi="宋体" w:eastAsia="宋体" w:cs="宋体"/>
                <w:sz w:val="18"/>
                <w:szCs w:val="18"/>
              </w:rPr>
            </w:pPr>
            <w:r>
              <w:rPr>
                <w:rStyle w:val="21"/>
                <w:rFonts w:hint="eastAsia" w:ascii="宋体" w:hAnsi="宋体" w:eastAsia="宋体" w:cs="宋体"/>
                <w:sz w:val="18"/>
                <w:szCs w:val="18"/>
                <w:lang w:val="en-US" w:eastAsia="zh-CN" w:bidi="ar"/>
              </w:rPr>
              <w:t>（注：符合上述所有情形的，不予处罚，应将本次违法情况进行登记备案，以后再发生类似问题的将不再适用本条件）</w:t>
            </w:r>
          </w:p>
        </w:tc>
        <w:tc>
          <w:tcPr>
            <w:tcW w:w="873" w:type="pct"/>
            <w:noWrap w:val="0"/>
            <w:tcMar>
              <w:top w:w="0" w:type="dxa"/>
              <w:left w:w="0" w:type="dxa"/>
              <w:bottom w:w="0" w:type="dxa"/>
              <w:right w:w="0" w:type="dxa"/>
            </w:tcMar>
            <w:vAlign w:val="center"/>
          </w:tcPr>
          <w:p w14:paraId="6F00295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p>
        </w:tc>
        <w:tc>
          <w:tcPr>
            <w:tcW w:w="158" w:type="pct"/>
            <w:vMerge w:val="restart"/>
            <w:noWrap w:val="0"/>
            <w:tcMar>
              <w:top w:w="0" w:type="dxa"/>
              <w:left w:w="0" w:type="dxa"/>
              <w:bottom w:w="0" w:type="dxa"/>
              <w:right w:w="0" w:type="dxa"/>
            </w:tcMar>
            <w:vAlign w:val="center"/>
          </w:tcPr>
          <w:p w14:paraId="41872C00">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142ABE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155" w:hRule="atLeast"/>
          <w:jc w:val="center"/>
        </w:trPr>
        <w:tc>
          <w:tcPr>
            <w:tcW w:w="156" w:type="pct"/>
            <w:vMerge w:val="continue"/>
            <w:noWrap w:val="0"/>
            <w:tcMar>
              <w:top w:w="0" w:type="dxa"/>
              <w:left w:w="0" w:type="dxa"/>
              <w:bottom w:w="0" w:type="dxa"/>
              <w:right w:w="0" w:type="dxa"/>
            </w:tcMar>
            <w:vAlign w:val="center"/>
          </w:tcPr>
          <w:p w14:paraId="30F108B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5C67F4EF">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64F1076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0E2CCA4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4A74D496">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较轻</w:t>
            </w:r>
          </w:p>
        </w:tc>
        <w:tc>
          <w:tcPr>
            <w:tcW w:w="561" w:type="pct"/>
            <w:noWrap w:val="0"/>
            <w:tcMar>
              <w:top w:w="0" w:type="dxa"/>
              <w:left w:w="0" w:type="dxa"/>
              <w:bottom w:w="0" w:type="dxa"/>
              <w:right w:w="0" w:type="dxa"/>
            </w:tcMar>
            <w:vAlign w:val="center"/>
          </w:tcPr>
          <w:p w14:paraId="1B49EECC">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除矿山、金属冶炼、建筑施工、运输单位和危险物品的生产、经营、储存、装卸以外的生产经营单位，其从业人员100人及以下（含100人），未按规定配备专职或者兼职安全生产管理人员的</w:t>
            </w:r>
          </w:p>
        </w:tc>
        <w:tc>
          <w:tcPr>
            <w:tcW w:w="873" w:type="pct"/>
            <w:noWrap w:val="0"/>
            <w:tcMar>
              <w:top w:w="0" w:type="dxa"/>
              <w:left w:w="0" w:type="dxa"/>
              <w:bottom w:w="0" w:type="dxa"/>
              <w:right w:w="0" w:type="dxa"/>
            </w:tcMar>
            <w:vAlign w:val="center"/>
          </w:tcPr>
          <w:p w14:paraId="0EEF87E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处2万元以下的罚款；逾期未改正的，处10万元以上12万元以下的罚款，对其直接负责的主管人员和其他直接责任人员处2万元以上3万元以下的罚款</w:t>
            </w:r>
          </w:p>
        </w:tc>
        <w:tc>
          <w:tcPr>
            <w:tcW w:w="158" w:type="pct"/>
            <w:vMerge w:val="continue"/>
            <w:noWrap w:val="0"/>
            <w:tcMar>
              <w:top w:w="0" w:type="dxa"/>
              <w:left w:w="0" w:type="dxa"/>
              <w:bottom w:w="0" w:type="dxa"/>
              <w:right w:w="0" w:type="dxa"/>
            </w:tcMar>
            <w:vAlign w:val="center"/>
          </w:tcPr>
          <w:p w14:paraId="5183C78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lang w:val="en-US" w:eastAsia="zh-CN"/>
              </w:rPr>
            </w:pPr>
          </w:p>
        </w:tc>
      </w:tr>
      <w:tr w14:paraId="181B1A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794" w:hRule="atLeast"/>
          <w:jc w:val="center"/>
        </w:trPr>
        <w:tc>
          <w:tcPr>
            <w:tcW w:w="156" w:type="pct"/>
            <w:vMerge w:val="continue"/>
            <w:noWrap w:val="0"/>
            <w:tcMar>
              <w:top w:w="0" w:type="dxa"/>
              <w:left w:w="0" w:type="dxa"/>
              <w:bottom w:w="0" w:type="dxa"/>
              <w:right w:w="0" w:type="dxa"/>
            </w:tcMar>
            <w:vAlign w:val="center"/>
          </w:tcPr>
          <w:p w14:paraId="0B853668">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26158381">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36E1195C">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7325BDE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0797930A">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一般</w:t>
            </w:r>
          </w:p>
        </w:tc>
        <w:tc>
          <w:tcPr>
            <w:tcW w:w="561" w:type="pct"/>
            <w:noWrap w:val="0"/>
            <w:tcMar>
              <w:top w:w="0" w:type="dxa"/>
              <w:left w:w="0" w:type="dxa"/>
              <w:bottom w:w="0" w:type="dxa"/>
              <w:right w:w="0" w:type="dxa"/>
            </w:tcMar>
            <w:vAlign w:val="center"/>
          </w:tcPr>
          <w:p w14:paraId="3AECF4A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除矿山、金属冶炼、建筑施工、运输单位和危险物品的生产、经营、储存以外的生产经营单位，其从业人员超过100人，未设置安全生产管理机构或者配备专职安全生产管理人员的</w:t>
            </w:r>
          </w:p>
        </w:tc>
        <w:tc>
          <w:tcPr>
            <w:tcW w:w="873" w:type="pct"/>
            <w:noWrap w:val="0"/>
            <w:tcMar>
              <w:top w:w="0" w:type="dxa"/>
              <w:left w:w="0" w:type="dxa"/>
              <w:bottom w:w="0" w:type="dxa"/>
              <w:right w:w="0" w:type="dxa"/>
            </w:tcMar>
            <w:vAlign w:val="center"/>
          </w:tcPr>
          <w:p w14:paraId="1E4B724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处2万元以上5万元以下的罚款；逾期未改正的，处12万元以上15万元以下的罚款，对其直接负责的主管人员和其他直接责任人员处3万元以上5万元以下的罚款</w:t>
            </w:r>
          </w:p>
        </w:tc>
        <w:tc>
          <w:tcPr>
            <w:tcW w:w="158" w:type="pct"/>
            <w:vMerge w:val="continue"/>
            <w:noWrap w:val="0"/>
            <w:tcMar>
              <w:top w:w="0" w:type="dxa"/>
              <w:left w:w="0" w:type="dxa"/>
              <w:bottom w:w="0" w:type="dxa"/>
              <w:right w:w="0" w:type="dxa"/>
            </w:tcMar>
            <w:vAlign w:val="center"/>
          </w:tcPr>
          <w:p w14:paraId="356DB56D">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lang w:val="en-US" w:eastAsia="zh-CN"/>
              </w:rPr>
            </w:pPr>
          </w:p>
        </w:tc>
      </w:tr>
      <w:tr w14:paraId="60D066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794" w:hRule="atLeast"/>
          <w:jc w:val="center"/>
        </w:trPr>
        <w:tc>
          <w:tcPr>
            <w:tcW w:w="156" w:type="pct"/>
            <w:vMerge w:val="continue"/>
            <w:noWrap w:val="0"/>
            <w:tcMar>
              <w:top w:w="0" w:type="dxa"/>
              <w:left w:w="0" w:type="dxa"/>
              <w:bottom w:w="0" w:type="dxa"/>
              <w:right w:w="0" w:type="dxa"/>
            </w:tcMar>
            <w:vAlign w:val="center"/>
          </w:tcPr>
          <w:p w14:paraId="23284141">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645ACCE6">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6261306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4045EAC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7A5FEF2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较重</w:t>
            </w:r>
          </w:p>
        </w:tc>
        <w:tc>
          <w:tcPr>
            <w:tcW w:w="561" w:type="pct"/>
            <w:noWrap w:val="0"/>
            <w:tcMar>
              <w:top w:w="0" w:type="dxa"/>
              <w:left w:w="0" w:type="dxa"/>
              <w:bottom w:w="0" w:type="dxa"/>
              <w:right w:w="0" w:type="dxa"/>
            </w:tcMar>
            <w:vAlign w:val="center"/>
          </w:tcPr>
          <w:p w14:paraId="6AABCB4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矿山、金属冶炼、建筑施工、运输单位和危险物品的生产、经营、储存单位，</w:t>
            </w:r>
          </w:p>
          <w:p w14:paraId="4B577D1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其从业人员30人及以下（含30人），未按规定设置安全生产管理机构或者配备专职安全生产管理人员的</w:t>
            </w:r>
          </w:p>
        </w:tc>
        <w:tc>
          <w:tcPr>
            <w:tcW w:w="873" w:type="pct"/>
            <w:noWrap w:val="0"/>
            <w:tcMar>
              <w:top w:w="0" w:type="dxa"/>
              <w:left w:w="0" w:type="dxa"/>
              <w:bottom w:w="0" w:type="dxa"/>
              <w:right w:w="0" w:type="dxa"/>
            </w:tcMar>
            <w:vAlign w:val="center"/>
          </w:tcPr>
          <w:p w14:paraId="1569753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处5万元以下的罚款；逾期未改正的，处10万元以上15万元以下的罚款，对其直接负责的主管人员和其他直接责任人处2万元以上3万元以下的罚款</w:t>
            </w:r>
          </w:p>
        </w:tc>
        <w:tc>
          <w:tcPr>
            <w:tcW w:w="158" w:type="pct"/>
            <w:vMerge w:val="continue"/>
            <w:noWrap w:val="0"/>
            <w:tcMar>
              <w:top w:w="0" w:type="dxa"/>
              <w:left w:w="0" w:type="dxa"/>
              <w:bottom w:w="0" w:type="dxa"/>
              <w:right w:w="0" w:type="dxa"/>
            </w:tcMar>
            <w:vAlign w:val="center"/>
          </w:tcPr>
          <w:p w14:paraId="31594985">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lang w:val="en-US" w:eastAsia="zh-CN"/>
              </w:rPr>
            </w:pPr>
          </w:p>
        </w:tc>
      </w:tr>
      <w:tr w14:paraId="5703C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806" w:hRule="atLeast"/>
          <w:jc w:val="center"/>
        </w:trPr>
        <w:tc>
          <w:tcPr>
            <w:tcW w:w="156" w:type="pct"/>
            <w:vMerge w:val="continue"/>
            <w:noWrap w:val="0"/>
            <w:tcMar>
              <w:top w:w="0" w:type="dxa"/>
              <w:left w:w="0" w:type="dxa"/>
              <w:bottom w:w="0" w:type="dxa"/>
              <w:right w:w="0" w:type="dxa"/>
            </w:tcMar>
            <w:vAlign w:val="center"/>
          </w:tcPr>
          <w:p w14:paraId="66077EF1">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5186874A">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0C5EB66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0AA72BA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784A6729">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严重</w:t>
            </w:r>
          </w:p>
        </w:tc>
        <w:tc>
          <w:tcPr>
            <w:tcW w:w="561" w:type="pct"/>
            <w:noWrap w:val="0"/>
            <w:tcMar>
              <w:top w:w="0" w:type="dxa"/>
              <w:left w:w="0" w:type="dxa"/>
              <w:bottom w:w="0" w:type="dxa"/>
              <w:right w:w="0" w:type="dxa"/>
            </w:tcMar>
            <w:vAlign w:val="center"/>
          </w:tcPr>
          <w:p w14:paraId="30B6C404">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矿山、金属冶炼、建筑施工、运输单位和危险物品的生产、经营、储存单位，其从业人员超过30人，未按规定设置安全生产管理机构或者配备专职安全生产管理人员、注册安全工程师的</w:t>
            </w:r>
          </w:p>
        </w:tc>
        <w:tc>
          <w:tcPr>
            <w:tcW w:w="873" w:type="pct"/>
            <w:noWrap w:val="0"/>
            <w:tcMar>
              <w:top w:w="0" w:type="dxa"/>
              <w:left w:w="0" w:type="dxa"/>
              <w:bottom w:w="0" w:type="dxa"/>
              <w:right w:w="0" w:type="dxa"/>
            </w:tcMar>
            <w:vAlign w:val="center"/>
          </w:tcPr>
          <w:p w14:paraId="2C26BB3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处5万元以上10万元以下的罚款；逾期未改正的，处15万元以上20万元以下的罚款，对其直接负责的主管人员和其他直接责任人员处3万元以上5万元以下的罚款</w:t>
            </w:r>
          </w:p>
        </w:tc>
        <w:tc>
          <w:tcPr>
            <w:tcW w:w="158" w:type="pct"/>
            <w:vMerge w:val="continue"/>
            <w:noWrap w:val="0"/>
            <w:tcMar>
              <w:top w:w="0" w:type="dxa"/>
              <w:left w:w="0" w:type="dxa"/>
              <w:bottom w:w="0" w:type="dxa"/>
              <w:right w:w="0" w:type="dxa"/>
            </w:tcMar>
            <w:vAlign w:val="center"/>
          </w:tcPr>
          <w:p w14:paraId="13DF782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lang w:val="en-US" w:eastAsia="zh-CN"/>
              </w:rPr>
            </w:pPr>
          </w:p>
        </w:tc>
      </w:tr>
      <w:tr w14:paraId="07C89F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156" w:type="pct"/>
            <w:vMerge w:val="continue"/>
            <w:noWrap w:val="0"/>
            <w:tcMar>
              <w:top w:w="0" w:type="dxa"/>
              <w:left w:w="0" w:type="dxa"/>
              <w:bottom w:w="0" w:type="dxa"/>
              <w:right w:w="0" w:type="dxa"/>
            </w:tcMar>
            <w:vAlign w:val="center"/>
          </w:tcPr>
          <w:p w14:paraId="2725677A">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54AB124D">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60A95854">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restart"/>
            <w:noWrap w:val="0"/>
            <w:tcMar>
              <w:top w:w="0" w:type="dxa"/>
              <w:left w:w="0" w:type="dxa"/>
              <w:bottom w:w="0" w:type="dxa"/>
              <w:right w:w="0" w:type="dxa"/>
            </w:tcMar>
            <w:vAlign w:val="center"/>
          </w:tcPr>
          <w:p w14:paraId="483C7744">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危险物品的生产、经营、储存、装卸单位以及矿山、金属冶炼、建筑施工、运输单位的主要负责人和安全生产管理人员未按照规定经考核合格的</w:t>
            </w:r>
          </w:p>
        </w:tc>
        <w:tc>
          <w:tcPr>
            <w:tcW w:w="174" w:type="pct"/>
            <w:noWrap w:val="0"/>
            <w:tcMar>
              <w:top w:w="0" w:type="dxa"/>
              <w:left w:w="0" w:type="dxa"/>
              <w:bottom w:w="0" w:type="dxa"/>
              <w:right w:w="0" w:type="dxa"/>
            </w:tcMar>
            <w:vAlign w:val="center"/>
          </w:tcPr>
          <w:p w14:paraId="1352C57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轻微</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2AC2441E">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52C00158">
            <w:pPr>
              <w:spacing w:line="260" w:lineRule="exact"/>
              <w:rPr>
                <w:rFonts w:hint="eastAsia" w:ascii="宋体" w:hAnsi="宋体" w:eastAsia="宋体" w:cs="宋体"/>
                <w:color w:val="000000"/>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4576B97B">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31C4AC0F">
            <w:pPr>
              <w:spacing w:line="260" w:lineRule="exact"/>
              <w:rPr>
                <w:rFonts w:hint="eastAsia" w:ascii="宋体" w:hAnsi="宋体" w:eastAsia="宋体" w:cs="宋体"/>
                <w:color w:val="000000"/>
                <w:kern w:val="2"/>
                <w:sz w:val="18"/>
                <w:szCs w:val="18"/>
                <w:vertAlign w:val="baseline"/>
                <w:lang w:val="en-US" w:eastAsia="zh-CN" w:bidi="ar-SA"/>
              </w:rPr>
            </w:pPr>
          </w:p>
        </w:tc>
        <w:tc>
          <w:tcPr>
            <w:tcW w:w="158" w:type="pct"/>
            <w:vMerge w:val="restart"/>
            <w:noWrap w:val="0"/>
            <w:tcMar>
              <w:top w:w="0" w:type="dxa"/>
              <w:left w:w="0" w:type="dxa"/>
              <w:bottom w:w="0" w:type="dxa"/>
              <w:right w:w="0" w:type="dxa"/>
            </w:tcMar>
            <w:vAlign w:val="center"/>
          </w:tcPr>
          <w:p w14:paraId="55B669A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kern w:val="2"/>
                <w:sz w:val="18"/>
                <w:szCs w:val="18"/>
                <w:vertAlign w:val="baseline"/>
                <w:lang w:val="en-US" w:eastAsia="zh-CN" w:bidi="ar-SA"/>
              </w:rPr>
            </w:pPr>
          </w:p>
        </w:tc>
      </w:tr>
      <w:tr w14:paraId="1DA190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156" w:type="pct"/>
            <w:vMerge w:val="continue"/>
            <w:noWrap w:val="0"/>
            <w:tcMar>
              <w:top w:w="0" w:type="dxa"/>
              <w:left w:w="0" w:type="dxa"/>
              <w:bottom w:w="0" w:type="dxa"/>
              <w:right w:w="0" w:type="dxa"/>
            </w:tcMar>
            <w:vAlign w:val="center"/>
          </w:tcPr>
          <w:p w14:paraId="43BC6F3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34CA3C29">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39F9CAC4">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5786668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1EB2761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较轻</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53596675">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2A45C1BF">
            <w:pPr>
              <w:spacing w:line="260" w:lineRule="exact"/>
              <w:rPr>
                <w:rFonts w:hint="eastAsia" w:ascii="宋体" w:hAnsi="宋体" w:eastAsia="宋体" w:cs="宋体"/>
                <w:color w:val="000000"/>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4A9842EC">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2AF1F96E">
            <w:pPr>
              <w:spacing w:line="260" w:lineRule="exact"/>
              <w:rPr>
                <w:rFonts w:hint="eastAsia" w:ascii="宋体" w:hAnsi="宋体" w:eastAsia="宋体" w:cs="宋体"/>
                <w:color w:val="000000"/>
                <w:kern w:val="2"/>
                <w:sz w:val="18"/>
                <w:szCs w:val="18"/>
                <w:vertAlign w:val="baseline"/>
                <w:lang w:val="en-US" w:eastAsia="zh-CN" w:bidi="ar-SA"/>
              </w:rPr>
            </w:pPr>
          </w:p>
        </w:tc>
        <w:tc>
          <w:tcPr>
            <w:tcW w:w="158" w:type="pct"/>
            <w:vMerge w:val="continue"/>
            <w:noWrap w:val="0"/>
            <w:tcMar>
              <w:top w:w="0" w:type="dxa"/>
              <w:left w:w="0" w:type="dxa"/>
              <w:bottom w:w="0" w:type="dxa"/>
              <w:right w:w="0" w:type="dxa"/>
            </w:tcMar>
            <w:vAlign w:val="center"/>
          </w:tcPr>
          <w:p w14:paraId="60EDA12B">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4811F5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397F26A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6E27EAF7">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2FE3B7A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78DBEF6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46A6CB5B">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一般</w:t>
            </w:r>
          </w:p>
        </w:tc>
        <w:tc>
          <w:tcPr>
            <w:tcW w:w="561" w:type="pct"/>
            <w:noWrap w:val="0"/>
            <w:tcMar>
              <w:top w:w="0" w:type="dxa"/>
              <w:left w:w="0" w:type="dxa"/>
              <w:bottom w:w="0" w:type="dxa"/>
              <w:right w:w="0" w:type="dxa"/>
            </w:tcMar>
            <w:vAlign w:val="center"/>
          </w:tcPr>
          <w:p w14:paraId="0AF6FFF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安全生产管理人员有1人未按照规定考核合格的</w:t>
            </w:r>
          </w:p>
        </w:tc>
        <w:tc>
          <w:tcPr>
            <w:tcW w:w="873" w:type="pct"/>
            <w:noWrap w:val="0"/>
            <w:tcMar>
              <w:top w:w="0" w:type="dxa"/>
              <w:left w:w="0" w:type="dxa"/>
              <w:bottom w:w="0" w:type="dxa"/>
              <w:right w:w="0" w:type="dxa"/>
            </w:tcMar>
            <w:vAlign w:val="center"/>
          </w:tcPr>
          <w:p w14:paraId="3172226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处2万元以下的罚款；逾期未改正的，处10万元以上13万元以下的罚款，对其直接负责的主管人员和其他直接责任人员处2万元以上3万元以下的罚款</w:t>
            </w:r>
          </w:p>
        </w:tc>
        <w:tc>
          <w:tcPr>
            <w:tcW w:w="158" w:type="pct"/>
            <w:vMerge w:val="continue"/>
            <w:noWrap w:val="0"/>
            <w:tcMar>
              <w:top w:w="0" w:type="dxa"/>
              <w:left w:w="0" w:type="dxa"/>
              <w:bottom w:w="0" w:type="dxa"/>
              <w:right w:w="0" w:type="dxa"/>
            </w:tcMar>
            <w:vAlign w:val="center"/>
          </w:tcPr>
          <w:p w14:paraId="7D0D7169">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kern w:val="2"/>
                <w:sz w:val="18"/>
                <w:szCs w:val="18"/>
                <w:vertAlign w:val="baseline"/>
                <w:lang w:val="en-US" w:eastAsia="zh-CN" w:bidi="ar-SA"/>
              </w:rPr>
            </w:pPr>
          </w:p>
        </w:tc>
      </w:tr>
      <w:tr w14:paraId="75A7B1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205994A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66D2F252">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3A5E0C0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6B364A4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3587C47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较重</w:t>
            </w:r>
          </w:p>
        </w:tc>
        <w:tc>
          <w:tcPr>
            <w:tcW w:w="561" w:type="pct"/>
            <w:noWrap w:val="0"/>
            <w:tcMar>
              <w:top w:w="0" w:type="dxa"/>
              <w:left w:w="0" w:type="dxa"/>
              <w:bottom w:w="0" w:type="dxa"/>
              <w:right w:w="0" w:type="dxa"/>
            </w:tcMar>
            <w:vAlign w:val="center"/>
          </w:tcPr>
          <w:p w14:paraId="77523E8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安全生产管理人员有</w:t>
            </w:r>
            <w:r>
              <w:rPr>
                <w:rFonts w:hint="eastAsia" w:ascii="宋体" w:hAnsi="宋体" w:eastAsia="宋体" w:cs="宋体"/>
                <w:color w:val="000000"/>
                <w:sz w:val="18"/>
                <w:szCs w:val="18"/>
                <w:vertAlign w:val="baseline"/>
                <w:lang w:val="en-US" w:eastAsia="zh-CN"/>
              </w:rPr>
              <w:t>2</w:t>
            </w:r>
            <w:r>
              <w:rPr>
                <w:rFonts w:hint="eastAsia" w:ascii="宋体" w:hAnsi="宋体" w:eastAsia="宋体" w:cs="宋体"/>
                <w:color w:val="000000"/>
                <w:sz w:val="18"/>
                <w:szCs w:val="18"/>
                <w:vertAlign w:val="baseline"/>
              </w:rPr>
              <w:t>人未按照规定考核合格的</w:t>
            </w:r>
          </w:p>
        </w:tc>
        <w:tc>
          <w:tcPr>
            <w:tcW w:w="873" w:type="pct"/>
            <w:noWrap w:val="0"/>
            <w:tcMar>
              <w:top w:w="0" w:type="dxa"/>
              <w:left w:w="0" w:type="dxa"/>
              <w:bottom w:w="0" w:type="dxa"/>
              <w:right w:w="0" w:type="dxa"/>
            </w:tcMar>
            <w:vAlign w:val="center"/>
          </w:tcPr>
          <w:p w14:paraId="4FC27B4C">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处2万元以上5万元以下的罚款；逾期未改正的，处13万元以上16万元以下的罚款，对其直接负责的主管人员和其他直接责任人员处3万元以上4万元以下的罚款</w:t>
            </w:r>
          </w:p>
        </w:tc>
        <w:tc>
          <w:tcPr>
            <w:tcW w:w="158" w:type="pct"/>
            <w:vMerge w:val="continue"/>
            <w:noWrap w:val="0"/>
            <w:tcMar>
              <w:top w:w="0" w:type="dxa"/>
              <w:left w:w="0" w:type="dxa"/>
              <w:bottom w:w="0" w:type="dxa"/>
              <w:right w:w="0" w:type="dxa"/>
            </w:tcMar>
            <w:vAlign w:val="center"/>
          </w:tcPr>
          <w:p w14:paraId="1FDEECAC">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kern w:val="2"/>
                <w:sz w:val="18"/>
                <w:szCs w:val="18"/>
                <w:vertAlign w:val="baseline"/>
                <w:lang w:val="en-US" w:eastAsia="zh-CN" w:bidi="ar-SA"/>
              </w:rPr>
            </w:pPr>
          </w:p>
        </w:tc>
      </w:tr>
      <w:tr w14:paraId="457F38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61D5035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1F56E702">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06636B1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2951F9B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2656BC20">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严重</w:t>
            </w:r>
          </w:p>
        </w:tc>
        <w:tc>
          <w:tcPr>
            <w:tcW w:w="561" w:type="pct"/>
            <w:noWrap w:val="0"/>
            <w:tcMar>
              <w:top w:w="0" w:type="dxa"/>
              <w:left w:w="0" w:type="dxa"/>
              <w:bottom w:w="0" w:type="dxa"/>
              <w:right w:w="0" w:type="dxa"/>
            </w:tcMar>
            <w:vAlign w:val="center"/>
          </w:tcPr>
          <w:p w14:paraId="100EE945">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安全生产管理人员有3人及以上或者主要负责人未按照规定考核合格的</w:t>
            </w:r>
          </w:p>
        </w:tc>
        <w:tc>
          <w:tcPr>
            <w:tcW w:w="873" w:type="pct"/>
            <w:noWrap w:val="0"/>
            <w:tcMar>
              <w:top w:w="0" w:type="dxa"/>
              <w:left w:w="0" w:type="dxa"/>
              <w:bottom w:w="0" w:type="dxa"/>
              <w:right w:w="0" w:type="dxa"/>
            </w:tcMar>
            <w:vAlign w:val="center"/>
          </w:tcPr>
          <w:p w14:paraId="20FB77C5">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处5万元以上10万元以下的罚款；逾期未改正的，处16万元以上20万元以下的罚款，对其直接负责的主管人员和其他直接责任人员处4万元以上5万元以下的罚款</w:t>
            </w:r>
          </w:p>
        </w:tc>
        <w:tc>
          <w:tcPr>
            <w:tcW w:w="158" w:type="pct"/>
            <w:vMerge w:val="continue"/>
            <w:noWrap w:val="0"/>
            <w:tcMar>
              <w:top w:w="0" w:type="dxa"/>
              <w:left w:w="0" w:type="dxa"/>
              <w:bottom w:w="0" w:type="dxa"/>
              <w:right w:w="0" w:type="dxa"/>
            </w:tcMar>
            <w:vAlign w:val="center"/>
          </w:tcPr>
          <w:p w14:paraId="570286A5">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kern w:val="2"/>
                <w:sz w:val="18"/>
                <w:szCs w:val="18"/>
                <w:vertAlign w:val="baseline"/>
                <w:lang w:val="en-US" w:eastAsia="zh-CN" w:bidi="ar-SA"/>
              </w:rPr>
            </w:pPr>
          </w:p>
        </w:tc>
      </w:tr>
      <w:tr w14:paraId="2C60DC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6B8708D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03E40016">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0D39846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restart"/>
            <w:noWrap w:val="0"/>
            <w:tcMar>
              <w:top w:w="0" w:type="dxa"/>
              <w:left w:w="0" w:type="dxa"/>
              <w:bottom w:w="0" w:type="dxa"/>
              <w:right w:w="0" w:type="dxa"/>
            </w:tcMar>
            <w:vAlign w:val="center"/>
          </w:tcPr>
          <w:p w14:paraId="02E5710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生产经营单位未按照规定对从业人员、被派遣劳动者、实习</w:t>
            </w:r>
          </w:p>
          <w:p w14:paraId="733DEF5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学生进行安全生产教育和培训的</w:t>
            </w:r>
          </w:p>
        </w:tc>
        <w:tc>
          <w:tcPr>
            <w:tcW w:w="174" w:type="pct"/>
            <w:noWrap w:val="0"/>
            <w:tcMar>
              <w:top w:w="0" w:type="dxa"/>
              <w:left w:w="0" w:type="dxa"/>
              <w:bottom w:w="0" w:type="dxa"/>
              <w:right w:w="0" w:type="dxa"/>
            </w:tcMar>
            <w:vAlign w:val="center"/>
          </w:tcPr>
          <w:p w14:paraId="4E98E9DB">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轻微</w:t>
            </w:r>
          </w:p>
        </w:tc>
        <w:tc>
          <w:tcPr>
            <w:tcW w:w="561" w:type="pct"/>
            <w:noWrap w:val="0"/>
            <w:tcMar>
              <w:top w:w="0" w:type="dxa"/>
              <w:left w:w="0" w:type="dxa"/>
              <w:bottom w:w="0" w:type="dxa"/>
              <w:right w:w="0" w:type="dxa"/>
            </w:tcMar>
            <w:vAlign w:val="center"/>
          </w:tcPr>
          <w:p w14:paraId="15410EF7">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1.有证据证明对从业人员、被派遣劳动者、实习学生进行了安全生产教育和培训，但形式或内容不完全符合规定，首次被发现；</w:t>
            </w:r>
          </w:p>
          <w:p w14:paraId="2E6E9E98">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pacing w:val="-6"/>
                <w:sz w:val="18"/>
                <w:szCs w:val="18"/>
                <w:vertAlign w:val="baseline"/>
              </w:rPr>
              <w:t>2.当事人配合检查并按规定时间改正的</w:t>
            </w:r>
            <w:r>
              <w:rPr>
                <w:rFonts w:hint="eastAsia" w:ascii="宋体" w:hAnsi="宋体" w:eastAsia="宋体" w:cs="宋体"/>
                <w:color w:val="000000"/>
                <w:sz w:val="18"/>
                <w:szCs w:val="18"/>
                <w:vertAlign w:val="baseline"/>
              </w:rPr>
              <w:t>；</w:t>
            </w:r>
          </w:p>
          <w:p w14:paraId="03A70BF1">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3.没有造成危害后果的；</w:t>
            </w:r>
          </w:p>
          <w:p w14:paraId="4ED78415">
            <w:pPr>
              <w:pStyle w:val="2"/>
              <w:spacing w:line="240" w:lineRule="exact"/>
              <w:rPr>
                <w:rFonts w:hint="eastAsia" w:ascii="宋体" w:hAnsi="宋体" w:eastAsia="宋体" w:cs="宋体"/>
                <w:sz w:val="18"/>
                <w:szCs w:val="18"/>
              </w:rPr>
            </w:pPr>
            <w:r>
              <w:rPr>
                <w:rStyle w:val="21"/>
                <w:rFonts w:hint="eastAsia" w:ascii="宋体" w:hAnsi="宋体" w:eastAsia="宋体" w:cs="宋体"/>
                <w:sz w:val="18"/>
                <w:szCs w:val="18"/>
                <w:lang w:val="en-US" w:eastAsia="zh-CN" w:bidi="ar"/>
              </w:rPr>
              <w:t>（注：符合上述所有情形的，不予处罚，应将本次违法情况进行登记备案，以后再发生类似问题的将不再适用本条件）</w:t>
            </w:r>
          </w:p>
        </w:tc>
        <w:tc>
          <w:tcPr>
            <w:tcW w:w="873" w:type="pct"/>
            <w:noWrap w:val="0"/>
            <w:tcMar>
              <w:top w:w="0" w:type="dxa"/>
              <w:left w:w="0" w:type="dxa"/>
              <w:bottom w:w="0" w:type="dxa"/>
              <w:right w:w="0" w:type="dxa"/>
            </w:tcMar>
            <w:vAlign w:val="center"/>
          </w:tcPr>
          <w:p w14:paraId="11187A30">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kern w:val="2"/>
                <w:sz w:val="18"/>
                <w:szCs w:val="18"/>
                <w:vertAlign w:val="baseline"/>
                <w:lang w:val="en-US" w:eastAsia="zh-CN" w:bidi="ar-SA"/>
              </w:rPr>
            </w:pPr>
          </w:p>
        </w:tc>
        <w:tc>
          <w:tcPr>
            <w:tcW w:w="158" w:type="pct"/>
            <w:vMerge w:val="restart"/>
            <w:noWrap w:val="0"/>
            <w:tcMar>
              <w:top w:w="0" w:type="dxa"/>
              <w:left w:w="0" w:type="dxa"/>
              <w:bottom w:w="0" w:type="dxa"/>
              <w:right w:w="0" w:type="dxa"/>
            </w:tcMar>
            <w:vAlign w:val="center"/>
          </w:tcPr>
          <w:p w14:paraId="1F42AF19">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lang w:val="en-US" w:eastAsia="zh-CN"/>
              </w:rPr>
            </w:pPr>
          </w:p>
        </w:tc>
      </w:tr>
      <w:tr w14:paraId="3148B6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27F0047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76E1B9EB">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7604394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369D58B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098EBB2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较轻</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01F9AA25">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670B136D">
            <w:pPr>
              <w:spacing w:line="260" w:lineRule="exact"/>
              <w:rPr>
                <w:rFonts w:hint="eastAsia" w:ascii="宋体" w:hAnsi="宋体" w:eastAsia="宋体" w:cs="宋体"/>
                <w:color w:val="000000"/>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45B652E6">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3038517C">
            <w:pPr>
              <w:spacing w:line="260" w:lineRule="exact"/>
              <w:rPr>
                <w:rFonts w:hint="eastAsia" w:ascii="宋体" w:hAnsi="宋体" w:eastAsia="宋体" w:cs="宋体"/>
                <w:color w:val="000000"/>
                <w:kern w:val="2"/>
                <w:sz w:val="18"/>
                <w:szCs w:val="18"/>
                <w:vertAlign w:val="baseline"/>
                <w:lang w:val="en-US" w:eastAsia="zh-CN" w:bidi="ar-SA"/>
              </w:rPr>
            </w:pPr>
          </w:p>
        </w:tc>
        <w:tc>
          <w:tcPr>
            <w:tcW w:w="158" w:type="pct"/>
            <w:vMerge w:val="continue"/>
            <w:noWrap w:val="0"/>
            <w:tcMar>
              <w:top w:w="0" w:type="dxa"/>
              <w:left w:w="0" w:type="dxa"/>
              <w:bottom w:w="0" w:type="dxa"/>
              <w:right w:w="0" w:type="dxa"/>
            </w:tcMar>
            <w:vAlign w:val="center"/>
          </w:tcPr>
          <w:p w14:paraId="76308189">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lang w:val="en-US" w:eastAsia="zh-CN"/>
              </w:rPr>
            </w:pPr>
          </w:p>
        </w:tc>
      </w:tr>
      <w:tr w14:paraId="7F3E79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83" w:hRule="atLeast"/>
          <w:jc w:val="center"/>
        </w:trPr>
        <w:tc>
          <w:tcPr>
            <w:tcW w:w="156" w:type="pct"/>
            <w:vMerge w:val="continue"/>
            <w:noWrap w:val="0"/>
            <w:tcMar>
              <w:top w:w="0" w:type="dxa"/>
              <w:left w:w="0" w:type="dxa"/>
              <w:bottom w:w="0" w:type="dxa"/>
              <w:right w:w="0" w:type="dxa"/>
            </w:tcMar>
            <w:vAlign w:val="center"/>
          </w:tcPr>
          <w:p w14:paraId="2FFCA0D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44E3F726">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3EF38A6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031D692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3BC9D151">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一般</w:t>
            </w:r>
          </w:p>
        </w:tc>
        <w:tc>
          <w:tcPr>
            <w:tcW w:w="561" w:type="pct"/>
            <w:noWrap w:val="0"/>
            <w:tcMar>
              <w:top w:w="0" w:type="dxa"/>
              <w:left w:w="0" w:type="dxa"/>
              <w:bottom w:w="0" w:type="dxa"/>
              <w:right w:w="0" w:type="dxa"/>
            </w:tcMar>
            <w:vAlign w:val="center"/>
          </w:tcPr>
          <w:p w14:paraId="0A02EE5C">
            <w:pPr>
              <w:keepNext w:val="0"/>
              <w:keepLines w:val="0"/>
              <w:pageBreakBefore w:val="0"/>
              <w:widowControl w:val="0"/>
              <w:kinsoku/>
              <w:wordWrap/>
              <w:overflowPunct/>
              <w:topLinePunct w:val="0"/>
              <w:autoSpaceDE/>
              <w:autoSpaceDN/>
              <w:bidi w:val="0"/>
              <w:adjustRightInd/>
              <w:snapToGrid/>
              <w:spacing w:line="30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从业人员、被派遣劳动者、实习学生中，未按照规定进行安全生产教育和培训的人员数占应培训人数不足10%的，或者总人数不足 10 人的生产经营单位，未对上述人员进行安全生产教育和培训的</w:t>
            </w:r>
          </w:p>
        </w:tc>
        <w:tc>
          <w:tcPr>
            <w:tcW w:w="873" w:type="pct"/>
            <w:noWrap w:val="0"/>
            <w:tcMar>
              <w:top w:w="0" w:type="dxa"/>
              <w:left w:w="0" w:type="dxa"/>
              <w:bottom w:w="0" w:type="dxa"/>
              <w:right w:w="0" w:type="dxa"/>
            </w:tcMar>
            <w:vAlign w:val="center"/>
          </w:tcPr>
          <w:p w14:paraId="393C5ADD">
            <w:pPr>
              <w:keepNext w:val="0"/>
              <w:keepLines w:val="0"/>
              <w:pageBreakBefore w:val="0"/>
              <w:widowControl w:val="0"/>
              <w:kinsoku/>
              <w:wordWrap/>
              <w:overflowPunct/>
              <w:topLinePunct w:val="0"/>
              <w:autoSpaceDE/>
              <w:autoSpaceDN/>
              <w:bidi w:val="0"/>
              <w:adjustRightInd/>
              <w:snapToGrid/>
              <w:spacing w:line="30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处2万元以下的罚款；逾期未改正的，处10万元以上12万元以下的罚款，对其直接负责的主管人员和其他直接责任人员处2万元以上3万元以下的罚款</w:t>
            </w:r>
          </w:p>
        </w:tc>
        <w:tc>
          <w:tcPr>
            <w:tcW w:w="158" w:type="pct"/>
            <w:vMerge w:val="continue"/>
            <w:noWrap w:val="0"/>
            <w:tcMar>
              <w:top w:w="0" w:type="dxa"/>
              <w:left w:w="0" w:type="dxa"/>
              <w:bottom w:w="0" w:type="dxa"/>
              <w:right w:w="0" w:type="dxa"/>
            </w:tcMar>
            <w:vAlign w:val="center"/>
          </w:tcPr>
          <w:p w14:paraId="3E98EDB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lang w:val="en-US" w:eastAsia="zh-CN"/>
              </w:rPr>
            </w:pPr>
          </w:p>
        </w:tc>
      </w:tr>
      <w:tr w14:paraId="2CDD8B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511" w:hRule="atLeast"/>
          <w:jc w:val="center"/>
        </w:trPr>
        <w:tc>
          <w:tcPr>
            <w:tcW w:w="156" w:type="pct"/>
            <w:vMerge w:val="continue"/>
            <w:noWrap w:val="0"/>
            <w:tcMar>
              <w:top w:w="0" w:type="dxa"/>
              <w:left w:w="0" w:type="dxa"/>
              <w:bottom w:w="0" w:type="dxa"/>
              <w:right w:w="0" w:type="dxa"/>
            </w:tcMar>
            <w:vAlign w:val="center"/>
          </w:tcPr>
          <w:p w14:paraId="0B177DF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7B814E04">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75608BA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7A8ADB0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131E2CCD">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较重</w:t>
            </w:r>
          </w:p>
        </w:tc>
        <w:tc>
          <w:tcPr>
            <w:tcW w:w="561" w:type="pct"/>
            <w:noWrap w:val="0"/>
            <w:tcMar>
              <w:top w:w="0" w:type="dxa"/>
              <w:left w:w="0" w:type="dxa"/>
              <w:bottom w:w="0" w:type="dxa"/>
              <w:right w:w="0" w:type="dxa"/>
            </w:tcMar>
            <w:vAlign w:val="center"/>
          </w:tcPr>
          <w:p w14:paraId="2E16AF7C">
            <w:pPr>
              <w:keepNext w:val="0"/>
              <w:keepLines w:val="0"/>
              <w:pageBreakBefore w:val="0"/>
              <w:widowControl w:val="0"/>
              <w:kinsoku/>
              <w:wordWrap/>
              <w:overflowPunct/>
              <w:topLinePunct w:val="0"/>
              <w:autoSpaceDE/>
              <w:autoSpaceDN/>
              <w:bidi w:val="0"/>
              <w:adjustRightInd/>
              <w:snapToGrid/>
              <w:spacing w:line="30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从业人员、被派遣劳动者、实习学生中，未按照规定进行安全生产教育和培训的人员数占应培训人数的10%以上不足30%的</w:t>
            </w:r>
          </w:p>
        </w:tc>
        <w:tc>
          <w:tcPr>
            <w:tcW w:w="873" w:type="pct"/>
            <w:noWrap w:val="0"/>
            <w:tcMar>
              <w:top w:w="0" w:type="dxa"/>
              <w:left w:w="0" w:type="dxa"/>
              <w:bottom w:w="0" w:type="dxa"/>
              <w:right w:w="0" w:type="dxa"/>
            </w:tcMar>
            <w:vAlign w:val="center"/>
          </w:tcPr>
          <w:p w14:paraId="5BFDF5A5">
            <w:pPr>
              <w:keepNext w:val="0"/>
              <w:keepLines w:val="0"/>
              <w:pageBreakBefore w:val="0"/>
              <w:widowControl w:val="0"/>
              <w:kinsoku/>
              <w:wordWrap/>
              <w:overflowPunct/>
              <w:topLinePunct w:val="0"/>
              <w:autoSpaceDE/>
              <w:autoSpaceDN/>
              <w:bidi w:val="0"/>
              <w:adjustRightInd/>
              <w:snapToGrid/>
              <w:spacing w:line="30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处2万元以上5万元以下的罚款；逾期未改正的，处12万元以上15万元以下的罚款，对其直接负责的主管人员和其他直接责任人员处3万元以上4万元以下的罚款</w:t>
            </w:r>
          </w:p>
        </w:tc>
        <w:tc>
          <w:tcPr>
            <w:tcW w:w="158" w:type="pct"/>
            <w:vMerge w:val="continue"/>
            <w:noWrap w:val="0"/>
            <w:tcMar>
              <w:top w:w="0" w:type="dxa"/>
              <w:left w:w="0" w:type="dxa"/>
              <w:bottom w:w="0" w:type="dxa"/>
              <w:right w:w="0" w:type="dxa"/>
            </w:tcMar>
            <w:vAlign w:val="center"/>
          </w:tcPr>
          <w:p w14:paraId="5A262CA5">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lang w:val="en-US" w:eastAsia="zh-CN"/>
              </w:rPr>
            </w:pPr>
          </w:p>
        </w:tc>
      </w:tr>
      <w:tr w14:paraId="03CEA4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972" w:hRule="atLeast"/>
          <w:jc w:val="center"/>
        </w:trPr>
        <w:tc>
          <w:tcPr>
            <w:tcW w:w="156" w:type="pct"/>
            <w:vMerge w:val="continue"/>
            <w:noWrap w:val="0"/>
            <w:tcMar>
              <w:top w:w="0" w:type="dxa"/>
              <w:left w:w="0" w:type="dxa"/>
              <w:bottom w:w="0" w:type="dxa"/>
              <w:right w:w="0" w:type="dxa"/>
            </w:tcMar>
            <w:vAlign w:val="center"/>
          </w:tcPr>
          <w:p w14:paraId="5D5ED400">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07A983A3">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5CAD34E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72927AB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40A1B175">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严重</w:t>
            </w:r>
          </w:p>
        </w:tc>
        <w:tc>
          <w:tcPr>
            <w:tcW w:w="561" w:type="pct"/>
            <w:noWrap w:val="0"/>
            <w:tcMar>
              <w:top w:w="0" w:type="dxa"/>
              <w:left w:w="0" w:type="dxa"/>
              <w:bottom w:w="0" w:type="dxa"/>
              <w:right w:w="0" w:type="dxa"/>
            </w:tcMar>
            <w:vAlign w:val="center"/>
          </w:tcPr>
          <w:p w14:paraId="142E62C7">
            <w:pPr>
              <w:keepNext w:val="0"/>
              <w:keepLines w:val="0"/>
              <w:pageBreakBefore w:val="0"/>
              <w:widowControl w:val="0"/>
              <w:kinsoku/>
              <w:wordWrap/>
              <w:overflowPunct/>
              <w:topLinePunct w:val="0"/>
              <w:autoSpaceDE/>
              <w:autoSpaceDN/>
              <w:bidi w:val="0"/>
              <w:adjustRightInd/>
              <w:snapToGrid/>
              <w:spacing w:line="30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从业人员、被派遣劳动者、实习学生中，未按照规定进行安全生产教育和培训的人员数占应培训人数的30%以上的</w:t>
            </w:r>
          </w:p>
        </w:tc>
        <w:tc>
          <w:tcPr>
            <w:tcW w:w="873" w:type="pct"/>
            <w:noWrap w:val="0"/>
            <w:tcMar>
              <w:top w:w="0" w:type="dxa"/>
              <w:left w:w="0" w:type="dxa"/>
              <w:bottom w:w="0" w:type="dxa"/>
              <w:right w:w="0" w:type="dxa"/>
            </w:tcMar>
            <w:vAlign w:val="center"/>
          </w:tcPr>
          <w:p w14:paraId="4001A18E">
            <w:pPr>
              <w:keepNext w:val="0"/>
              <w:keepLines w:val="0"/>
              <w:pageBreakBefore w:val="0"/>
              <w:widowControl w:val="0"/>
              <w:kinsoku/>
              <w:wordWrap/>
              <w:overflowPunct/>
              <w:topLinePunct w:val="0"/>
              <w:autoSpaceDE/>
              <w:autoSpaceDN/>
              <w:bidi w:val="0"/>
              <w:adjustRightInd/>
              <w:snapToGrid/>
              <w:spacing w:line="30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处5万元以上10万元以下的罚款；逾期未改正的，处15万元以上20万元以下的罚款，对其直接负责的主管人员和其他直接责任人员处4万元以上5万元以下的罚款</w:t>
            </w:r>
          </w:p>
        </w:tc>
        <w:tc>
          <w:tcPr>
            <w:tcW w:w="158" w:type="pct"/>
            <w:vMerge w:val="continue"/>
            <w:noWrap w:val="0"/>
            <w:tcMar>
              <w:top w:w="0" w:type="dxa"/>
              <w:left w:w="0" w:type="dxa"/>
              <w:bottom w:w="0" w:type="dxa"/>
              <w:right w:w="0" w:type="dxa"/>
            </w:tcMar>
            <w:vAlign w:val="center"/>
          </w:tcPr>
          <w:p w14:paraId="408AF32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lang w:val="en-US" w:eastAsia="zh-CN"/>
              </w:rPr>
            </w:pPr>
          </w:p>
        </w:tc>
      </w:tr>
      <w:tr w14:paraId="26F73A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038B4F9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2B06FD9E">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32105AF4">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restart"/>
            <w:noWrap w:val="0"/>
            <w:tcMar>
              <w:top w:w="0" w:type="dxa"/>
              <w:left w:w="0" w:type="dxa"/>
              <w:bottom w:w="0" w:type="dxa"/>
              <w:right w:w="0" w:type="dxa"/>
            </w:tcMar>
            <w:vAlign w:val="center"/>
          </w:tcPr>
          <w:p w14:paraId="53FB45B4">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生产经营单位未按照规定如实告知有关的安全生产事项的</w:t>
            </w:r>
          </w:p>
        </w:tc>
        <w:tc>
          <w:tcPr>
            <w:tcW w:w="174" w:type="pct"/>
            <w:noWrap w:val="0"/>
            <w:tcMar>
              <w:top w:w="0" w:type="dxa"/>
              <w:left w:w="0" w:type="dxa"/>
              <w:bottom w:w="0" w:type="dxa"/>
              <w:right w:w="0" w:type="dxa"/>
            </w:tcMar>
            <w:vAlign w:val="center"/>
          </w:tcPr>
          <w:p w14:paraId="560D597A">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轻微</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229D6E25">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5899E74C">
            <w:pPr>
              <w:spacing w:line="260" w:lineRule="exact"/>
              <w:rPr>
                <w:rFonts w:hint="eastAsia" w:ascii="宋体" w:hAnsi="宋体" w:eastAsia="宋体" w:cs="宋体"/>
                <w:color w:val="000000"/>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0497D0DB">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0568FD42">
            <w:pPr>
              <w:spacing w:line="260" w:lineRule="exact"/>
              <w:rPr>
                <w:rFonts w:hint="eastAsia" w:ascii="宋体" w:hAnsi="宋体" w:eastAsia="宋体" w:cs="宋体"/>
                <w:color w:val="000000"/>
                <w:kern w:val="2"/>
                <w:sz w:val="18"/>
                <w:szCs w:val="18"/>
                <w:vertAlign w:val="baseline"/>
                <w:lang w:val="en-US" w:eastAsia="zh-CN" w:bidi="ar-SA"/>
              </w:rPr>
            </w:pPr>
          </w:p>
        </w:tc>
        <w:tc>
          <w:tcPr>
            <w:tcW w:w="158" w:type="pct"/>
            <w:vMerge w:val="restart"/>
            <w:noWrap w:val="0"/>
            <w:tcMar>
              <w:top w:w="0" w:type="dxa"/>
              <w:left w:w="0" w:type="dxa"/>
              <w:bottom w:w="0" w:type="dxa"/>
              <w:right w:w="0" w:type="dxa"/>
            </w:tcMar>
            <w:vAlign w:val="center"/>
          </w:tcPr>
          <w:p w14:paraId="15126D18">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lang w:val="en-US" w:eastAsia="zh-CN"/>
              </w:rPr>
            </w:pPr>
          </w:p>
        </w:tc>
      </w:tr>
      <w:tr w14:paraId="58548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562929E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27F1C572">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0BCF992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0F1AAD5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6D90CB1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较轻</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6C0699CD">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710C8319">
            <w:pPr>
              <w:spacing w:line="260" w:lineRule="exact"/>
              <w:rPr>
                <w:rFonts w:hint="eastAsia" w:ascii="宋体" w:hAnsi="宋体" w:eastAsia="宋体" w:cs="宋体"/>
                <w:color w:val="000000"/>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275221D4">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19364CD3">
            <w:pPr>
              <w:spacing w:line="260" w:lineRule="exact"/>
              <w:rPr>
                <w:rFonts w:hint="eastAsia" w:ascii="宋体" w:hAnsi="宋体" w:eastAsia="宋体" w:cs="宋体"/>
                <w:color w:val="000000"/>
                <w:kern w:val="2"/>
                <w:sz w:val="18"/>
                <w:szCs w:val="18"/>
                <w:vertAlign w:val="baseline"/>
                <w:lang w:val="en-US" w:eastAsia="zh-CN" w:bidi="ar-SA"/>
              </w:rPr>
            </w:pPr>
          </w:p>
        </w:tc>
        <w:tc>
          <w:tcPr>
            <w:tcW w:w="158" w:type="pct"/>
            <w:vMerge w:val="continue"/>
            <w:noWrap w:val="0"/>
            <w:tcMar>
              <w:top w:w="0" w:type="dxa"/>
              <w:left w:w="0" w:type="dxa"/>
              <w:bottom w:w="0" w:type="dxa"/>
              <w:right w:w="0" w:type="dxa"/>
            </w:tcMar>
            <w:vAlign w:val="center"/>
          </w:tcPr>
          <w:p w14:paraId="1CE51AB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lang w:val="en-US" w:eastAsia="zh-CN"/>
              </w:rPr>
            </w:pPr>
          </w:p>
        </w:tc>
      </w:tr>
      <w:tr w14:paraId="117FF5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547" w:hRule="atLeast"/>
          <w:jc w:val="center"/>
        </w:trPr>
        <w:tc>
          <w:tcPr>
            <w:tcW w:w="156" w:type="pct"/>
            <w:vMerge w:val="continue"/>
            <w:noWrap w:val="0"/>
            <w:tcMar>
              <w:top w:w="0" w:type="dxa"/>
              <w:left w:w="0" w:type="dxa"/>
              <w:bottom w:w="0" w:type="dxa"/>
              <w:right w:w="0" w:type="dxa"/>
            </w:tcMar>
            <w:vAlign w:val="center"/>
          </w:tcPr>
          <w:p w14:paraId="427AA7E8">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0980887D">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263D2B4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0124F774">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6747BA6A">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一般</w:t>
            </w:r>
          </w:p>
        </w:tc>
        <w:tc>
          <w:tcPr>
            <w:tcW w:w="561" w:type="pct"/>
            <w:noWrap w:val="0"/>
            <w:tcMar>
              <w:top w:w="0" w:type="dxa"/>
              <w:left w:w="0" w:type="dxa"/>
              <w:bottom w:w="0" w:type="dxa"/>
              <w:right w:w="0" w:type="dxa"/>
            </w:tcMar>
            <w:vAlign w:val="center"/>
          </w:tcPr>
          <w:p w14:paraId="681F727B">
            <w:pPr>
              <w:keepNext w:val="0"/>
              <w:keepLines w:val="0"/>
              <w:pageBreakBefore w:val="0"/>
              <w:widowControl w:val="0"/>
              <w:kinsoku/>
              <w:wordWrap/>
              <w:overflowPunct/>
              <w:topLinePunct w:val="0"/>
              <w:autoSpaceDE/>
              <w:autoSpaceDN/>
              <w:bidi w:val="0"/>
              <w:adjustRightInd/>
              <w:snapToGrid/>
              <w:spacing w:line="30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生产经营单位向从业人员告知作业场所和工作岗位存在的危险因素、防范措施以及事故应急措施内容不全面、有遗漏的</w:t>
            </w:r>
          </w:p>
        </w:tc>
        <w:tc>
          <w:tcPr>
            <w:tcW w:w="873" w:type="pct"/>
            <w:noWrap w:val="0"/>
            <w:tcMar>
              <w:top w:w="0" w:type="dxa"/>
              <w:left w:w="0" w:type="dxa"/>
              <w:bottom w:w="0" w:type="dxa"/>
              <w:right w:w="0" w:type="dxa"/>
            </w:tcMar>
            <w:vAlign w:val="center"/>
          </w:tcPr>
          <w:p w14:paraId="4F5B3030">
            <w:pPr>
              <w:keepNext w:val="0"/>
              <w:keepLines w:val="0"/>
              <w:pageBreakBefore w:val="0"/>
              <w:widowControl w:val="0"/>
              <w:kinsoku/>
              <w:wordWrap/>
              <w:overflowPunct/>
              <w:topLinePunct w:val="0"/>
              <w:autoSpaceDE/>
              <w:autoSpaceDN/>
              <w:bidi w:val="0"/>
              <w:adjustRightInd/>
              <w:snapToGrid/>
              <w:spacing w:line="30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处3万元以下的罚款；逾期未改正的，处10万元以上13万元以下的罚款，对其直接负责的主管人员和其他直接责任人员处2万元以上3万元以下的罚款</w:t>
            </w:r>
          </w:p>
        </w:tc>
        <w:tc>
          <w:tcPr>
            <w:tcW w:w="158" w:type="pct"/>
            <w:vMerge w:val="continue"/>
            <w:noWrap w:val="0"/>
            <w:tcMar>
              <w:top w:w="0" w:type="dxa"/>
              <w:left w:w="0" w:type="dxa"/>
              <w:bottom w:w="0" w:type="dxa"/>
              <w:right w:w="0" w:type="dxa"/>
            </w:tcMar>
            <w:vAlign w:val="center"/>
          </w:tcPr>
          <w:p w14:paraId="172D6609">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000000"/>
                <w:sz w:val="18"/>
                <w:szCs w:val="18"/>
                <w:vertAlign w:val="baseline"/>
                <w:lang w:val="en-US" w:eastAsia="zh-CN"/>
              </w:rPr>
            </w:pPr>
          </w:p>
        </w:tc>
      </w:tr>
      <w:tr w14:paraId="53E8BE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500" w:hRule="atLeast"/>
          <w:jc w:val="center"/>
        </w:trPr>
        <w:tc>
          <w:tcPr>
            <w:tcW w:w="156" w:type="pct"/>
            <w:vMerge w:val="continue"/>
            <w:noWrap w:val="0"/>
            <w:tcMar>
              <w:top w:w="0" w:type="dxa"/>
              <w:left w:w="0" w:type="dxa"/>
              <w:bottom w:w="0" w:type="dxa"/>
              <w:right w:w="0" w:type="dxa"/>
            </w:tcMar>
            <w:vAlign w:val="center"/>
          </w:tcPr>
          <w:p w14:paraId="72C11455">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4FBA3CC1">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4C33B4C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1D9FEAF7">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3531B660">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较重</w:t>
            </w:r>
          </w:p>
        </w:tc>
        <w:tc>
          <w:tcPr>
            <w:tcW w:w="561" w:type="pct"/>
            <w:noWrap w:val="0"/>
            <w:tcMar>
              <w:top w:w="0" w:type="dxa"/>
              <w:left w:w="0" w:type="dxa"/>
              <w:bottom w:w="0" w:type="dxa"/>
              <w:right w:w="0" w:type="dxa"/>
            </w:tcMar>
            <w:vAlign w:val="center"/>
          </w:tcPr>
          <w:p w14:paraId="33D70805">
            <w:pPr>
              <w:keepNext w:val="0"/>
              <w:keepLines w:val="0"/>
              <w:pageBreakBefore w:val="0"/>
              <w:widowControl w:val="0"/>
              <w:kinsoku/>
              <w:wordWrap/>
              <w:overflowPunct/>
              <w:topLinePunct w:val="0"/>
              <w:autoSpaceDE/>
              <w:autoSpaceDN/>
              <w:bidi w:val="0"/>
              <w:adjustRightInd/>
              <w:snapToGrid/>
              <w:spacing w:line="30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生产经营单位向从业人员告知作业场所和工作岗位存在的危险因素、防范措施以及事故应急措施内容不准确，与现实不符的</w:t>
            </w:r>
          </w:p>
        </w:tc>
        <w:tc>
          <w:tcPr>
            <w:tcW w:w="873" w:type="pct"/>
            <w:noWrap w:val="0"/>
            <w:tcMar>
              <w:top w:w="0" w:type="dxa"/>
              <w:left w:w="0" w:type="dxa"/>
              <w:bottom w:w="0" w:type="dxa"/>
              <w:right w:w="0" w:type="dxa"/>
            </w:tcMar>
            <w:vAlign w:val="center"/>
          </w:tcPr>
          <w:p w14:paraId="1B6139CE">
            <w:pPr>
              <w:keepNext w:val="0"/>
              <w:keepLines w:val="0"/>
              <w:pageBreakBefore w:val="0"/>
              <w:widowControl w:val="0"/>
              <w:kinsoku/>
              <w:wordWrap/>
              <w:overflowPunct/>
              <w:topLinePunct w:val="0"/>
              <w:autoSpaceDE/>
              <w:autoSpaceDN/>
              <w:bidi w:val="0"/>
              <w:adjustRightInd/>
              <w:snapToGrid/>
              <w:spacing w:line="30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处3万元以上5万元以下的罚款；逾期未改正的，处13万元以上16万元以下的罚款，对其直接负责的主管人员和其他直接责任人员处3万元以上4万元以下的罚款</w:t>
            </w:r>
          </w:p>
        </w:tc>
        <w:tc>
          <w:tcPr>
            <w:tcW w:w="158" w:type="pct"/>
            <w:vMerge w:val="continue"/>
            <w:noWrap w:val="0"/>
            <w:tcMar>
              <w:top w:w="0" w:type="dxa"/>
              <w:left w:w="0" w:type="dxa"/>
              <w:bottom w:w="0" w:type="dxa"/>
              <w:right w:w="0" w:type="dxa"/>
            </w:tcMar>
            <w:vAlign w:val="center"/>
          </w:tcPr>
          <w:p w14:paraId="29E00352">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000000"/>
                <w:sz w:val="18"/>
                <w:szCs w:val="18"/>
                <w:vertAlign w:val="baseline"/>
                <w:lang w:val="en-US" w:eastAsia="zh-CN"/>
              </w:rPr>
            </w:pPr>
          </w:p>
        </w:tc>
      </w:tr>
      <w:tr w14:paraId="6729B6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143" w:hRule="atLeast"/>
          <w:jc w:val="center"/>
        </w:trPr>
        <w:tc>
          <w:tcPr>
            <w:tcW w:w="156" w:type="pct"/>
            <w:vMerge w:val="continue"/>
            <w:noWrap w:val="0"/>
            <w:tcMar>
              <w:top w:w="0" w:type="dxa"/>
              <w:left w:w="0" w:type="dxa"/>
              <w:bottom w:w="0" w:type="dxa"/>
              <w:right w:w="0" w:type="dxa"/>
            </w:tcMar>
            <w:vAlign w:val="center"/>
          </w:tcPr>
          <w:p w14:paraId="3B24B8D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6B82EBE9">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1826CD0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18BEDCB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3844BB03">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严重</w:t>
            </w:r>
          </w:p>
        </w:tc>
        <w:tc>
          <w:tcPr>
            <w:tcW w:w="561" w:type="pct"/>
            <w:noWrap w:val="0"/>
            <w:tcMar>
              <w:top w:w="0" w:type="dxa"/>
              <w:left w:w="0" w:type="dxa"/>
              <w:bottom w:w="0" w:type="dxa"/>
              <w:right w:w="0" w:type="dxa"/>
            </w:tcMar>
            <w:vAlign w:val="center"/>
          </w:tcPr>
          <w:p w14:paraId="4E577079">
            <w:pPr>
              <w:keepNext w:val="0"/>
              <w:keepLines w:val="0"/>
              <w:pageBreakBefore w:val="0"/>
              <w:widowControl w:val="0"/>
              <w:kinsoku/>
              <w:wordWrap/>
              <w:overflowPunct/>
              <w:topLinePunct w:val="0"/>
              <w:autoSpaceDE/>
              <w:autoSpaceDN/>
              <w:bidi w:val="0"/>
              <w:adjustRightInd/>
              <w:snapToGrid/>
              <w:spacing w:line="30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生产经营单位隐瞒情况，未向从业人员告知作业场所和工作岗位存在的危险因素、防范措施以及事故应急措施的</w:t>
            </w:r>
          </w:p>
        </w:tc>
        <w:tc>
          <w:tcPr>
            <w:tcW w:w="873" w:type="pct"/>
            <w:noWrap w:val="0"/>
            <w:tcMar>
              <w:top w:w="0" w:type="dxa"/>
              <w:left w:w="0" w:type="dxa"/>
              <w:bottom w:w="0" w:type="dxa"/>
              <w:right w:w="0" w:type="dxa"/>
            </w:tcMar>
            <w:vAlign w:val="center"/>
          </w:tcPr>
          <w:p w14:paraId="467EEB60">
            <w:pPr>
              <w:keepNext w:val="0"/>
              <w:keepLines w:val="0"/>
              <w:pageBreakBefore w:val="0"/>
              <w:widowControl w:val="0"/>
              <w:kinsoku/>
              <w:wordWrap/>
              <w:overflowPunct/>
              <w:topLinePunct w:val="0"/>
              <w:autoSpaceDE/>
              <w:autoSpaceDN/>
              <w:bidi w:val="0"/>
              <w:adjustRightInd/>
              <w:snapToGrid/>
              <w:spacing w:line="30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处5万元以上10万元以下的罚款；逾期未改正的，处16万元以上20万元以下的罚款，对其直接负责的主管人员和其他直接责任人员处4万元以上5万元以下的罚款</w:t>
            </w:r>
          </w:p>
        </w:tc>
        <w:tc>
          <w:tcPr>
            <w:tcW w:w="158" w:type="pct"/>
            <w:vMerge w:val="continue"/>
            <w:noWrap w:val="0"/>
            <w:tcMar>
              <w:top w:w="0" w:type="dxa"/>
              <w:left w:w="0" w:type="dxa"/>
              <w:bottom w:w="0" w:type="dxa"/>
              <w:right w:w="0" w:type="dxa"/>
            </w:tcMar>
            <w:vAlign w:val="center"/>
          </w:tcPr>
          <w:p w14:paraId="6384AA23">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000000"/>
                <w:sz w:val="18"/>
                <w:szCs w:val="18"/>
                <w:vertAlign w:val="baseline"/>
                <w:lang w:val="en-US" w:eastAsia="zh-CN"/>
              </w:rPr>
            </w:pPr>
          </w:p>
        </w:tc>
      </w:tr>
      <w:tr w14:paraId="3DF422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364E2AE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67EE410E">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13DC77C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restart"/>
            <w:noWrap w:val="0"/>
            <w:tcMar>
              <w:top w:w="0" w:type="dxa"/>
              <w:left w:w="0" w:type="dxa"/>
              <w:bottom w:w="0" w:type="dxa"/>
              <w:right w:w="0" w:type="dxa"/>
            </w:tcMar>
            <w:vAlign w:val="center"/>
          </w:tcPr>
          <w:p w14:paraId="0335EA2C">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生产经营单位未如实记录安全生产教育和培训情况的</w:t>
            </w:r>
          </w:p>
        </w:tc>
        <w:tc>
          <w:tcPr>
            <w:tcW w:w="174" w:type="pct"/>
            <w:noWrap w:val="0"/>
            <w:tcMar>
              <w:top w:w="0" w:type="dxa"/>
              <w:left w:w="0" w:type="dxa"/>
              <w:bottom w:w="0" w:type="dxa"/>
              <w:right w:w="0" w:type="dxa"/>
            </w:tcMar>
            <w:vAlign w:val="center"/>
          </w:tcPr>
          <w:p w14:paraId="282799C1">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轻微</w:t>
            </w:r>
          </w:p>
        </w:tc>
        <w:tc>
          <w:tcPr>
            <w:tcW w:w="561" w:type="pct"/>
            <w:noWrap w:val="0"/>
            <w:tcMar>
              <w:top w:w="0" w:type="dxa"/>
              <w:left w:w="0" w:type="dxa"/>
              <w:bottom w:w="0" w:type="dxa"/>
              <w:right w:w="0" w:type="dxa"/>
            </w:tcMar>
            <w:vAlign w:val="center"/>
          </w:tcPr>
          <w:p w14:paraId="15BDE962">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1.有证据证明已按规定进行了安全生产教育和培训，但未如实记录（故意对记录造假的除外），首次被发现；</w:t>
            </w:r>
          </w:p>
          <w:p w14:paraId="58359807">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2.当事人配合检查并按规定时间改正的；</w:t>
            </w:r>
          </w:p>
          <w:p w14:paraId="0D79AEB8">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3.没有造成危害后果的；</w:t>
            </w:r>
          </w:p>
          <w:p w14:paraId="73AF3EA0">
            <w:pPr>
              <w:pStyle w:val="2"/>
              <w:spacing w:line="240" w:lineRule="exact"/>
              <w:rPr>
                <w:rFonts w:hint="eastAsia" w:ascii="宋体" w:hAnsi="宋体" w:eastAsia="宋体" w:cs="宋体"/>
                <w:sz w:val="18"/>
                <w:szCs w:val="18"/>
              </w:rPr>
            </w:pPr>
            <w:r>
              <w:rPr>
                <w:rStyle w:val="21"/>
                <w:rFonts w:hint="eastAsia" w:ascii="宋体" w:hAnsi="宋体" w:eastAsia="宋体" w:cs="宋体"/>
                <w:sz w:val="18"/>
                <w:szCs w:val="18"/>
                <w:lang w:val="en-US" w:eastAsia="zh-CN" w:bidi="ar"/>
              </w:rPr>
              <w:t>（注：符合上述所有情形的，不予处罚，应将本次违法情况进行登记备案，以后再发生类似问题的将不再适用本条件）</w:t>
            </w:r>
          </w:p>
        </w:tc>
        <w:tc>
          <w:tcPr>
            <w:tcW w:w="873" w:type="pct"/>
            <w:noWrap w:val="0"/>
            <w:tcMar>
              <w:top w:w="0" w:type="dxa"/>
              <w:left w:w="0" w:type="dxa"/>
              <w:bottom w:w="0" w:type="dxa"/>
              <w:right w:w="0" w:type="dxa"/>
            </w:tcMar>
            <w:vAlign w:val="center"/>
          </w:tcPr>
          <w:p w14:paraId="175A04CF">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kern w:val="2"/>
                <w:sz w:val="18"/>
                <w:szCs w:val="18"/>
                <w:vertAlign w:val="baseline"/>
                <w:lang w:val="en-US" w:eastAsia="zh-CN" w:bidi="ar-SA"/>
              </w:rPr>
            </w:pPr>
          </w:p>
        </w:tc>
        <w:tc>
          <w:tcPr>
            <w:tcW w:w="158" w:type="pct"/>
            <w:vMerge w:val="restart"/>
            <w:noWrap w:val="0"/>
            <w:tcMar>
              <w:top w:w="0" w:type="dxa"/>
              <w:left w:w="0" w:type="dxa"/>
              <w:bottom w:w="0" w:type="dxa"/>
              <w:right w:w="0" w:type="dxa"/>
            </w:tcMar>
            <w:vAlign w:val="center"/>
          </w:tcPr>
          <w:p w14:paraId="3815B9CC">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000000"/>
                <w:sz w:val="18"/>
                <w:szCs w:val="18"/>
                <w:vertAlign w:val="baseline"/>
                <w:lang w:val="en-US" w:eastAsia="zh-CN"/>
              </w:rPr>
            </w:pPr>
          </w:p>
        </w:tc>
      </w:tr>
      <w:tr w14:paraId="3D5125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156" w:type="pct"/>
            <w:vMerge w:val="continue"/>
            <w:noWrap w:val="0"/>
            <w:tcMar>
              <w:top w:w="0" w:type="dxa"/>
              <w:left w:w="0" w:type="dxa"/>
              <w:bottom w:w="0" w:type="dxa"/>
              <w:right w:w="0" w:type="dxa"/>
            </w:tcMar>
            <w:vAlign w:val="center"/>
          </w:tcPr>
          <w:p w14:paraId="1DF0B79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0D540861">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11BEEDE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7C0D297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64E501AE">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较轻</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727D1E0E">
            <w:pPr>
              <w:snapToGrid/>
              <w:spacing w:line="24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0238CDEA">
            <w:pPr>
              <w:spacing w:line="240" w:lineRule="exact"/>
              <w:rPr>
                <w:rFonts w:hint="eastAsia" w:ascii="宋体" w:hAnsi="宋体" w:eastAsia="宋体" w:cs="宋体"/>
                <w:color w:val="000000"/>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6D537677">
            <w:pPr>
              <w:snapToGrid/>
              <w:spacing w:line="24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520B3709">
            <w:pPr>
              <w:spacing w:line="240" w:lineRule="exact"/>
              <w:rPr>
                <w:rFonts w:hint="eastAsia" w:ascii="宋体" w:hAnsi="宋体" w:eastAsia="宋体" w:cs="宋体"/>
                <w:color w:val="000000"/>
                <w:kern w:val="2"/>
                <w:sz w:val="18"/>
                <w:szCs w:val="18"/>
                <w:vertAlign w:val="baseline"/>
                <w:lang w:val="en-US" w:eastAsia="zh-CN" w:bidi="ar-SA"/>
              </w:rPr>
            </w:pPr>
          </w:p>
        </w:tc>
        <w:tc>
          <w:tcPr>
            <w:tcW w:w="158" w:type="pct"/>
            <w:vMerge w:val="continue"/>
            <w:noWrap w:val="0"/>
            <w:tcMar>
              <w:top w:w="0" w:type="dxa"/>
              <w:left w:w="0" w:type="dxa"/>
              <w:bottom w:w="0" w:type="dxa"/>
              <w:right w:w="0" w:type="dxa"/>
            </w:tcMar>
            <w:vAlign w:val="center"/>
          </w:tcPr>
          <w:p w14:paraId="6F341E4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lang w:val="en-US" w:eastAsia="zh-CN"/>
              </w:rPr>
            </w:pPr>
          </w:p>
        </w:tc>
      </w:tr>
      <w:tr w14:paraId="290303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320" w:hRule="atLeast"/>
          <w:jc w:val="center"/>
        </w:trPr>
        <w:tc>
          <w:tcPr>
            <w:tcW w:w="156" w:type="pct"/>
            <w:vMerge w:val="continue"/>
            <w:noWrap w:val="0"/>
            <w:tcMar>
              <w:top w:w="0" w:type="dxa"/>
              <w:left w:w="0" w:type="dxa"/>
              <w:bottom w:w="0" w:type="dxa"/>
              <w:right w:w="0" w:type="dxa"/>
            </w:tcMar>
            <w:vAlign w:val="center"/>
          </w:tcPr>
          <w:p w14:paraId="50CED3CD">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32FFB5D4">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403B77BC">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73DB600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1D9B199E">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一般</w:t>
            </w:r>
          </w:p>
        </w:tc>
        <w:tc>
          <w:tcPr>
            <w:tcW w:w="561" w:type="pct"/>
            <w:noWrap w:val="0"/>
            <w:tcMar>
              <w:top w:w="0" w:type="dxa"/>
              <w:left w:w="0" w:type="dxa"/>
              <w:bottom w:w="0" w:type="dxa"/>
              <w:right w:w="0" w:type="dxa"/>
            </w:tcMar>
            <w:vAlign w:val="center"/>
          </w:tcPr>
          <w:p w14:paraId="665AF4A4">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安全生产教育和培训情况记录内容不全面的</w:t>
            </w:r>
          </w:p>
        </w:tc>
        <w:tc>
          <w:tcPr>
            <w:tcW w:w="873" w:type="pct"/>
            <w:noWrap w:val="0"/>
            <w:tcMar>
              <w:top w:w="0" w:type="dxa"/>
              <w:left w:w="0" w:type="dxa"/>
              <w:bottom w:w="0" w:type="dxa"/>
              <w:right w:w="0" w:type="dxa"/>
            </w:tcMar>
            <w:vAlign w:val="center"/>
          </w:tcPr>
          <w:p w14:paraId="5FA8F16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spacing w:val="-6"/>
                <w:kern w:val="2"/>
                <w:sz w:val="18"/>
                <w:szCs w:val="18"/>
                <w:vertAlign w:val="baseline"/>
                <w:lang w:val="en-US" w:eastAsia="zh-CN" w:bidi="ar-SA"/>
              </w:rPr>
              <w:t>责令限期改正，处3万元以下的罚款；逾期未改正的，处10万元以上12万元以下的罚款，对其直接负责的主管人员和其他直接责任人员处2万元以上3万元以下的罚款</w:t>
            </w:r>
          </w:p>
        </w:tc>
        <w:tc>
          <w:tcPr>
            <w:tcW w:w="158" w:type="pct"/>
            <w:vMerge w:val="continue"/>
            <w:noWrap w:val="0"/>
            <w:tcMar>
              <w:top w:w="0" w:type="dxa"/>
              <w:left w:w="0" w:type="dxa"/>
              <w:bottom w:w="0" w:type="dxa"/>
              <w:right w:w="0" w:type="dxa"/>
            </w:tcMar>
            <w:vAlign w:val="center"/>
          </w:tcPr>
          <w:p w14:paraId="553EF4D5">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lang w:val="en-US" w:eastAsia="zh-CN"/>
              </w:rPr>
            </w:pPr>
          </w:p>
        </w:tc>
      </w:tr>
      <w:tr w14:paraId="742489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6389639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46828DBB">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1DE4E36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58BB760C">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06C99E73">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较重</w:t>
            </w:r>
          </w:p>
        </w:tc>
        <w:tc>
          <w:tcPr>
            <w:tcW w:w="561" w:type="pct"/>
            <w:noWrap w:val="0"/>
            <w:tcMar>
              <w:top w:w="0" w:type="dxa"/>
              <w:left w:w="0" w:type="dxa"/>
              <w:bottom w:w="0" w:type="dxa"/>
              <w:right w:w="0" w:type="dxa"/>
            </w:tcMar>
            <w:vAlign w:val="center"/>
          </w:tcPr>
          <w:p w14:paraId="50EC376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安全生产教育和培训情况未记录的</w:t>
            </w:r>
          </w:p>
        </w:tc>
        <w:tc>
          <w:tcPr>
            <w:tcW w:w="873" w:type="pct"/>
            <w:noWrap w:val="0"/>
            <w:tcMar>
              <w:top w:w="0" w:type="dxa"/>
              <w:left w:w="0" w:type="dxa"/>
              <w:bottom w:w="0" w:type="dxa"/>
              <w:right w:w="0" w:type="dxa"/>
            </w:tcMar>
            <w:vAlign w:val="center"/>
          </w:tcPr>
          <w:p w14:paraId="4B33923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令限期改正，处3万元以上6万元以下的罚款；逾期未改正的，处12万元以上16万元以下的罚款，对其直接负责的主管人员和其他直接责任人员处3万元以上4万元以下的罚款</w:t>
            </w:r>
          </w:p>
        </w:tc>
        <w:tc>
          <w:tcPr>
            <w:tcW w:w="158" w:type="pct"/>
            <w:vMerge w:val="continue"/>
            <w:noWrap w:val="0"/>
            <w:tcMar>
              <w:top w:w="0" w:type="dxa"/>
              <w:left w:w="0" w:type="dxa"/>
              <w:bottom w:w="0" w:type="dxa"/>
              <w:right w:w="0" w:type="dxa"/>
            </w:tcMar>
            <w:vAlign w:val="center"/>
          </w:tcPr>
          <w:p w14:paraId="4EAE339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lang w:val="en-US" w:eastAsia="zh-CN"/>
              </w:rPr>
            </w:pPr>
          </w:p>
        </w:tc>
      </w:tr>
      <w:tr w14:paraId="3AED05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7D8E7721">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401E62C2">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70E25D1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15CF641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1A687F83">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严重</w:t>
            </w:r>
          </w:p>
        </w:tc>
        <w:tc>
          <w:tcPr>
            <w:tcW w:w="561" w:type="pct"/>
            <w:noWrap w:val="0"/>
            <w:tcMar>
              <w:top w:w="0" w:type="dxa"/>
              <w:left w:w="0" w:type="dxa"/>
              <w:bottom w:w="0" w:type="dxa"/>
              <w:right w:w="0" w:type="dxa"/>
            </w:tcMar>
            <w:vAlign w:val="center"/>
          </w:tcPr>
          <w:p w14:paraId="260D04A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安全生产教育和培训情况记录虚假的</w:t>
            </w:r>
          </w:p>
        </w:tc>
        <w:tc>
          <w:tcPr>
            <w:tcW w:w="873" w:type="pct"/>
            <w:noWrap w:val="0"/>
            <w:tcMar>
              <w:top w:w="0" w:type="dxa"/>
              <w:left w:w="0" w:type="dxa"/>
              <w:bottom w:w="0" w:type="dxa"/>
              <w:right w:w="0" w:type="dxa"/>
            </w:tcMar>
            <w:vAlign w:val="center"/>
          </w:tcPr>
          <w:p w14:paraId="3855F5F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责令限期改正，处6万元以上10万元以下的罚款；逾期未改正的，处16万元以上20万元以下的罚款，对其直接负责的主管人员和其他直接责任人员处4万元以上5万元以下的罚款</w:t>
            </w:r>
          </w:p>
        </w:tc>
        <w:tc>
          <w:tcPr>
            <w:tcW w:w="158" w:type="pct"/>
            <w:vMerge w:val="continue"/>
            <w:noWrap w:val="0"/>
            <w:tcMar>
              <w:top w:w="0" w:type="dxa"/>
              <w:left w:w="0" w:type="dxa"/>
              <w:bottom w:w="0" w:type="dxa"/>
              <w:right w:w="0" w:type="dxa"/>
            </w:tcMar>
            <w:vAlign w:val="center"/>
          </w:tcPr>
          <w:p w14:paraId="3946E2CD">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lang w:val="en-US" w:eastAsia="zh-CN"/>
              </w:rPr>
            </w:pPr>
          </w:p>
        </w:tc>
      </w:tr>
      <w:tr w14:paraId="3AD2B6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713" w:hRule="atLeast"/>
          <w:jc w:val="center"/>
        </w:trPr>
        <w:tc>
          <w:tcPr>
            <w:tcW w:w="156" w:type="pct"/>
            <w:vMerge w:val="continue"/>
            <w:noWrap w:val="0"/>
            <w:tcMar>
              <w:top w:w="0" w:type="dxa"/>
              <w:left w:w="0" w:type="dxa"/>
              <w:bottom w:w="0" w:type="dxa"/>
              <w:right w:w="0" w:type="dxa"/>
            </w:tcMar>
            <w:vAlign w:val="center"/>
          </w:tcPr>
          <w:p w14:paraId="034BF6D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1379791E">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28EEDE9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restart"/>
            <w:noWrap w:val="0"/>
            <w:tcMar>
              <w:top w:w="0" w:type="dxa"/>
              <w:left w:w="0" w:type="dxa"/>
              <w:bottom w:w="0" w:type="dxa"/>
              <w:right w:w="0" w:type="dxa"/>
            </w:tcMar>
            <w:vAlign w:val="center"/>
          </w:tcPr>
          <w:p w14:paraId="79BA6CCC">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生产经营单位未将事故隐患排查治理情况如实记录或者未向从业人员通报的</w:t>
            </w:r>
          </w:p>
        </w:tc>
        <w:tc>
          <w:tcPr>
            <w:tcW w:w="174" w:type="pct"/>
            <w:noWrap w:val="0"/>
            <w:tcMar>
              <w:top w:w="0" w:type="dxa"/>
              <w:left w:w="0" w:type="dxa"/>
              <w:bottom w:w="0" w:type="dxa"/>
              <w:right w:w="0" w:type="dxa"/>
            </w:tcMar>
            <w:vAlign w:val="center"/>
          </w:tcPr>
          <w:p w14:paraId="72D502D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轻微</w:t>
            </w:r>
          </w:p>
        </w:tc>
        <w:tc>
          <w:tcPr>
            <w:tcW w:w="561" w:type="pct"/>
            <w:noWrap w:val="0"/>
            <w:tcMar>
              <w:top w:w="0" w:type="dxa"/>
              <w:left w:w="0" w:type="dxa"/>
              <w:bottom w:w="0" w:type="dxa"/>
              <w:right w:w="0" w:type="dxa"/>
            </w:tcMar>
            <w:vAlign w:val="center"/>
          </w:tcPr>
          <w:p w14:paraId="2AD63B4C">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1.有证据证明已开展了隐患排查治理工作，查出的隐患已经消除或已采取管控措施，</w:t>
            </w:r>
            <w:r>
              <w:rPr>
                <w:rFonts w:hint="eastAsia" w:ascii="宋体" w:hAnsi="宋体" w:eastAsia="宋体" w:cs="宋体"/>
                <w:color w:val="000000"/>
                <w:sz w:val="18"/>
                <w:szCs w:val="18"/>
                <w:vertAlign w:val="baseline"/>
                <w:lang w:val="en-US" w:eastAsia="zh-CN"/>
              </w:rPr>
              <w:t>未将事故隐患排查治理情况如实记录或者未向从业人员通报的</w:t>
            </w:r>
            <w:r>
              <w:rPr>
                <w:rFonts w:hint="eastAsia" w:ascii="宋体" w:hAnsi="宋体" w:eastAsia="宋体" w:cs="宋体"/>
                <w:color w:val="000000"/>
                <w:sz w:val="18"/>
                <w:szCs w:val="18"/>
                <w:vertAlign w:val="baseline"/>
              </w:rPr>
              <w:t>（故意对记录造假的除外），首次被发现；</w:t>
            </w:r>
          </w:p>
          <w:p w14:paraId="087A98D7">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spacing w:val="-6"/>
                <w:sz w:val="18"/>
                <w:szCs w:val="18"/>
                <w:vertAlign w:val="baseline"/>
              </w:rPr>
            </w:pPr>
            <w:r>
              <w:rPr>
                <w:rFonts w:hint="eastAsia" w:ascii="宋体" w:hAnsi="宋体" w:eastAsia="宋体" w:cs="宋体"/>
                <w:color w:val="000000"/>
                <w:spacing w:val="-6"/>
                <w:sz w:val="18"/>
                <w:szCs w:val="18"/>
                <w:vertAlign w:val="baseline"/>
              </w:rPr>
              <w:t>2.当事人配合检查并按规定时间改正的；</w:t>
            </w:r>
          </w:p>
          <w:p w14:paraId="6E21A285">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3.没有造成危害后果的；</w:t>
            </w:r>
          </w:p>
          <w:p w14:paraId="199E4E49">
            <w:pPr>
              <w:pStyle w:val="2"/>
              <w:spacing w:line="240" w:lineRule="exact"/>
              <w:rPr>
                <w:rFonts w:hint="eastAsia" w:ascii="宋体" w:hAnsi="宋体" w:eastAsia="宋体" w:cs="宋体"/>
                <w:sz w:val="18"/>
                <w:szCs w:val="18"/>
              </w:rPr>
            </w:pPr>
            <w:r>
              <w:rPr>
                <w:rStyle w:val="21"/>
                <w:rFonts w:hint="eastAsia" w:ascii="宋体" w:hAnsi="宋体" w:eastAsia="宋体" w:cs="宋体"/>
                <w:sz w:val="18"/>
                <w:szCs w:val="18"/>
                <w:lang w:val="en-US" w:eastAsia="zh-CN" w:bidi="ar"/>
              </w:rPr>
              <w:t>（注：符合上述所有情形的，不予处罚，应将本次违法情况进行登记备案，以后再发生类似问题的将不再适用本条件）</w:t>
            </w:r>
          </w:p>
        </w:tc>
        <w:tc>
          <w:tcPr>
            <w:tcW w:w="873" w:type="pct"/>
            <w:noWrap w:val="0"/>
            <w:tcMar>
              <w:top w:w="0" w:type="dxa"/>
              <w:left w:w="0" w:type="dxa"/>
              <w:bottom w:w="0" w:type="dxa"/>
              <w:right w:w="0" w:type="dxa"/>
            </w:tcMar>
            <w:vAlign w:val="center"/>
          </w:tcPr>
          <w:p w14:paraId="42F8733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不予处罚</w:t>
            </w:r>
          </w:p>
        </w:tc>
        <w:tc>
          <w:tcPr>
            <w:tcW w:w="158" w:type="pct"/>
            <w:vMerge w:val="restart"/>
            <w:noWrap w:val="0"/>
            <w:tcMar>
              <w:top w:w="0" w:type="dxa"/>
              <w:left w:w="0" w:type="dxa"/>
              <w:bottom w:w="0" w:type="dxa"/>
              <w:right w:w="0" w:type="dxa"/>
            </w:tcMar>
            <w:vAlign w:val="center"/>
          </w:tcPr>
          <w:p w14:paraId="1B41E5F8">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lang w:val="en-US" w:eastAsia="zh-CN"/>
              </w:rPr>
            </w:pPr>
          </w:p>
        </w:tc>
      </w:tr>
      <w:tr w14:paraId="0F2DA5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156" w:type="pct"/>
            <w:vMerge w:val="continue"/>
            <w:noWrap w:val="0"/>
            <w:tcMar>
              <w:top w:w="0" w:type="dxa"/>
              <w:left w:w="0" w:type="dxa"/>
              <w:bottom w:w="0" w:type="dxa"/>
              <w:right w:w="0" w:type="dxa"/>
            </w:tcMar>
            <w:vAlign w:val="center"/>
          </w:tcPr>
          <w:p w14:paraId="5EC43695">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13BC38C0">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2D7D7CD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4B1775F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531DAC2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较轻</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0C7E6AAD">
            <w:pPr>
              <w:snapToGrid/>
              <w:spacing w:line="24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0127D3E2">
            <w:pPr>
              <w:spacing w:line="240" w:lineRule="exact"/>
              <w:rPr>
                <w:rFonts w:hint="eastAsia" w:ascii="宋体" w:hAnsi="宋体" w:eastAsia="宋体" w:cs="宋体"/>
                <w:color w:val="000000"/>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03736F86">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5B593D66">
            <w:pPr>
              <w:spacing w:line="260" w:lineRule="exact"/>
              <w:rPr>
                <w:rFonts w:hint="eastAsia" w:ascii="宋体" w:hAnsi="宋体" w:eastAsia="宋体" w:cs="宋体"/>
                <w:color w:val="000000"/>
                <w:kern w:val="2"/>
                <w:sz w:val="18"/>
                <w:szCs w:val="18"/>
                <w:vertAlign w:val="baseline"/>
                <w:lang w:val="en-US" w:eastAsia="zh-CN" w:bidi="ar-SA"/>
              </w:rPr>
            </w:pPr>
          </w:p>
        </w:tc>
        <w:tc>
          <w:tcPr>
            <w:tcW w:w="158" w:type="pct"/>
            <w:vMerge w:val="continue"/>
            <w:noWrap w:val="0"/>
            <w:tcMar>
              <w:top w:w="0" w:type="dxa"/>
              <w:left w:w="0" w:type="dxa"/>
              <w:bottom w:w="0" w:type="dxa"/>
              <w:right w:w="0" w:type="dxa"/>
            </w:tcMar>
            <w:vAlign w:val="center"/>
          </w:tcPr>
          <w:p w14:paraId="112A016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lang w:val="en-US" w:eastAsia="zh-CN"/>
              </w:rPr>
            </w:pPr>
          </w:p>
        </w:tc>
      </w:tr>
      <w:tr w14:paraId="39A1A7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67CEA9F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1FA55AA4">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0D38847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28248D7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02AA43BD">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一般</w:t>
            </w:r>
          </w:p>
        </w:tc>
        <w:tc>
          <w:tcPr>
            <w:tcW w:w="561" w:type="pct"/>
            <w:noWrap w:val="0"/>
            <w:tcMar>
              <w:top w:w="0" w:type="dxa"/>
              <w:left w:w="0" w:type="dxa"/>
              <w:bottom w:w="0" w:type="dxa"/>
              <w:right w:w="0" w:type="dxa"/>
            </w:tcMar>
            <w:vAlign w:val="center"/>
          </w:tcPr>
          <w:p w14:paraId="744D6006">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未将一般事故隐患排查治理情况如实记录或者未向从业人员通报的</w:t>
            </w:r>
          </w:p>
        </w:tc>
        <w:tc>
          <w:tcPr>
            <w:tcW w:w="873" w:type="pct"/>
            <w:noWrap w:val="0"/>
            <w:tcMar>
              <w:top w:w="0" w:type="dxa"/>
              <w:left w:w="0" w:type="dxa"/>
              <w:bottom w:w="0" w:type="dxa"/>
              <w:right w:w="0" w:type="dxa"/>
            </w:tcMar>
            <w:vAlign w:val="center"/>
          </w:tcPr>
          <w:p w14:paraId="2AAAF23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处5万元以下的罚款；逾期未改正的，处10万元以上15万元以下的罚款，对其直接负责的主管人员和其他直接责任人员处2万元以上3万元以下的罚款</w:t>
            </w:r>
          </w:p>
        </w:tc>
        <w:tc>
          <w:tcPr>
            <w:tcW w:w="158" w:type="pct"/>
            <w:vMerge w:val="continue"/>
            <w:noWrap w:val="0"/>
            <w:tcMar>
              <w:top w:w="0" w:type="dxa"/>
              <w:left w:w="0" w:type="dxa"/>
              <w:bottom w:w="0" w:type="dxa"/>
              <w:right w:w="0" w:type="dxa"/>
            </w:tcMar>
            <w:vAlign w:val="center"/>
          </w:tcPr>
          <w:p w14:paraId="16A1E49A">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lang w:val="en-US" w:eastAsia="zh-CN"/>
              </w:rPr>
            </w:pPr>
          </w:p>
        </w:tc>
      </w:tr>
      <w:tr w14:paraId="3B87E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74F5C5E8">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26E36249">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07379D9C">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1F80F64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389A51D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较重</w:t>
            </w:r>
          </w:p>
        </w:tc>
        <w:tc>
          <w:tcPr>
            <w:tcW w:w="561" w:type="pct"/>
            <w:noWrap w:val="0"/>
            <w:tcMar>
              <w:top w:w="0" w:type="dxa"/>
              <w:left w:w="0" w:type="dxa"/>
              <w:bottom w:w="0" w:type="dxa"/>
              <w:right w:w="0" w:type="dxa"/>
            </w:tcMar>
            <w:vAlign w:val="center"/>
          </w:tcPr>
          <w:p w14:paraId="3DF52E06">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未将重大事故隐患排查治理情况如实记录或者未向从业人员通报的</w:t>
            </w:r>
          </w:p>
        </w:tc>
        <w:tc>
          <w:tcPr>
            <w:tcW w:w="873" w:type="pct"/>
            <w:noWrap w:val="0"/>
            <w:tcMar>
              <w:top w:w="0" w:type="dxa"/>
              <w:left w:w="0" w:type="dxa"/>
              <w:bottom w:w="0" w:type="dxa"/>
              <w:right w:w="0" w:type="dxa"/>
            </w:tcMar>
            <w:vAlign w:val="center"/>
          </w:tcPr>
          <w:p w14:paraId="11A57F1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处5万元以上10万元以下的罚款；逾期未改正的，并处15万元以上20万元以下的罚款，对其直接负责的主管人员和其他直接责任人员处3万元以上5万元以下的罚款</w:t>
            </w:r>
          </w:p>
        </w:tc>
        <w:tc>
          <w:tcPr>
            <w:tcW w:w="158" w:type="pct"/>
            <w:vMerge w:val="continue"/>
            <w:noWrap w:val="0"/>
            <w:tcMar>
              <w:top w:w="0" w:type="dxa"/>
              <w:left w:w="0" w:type="dxa"/>
              <w:bottom w:w="0" w:type="dxa"/>
              <w:right w:w="0" w:type="dxa"/>
            </w:tcMar>
            <w:vAlign w:val="center"/>
          </w:tcPr>
          <w:p w14:paraId="2887C830">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lang w:val="en-US" w:eastAsia="zh-CN"/>
              </w:rPr>
            </w:pPr>
          </w:p>
        </w:tc>
      </w:tr>
      <w:tr w14:paraId="7D8427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156" w:type="pct"/>
            <w:vMerge w:val="continue"/>
            <w:noWrap w:val="0"/>
            <w:tcMar>
              <w:top w:w="0" w:type="dxa"/>
              <w:left w:w="0" w:type="dxa"/>
              <w:bottom w:w="0" w:type="dxa"/>
              <w:right w:w="0" w:type="dxa"/>
            </w:tcMar>
            <w:vAlign w:val="center"/>
          </w:tcPr>
          <w:p w14:paraId="6096812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27387A3B">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5CF361F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5392436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17EE86CC">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严重</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6D492792">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49EA954B">
            <w:pPr>
              <w:spacing w:line="260" w:lineRule="exact"/>
              <w:rPr>
                <w:rFonts w:hint="eastAsia" w:ascii="宋体" w:hAnsi="宋体" w:eastAsia="宋体" w:cs="宋体"/>
                <w:color w:val="000000"/>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0F06BE32">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17A60F4D">
            <w:pPr>
              <w:spacing w:line="260" w:lineRule="exact"/>
              <w:rPr>
                <w:rFonts w:hint="eastAsia" w:ascii="宋体" w:hAnsi="宋体" w:eastAsia="宋体" w:cs="宋体"/>
                <w:color w:val="000000"/>
                <w:kern w:val="2"/>
                <w:sz w:val="18"/>
                <w:szCs w:val="18"/>
                <w:vertAlign w:val="baseline"/>
                <w:lang w:val="en-US" w:eastAsia="zh-CN" w:bidi="ar-SA"/>
              </w:rPr>
            </w:pPr>
          </w:p>
        </w:tc>
        <w:tc>
          <w:tcPr>
            <w:tcW w:w="158" w:type="pct"/>
            <w:vMerge w:val="continue"/>
            <w:noWrap w:val="0"/>
            <w:tcMar>
              <w:top w:w="0" w:type="dxa"/>
              <w:left w:w="0" w:type="dxa"/>
              <w:bottom w:w="0" w:type="dxa"/>
              <w:right w:w="0" w:type="dxa"/>
            </w:tcMar>
            <w:vAlign w:val="center"/>
          </w:tcPr>
          <w:p w14:paraId="4CEA612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lang w:val="en-US" w:eastAsia="zh-CN"/>
              </w:rPr>
            </w:pPr>
          </w:p>
        </w:tc>
      </w:tr>
      <w:tr w14:paraId="5529FC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405" w:hRule="atLeast"/>
          <w:jc w:val="center"/>
        </w:trPr>
        <w:tc>
          <w:tcPr>
            <w:tcW w:w="156" w:type="pct"/>
            <w:vMerge w:val="continue"/>
            <w:noWrap w:val="0"/>
            <w:tcMar>
              <w:top w:w="0" w:type="dxa"/>
              <w:left w:w="0" w:type="dxa"/>
              <w:bottom w:w="0" w:type="dxa"/>
              <w:right w:w="0" w:type="dxa"/>
            </w:tcMar>
            <w:vAlign w:val="center"/>
          </w:tcPr>
          <w:p w14:paraId="42BEFC4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2A19C8C7">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310CEA94">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restart"/>
            <w:noWrap w:val="0"/>
            <w:tcMar>
              <w:top w:w="0" w:type="dxa"/>
              <w:left w:w="0" w:type="dxa"/>
              <w:bottom w:w="0" w:type="dxa"/>
              <w:right w:w="0" w:type="dxa"/>
            </w:tcMar>
            <w:vAlign w:val="center"/>
          </w:tcPr>
          <w:p w14:paraId="65DDE0AC">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生产经营单位未按照规定制定生产安全事故应急救援预案或者未定期组织演练的</w:t>
            </w:r>
          </w:p>
        </w:tc>
        <w:tc>
          <w:tcPr>
            <w:tcW w:w="174" w:type="pct"/>
            <w:noWrap w:val="0"/>
            <w:tcMar>
              <w:top w:w="0" w:type="dxa"/>
              <w:left w:w="0" w:type="dxa"/>
              <w:bottom w:w="0" w:type="dxa"/>
              <w:right w:w="0" w:type="dxa"/>
            </w:tcMar>
            <w:vAlign w:val="center"/>
          </w:tcPr>
          <w:p w14:paraId="1073AEE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轻微</w:t>
            </w:r>
          </w:p>
        </w:tc>
        <w:tc>
          <w:tcPr>
            <w:tcW w:w="561" w:type="pct"/>
            <w:noWrap w:val="0"/>
            <w:tcMar>
              <w:top w:w="0" w:type="dxa"/>
              <w:left w:w="0" w:type="dxa"/>
              <w:bottom w:w="0" w:type="dxa"/>
              <w:right w:w="0" w:type="dxa"/>
            </w:tcMar>
            <w:vAlign w:val="center"/>
          </w:tcPr>
          <w:p w14:paraId="688352D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1.已制定应急救援预案，组织开展应急救援预案演练，但预案编制不规范，演练频次不符合规定要求，首次被发现；</w:t>
            </w:r>
          </w:p>
          <w:p w14:paraId="692A5107">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2.当事人配合检查并按规定时间改正的；</w:t>
            </w:r>
          </w:p>
          <w:p w14:paraId="709F5DB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3.没有造成危害后果的；</w:t>
            </w:r>
          </w:p>
          <w:p w14:paraId="0511DDBD">
            <w:pPr>
              <w:pStyle w:val="2"/>
              <w:spacing w:line="260" w:lineRule="exact"/>
              <w:rPr>
                <w:rFonts w:hint="eastAsia" w:ascii="宋体" w:hAnsi="宋体" w:eastAsia="宋体" w:cs="宋体"/>
                <w:sz w:val="18"/>
                <w:szCs w:val="18"/>
              </w:rPr>
            </w:pPr>
            <w:r>
              <w:rPr>
                <w:rStyle w:val="21"/>
                <w:rFonts w:hint="eastAsia" w:ascii="宋体" w:hAnsi="宋体" w:eastAsia="宋体" w:cs="宋体"/>
                <w:sz w:val="18"/>
                <w:szCs w:val="18"/>
                <w:lang w:val="en-US" w:eastAsia="zh-CN" w:bidi="ar"/>
              </w:rPr>
              <w:t>（注：符合上述所有情形的，不予处罚，应将本次违法情况进行登记备案，以后再发生类似问题的将不再适用本条件）</w:t>
            </w:r>
          </w:p>
        </w:tc>
        <w:tc>
          <w:tcPr>
            <w:tcW w:w="873" w:type="pct"/>
            <w:noWrap w:val="0"/>
            <w:tcMar>
              <w:top w:w="0" w:type="dxa"/>
              <w:left w:w="0" w:type="dxa"/>
              <w:bottom w:w="0" w:type="dxa"/>
              <w:right w:w="0" w:type="dxa"/>
            </w:tcMar>
            <w:vAlign w:val="center"/>
          </w:tcPr>
          <w:p w14:paraId="3472668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不予处罚</w:t>
            </w:r>
          </w:p>
        </w:tc>
        <w:tc>
          <w:tcPr>
            <w:tcW w:w="158" w:type="pct"/>
            <w:vMerge w:val="restart"/>
            <w:noWrap w:val="0"/>
            <w:tcMar>
              <w:top w:w="0" w:type="dxa"/>
              <w:left w:w="0" w:type="dxa"/>
              <w:bottom w:w="0" w:type="dxa"/>
              <w:right w:w="0" w:type="dxa"/>
            </w:tcMar>
            <w:vAlign w:val="center"/>
          </w:tcPr>
          <w:p w14:paraId="710083D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lang w:val="en-US" w:eastAsia="zh-CN"/>
              </w:rPr>
            </w:pPr>
          </w:p>
        </w:tc>
      </w:tr>
      <w:tr w14:paraId="48AEDF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6D48594B">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02F5FDF7">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13D2AA44">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03CFE1A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1B75D9A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较轻</w:t>
            </w:r>
          </w:p>
        </w:tc>
        <w:tc>
          <w:tcPr>
            <w:tcW w:w="561" w:type="pct"/>
            <w:noWrap w:val="0"/>
            <w:tcMar>
              <w:top w:w="0" w:type="dxa"/>
              <w:left w:w="0" w:type="dxa"/>
              <w:bottom w:w="0" w:type="dxa"/>
              <w:right w:w="0" w:type="dxa"/>
            </w:tcMar>
            <w:vAlign w:val="center"/>
          </w:tcPr>
          <w:p w14:paraId="783767C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p>
        </w:tc>
        <w:tc>
          <w:tcPr>
            <w:tcW w:w="873" w:type="pct"/>
            <w:noWrap w:val="0"/>
            <w:tcMar>
              <w:top w:w="0" w:type="dxa"/>
              <w:left w:w="0" w:type="dxa"/>
              <w:bottom w:w="0" w:type="dxa"/>
              <w:right w:w="0" w:type="dxa"/>
            </w:tcMar>
            <w:vAlign w:val="center"/>
          </w:tcPr>
          <w:p w14:paraId="7D04B177">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p>
        </w:tc>
        <w:tc>
          <w:tcPr>
            <w:tcW w:w="158" w:type="pct"/>
            <w:vMerge w:val="continue"/>
            <w:noWrap w:val="0"/>
            <w:tcMar>
              <w:top w:w="0" w:type="dxa"/>
              <w:left w:w="0" w:type="dxa"/>
              <w:bottom w:w="0" w:type="dxa"/>
              <w:right w:w="0" w:type="dxa"/>
            </w:tcMar>
            <w:vAlign w:val="center"/>
          </w:tcPr>
          <w:p w14:paraId="04516D1B">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lang w:val="en-US" w:eastAsia="zh-CN"/>
              </w:rPr>
            </w:pPr>
          </w:p>
        </w:tc>
      </w:tr>
      <w:tr w14:paraId="5526CB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481" w:hRule="atLeast"/>
          <w:jc w:val="center"/>
        </w:trPr>
        <w:tc>
          <w:tcPr>
            <w:tcW w:w="156" w:type="pct"/>
            <w:vMerge w:val="continue"/>
            <w:noWrap w:val="0"/>
            <w:tcMar>
              <w:top w:w="0" w:type="dxa"/>
              <w:left w:w="0" w:type="dxa"/>
              <w:bottom w:w="0" w:type="dxa"/>
              <w:right w:w="0" w:type="dxa"/>
            </w:tcMar>
            <w:vAlign w:val="center"/>
          </w:tcPr>
          <w:p w14:paraId="4596FDB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048C675D">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4CD0C5F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54FA5D1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5303985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一般</w:t>
            </w:r>
          </w:p>
        </w:tc>
        <w:tc>
          <w:tcPr>
            <w:tcW w:w="561" w:type="pct"/>
            <w:noWrap w:val="0"/>
            <w:tcMar>
              <w:top w:w="0" w:type="dxa"/>
              <w:left w:w="0" w:type="dxa"/>
              <w:bottom w:w="0" w:type="dxa"/>
              <w:right w:w="0" w:type="dxa"/>
            </w:tcMar>
            <w:vAlign w:val="center"/>
          </w:tcPr>
          <w:p w14:paraId="02BAF95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制定生产安全事故应急救援预案但未按规定定期组织开展演练的</w:t>
            </w:r>
          </w:p>
        </w:tc>
        <w:tc>
          <w:tcPr>
            <w:tcW w:w="873" w:type="pct"/>
            <w:noWrap w:val="0"/>
            <w:tcMar>
              <w:top w:w="0" w:type="dxa"/>
              <w:left w:w="0" w:type="dxa"/>
              <w:bottom w:w="0" w:type="dxa"/>
              <w:right w:w="0" w:type="dxa"/>
            </w:tcMar>
            <w:vAlign w:val="center"/>
          </w:tcPr>
          <w:p w14:paraId="2FD25A8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处5万元以下的罚款；逾期未改正的，处10万元以上15万元以下的罚款，对其直接负责的主管人员和其他直接责任人员处2万元以上3万元以下的罚款</w:t>
            </w:r>
          </w:p>
        </w:tc>
        <w:tc>
          <w:tcPr>
            <w:tcW w:w="158" w:type="pct"/>
            <w:vMerge w:val="continue"/>
            <w:noWrap w:val="0"/>
            <w:tcMar>
              <w:top w:w="0" w:type="dxa"/>
              <w:left w:w="0" w:type="dxa"/>
              <w:bottom w:w="0" w:type="dxa"/>
              <w:right w:w="0" w:type="dxa"/>
            </w:tcMar>
            <w:vAlign w:val="center"/>
          </w:tcPr>
          <w:p w14:paraId="79CE5FF8">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lang w:val="en-US" w:eastAsia="zh-CN"/>
              </w:rPr>
            </w:pPr>
          </w:p>
        </w:tc>
      </w:tr>
      <w:tr w14:paraId="49B5A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0FC7A7A1">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66BE0297">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5B558E67">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1B313117">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728B15DD">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较重</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7EEDCDDD">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09EF370E">
            <w:pPr>
              <w:spacing w:line="260" w:lineRule="exact"/>
              <w:rPr>
                <w:rFonts w:hint="eastAsia" w:ascii="宋体" w:hAnsi="宋体" w:eastAsia="宋体" w:cs="宋体"/>
                <w:color w:val="000000"/>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1AAC1C61">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1998D530">
            <w:pPr>
              <w:spacing w:line="260" w:lineRule="exact"/>
              <w:rPr>
                <w:rFonts w:hint="eastAsia" w:ascii="宋体" w:hAnsi="宋体" w:eastAsia="宋体" w:cs="宋体"/>
                <w:color w:val="000000"/>
                <w:kern w:val="2"/>
                <w:sz w:val="18"/>
                <w:szCs w:val="18"/>
                <w:vertAlign w:val="baseline"/>
                <w:lang w:val="en-US" w:eastAsia="zh-CN" w:bidi="ar-SA"/>
              </w:rPr>
            </w:pPr>
          </w:p>
        </w:tc>
        <w:tc>
          <w:tcPr>
            <w:tcW w:w="158" w:type="pct"/>
            <w:vMerge w:val="continue"/>
            <w:noWrap w:val="0"/>
            <w:tcMar>
              <w:top w:w="0" w:type="dxa"/>
              <w:left w:w="0" w:type="dxa"/>
              <w:bottom w:w="0" w:type="dxa"/>
              <w:right w:w="0" w:type="dxa"/>
            </w:tcMar>
            <w:vAlign w:val="center"/>
          </w:tcPr>
          <w:p w14:paraId="441E0C4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lang w:val="en-US" w:eastAsia="zh-CN"/>
              </w:rPr>
            </w:pPr>
          </w:p>
        </w:tc>
      </w:tr>
      <w:tr w14:paraId="163562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467" w:hRule="atLeast"/>
          <w:jc w:val="center"/>
        </w:trPr>
        <w:tc>
          <w:tcPr>
            <w:tcW w:w="156" w:type="pct"/>
            <w:vMerge w:val="continue"/>
            <w:noWrap w:val="0"/>
            <w:tcMar>
              <w:top w:w="0" w:type="dxa"/>
              <w:left w:w="0" w:type="dxa"/>
              <w:bottom w:w="0" w:type="dxa"/>
              <w:right w:w="0" w:type="dxa"/>
            </w:tcMar>
            <w:vAlign w:val="center"/>
          </w:tcPr>
          <w:p w14:paraId="36B57CB9">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2D425056">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5A59D8C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1C4E0E2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01678501">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严重</w:t>
            </w:r>
          </w:p>
        </w:tc>
        <w:tc>
          <w:tcPr>
            <w:tcW w:w="561" w:type="pct"/>
            <w:noWrap w:val="0"/>
            <w:tcMar>
              <w:top w:w="0" w:type="dxa"/>
              <w:left w:w="0" w:type="dxa"/>
              <w:bottom w:w="0" w:type="dxa"/>
              <w:right w:w="0" w:type="dxa"/>
            </w:tcMar>
            <w:vAlign w:val="center"/>
          </w:tcPr>
          <w:p w14:paraId="37F8229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未按照规定制定生产安全事故应急救援预案的</w:t>
            </w:r>
          </w:p>
        </w:tc>
        <w:tc>
          <w:tcPr>
            <w:tcW w:w="873" w:type="pct"/>
            <w:noWrap w:val="0"/>
            <w:tcMar>
              <w:top w:w="0" w:type="dxa"/>
              <w:left w:w="0" w:type="dxa"/>
              <w:bottom w:w="0" w:type="dxa"/>
              <w:right w:w="0" w:type="dxa"/>
            </w:tcMar>
            <w:vAlign w:val="center"/>
          </w:tcPr>
          <w:p w14:paraId="7EE59A1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处5万元以上10万元以下的罚款；逾期未改正的，处15万元以上20万元以下的罚款，对其直接负责的主管人员和其他直接责任人员处3万元以上5万元以下的罚款</w:t>
            </w:r>
          </w:p>
        </w:tc>
        <w:tc>
          <w:tcPr>
            <w:tcW w:w="158" w:type="pct"/>
            <w:vMerge w:val="continue"/>
            <w:noWrap w:val="0"/>
            <w:tcMar>
              <w:top w:w="0" w:type="dxa"/>
              <w:left w:w="0" w:type="dxa"/>
              <w:bottom w:w="0" w:type="dxa"/>
              <w:right w:w="0" w:type="dxa"/>
            </w:tcMar>
            <w:vAlign w:val="center"/>
          </w:tcPr>
          <w:p w14:paraId="22DEB74C">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lang w:val="en-US" w:eastAsia="zh-CN"/>
              </w:rPr>
            </w:pPr>
          </w:p>
        </w:tc>
      </w:tr>
      <w:tr w14:paraId="0A3B9A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2F389F8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039F2EA8">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7237E97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restart"/>
            <w:noWrap w:val="0"/>
            <w:tcMar>
              <w:top w:w="0" w:type="dxa"/>
              <w:left w:w="0" w:type="dxa"/>
              <w:bottom w:w="0" w:type="dxa"/>
              <w:right w:w="0" w:type="dxa"/>
            </w:tcMar>
            <w:vAlign w:val="center"/>
          </w:tcPr>
          <w:p w14:paraId="7F06883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生产经营单位特种作业人员未按照规定经专门的安全作业培训并取得相应资格，上岗作业的</w:t>
            </w:r>
          </w:p>
        </w:tc>
        <w:tc>
          <w:tcPr>
            <w:tcW w:w="174" w:type="pct"/>
            <w:noWrap w:val="0"/>
            <w:tcMar>
              <w:top w:w="0" w:type="dxa"/>
              <w:left w:w="0" w:type="dxa"/>
              <w:bottom w:w="0" w:type="dxa"/>
              <w:right w:w="0" w:type="dxa"/>
            </w:tcMar>
            <w:vAlign w:val="center"/>
          </w:tcPr>
          <w:p w14:paraId="733DDF60">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轻微</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40732B6C">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7EA2025F">
            <w:pPr>
              <w:spacing w:line="260" w:lineRule="exact"/>
              <w:rPr>
                <w:rFonts w:hint="eastAsia" w:ascii="宋体" w:hAnsi="宋体" w:eastAsia="宋体" w:cs="宋体"/>
                <w:color w:val="000000"/>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6F988F65">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73B94800">
            <w:pPr>
              <w:spacing w:line="260" w:lineRule="exact"/>
              <w:rPr>
                <w:rFonts w:hint="eastAsia" w:ascii="宋体" w:hAnsi="宋体" w:eastAsia="宋体" w:cs="宋体"/>
                <w:color w:val="000000"/>
                <w:kern w:val="2"/>
                <w:sz w:val="18"/>
                <w:szCs w:val="18"/>
                <w:vertAlign w:val="baseline"/>
                <w:lang w:val="en-US" w:eastAsia="zh-CN" w:bidi="ar-SA"/>
              </w:rPr>
            </w:pPr>
          </w:p>
        </w:tc>
        <w:tc>
          <w:tcPr>
            <w:tcW w:w="158" w:type="pct"/>
            <w:vMerge w:val="restart"/>
            <w:noWrap w:val="0"/>
            <w:tcMar>
              <w:top w:w="0" w:type="dxa"/>
              <w:left w:w="0" w:type="dxa"/>
              <w:bottom w:w="0" w:type="dxa"/>
              <w:right w:w="0" w:type="dxa"/>
            </w:tcMar>
            <w:vAlign w:val="center"/>
          </w:tcPr>
          <w:p w14:paraId="47D777E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lang w:val="en-US" w:eastAsia="zh-CN"/>
              </w:rPr>
            </w:pPr>
          </w:p>
        </w:tc>
      </w:tr>
      <w:tr w14:paraId="7B857D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30964D9C">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248AA390">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4CDC0EC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13386A0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46B056CA">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较轻</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58107255">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6E4971C4">
            <w:pPr>
              <w:spacing w:line="260" w:lineRule="exact"/>
              <w:rPr>
                <w:rFonts w:hint="eastAsia" w:ascii="宋体" w:hAnsi="宋体" w:eastAsia="宋体" w:cs="宋体"/>
                <w:color w:val="000000"/>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58F8DA1C">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7BA984E7">
            <w:pPr>
              <w:spacing w:line="260" w:lineRule="exact"/>
              <w:rPr>
                <w:rFonts w:hint="eastAsia" w:ascii="宋体" w:hAnsi="宋体" w:eastAsia="宋体" w:cs="宋体"/>
                <w:color w:val="000000"/>
                <w:kern w:val="2"/>
                <w:sz w:val="18"/>
                <w:szCs w:val="18"/>
                <w:vertAlign w:val="baseline"/>
                <w:lang w:val="en-US" w:eastAsia="zh-CN" w:bidi="ar-SA"/>
              </w:rPr>
            </w:pPr>
          </w:p>
        </w:tc>
        <w:tc>
          <w:tcPr>
            <w:tcW w:w="158" w:type="pct"/>
            <w:vMerge w:val="continue"/>
            <w:noWrap w:val="0"/>
            <w:tcMar>
              <w:top w:w="0" w:type="dxa"/>
              <w:left w:w="0" w:type="dxa"/>
              <w:bottom w:w="0" w:type="dxa"/>
              <w:right w:w="0" w:type="dxa"/>
            </w:tcMar>
            <w:vAlign w:val="center"/>
          </w:tcPr>
          <w:p w14:paraId="40D3038D">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lang w:val="en-US" w:eastAsia="zh-CN"/>
              </w:rPr>
            </w:pPr>
          </w:p>
        </w:tc>
      </w:tr>
      <w:tr w14:paraId="49207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73D95A1D">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6024F8A5">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385E573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0DA2654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0373BC01">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一般</w:t>
            </w:r>
          </w:p>
        </w:tc>
        <w:tc>
          <w:tcPr>
            <w:tcW w:w="561" w:type="pct"/>
            <w:noWrap w:val="0"/>
            <w:tcMar>
              <w:top w:w="0" w:type="dxa"/>
              <w:left w:w="0" w:type="dxa"/>
              <w:bottom w:w="0" w:type="dxa"/>
              <w:right w:w="0" w:type="dxa"/>
            </w:tcMar>
            <w:vAlign w:val="center"/>
          </w:tcPr>
          <w:p w14:paraId="57FEBFC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有1名特种作业人员未按照规定经专门的安全作业培训并取得相应资格，上岗作业的</w:t>
            </w:r>
          </w:p>
        </w:tc>
        <w:tc>
          <w:tcPr>
            <w:tcW w:w="873" w:type="pct"/>
            <w:noWrap w:val="0"/>
            <w:tcMar>
              <w:top w:w="0" w:type="dxa"/>
              <w:left w:w="0" w:type="dxa"/>
              <w:bottom w:w="0" w:type="dxa"/>
              <w:right w:w="0" w:type="dxa"/>
            </w:tcMar>
            <w:vAlign w:val="center"/>
          </w:tcPr>
          <w:p w14:paraId="01FDD87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处3万元以下的罚款；逾期未改正的，处10万元以上13万元以下的罚款，对其直接负责的主管人员和其他直接责任人员处2万元以上3万元以下的罚款</w:t>
            </w:r>
          </w:p>
        </w:tc>
        <w:tc>
          <w:tcPr>
            <w:tcW w:w="158" w:type="pct"/>
            <w:vMerge w:val="continue"/>
            <w:noWrap w:val="0"/>
            <w:tcMar>
              <w:top w:w="0" w:type="dxa"/>
              <w:left w:w="0" w:type="dxa"/>
              <w:bottom w:w="0" w:type="dxa"/>
              <w:right w:w="0" w:type="dxa"/>
            </w:tcMar>
            <w:vAlign w:val="center"/>
          </w:tcPr>
          <w:p w14:paraId="65648289">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lang w:val="en-US" w:eastAsia="zh-CN"/>
              </w:rPr>
            </w:pPr>
          </w:p>
        </w:tc>
      </w:tr>
      <w:tr w14:paraId="5DA58F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105B4071">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067B58C7">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50EF2BE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38316B3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100F6619">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较重</w:t>
            </w:r>
          </w:p>
        </w:tc>
        <w:tc>
          <w:tcPr>
            <w:tcW w:w="561" w:type="pct"/>
            <w:noWrap w:val="0"/>
            <w:tcMar>
              <w:top w:w="0" w:type="dxa"/>
              <w:left w:w="0" w:type="dxa"/>
              <w:bottom w:w="0" w:type="dxa"/>
              <w:right w:w="0" w:type="dxa"/>
            </w:tcMar>
            <w:vAlign w:val="center"/>
          </w:tcPr>
          <w:p w14:paraId="4AFF4DB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有2至4名特种作业人员未按照规定经专门的安全作业培训并取得相应资格，上岗作业的</w:t>
            </w:r>
          </w:p>
        </w:tc>
        <w:tc>
          <w:tcPr>
            <w:tcW w:w="873" w:type="pct"/>
            <w:noWrap w:val="0"/>
            <w:tcMar>
              <w:top w:w="0" w:type="dxa"/>
              <w:left w:w="0" w:type="dxa"/>
              <w:bottom w:w="0" w:type="dxa"/>
              <w:right w:w="0" w:type="dxa"/>
            </w:tcMar>
            <w:vAlign w:val="center"/>
          </w:tcPr>
          <w:p w14:paraId="00C2050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处3万元以上6万元以下的罚款；逾期未改正的，处13万元以上16万元以下的罚款，对其直接负责的主管人员和其他直接责任人员处3万元以上4万元以下的罚款</w:t>
            </w:r>
          </w:p>
        </w:tc>
        <w:tc>
          <w:tcPr>
            <w:tcW w:w="158" w:type="pct"/>
            <w:vMerge w:val="continue"/>
            <w:noWrap w:val="0"/>
            <w:tcMar>
              <w:top w:w="0" w:type="dxa"/>
              <w:left w:w="0" w:type="dxa"/>
              <w:bottom w:w="0" w:type="dxa"/>
              <w:right w:w="0" w:type="dxa"/>
            </w:tcMar>
            <w:vAlign w:val="center"/>
          </w:tcPr>
          <w:p w14:paraId="155109AC">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lang w:val="en-US" w:eastAsia="zh-CN"/>
              </w:rPr>
            </w:pPr>
          </w:p>
        </w:tc>
      </w:tr>
      <w:tr w14:paraId="5DBB25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5668B5B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623427AF">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268D8D7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5634E88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1B456ECD">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严重</w:t>
            </w:r>
          </w:p>
        </w:tc>
        <w:tc>
          <w:tcPr>
            <w:tcW w:w="561" w:type="pct"/>
            <w:noWrap w:val="0"/>
            <w:tcMar>
              <w:top w:w="0" w:type="dxa"/>
              <w:left w:w="0" w:type="dxa"/>
              <w:bottom w:w="0" w:type="dxa"/>
              <w:right w:w="0" w:type="dxa"/>
            </w:tcMar>
            <w:vAlign w:val="center"/>
          </w:tcPr>
          <w:p w14:paraId="73FB8B7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有5名以上特种作业人员未按照规定经专门的安全作业培训并取得相应资格，上岗作业的</w:t>
            </w:r>
          </w:p>
        </w:tc>
        <w:tc>
          <w:tcPr>
            <w:tcW w:w="873" w:type="pct"/>
            <w:noWrap w:val="0"/>
            <w:tcMar>
              <w:top w:w="0" w:type="dxa"/>
              <w:left w:w="0" w:type="dxa"/>
              <w:bottom w:w="0" w:type="dxa"/>
              <w:right w:w="0" w:type="dxa"/>
            </w:tcMar>
            <w:vAlign w:val="center"/>
          </w:tcPr>
          <w:p w14:paraId="53FCDFC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处6万元以上10万元以下的罚款；逾期未改正的，处16万元以上20万元以下的罚款，对其直接负责的主管人员和其他直接责任人员处4万元以上5万元以下的罚款</w:t>
            </w:r>
          </w:p>
        </w:tc>
        <w:tc>
          <w:tcPr>
            <w:tcW w:w="158" w:type="pct"/>
            <w:vMerge w:val="continue"/>
            <w:noWrap w:val="0"/>
            <w:tcMar>
              <w:top w:w="0" w:type="dxa"/>
              <w:left w:w="0" w:type="dxa"/>
              <w:bottom w:w="0" w:type="dxa"/>
              <w:right w:w="0" w:type="dxa"/>
            </w:tcMar>
            <w:vAlign w:val="center"/>
          </w:tcPr>
          <w:p w14:paraId="57466BE8">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lang w:val="en-US" w:eastAsia="zh-CN"/>
              </w:rPr>
            </w:pPr>
          </w:p>
        </w:tc>
      </w:tr>
      <w:tr w14:paraId="31B1B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restart"/>
            <w:noWrap w:val="0"/>
            <w:tcMar>
              <w:top w:w="0" w:type="dxa"/>
              <w:left w:w="0" w:type="dxa"/>
              <w:bottom w:w="0" w:type="dxa"/>
              <w:right w:w="0" w:type="dxa"/>
            </w:tcMar>
            <w:vAlign w:val="center"/>
          </w:tcPr>
          <w:p w14:paraId="5BE1B2DB">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default" w:ascii="宋体" w:hAnsi="宋体" w:eastAsia="宋体" w:cs="宋体"/>
                <w:color w:val="000000"/>
                <w:sz w:val="18"/>
                <w:szCs w:val="18"/>
                <w:shd w:val="clear" w:color="auto" w:fill="auto"/>
                <w:vertAlign w:val="baseline"/>
                <w:lang w:val="en-US" w:eastAsia="zh-CN"/>
              </w:rPr>
            </w:pPr>
            <w:r>
              <w:rPr>
                <w:rFonts w:hint="eastAsia" w:ascii="宋体" w:hAnsi="宋体" w:eastAsia="宋体" w:cs="宋体"/>
                <w:color w:val="000000"/>
                <w:sz w:val="18"/>
                <w:szCs w:val="18"/>
                <w:shd w:val="clear" w:color="auto" w:fill="auto"/>
                <w:vertAlign w:val="baseline"/>
                <w:lang w:val="en-US" w:eastAsia="zh-CN"/>
              </w:rPr>
              <w:t>100</w:t>
            </w:r>
          </w:p>
        </w:tc>
        <w:tc>
          <w:tcPr>
            <w:tcW w:w="415" w:type="pct"/>
            <w:vMerge w:val="restart"/>
            <w:noWrap w:val="0"/>
            <w:tcMar>
              <w:top w:w="0" w:type="dxa"/>
              <w:left w:w="0" w:type="dxa"/>
              <w:bottom w:w="0" w:type="dxa"/>
              <w:right w:w="0" w:type="dxa"/>
            </w:tcMar>
            <w:vAlign w:val="center"/>
          </w:tcPr>
          <w:p w14:paraId="1FB981BD">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对水利领域生产经营单位未在有较大危险因素的生产经营场所和有关设施、设备上设置明显的安全警示标志，安全设备的安装、使用、检测、改造和报废不符合国家标准或者行业标准等行为的行政处罚</w:t>
            </w:r>
          </w:p>
        </w:tc>
        <w:tc>
          <w:tcPr>
            <w:tcW w:w="2168" w:type="pct"/>
            <w:vMerge w:val="restart"/>
            <w:noWrap w:val="0"/>
            <w:tcMar>
              <w:top w:w="0" w:type="dxa"/>
              <w:left w:w="0" w:type="dxa"/>
              <w:bottom w:w="0" w:type="dxa"/>
              <w:right w:w="0" w:type="dxa"/>
            </w:tcMar>
            <w:vAlign w:val="center"/>
          </w:tcPr>
          <w:p w14:paraId="4AACB83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《中华人民共和国安全生产法》第九十九条 生产经营单位有下列行为之一的，责令限期改正，处五万元以下的罚款；逾期未改正的，处五万元以上二十万元以下的罚款，对其直接负责的主管人员和其他直接责任人员处一万元以上二万元以下的罚款；情节严重的，责令停产停业整顿；构成犯罪的，依照刑法有关规定追究刑事责任：</w:t>
            </w:r>
          </w:p>
          <w:p w14:paraId="0F2EBE5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（一）未在有较大危险因素的生产经营场所和有关设施、设备上设置明显的安全警示标志的；</w:t>
            </w:r>
          </w:p>
          <w:p w14:paraId="6057BE0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（二）安全设备的安装、使用、检测、改造和报废不符合国家标准或者行业标准的；</w:t>
            </w:r>
          </w:p>
          <w:p w14:paraId="28908AA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（三）未对安全设备进行经常性维护、保养和定期检测的；</w:t>
            </w:r>
          </w:p>
          <w:p w14:paraId="569F2C64">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（四）关闭、破坏直接关系生产安全的监控、报警、防护、救生设备、设施，或者篡改、隐瞒、销毁其相关数据、信息的；</w:t>
            </w:r>
          </w:p>
          <w:p w14:paraId="5F4F791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（五）未为从业人员提供符合国家标准或者行业标准的劳动防护用品的；</w:t>
            </w:r>
          </w:p>
          <w:p w14:paraId="0C9D106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（六）危险物品的容器、运输工具，以及涉及人身安全、危险性较大的海洋石油开采特种设备和矿山井下特种设备未经具有专业资质的机构检测、检验合格，取得安全使用证或者安全标志，投入使用的；</w:t>
            </w:r>
          </w:p>
          <w:p w14:paraId="6CB0B40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（七）使用应当淘汰的危及生产安全的工艺、设备的；</w:t>
            </w:r>
          </w:p>
          <w:p w14:paraId="0279861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（八）餐饮等行业的生产经营单位使用燃气未安装可燃气体报警装置的。</w:t>
            </w:r>
          </w:p>
        </w:tc>
        <w:tc>
          <w:tcPr>
            <w:tcW w:w="491" w:type="pct"/>
            <w:vMerge w:val="restart"/>
            <w:noWrap w:val="0"/>
            <w:tcMar>
              <w:top w:w="0" w:type="dxa"/>
              <w:left w:w="0" w:type="dxa"/>
              <w:bottom w:w="0" w:type="dxa"/>
              <w:right w:w="0" w:type="dxa"/>
            </w:tcMar>
            <w:vAlign w:val="center"/>
          </w:tcPr>
          <w:p w14:paraId="64C7E00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水利领域生产经营单位未在有较大危险因素的生产经营场所和有关设施、设备上设置明显的安全警示标志的</w:t>
            </w:r>
          </w:p>
        </w:tc>
        <w:tc>
          <w:tcPr>
            <w:tcW w:w="174" w:type="pct"/>
            <w:noWrap w:val="0"/>
            <w:tcMar>
              <w:top w:w="0" w:type="dxa"/>
              <w:left w:w="0" w:type="dxa"/>
              <w:bottom w:w="0" w:type="dxa"/>
              <w:right w:w="0" w:type="dxa"/>
            </w:tcMar>
            <w:vAlign w:val="center"/>
          </w:tcPr>
          <w:p w14:paraId="5C6C5C80">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轻微</w:t>
            </w:r>
          </w:p>
        </w:tc>
        <w:tc>
          <w:tcPr>
            <w:tcW w:w="561" w:type="pct"/>
            <w:noWrap w:val="0"/>
            <w:tcMar>
              <w:top w:w="0" w:type="dxa"/>
              <w:left w:w="0" w:type="dxa"/>
              <w:bottom w:w="0" w:type="dxa"/>
              <w:right w:w="0" w:type="dxa"/>
            </w:tcMar>
            <w:vAlign w:val="center"/>
          </w:tcPr>
          <w:p w14:paraId="6929A4B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1.已设置安全警示标识，但是位置不明显或者脱落后未及时张贴，首次发现；</w:t>
            </w:r>
          </w:p>
          <w:p w14:paraId="54B86D57">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pacing w:val="-6"/>
                <w:sz w:val="18"/>
                <w:szCs w:val="18"/>
                <w:vertAlign w:val="baseline"/>
              </w:rPr>
            </w:pPr>
            <w:r>
              <w:rPr>
                <w:rFonts w:hint="eastAsia" w:ascii="宋体" w:hAnsi="宋体" w:eastAsia="宋体" w:cs="宋体"/>
                <w:color w:val="000000"/>
                <w:spacing w:val="-6"/>
                <w:sz w:val="18"/>
                <w:szCs w:val="18"/>
                <w:vertAlign w:val="baseline"/>
              </w:rPr>
              <w:t>2.当事人配合检查并按规定时间改正的；</w:t>
            </w:r>
          </w:p>
          <w:p w14:paraId="70F06D8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3.没有造成危害后果的；</w:t>
            </w:r>
          </w:p>
          <w:p w14:paraId="0F5DF035">
            <w:pPr>
              <w:pStyle w:val="2"/>
              <w:spacing w:line="260" w:lineRule="exact"/>
              <w:rPr>
                <w:rFonts w:hint="eastAsia" w:ascii="宋体" w:hAnsi="宋体" w:eastAsia="宋体" w:cs="宋体"/>
                <w:sz w:val="18"/>
                <w:szCs w:val="18"/>
              </w:rPr>
            </w:pPr>
            <w:r>
              <w:rPr>
                <w:rStyle w:val="21"/>
                <w:rFonts w:hint="eastAsia" w:ascii="宋体" w:hAnsi="宋体" w:eastAsia="宋体" w:cs="宋体"/>
                <w:sz w:val="18"/>
                <w:szCs w:val="18"/>
                <w:lang w:val="en-US" w:eastAsia="zh-CN" w:bidi="ar"/>
              </w:rPr>
              <w:t>（注：符合上述所有情形的，不予处罚，应将本次违法情况进行登记备案，以后再发生类似问题的将不再适用本条件）</w:t>
            </w:r>
          </w:p>
        </w:tc>
        <w:tc>
          <w:tcPr>
            <w:tcW w:w="873" w:type="pct"/>
            <w:noWrap w:val="0"/>
            <w:tcMar>
              <w:top w:w="0" w:type="dxa"/>
              <w:left w:w="0" w:type="dxa"/>
              <w:bottom w:w="0" w:type="dxa"/>
              <w:right w:w="0" w:type="dxa"/>
            </w:tcMar>
            <w:vAlign w:val="center"/>
          </w:tcPr>
          <w:p w14:paraId="6A9B64D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p>
        </w:tc>
        <w:tc>
          <w:tcPr>
            <w:tcW w:w="158" w:type="pct"/>
            <w:vMerge w:val="restart"/>
            <w:noWrap w:val="0"/>
            <w:tcMar>
              <w:top w:w="0" w:type="dxa"/>
              <w:left w:w="0" w:type="dxa"/>
              <w:bottom w:w="0" w:type="dxa"/>
              <w:right w:w="0" w:type="dxa"/>
            </w:tcMar>
            <w:vAlign w:val="center"/>
          </w:tcPr>
          <w:p w14:paraId="4FEDC17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kern w:val="2"/>
                <w:sz w:val="18"/>
                <w:szCs w:val="18"/>
                <w:vertAlign w:val="baseline"/>
                <w:lang w:val="en-US" w:eastAsia="zh-CN" w:bidi="ar-SA"/>
              </w:rPr>
            </w:pPr>
          </w:p>
        </w:tc>
      </w:tr>
      <w:tr w14:paraId="062B38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1397CDFB">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0B358F0F">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485FF7A4">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38284C6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2EF30090">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较轻</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2BB11D74">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2207EA42">
            <w:pPr>
              <w:spacing w:line="260" w:lineRule="exact"/>
              <w:rPr>
                <w:rFonts w:hint="eastAsia" w:ascii="宋体" w:hAnsi="宋体" w:eastAsia="宋体" w:cs="宋体"/>
                <w:color w:val="000000"/>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0A11AAD1">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7EEC55D4">
            <w:pPr>
              <w:spacing w:line="260" w:lineRule="exact"/>
              <w:rPr>
                <w:rFonts w:hint="eastAsia" w:ascii="宋体" w:hAnsi="宋体" w:eastAsia="宋体" w:cs="宋体"/>
                <w:color w:val="000000"/>
                <w:kern w:val="2"/>
                <w:sz w:val="18"/>
                <w:szCs w:val="18"/>
                <w:vertAlign w:val="baseline"/>
                <w:lang w:val="en-US" w:eastAsia="zh-CN" w:bidi="ar-SA"/>
              </w:rPr>
            </w:pPr>
          </w:p>
        </w:tc>
        <w:tc>
          <w:tcPr>
            <w:tcW w:w="158" w:type="pct"/>
            <w:vMerge w:val="continue"/>
            <w:noWrap w:val="0"/>
            <w:tcMar>
              <w:top w:w="0" w:type="dxa"/>
              <w:left w:w="0" w:type="dxa"/>
              <w:bottom w:w="0" w:type="dxa"/>
              <w:right w:w="0" w:type="dxa"/>
            </w:tcMar>
            <w:vAlign w:val="center"/>
          </w:tcPr>
          <w:p w14:paraId="4B4DE70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6D80F1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186BE805">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5775A966">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3221E1D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024DD3B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379FCCE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一般</w:t>
            </w:r>
          </w:p>
        </w:tc>
        <w:tc>
          <w:tcPr>
            <w:tcW w:w="561" w:type="pct"/>
            <w:noWrap w:val="0"/>
            <w:tcMar>
              <w:top w:w="0" w:type="dxa"/>
              <w:left w:w="0" w:type="dxa"/>
              <w:bottom w:w="0" w:type="dxa"/>
              <w:right w:w="0" w:type="dxa"/>
            </w:tcMar>
            <w:vAlign w:val="center"/>
          </w:tcPr>
          <w:p w14:paraId="37BA745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有</w:t>
            </w:r>
            <w:r>
              <w:rPr>
                <w:rFonts w:hint="eastAsia" w:ascii="宋体" w:hAnsi="宋体" w:eastAsia="宋体" w:cs="宋体"/>
                <w:color w:val="000000"/>
                <w:sz w:val="18"/>
                <w:szCs w:val="18"/>
                <w:vertAlign w:val="baseline"/>
                <w:lang w:val="en-US" w:eastAsia="zh-CN"/>
              </w:rPr>
              <w:t>1</w:t>
            </w:r>
            <w:r>
              <w:rPr>
                <w:rFonts w:hint="eastAsia" w:ascii="宋体" w:hAnsi="宋体" w:eastAsia="宋体" w:cs="宋体"/>
                <w:color w:val="000000"/>
                <w:sz w:val="18"/>
                <w:szCs w:val="18"/>
                <w:vertAlign w:val="baseline"/>
              </w:rPr>
              <w:t>处未设置安全警示标志或者设置不明显的</w:t>
            </w:r>
          </w:p>
        </w:tc>
        <w:tc>
          <w:tcPr>
            <w:tcW w:w="873" w:type="pct"/>
            <w:noWrap w:val="0"/>
            <w:tcMar>
              <w:top w:w="0" w:type="dxa"/>
              <w:left w:w="0" w:type="dxa"/>
              <w:bottom w:w="0" w:type="dxa"/>
              <w:right w:w="0" w:type="dxa"/>
            </w:tcMar>
            <w:vAlign w:val="center"/>
          </w:tcPr>
          <w:p w14:paraId="21E971F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处2万元以下的罚款；逾期未改正的，处5万元以上10万元以下的罚款，对其直接负责的主管人员和其他直接责任人员处1万元以上1.3万元以下的罚款</w:t>
            </w:r>
          </w:p>
        </w:tc>
        <w:tc>
          <w:tcPr>
            <w:tcW w:w="158" w:type="pct"/>
            <w:vMerge w:val="continue"/>
            <w:noWrap w:val="0"/>
            <w:tcMar>
              <w:top w:w="0" w:type="dxa"/>
              <w:left w:w="0" w:type="dxa"/>
              <w:bottom w:w="0" w:type="dxa"/>
              <w:right w:w="0" w:type="dxa"/>
            </w:tcMar>
            <w:vAlign w:val="center"/>
          </w:tcPr>
          <w:p w14:paraId="6B4247E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kern w:val="2"/>
                <w:sz w:val="18"/>
                <w:szCs w:val="18"/>
                <w:vertAlign w:val="baseline"/>
                <w:lang w:val="en-US" w:eastAsia="zh-CN" w:bidi="ar-SA"/>
              </w:rPr>
            </w:pPr>
          </w:p>
        </w:tc>
      </w:tr>
      <w:tr w14:paraId="3F896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064D5908">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79189BC6">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2A8C311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6D25438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39722F1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较重</w:t>
            </w:r>
          </w:p>
        </w:tc>
        <w:tc>
          <w:tcPr>
            <w:tcW w:w="561" w:type="pct"/>
            <w:noWrap w:val="0"/>
            <w:tcMar>
              <w:top w:w="0" w:type="dxa"/>
              <w:left w:w="0" w:type="dxa"/>
              <w:bottom w:w="0" w:type="dxa"/>
              <w:right w:w="0" w:type="dxa"/>
            </w:tcMar>
            <w:vAlign w:val="center"/>
          </w:tcPr>
          <w:p w14:paraId="7CB07C27">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有2至4处未设置安全警示标志或者设置不明显的</w:t>
            </w:r>
          </w:p>
        </w:tc>
        <w:tc>
          <w:tcPr>
            <w:tcW w:w="873" w:type="pct"/>
            <w:noWrap w:val="0"/>
            <w:tcMar>
              <w:top w:w="0" w:type="dxa"/>
              <w:left w:w="0" w:type="dxa"/>
              <w:bottom w:w="0" w:type="dxa"/>
              <w:right w:w="0" w:type="dxa"/>
            </w:tcMar>
            <w:vAlign w:val="center"/>
          </w:tcPr>
          <w:p w14:paraId="605125E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处2万元以上4万元以下的罚款；逾期未改正的，处10万元以上15万元以下的罚款，对其直接负责的主管人员和其他直接责任人员处1.3万元以上1.6万元以下的罚款</w:t>
            </w:r>
          </w:p>
        </w:tc>
        <w:tc>
          <w:tcPr>
            <w:tcW w:w="158" w:type="pct"/>
            <w:vMerge w:val="continue"/>
            <w:noWrap w:val="0"/>
            <w:tcMar>
              <w:top w:w="0" w:type="dxa"/>
              <w:left w:w="0" w:type="dxa"/>
              <w:bottom w:w="0" w:type="dxa"/>
              <w:right w:w="0" w:type="dxa"/>
            </w:tcMar>
            <w:vAlign w:val="center"/>
          </w:tcPr>
          <w:p w14:paraId="2A58D3D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kern w:val="2"/>
                <w:sz w:val="18"/>
                <w:szCs w:val="18"/>
                <w:vertAlign w:val="baseline"/>
                <w:lang w:val="en-US" w:eastAsia="zh-CN" w:bidi="ar-SA"/>
              </w:rPr>
            </w:pPr>
          </w:p>
        </w:tc>
      </w:tr>
      <w:tr w14:paraId="352B6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3DE50FF8">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589A982F">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7DC1E14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2B85E50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619D550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严重</w:t>
            </w:r>
          </w:p>
        </w:tc>
        <w:tc>
          <w:tcPr>
            <w:tcW w:w="561" w:type="pct"/>
            <w:noWrap w:val="0"/>
            <w:tcMar>
              <w:top w:w="0" w:type="dxa"/>
              <w:left w:w="0" w:type="dxa"/>
              <w:bottom w:w="0" w:type="dxa"/>
              <w:right w:w="0" w:type="dxa"/>
            </w:tcMar>
            <w:vAlign w:val="center"/>
          </w:tcPr>
          <w:p w14:paraId="434486F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有5处以上未设置安全警示标志或者设置不明显的</w:t>
            </w:r>
          </w:p>
        </w:tc>
        <w:tc>
          <w:tcPr>
            <w:tcW w:w="873" w:type="pct"/>
            <w:noWrap w:val="0"/>
            <w:tcMar>
              <w:top w:w="0" w:type="dxa"/>
              <w:left w:w="0" w:type="dxa"/>
              <w:bottom w:w="0" w:type="dxa"/>
              <w:right w:w="0" w:type="dxa"/>
            </w:tcMar>
            <w:vAlign w:val="center"/>
          </w:tcPr>
          <w:p w14:paraId="3074BC0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处4万元以上5万元以下的罚款；逾期未改正的，处15万元以上20万元以下的罚款，对其直接负责的主管人员和其他直接责任人员处1.6万元以上2万元以下的罚款</w:t>
            </w:r>
          </w:p>
        </w:tc>
        <w:tc>
          <w:tcPr>
            <w:tcW w:w="158" w:type="pct"/>
            <w:vMerge w:val="continue"/>
            <w:noWrap w:val="0"/>
            <w:tcMar>
              <w:top w:w="0" w:type="dxa"/>
              <w:left w:w="0" w:type="dxa"/>
              <w:bottom w:w="0" w:type="dxa"/>
              <w:right w:w="0" w:type="dxa"/>
            </w:tcMar>
            <w:vAlign w:val="center"/>
          </w:tcPr>
          <w:p w14:paraId="4B107C91">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kern w:val="2"/>
                <w:sz w:val="18"/>
                <w:szCs w:val="18"/>
                <w:vertAlign w:val="baseline"/>
                <w:lang w:val="en-US" w:eastAsia="zh-CN" w:bidi="ar-SA"/>
              </w:rPr>
            </w:pPr>
          </w:p>
        </w:tc>
      </w:tr>
      <w:tr w14:paraId="0765FC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34E8C46A">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1AF6A6D5">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0173DC8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restart"/>
            <w:noWrap w:val="0"/>
            <w:tcMar>
              <w:top w:w="0" w:type="dxa"/>
              <w:left w:w="0" w:type="dxa"/>
              <w:bottom w:w="0" w:type="dxa"/>
              <w:right w:w="0" w:type="dxa"/>
            </w:tcMar>
            <w:vAlign w:val="center"/>
          </w:tcPr>
          <w:p w14:paraId="119047C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安全设备的安装、使用、检测、改造和报废不符合国家标准或者行业标准的</w:t>
            </w:r>
          </w:p>
        </w:tc>
        <w:tc>
          <w:tcPr>
            <w:tcW w:w="174" w:type="pct"/>
            <w:noWrap w:val="0"/>
            <w:tcMar>
              <w:top w:w="0" w:type="dxa"/>
              <w:left w:w="0" w:type="dxa"/>
              <w:bottom w:w="0" w:type="dxa"/>
              <w:right w:w="0" w:type="dxa"/>
            </w:tcMar>
            <w:vAlign w:val="center"/>
          </w:tcPr>
          <w:p w14:paraId="0FCD3AEC">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轻微</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6BE945DA">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1E10806A">
            <w:pPr>
              <w:spacing w:line="260" w:lineRule="exact"/>
              <w:rPr>
                <w:rFonts w:hint="eastAsia" w:ascii="宋体" w:hAnsi="宋体" w:eastAsia="宋体" w:cs="宋体"/>
                <w:color w:val="000000"/>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602B6B16">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68D7A62C">
            <w:pPr>
              <w:spacing w:line="260" w:lineRule="exact"/>
              <w:rPr>
                <w:rFonts w:hint="eastAsia" w:ascii="宋体" w:hAnsi="宋体" w:eastAsia="宋体" w:cs="宋体"/>
                <w:color w:val="000000"/>
                <w:kern w:val="2"/>
                <w:sz w:val="18"/>
                <w:szCs w:val="18"/>
                <w:vertAlign w:val="baseline"/>
                <w:lang w:val="en-US" w:eastAsia="zh-CN" w:bidi="ar-SA"/>
              </w:rPr>
            </w:pPr>
          </w:p>
        </w:tc>
        <w:tc>
          <w:tcPr>
            <w:tcW w:w="158" w:type="pct"/>
            <w:vMerge w:val="restart"/>
            <w:noWrap w:val="0"/>
            <w:tcMar>
              <w:top w:w="0" w:type="dxa"/>
              <w:left w:w="0" w:type="dxa"/>
              <w:bottom w:w="0" w:type="dxa"/>
              <w:right w:w="0" w:type="dxa"/>
            </w:tcMar>
            <w:vAlign w:val="center"/>
          </w:tcPr>
          <w:p w14:paraId="02204E4C">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kern w:val="2"/>
                <w:sz w:val="18"/>
                <w:szCs w:val="18"/>
                <w:vertAlign w:val="baseline"/>
                <w:lang w:val="en-US" w:eastAsia="zh-CN" w:bidi="ar-SA"/>
              </w:rPr>
            </w:pPr>
          </w:p>
        </w:tc>
      </w:tr>
      <w:tr w14:paraId="46113F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74594A9B">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34E5944B">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5713E8B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3238F467">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2DDDAEA8">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较轻</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5F46CFE4">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510C0560">
            <w:pPr>
              <w:spacing w:line="260" w:lineRule="exact"/>
              <w:rPr>
                <w:rFonts w:hint="eastAsia" w:ascii="宋体" w:hAnsi="宋体" w:eastAsia="宋体" w:cs="宋体"/>
                <w:color w:val="000000"/>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35004442">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429318CE">
            <w:pPr>
              <w:spacing w:line="260" w:lineRule="exact"/>
              <w:rPr>
                <w:rFonts w:hint="eastAsia" w:ascii="宋体" w:hAnsi="宋体" w:eastAsia="宋体" w:cs="宋体"/>
                <w:color w:val="000000"/>
                <w:kern w:val="2"/>
                <w:sz w:val="18"/>
                <w:szCs w:val="18"/>
                <w:vertAlign w:val="baseline"/>
                <w:lang w:val="en-US" w:eastAsia="zh-CN" w:bidi="ar-SA"/>
              </w:rPr>
            </w:pPr>
          </w:p>
        </w:tc>
        <w:tc>
          <w:tcPr>
            <w:tcW w:w="158" w:type="pct"/>
            <w:vMerge w:val="continue"/>
            <w:noWrap w:val="0"/>
            <w:tcMar>
              <w:top w:w="0" w:type="dxa"/>
              <w:left w:w="0" w:type="dxa"/>
              <w:bottom w:w="0" w:type="dxa"/>
              <w:right w:w="0" w:type="dxa"/>
            </w:tcMar>
            <w:vAlign w:val="center"/>
          </w:tcPr>
          <w:p w14:paraId="6C2FF070">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21F5B9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20B6FC68">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55152F9F">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0649697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2DBBB73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60238C4C">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一般</w:t>
            </w:r>
          </w:p>
        </w:tc>
        <w:tc>
          <w:tcPr>
            <w:tcW w:w="561" w:type="pct"/>
            <w:noWrap w:val="0"/>
            <w:tcMar>
              <w:top w:w="0" w:type="dxa"/>
              <w:left w:w="0" w:type="dxa"/>
              <w:bottom w:w="0" w:type="dxa"/>
              <w:right w:w="0" w:type="dxa"/>
            </w:tcMar>
            <w:vAlign w:val="center"/>
          </w:tcPr>
          <w:p w14:paraId="06635A84">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安全设备的安装、使用、检测、改造和报废5项中有1项不符合国家标准或者行业标准的</w:t>
            </w:r>
          </w:p>
        </w:tc>
        <w:tc>
          <w:tcPr>
            <w:tcW w:w="873" w:type="pct"/>
            <w:noWrap w:val="0"/>
            <w:tcMar>
              <w:top w:w="0" w:type="dxa"/>
              <w:left w:w="0" w:type="dxa"/>
              <w:bottom w:w="0" w:type="dxa"/>
              <w:right w:w="0" w:type="dxa"/>
            </w:tcMar>
            <w:vAlign w:val="center"/>
          </w:tcPr>
          <w:p w14:paraId="3195107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处2万元以下的罚款；逾期未改正的，处5万元以上10万元以下的罚款，对其直接负责的主管人员和其他直接责任人员处1万元以上1.3万元以下的罚款</w:t>
            </w:r>
          </w:p>
        </w:tc>
        <w:tc>
          <w:tcPr>
            <w:tcW w:w="158" w:type="pct"/>
            <w:vMerge w:val="continue"/>
            <w:noWrap w:val="0"/>
            <w:tcMar>
              <w:top w:w="0" w:type="dxa"/>
              <w:left w:w="0" w:type="dxa"/>
              <w:bottom w:w="0" w:type="dxa"/>
              <w:right w:w="0" w:type="dxa"/>
            </w:tcMar>
            <w:vAlign w:val="center"/>
          </w:tcPr>
          <w:p w14:paraId="24850CDB">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kern w:val="2"/>
                <w:sz w:val="18"/>
                <w:szCs w:val="18"/>
                <w:vertAlign w:val="baseline"/>
                <w:lang w:val="en-US" w:eastAsia="zh-CN" w:bidi="ar-SA"/>
              </w:rPr>
            </w:pPr>
          </w:p>
        </w:tc>
      </w:tr>
      <w:tr w14:paraId="702DA9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22E706C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010DED2A">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36F2BD6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71CD17F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6C274845">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较重</w:t>
            </w:r>
          </w:p>
        </w:tc>
        <w:tc>
          <w:tcPr>
            <w:tcW w:w="561" w:type="pct"/>
            <w:noWrap w:val="0"/>
            <w:tcMar>
              <w:top w:w="0" w:type="dxa"/>
              <w:left w:w="0" w:type="dxa"/>
              <w:bottom w:w="0" w:type="dxa"/>
              <w:right w:w="0" w:type="dxa"/>
            </w:tcMar>
            <w:vAlign w:val="center"/>
          </w:tcPr>
          <w:p w14:paraId="4EFEACB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安全设备的安装、使用、检测、改造和报废5项中有2至3项不符合国家标准或者行业标准的</w:t>
            </w:r>
          </w:p>
        </w:tc>
        <w:tc>
          <w:tcPr>
            <w:tcW w:w="873" w:type="pct"/>
            <w:noWrap w:val="0"/>
            <w:tcMar>
              <w:top w:w="0" w:type="dxa"/>
              <w:left w:w="0" w:type="dxa"/>
              <w:bottom w:w="0" w:type="dxa"/>
              <w:right w:w="0" w:type="dxa"/>
            </w:tcMar>
            <w:vAlign w:val="center"/>
          </w:tcPr>
          <w:p w14:paraId="77AC60B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处2万元以上4万元以下的罚款；逾期未改正的，处10万元以上15万元以下的罚款，对其直接负责的主管人员和其他直接责任人员处1.3万元以上1.6万元以下的罚款</w:t>
            </w:r>
          </w:p>
        </w:tc>
        <w:tc>
          <w:tcPr>
            <w:tcW w:w="158" w:type="pct"/>
            <w:vMerge w:val="continue"/>
            <w:noWrap w:val="0"/>
            <w:tcMar>
              <w:top w:w="0" w:type="dxa"/>
              <w:left w:w="0" w:type="dxa"/>
              <w:bottom w:w="0" w:type="dxa"/>
              <w:right w:w="0" w:type="dxa"/>
            </w:tcMar>
            <w:vAlign w:val="center"/>
          </w:tcPr>
          <w:p w14:paraId="5C08120D">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kern w:val="2"/>
                <w:sz w:val="18"/>
                <w:szCs w:val="18"/>
                <w:vertAlign w:val="baseline"/>
                <w:lang w:val="en-US" w:eastAsia="zh-CN" w:bidi="ar-SA"/>
              </w:rPr>
            </w:pPr>
          </w:p>
        </w:tc>
      </w:tr>
      <w:tr w14:paraId="33015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717" w:hRule="atLeast"/>
          <w:jc w:val="center"/>
        </w:trPr>
        <w:tc>
          <w:tcPr>
            <w:tcW w:w="156" w:type="pct"/>
            <w:vMerge w:val="continue"/>
            <w:noWrap w:val="0"/>
            <w:tcMar>
              <w:top w:w="0" w:type="dxa"/>
              <w:left w:w="0" w:type="dxa"/>
              <w:bottom w:w="0" w:type="dxa"/>
              <w:right w:w="0" w:type="dxa"/>
            </w:tcMar>
            <w:vAlign w:val="center"/>
          </w:tcPr>
          <w:p w14:paraId="266F7B80">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2E5E2FEA">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1A76872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5E995B6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5D1651D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严重</w:t>
            </w:r>
          </w:p>
        </w:tc>
        <w:tc>
          <w:tcPr>
            <w:tcW w:w="561" w:type="pct"/>
            <w:noWrap w:val="0"/>
            <w:tcMar>
              <w:top w:w="0" w:type="dxa"/>
              <w:left w:w="0" w:type="dxa"/>
              <w:bottom w:w="0" w:type="dxa"/>
              <w:right w:w="0" w:type="dxa"/>
            </w:tcMar>
            <w:vAlign w:val="center"/>
          </w:tcPr>
          <w:p w14:paraId="6D71DFF5">
            <w:pPr>
              <w:keepNext w:val="0"/>
              <w:keepLines w:val="0"/>
              <w:pageBreakBefore w:val="0"/>
              <w:widowControl w:val="0"/>
              <w:kinsoku/>
              <w:wordWrap/>
              <w:overflowPunct/>
              <w:topLinePunct w:val="0"/>
              <w:autoSpaceDE/>
              <w:autoSpaceDN/>
              <w:bidi w:val="0"/>
              <w:adjustRightInd/>
              <w:snapToGrid/>
              <w:spacing w:line="30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安全设备的安装、使用、检测、改造和报废5项中有4项以上不符合国家标准或者行业标准的</w:t>
            </w:r>
          </w:p>
        </w:tc>
        <w:tc>
          <w:tcPr>
            <w:tcW w:w="873" w:type="pct"/>
            <w:noWrap w:val="0"/>
            <w:tcMar>
              <w:top w:w="0" w:type="dxa"/>
              <w:left w:w="0" w:type="dxa"/>
              <w:bottom w:w="0" w:type="dxa"/>
              <w:right w:w="0" w:type="dxa"/>
            </w:tcMar>
            <w:vAlign w:val="center"/>
          </w:tcPr>
          <w:p w14:paraId="20190893">
            <w:pPr>
              <w:keepNext w:val="0"/>
              <w:keepLines w:val="0"/>
              <w:pageBreakBefore w:val="0"/>
              <w:widowControl w:val="0"/>
              <w:kinsoku/>
              <w:wordWrap/>
              <w:overflowPunct/>
              <w:topLinePunct w:val="0"/>
              <w:autoSpaceDE/>
              <w:autoSpaceDN/>
              <w:bidi w:val="0"/>
              <w:adjustRightInd/>
              <w:snapToGrid/>
              <w:spacing w:line="30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处4万元以上5万元以下的罚款；逾期未改正的，处15万元以上20万元以下的罚款，对其直接负责的主管人员和其他直接责任人员处1.6万元以上2万元以下的罚款</w:t>
            </w:r>
          </w:p>
        </w:tc>
        <w:tc>
          <w:tcPr>
            <w:tcW w:w="158" w:type="pct"/>
            <w:vMerge w:val="continue"/>
            <w:noWrap w:val="0"/>
            <w:tcMar>
              <w:top w:w="0" w:type="dxa"/>
              <w:left w:w="0" w:type="dxa"/>
              <w:bottom w:w="0" w:type="dxa"/>
              <w:right w:w="0" w:type="dxa"/>
            </w:tcMar>
            <w:vAlign w:val="center"/>
          </w:tcPr>
          <w:p w14:paraId="6D990F0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kern w:val="2"/>
                <w:sz w:val="18"/>
                <w:szCs w:val="18"/>
                <w:vertAlign w:val="baseline"/>
                <w:lang w:val="en-US" w:eastAsia="zh-CN" w:bidi="ar-SA"/>
              </w:rPr>
            </w:pPr>
          </w:p>
        </w:tc>
      </w:tr>
      <w:tr w14:paraId="1E07A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6DFA625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6D646785">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44FCF0A4">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restart"/>
            <w:noWrap w:val="0"/>
            <w:tcMar>
              <w:top w:w="0" w:type="dxa"/>
              <w:left w:w="0" w:type="dxa"/>
              <w:bottom w:w="0" w:type="dxa"/>
              <w:right w:w="0" w:type="dxa"/>
            </w:tcMar>
            <w:vAlign w:val="center"/>
          </w:tcPr>
          <w:p w14:paraId="3667A41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生产经营单位未对安全设备进行经常性维护、保养和定期检测的</w:t>
            </w:r>
          </w:p>
        </w:tc>
        <w:tc>
          <w:tcPr>
            <w:tcW w:w="174" w:type="pct"/>
            <w:noWrap w:val="0"/>
            <w:tcMar>
              <w:top w:w="0" w:type="dxa"/>
              <w:left w:w="0" w:type="dxa"/>
              <w:bottom w:w="0" w:type="dxa"/>
              <w:right w:w="0" w:type="dxa"/>
            </w:tcMar>
            <w:vAlign w:val="center"/>
          </w:tcPr>
          <w:p w14:paraId="5D9D6C8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轻微</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0266BBD0">
            <w:pPr>
              <w:snapToGrid/>
              <w:spacing w:line="30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07F72D75">
            <w:pPr>
              <w:spacing w:line="300" w:lineRule="exact"/>
              <w:rPr>
                <w:rFonts w:hint="eastAsia" w:ascii="宋体" w:hAnsi="宋体" w:eastAsia="宋体" w:cs="宋体"/>
                <w:color w:val="000000"/>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27DD19C7">
            <w:pPr>
              <w:snapToGrid/>
              <w:spacing w:line="30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1E6CCE4C">
            <w:pPr>
              <w:spacing w:line="300" w:lineRule="exact"/>
              <w:rPr>
                <w:rFonts w:hint="eastAsia" w:ascii="宋体" w:hAnsi="宋体" w:eastAsia="宋体" w:cs="宋体"/>
                <w:color w:val="000000"/>
                <w:kern w:val="2"/>
                <w:sz w:val="18"/>
                <w:szCs w:val="18"/>
                <w:vertAlign w:val="baseline"/>
                <w:lang w:val="en-US" w:eastAsia="zh-CN" w:bidi="ar-SA"/>
              </w:rPr>
            </w:pPr>
          </w:p>
        </w:tc>
        <w:tc>
          <w:tcPr>
            <w:tcW w:w="158" w:type="pct"/>
            <w:vMerge w:val="restart"/>
            <w:noWrap w:val="0"/>
            <w:tcMar>
              <w:top w:w="0" w:type="dxa"/>
              <w:left w:w="0" w:type="dxa"/>
              <w:bottom w:w="0" w:type="dxa"/>
              <w:right w:w="0" w:type="dxa"/>
            </w:tcMar>
            <w:vAlign w:val="center"/>
          </w:tcPr>
          <w:p w14:paraId="0E640CF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lang w:val="en-US" w:eastAsia="zh-CN"/>
              </w:rPr>
            </w:pPr>
          </w:p>
        </w:tc>
      </w:tr>
      <w:tr w14:paraId="038A3F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5657C340">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2993A93C">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4EDF092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32784CE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09B46F71">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较轻</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477281C5">
            <w:pPr>
              <w:snapToGrid/>
              <w:spacing w:line="30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28FF0B35">
            <w:pPr>
              <w:spacing w:line="300" w:lineRule="exact"/>
              <w:rPr>
                <w:rFonts w:hint="eastAsia" w:ascii="宋体" w:hAnsi="宋体" w:eastAsia="宋体" w:cs="宋体"/>
                <w:color w:val="000000"/>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5C8CB366">
            <w:pPr>
              <w:snapToGrid/>
              <w:spacing w:line="30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0C79CA9B">
            <w:pPr>
              <w:spacing w:line="300" w:lineRule="exact"/>
              <w:rPr>
                <w:rFonts w:hint="eastAsia" w:ascii="宋体" w:hAnsi="宋体" w:eastAsia="宋体" w:cs="宋体"/>
                <w:color w:val="000000"/>
                <w:kern w:val="2"/>
                <w:sz w:val="18"/>
                <w:szCs w:val="18"/>
                <w:vertAlign w:val="baseline"/>
                <w:lang w:val="en-US" w:eastAsia="zh-CN" w:bidi="ar-SA"/>
              </w:rPr>
            </w:pPr>
          </w:p>
        </w:tc>
        <w:tc>
          <w:tcPr>
            <w:tcW w:w="158" w:type="pct"/>
            <w:vMerge w:val="continue"/>
            <w:noWrap w:val="0"/>
            <w:tcMar>
              <w:top w:w="0" w:type="dxa"/>
              <w:left w:w="0" w:type="dxa"/>
              <w:bottom w:w="0" w:type="dxa"/>
              <w:right w:w="0" w:type="dxa"/>
            </w:tcMar>
            <w:vAlign w:val="center"/>
          </w:tcPr>
          <w:p w14:paraId="5D848E2D">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lang w:val="en-US" w:eastAsia="zh-CN"/>
              </w:rPr>
            </w:pPr>
          </w:p>
        </w:tc>
      </w:tr>
      <w:tr w14:paraId="086E31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763" w:hRule="atLeast"/>
          <w:jc w:val="center"/>
        </w:trPr>
        <w:tc>
          <w:tcPr>
            <w:tcW w:w="156" w:type="pct"/>
            <w:vMerge w:val="continue"/>
            <w:noWrap w:val="0"/>
            <w:tcMar>
              <w:top w:w="0" w:type="dxa"/>
              <w:left w:w="0" w:type="dxa"/>
              <w:bottom w:w="0" w:type="dxa"/>
              <w:right w:w="0" w:type="dxa"/>
            </w:tcMar>
            <w:vAlign w:val="center"/>
          </w:tcPr>
          <w:p w14:paraId="259815E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7C750DB8">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4490ADB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7353AEB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1C361541">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一般</w:t>
            </w:r>
          </w:p>
        </w:tc>
        <w:tc>
          <w:tcPr>
            <w:tcW w:w="561" w:type="pct"/>
            <w:noWrap w:val="0"/>
            <w:tcMar>
              <w:top w:w="0" w:type="dxa"/>
              <w:left w:w="0" w:type="dxa"/>
              <w:bottom w:w="0" w:type="dxa"/>
              <w:right w:w="0" w:type="dxa"/>
            </w:tcMar>
            <w:vAlign w:val="center"/>
          </w:tcPr>
          <w:p w14:paraId="757F264C">
            <w:pPr>
              <w:keepNext w:val="0"/>
              <w:keepLines w:val="0"/>
              <w:pageBreakBefore w:val="0"/>
              <w:widowControl w:val="0"/>
              <w:kinsoku/>
              <w:wordWrap/>
              <w:overflowPunct/>
              <w:topLinePunct w:val="0"/>
              <w:autoSpaceDE/>
              <w:autoSpaceDN/>
              <w:bidi w:val="0"/>
              <w:adjustRightInd/>
              <w:snapToGrid/>
              <w:spacing w:line="30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未对安全设备经常性维护、保养的</w:t>
            </w:r>
          </w:p>
        </w:tc>
        <w:tc>
          <w:tcPr>
            <w:tcW w:w="873" w:type="pct"/>
            <w:noWrap w:val="0"/>
            <w:tcMar>
              <w:top w:w="0" w:type="dxa"/>
              <w:left w:w="0" w:type="dxa"/>
              <w:bottom w:w="0" w:type="dxa"/>
              <w:right w:w="0" w:type="dxa"/>
            </w:tcMar>
            <w:vAlign w:val="center"/>
          </w:tcPr>
          <w:p w14:paraId="47AB00ED">
            <w:pPr>
              <w:keepNext w:val="0"/>
              <w:keepLines w:val="0"/>
              <w:pageBreakBefore w:val="0"/>
              <w:widowControl w:val="0"/>
              <w:kinsoku/>
              <w:wordWrap/>
              <w:overflowPunct/>
              <w:topLinePunct w:val="0"/>
              <w:autoSpaceDE/>
              <w:autoSpaceDN/>
              <w:bidi w:val="0"/>
              <w:adjustRightInd/>
              <w:snapToGrid/>
              <w:spacing w:line="30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处2万元以下的罚款；逾期未改正的，处5万元以上10万元以下的罚款，对其直接负责的主管人员和其他直接责任人员处1万元以上1.3万元以下的罚款</w:t>
            </w:r>
          </w:p>
        </w:tc>
        <w:tc>
          <w:tcPr>
            <w:tcW w:w="158" w:type="pct"/>
            <w:vMerge w:val="continue"/>
            <w:noWrap w:val="0"/>
            <w:tcMar>
              <w:top w:w="0" w:type="dxa"/>
              <w:left w:w="0" w:type="dxa"/>
              <w:bottom w:w="0" w:type="dxa"/>
              <w:right w:w="0" w:type="dxa"/>
            </w:tcMar>
            <w:vAlign w:val="center"/>
          </w:tcPr>
          <w:p w14:paraId="755C633C">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lang w:val="en-US" w:eastAsia="zh-CN"/>
              </w:rPr>
            </w:pPr>
          </w:p>
        </w:tc>
      </w:tr>
      <w:tr w14:paraId="5D50A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969" w:hRule="atLeast"/>
          <w:jc w:val="center"/>
        </w:trPr>
        <w:tc>
          <w:tcPr>
            <w:tcW w:w="156" w:type="pct"/>
            <w:vMerge w:val="continue"/>
            <w:noWrap w:val="0"/>
            <w:tcMar>
              <w:top w:w="0" w:type="dxa"/>
              <w:left w:w="0" w:type="dxa"/>
              <w:bottom w:w="0" w:type="dxa"/>
              <w:right w:w="0" w:type="dxa"/>
            </w:tcMar>
            <w:vAlign w:val="center"/>
          </w:tcPr>
          <w:p w14:paraId="07727FCB">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796E6753">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0ADDF3A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0EA7467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1B9E30CB">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较重</w:t>
            </w:r>
          </w:p>
        </w:tc>
        <w:tc>
          <w:tcPr>
            <w:tcW w:w="561" w:type="pct"/>
            <w:noWrap w:val="0"/>
            <w:tcMar>
              <w:top w:w="0" w:type="dxa"/>
              <w:left w:w="0" w:type="dxa"/>
              <w:bottom w:w="0" w:type="dxa"/>
              <w:right w:w="0" w:type="dxa"/>
            </w:tcMar>
            <w:vAlign w:val="center"/>
          </w:tcPr>
          <w:p w14:paraId="6F8D9937">
            <w:pPr>
              <w:keepNext w:val="0"/>
              <w:keepLines w:val="0"/>
              <w:pageBreakBefore w:val="0"/>
              <w:widowControl w:val="0"/>
              <w:kinsoku/>
              <w:wordWrap/>
              <w:overflowPunct/>
              <w:topLinePunct w:val="0"/>
              <w:autoSpaceDE/>
              <w:autoSpaceDN/>
              <w:bidi w:val="0"/>
              <w:adjustRightInd/>
              <w:snapToGrid/>
              <w:spacing w:line="30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未对安全设备定期检测的</w:t>
            </w:r>
          </w:p>
        </w:tc>
        <w:tc>
          <w:tcPr>
            <w:tcW w:w="873" w:type="pct"/>
            <w:noWrap w:val="0"/>
            <w:tcMar>
              <w:top w:w="0" w:type="dxa"/>
              <w:left w:w="0" w:type="dxa"/>
              <w:bottom w:w="0" w:type="dxa"/>
              <w:right w:w="0" w:type="dxa"/>
            </w:tcMar>
            <w:vAlign w:val="center"/>
          </w:tcPr>
          <w:p w14:paraId="19F505D2">
            <w:pPr>
              <w:keepNext w:val="0"/>
              <w:keepLines w:val="0"/>
              <w:pageBreakBefore w:val="0"/>
              <w:widowControl w:val="0"/>
              <w:kinsoku/>
              <w:wordWrap/>
              <w:overflowPunct/>
              <w:topLinePunct w:val="0"/>
              <w:autoSpaceDE/>
              <w:autoSpaceDN/>
              <w:bidi w:val="0"/>
              <w:adjustRightInd/>
              <w:snapToGrid/>
              <w:spacing w:line="30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处2万元以上4万元以下的罚款；逾期未改正的，处10万元以上15万元以下的罚款，对其直接负责的主管人员和其他直接责任人员处1.3万元以上1.6万元以下的罚款</w:t>
            </w:r>
          </w:p>
        </w:tc>
        <w:tc>
          <w:tcPr>
            <w:tcW w:w="158" w:type="pct"/>
            <w:vMerge w:val="continue"/>
            <w:noWrap w:val="0"/>
            <w:tcMar>
              <w:top w:w="0" w:type="dxa"/>
              <w:left w:w="0" w:type="dxa"/>
              <w:bottom w:w="0" w:type="dxa"/>
              <w:right w:w="0" w:type="dxa"/>
            </w:tcMar>
            <w:vAlign w:val="center"/>
          </w:tcPr>
          <w:p w14:paraId="580D9BE1">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lang w:val="en-US" w:eastAsia="zh-CN"/>
              </w:rPr>
            </w:pPr>
          </w:p>
        </w:tc>
      </w:tr>
      <w:tr w14:paraId="4320A1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912" w:hRule="atLeast"/>
          <w:jc w:val="center"/>
        </w:trPr>
        <w:tc>
          <w:tcPr>
            <w:tcW w:w="156" w:type="pct"/>
            <w:vMerge w:val="continue"/>
            <w:noWrap w:val="0"/>
            <w:tcMar>
              <w:top w:w="0" w:type="dxa"/>
              <w:left w:w="0" w:type="dxa"/>
              <w:bottom w:w="0" w:type="dxa"/>
              <w:right w:w="0" w:type="dxa"/>
            </w:tcMar>
            <w:vAlign w:val="center"/>
          </w:tcPr>
          <w:p w14:paraId="7FA1B99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7FC35580">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1909A1D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6A050B2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2F7CD94C">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严重</w:t>
            </w:r>
          </w:p>
        </w:tc>
        <w:tc>
          <w:tcPr>
            <w:tcW w:w="561" w:type="pct"/>
            <w:noWrap w:val="0"/>
            <w:tcMar>
              <w:top w:w="0" w:type="dxa"/>
              <w:left w:w="0" w:type="dxa"/>
              <w:bottom w:w="0" w:type="dxa"/>
              <w:right w:w="0" w:type="dxa"/>
            </w:tcMar>
            <w:vAlign w:val="center"/>
          </w:tcPr>
          <w:p w14:paraId="79FD7B13">
            <w:pPr>
              <w:keepNext w:val="0"/>
              <w:keepLines w:val="0"/>
              <w:pageBreakBefore w:val="0"/>
              <w:widowControl w:val="0"/>
              <w:kinsoku/>
              <w:wordWrap/>
              <w:overflowPunct/>
              <w:topLinePunct w:val="0"/>
              <w:autoSpaceDE/>
              <w:autoSpaceDN/>
              <w:bidi w:val="0"/>
              <w:adjustRightInd/>
              <w:snapToGrid/>
              <w:spacing w:line="30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既未对安全设备经常性维护、保养，又未对安全设备定期检测的</w:t>
            </w:r>
          </w:p>
        </w:tc>
        <w:tc>
          <w:tcPr>
            <w:tcW w:w="873" w:type="pct"/>
            <w:noWrap w:val="0"/>
            <w:tcMar>
              <w:top w:w="0" w:type="dxa"/>
              <w:left w:w="0" w:type="dxa"/>
              <w:bottom w:w="0" w:type="dxa"/>
              <w:right w:w="0" w:type="dxa"/>
            </w:tcMar>
            <w:vAlign w:val="center"/>
          </w:tcPr>
          <w:p w14:paraId="57FC096E">
            <w:pPr>
              <w:keepNext w:val="0"/>
              <w:keepLines w:val="0"/>
              <w:pageBreakBefore w:val="0"/>
              <w:widowControl w:val="0"/>
              <w:kinsoku/>
              <w:wordWrap/>
              <w:overflowPunct/>
              <w:topLinePunct w:val="0"/>
              <w:autoSpaceDE/>
              <w:autoSpaceDN/>
              <w:bidi w:val="0"/>
              <w:adjustRightInd/>
              <w:snapToGrid/>
              <w:spacing w:line="30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处4万元以上5万元以下的罚款；逾期未改正的，处15万元以上20万元以下的罚款，对其直接负责的主管人员和其他直接责任人员处1.6万元以上2万元以下的罚款</w:t>
            </w:r>
          </w:p>
        </w:tc>
        <w:tc>
          <w:tcPr>
            <w:tcW w:w="158" w:type="pct"/>
            <w:vMerge w:val="continue"/>
            <w:noWrap w:val="0"/>
            <w:tcMar>
              <w:top w:w="0" w:type="dxa"/>
              <w:left w:w="0" w:type="dxa"/>
              <w:bottom w:w="0" w:type="dxa"/>
              <w:right w:w="0" w:type="dxa"/>
            </w:tcMar>
            <w:vAlign w:val="center"/>
          </w:tcPr>
          <w:p w14:paraId="45903081">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lang w:val="en-US" w:eastAsia="zh-CN"/>
              </w:rPr>
            </w:pPr>
          </w:p>
        </w:tc>
      </w:tr>
      <w:tr w14:paraId="2E65B2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49AF580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57A4DE3B">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45CD2C4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restart"/>
            <w:noWrap w:val="0"/>
            <w:tcMar>
              <w:top w:w="0" w:type="dxa"/>
              <w:left w:w="0" w:type="dxa"/>
              <w:bottom w:w="0" w:type="dxa"/>
              <w:right w:w="0" w:type="dxa"/>
            </w:tcMar>
            <w:vAlign w:val="center"/>
          </w:tcPr>
          <w:p w14:paraId="4187065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生产经营单位未为从业人员提供符合国家标准或者行业标准的劳动防护用品的</w:t>
            </w:r>
          </w:p>
        </w:tc>
        <w:tc>
          <w:tcPr>
            <w:tcW w:w="174" w:type="pct"/>
            <w:noWrap w:val="0"/>
            <w:tcMar>
              <w:top w:w="0" w:type="dxa"/>
              <w:left w:w="0" w:type="dxa"/>
              <w:bottom w:w="0" w:type="dxa"/>
              <w:right w:w="0" w:type="dxa"/>
            </w:tcMar>
            <w:vAlign w:val="center"/>
          </w:tcPr>
          <w:p w14:paraId="3CA8C59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轻微</w:t>
            </w:r>
          </w:p>
        </w:tc>
        <w:tc>
          <w:tcPr>
            <w:tcW w:w="561" w:type="pct"/>
            <w:noWrap w:val="0"/>
            <w:tcMar>
              <w:top w:w="0" w:type="dxa"/>
              <w:left w:w="0" w:type="dxa"/>
              <w:bottom w:w="0" w:type="dxa"/>
              <w:right w:w="0" w:type="dxa"/>
            </w:tcMar>
            <w:vAlign w:val="center"/>
          </w:tcPr>
          <w:p w14:paraId="214E71A2">
            <w:pPr>
              <w:keepNext w:val="0"/>
              <w:keepLines w:val="0"/>
              <w:pageBreakBefore w:val="0"/>
              <w:widowControl w:val="0"/>
              <w:kinsoku/>
              <w:wordWrap/>
              <w:overflowPunct/>
              <w:topLinePunct w:val="0"/>
              <w:autoSpaceDE/>
              <w:autoSpaceDN/>
              <w:bidi w:val="0"/>
              <w:adjustRightInd/>
              <w:snapToGrid/>
              <w:spacing w:line="30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初次违法；不包含从事特种作业、高空作业、有限空间作业、有毒有害作业、易燃易爆区域作业的人员；在限定期限内完成整改；未造成危害后果</w:t>
            </w:r>
          </w:p>
          <w:p w14:paraId="5913B2A1">
            <w:pPr>
              <w:pStyle w:val="2"/>
              <w:spacing w:line="300" w:lineRule="exact"/>
              <w:rPr>
                <w:rFonts w:hint="eastAsia" w:ascii="宋体" w:hAnsi="宋体" w:eastAsia="宋体" w:cs="宋体"/>
                <w:sz w:val="18"/>
                <w:szCs w:val="18"/>
              </w:rPr>
            </w:pPr>
            <w:r>
              <w:rPr>
                <w:rStyle w:val="21"/>
                <w:rFonts w:hint="eastAsia" w:ascii="宋体" w:hAnsi="宋体" w:eastAsia="宋体" w:cs="宋体"/>
                <w:sz w:val="18"/>
                <w:szCs w:val="18"/>
                <w:lang w:val="en-US" w:eastAsia="zh-CN" w:bidi="ar"/>
              </w:rPr>
              <w:t>（注：符合上述所有情形的，不予处罚，应将本次违法情况进行登记备案，以后再发生类似问题的将不再适用本条件）</w:t>
            </w:r>
          </w:p>
        </w:tc>
        <w:tc>
          <w:tcPr>
            <w:tcW w:w="873" w:type="pct"/>
            <w:noWrap w:val="0"/>
            <w:tcMar>
              <w:top w:w="0" w:type="dxa"/>
              <w:left w:w="0" w:type="dxa"/>
              <w:bottom w:w="0" w:type="dxa"/>
              <w:right w:w="0" w:type="dxa"/>
            </w:tcMar>
            <w:vAlign w:val="center"/>
          </w:tcPr>
          <w:p w14:paraId="7761B781">
            <w:pPr>
              <w:keepNext w:val="0"/>
              <w:keepLines w:val="0"/>
              <w:pageBreakBefore w:val="0"/>
              <w:widowControl w:val="0"/>
              <w:kinsoku/>
              <w:wordWrap/>
              <w:overflowPunct/>
              <w:topLinePunct w:val="0"/>
              <w:autoSpaceDE/>
              <w:autoSpaceDN/>
              <w:bidi w:val="0"/>
              <w:adjustRightInd/>
              <w:snapToGrid/>
              <w:spacing w:line="30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不予处罚</w:t>
            </w:r>
          </w:p>
        </w:tc>
        <w:tc>
          <w:tcPr>
            <w:tcW w:w="158" w:type="pct"/>
            <w:vMerge w:val="restart"/>
            <w:noWrap w:val="0"/>
            <w:tcMar>
              <w:top w:w="0" w:type="dxa"/>
              <w:left w:w="0" w:type="dxa"/>
              <w:bottom w:w="0" w:type="dxa"/>
              <w:right w:w="0" w:type="dxa"/>
            </w:tcMar>
            <w:vAlign w:val="center"/>
          </w:tcPr>
          <w:p w14:paraId="60D18088">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lang w:val="en-US" w:eastAsia="zh-CN"/>
              </w:rPr>
            </w:pPr>
          </w:p>
        </w:tc>
      </w:tr>
      <w:tr w14:paraId="307E15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3124090A">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203174D8">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5CBCF74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6862A17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51FA60C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较轻</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52D480F5">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77A88695">
            <w:pPr>
              <w:spacing w:line="260" w:lineRule="exact"/>
              <w:rPr>
                <w:rFonts w:hint="eastAsia" w:ascii="宋体" w:hAnsi="宋体" w:eastAsia="宋体" w:cs="宋体"/>
                <w:color w:val="000000"/>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45EEA933">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6AF3B01F">
            <w:pPr>
              <w:spacing w:line="260" w:lineRule="exact"/>
              <w:rPr>
                <w:rFonts w:hint="eastAsia" w:ascii="宋体" w:hAnsi="宋体" w:eastAsia="宋体" w:cs="宋体"/>
                <w:color w:val="000000"/>
                <w:kern w:val="2"/>
                <w:sz w:val="18"/>
                <w:szCs w:val="18"/>
                <w:vertAlign w:val="baseline"/>
                <w:lang w:val="en-US" w:eastAsia="zh-CN" w:bidi="ar-SA"/>
              </w:rPr>
            </w:pPr>
          </w:p>
        </w:tc>
        <w:tc>
          <w:tcPr>
            <w:tcW w:w="158" w:type="pct"/>
            <w:vMerge w:val="continue"/>
            <w:noWrap w:val="0"/>
            <w:tcMar>
              <w:top w:w="0" w:type="dxa"/>
              <w:left w:w="0" w:type="dxa"/>
              <w:bottom w:w="0" w:type="dxa"/>
              <w:right w:w="0" w:type="dxa"/>
            </w:tcMar>
            <w:vAlign w:val="center"/>
          </w:tcPr>
          <w:p w14:paraId="1D2ABAB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lang w:val="en-US" w:eastAsia="zh-CN"/>
              </w:rPr>
            </w:pPr>
          </w:p>
        </w:tc>
      </w:tr>
      <w:tr w14:paraId="2C7411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170B0EE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578A8C4E">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206EB6F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3590D7F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6E8ECBE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一般</w:t>
            </w:r>
          </w:p>
        </w:tc>
        <w:tc>
          <w:tcPr>
            <w:tcW w:w="561" w:type="pct"/>
            <w:noWrap w:val="0"/>
            <w:tcMar>
              <w:top w:w="0" w:type="dxa"/>
              <w:left w:w="0" w:type="dxa"/>
              <w:bottom w:w="0" w:type="dxa"/>
              <w:right w:w="0" w:type="dxa"/>
            </w:tcMar>
            <w:vAlign w:val="center"/>
          </w:tcPr>
          <w:p w14:paraId="5869CDA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未为不足5名从业人员提供符合标准的劳动防护用品的</w:t>
            </w:r>
          </w:p>
        </w:tc>
        <w:tc>
          <w:tcPr>
            <w:tcW w:w="873" w:type="pct"/>
            <w:noWrap w:val="0"/>
            <w:tcMar>
              <w:top w:w="0" w:type="dxa"/>
              <w:left w:w="0" w:type="dxa"/>
              <w:bottom w:w="0" w:type="dxa"/>
              <w:right w:w="0" w:type="dxa"/>
            </w:tcMar>
            <w:vAlign w:val="center"/>
          </w:tcPr>
          <w:p w14:paraId="52B29404">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处2万元以下的罚款；逾期未改正的，处5万元以上10万元以下的罚款，对其直接负责的主管人员和其他直接责任人员处1万元以上1.3万元以下的罚款</w:t>
            </w:r>
          </w:p>
        </w:tc>
        <w:tc>
          <w:tcPr>
            <w:tcW w:w="158" w:type="pct"/>
            <w:vMerge w:val="continue"/>
            <w:noWrap w:val="0"/>
            <w:tcMar>
              <w:top w:w="0" w:type="dxa"/>
              <w:left w:w="0" w:type="dxa"/>
              <w:bottom w:w="0" w:type="dxa"/>
              <w:right w:w="0" w:type="dxa"/>
            </w:tcMar>
            <w:vAlign w:val="center"/>
          </w:tcPr>
          <w:p w14:paraId="0354B61C">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lang w:val="en-US" w:eastAsia="zh-CN"/>
              </w:rPr>
            </w:pPr>
          </w:p>
        </w:tc>
      </w:tr>
      <w:tr w14:paraId="6B4B0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779BF04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40B4CA2A">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461F323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2458250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235BD39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较重</w:t>
            </w:r>
          </w:p>
        </w:tc>
        <w:tc>
          <w:tcPr>
            <w:tcW w:w="561" w:type="pct"/>
            <w:noWrap w:val="0"/>
            <w:tcMar>
              <w:top w:w="0" w:type="dxa"/>
              <w:left w:w="0" w:type="dxa"/>
              <w:bottom w:w="0" w:type="dxa"/>
              <w:right w:w="0" w:type="dxa"/>
            </w:tcMar>
            <w:vAlign w:val="center"/>
          </w:tcPr>
          <w:p w14:paraId="4DBEB1D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未为5至9名从业人员提供符合标准的劳动防护用品的</w:t>
            </w:r>
          </w:p>
        </w:tc>
        <w:tc>
          <w:tcPr>
            <w:tcW w:w="873" w:type="pct"/>
            <w:noWrap w:val="0"/>
            <w:tcMar>
              <w:top w:w="0" w:type="dxa"/>
              <w:left w:w="0" w:type="dxa"/>
              <w:bottom w:w="0" w:type="dxa"/>
              <w:right w:w="0" w:type="dxa"/>
            </w:tcMar>
            <w:vAlign w:val="center"/>
          </w:tcPr>
          <w:p w14:paraId="7D3EDCA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处2万元以上4万元以下的罚款；逾期未改正的，处10万元以上15万元以下的罚款，对其直接负责的主管人员和其他直接责任人员处1.3万元以上1.6万元以下的罚款</w:t>
            </w:r>
          </w:p>
        </w:tc>
        <w:tc>
          <w:tcPr>
            <w:tcW w:w="158" w:type="pct"/>
            <w:vMerge w:val="continue"/>
            <w:noWrap w:val="0"/>
            <w:tcMar>
              <w:top w:w="0" w:type="dxa"/>
              <w:left w:w="0" w:type="dxa"/>
              <w:bottom w:w="0" w:type="dxa"/>
              <w:right w:w="0" w:type="dxa"/>
            </w:tcMar>
            <w:vAlign w:val="center"/>
          </w:tcPr>
          <w:p w14:paraId="38E5050C">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lang w:val="en-US" w:eastAsia="zh-CN"/>
              </w:rPr>
            </w:pPr>
          </w:p>
        </w:tc>
      </w:tr>
      <w:tr w14:paraId="33DDC0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0AD56B4D">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2D95A9CC">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6B7E546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6A1744C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7C0B8C7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严重</w:t>
            </w:r>
          </w:p>
        </w:tc>
        <w:tc>
          <w:tcPr>
            <w:tcW w:w="561" w:type="pct"/>
            <w:noWrap w:val="0"/>
            <w:tcMar>
              <w:top w:w="0" w:type="dxa"/>
              <w:left w:w="0" w:type="dxa"/>
              <w:bottom w:w="0" w:type="dxa"/>
              <w:right w:w="0" w:type="dxa"/>
            </w:tcMar>
            <w:vAlign w:val="center"/>
          </w:tcPr>
          <w:p w14:paraId="56BCF83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未为10名以上从业人员提供符合标准的劳动防护用品的</w:t>
            </w:r>
          </w:p>
        </w:tc>
        <w:tc>
          <w:tcPr>
            <w:tcW w:w="873" w:type="pct"/>
            <w:noWrap w:val="0"/>
            <w:tcMar>
              <w:top w:w="0" w:type="dxa"/>
              <w:left w:w="0" w:type="dxa"/>
              <w:bottom w:w="0" w:type="dxa"/>
              <w:right w:w="0" w:type="dxa"/>
            </w:tcMar>
            <w:vAlign w:val="center"/>
          </w:tcPr>
          <w:p w14:paraId="6169724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处4万元以上5万元以下的罚款；逾期未改正的，处15万元以上20万元以下的罚款，对其直接负责的主管人员和其他直接责任人员处1.6万元以上2万元以下的罚款</w:t>
            </w:r>
          </w:p>
        </w:tc>
        <w:tc>
          <w:tcPr>
            <w:tcW w:w="158" w:type="pct"/>
            <w:vMerge w:val="continue"/>
            <w:noWrap w:val="0"/>
            <w:tcMar>
              <w:top w:w="0" w:type="dxa"/>
              <w:left w:w="0" w:type="dxa"/>
              <w:bottom w:w="0" w:type="dxa"/>
              <w:right w:w="0" w:type="dxa"/>
            </w:tcMar>
            <w:vAlign w:val="center"/>
          </w:tcPr>
          <w:p w14:paraId="0F7AA27D">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lang w:val="en-US" w:eastAsia="zh-CN"/>
              </w:rPr>
            </w:pPr>
          </w:p>
        </w:tc>
      </w:tr>
      <w:tr w14:paraId="384777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4FF34F7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421943A2">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2F7D89E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restart"/>
            <w:noWrap w:val="0"/>
            <w:tcMar>
              <w:top w:w="0" w:type="dxa"/>
              <w:left w:w="0" w:type="dxa"/>
              <w:bottom w:w="0" w:type="dxa"/>
              <w:right w:w="0" w:type="dxa"/>
            </w:tcMar>
            <w:vAlign w:val="center"/>
          </w:tcPr>
          <w:p w14:paraId="1D23AD4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生产经营单位使用的危险物品的容器、运输工具，以及涉及人身安全、危险性较大的矿山井下特种设备未经具有专业资质的机构检测、检验合格，取得安全使用证或者安全标志，投入使用的</w:t>
            </w:r>
          </w:p>
        </w:tc>
        <w:tc>
          <w:tcPr>
            <w:tcW w:w="174" w:type="pct"/>
            <w:noWrap w:val="0"/>
            <w:tcMar>
              <w:top w:w="0" w:type="dxa"/>
              <w:left w:w="0" w:type="dxa"/>
              <w:bottom w:w="0" w:type="dxa"/>
              <w:right w:w="0" w:type="dxa"/>
            </w:tcMar>
            <w:vAlign w:val="center"/>
          </w:tcPr>
          <w:p w14:paraId="5C03830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轻微</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4C3A0099">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5FA46D81">
            <w:pPr>
              <w:spacing w:line="260" w:lineRule="exact"/>
              <w:rPr>
                <w:rFonts w:hint="eastAsia" w:ascii="宋体" w:hAnsi="宋体" w:eastAsia="宋体" w:cs="宋体"/>
                <w:color w:val="000000"/>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231B81D5">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5522A0CB">
            <w:pPr>
              <w:spacing w:line="260" w:lineRule="exact"/>
              <w:rPr>
                <w:rFonts w:hint="eastAsia" w:ascii="宋体" w:hAnsi="宋体" w:eastAsia="宋体" w:cs="宋体"/>
                <w:color w:val="000000"/>
                <w:kern w:val="2"/>
                <w:sz w:val="18"/>
                <w:szCs w:val="18"/>
                <w:vertAlign w:val="baseline"/>
                <w:lang w:val="en-US" w:eastAsia="zh-CN" w:bidi="ar-SA"/>
              </w:rPr>
            </w:pPr>
          </w:p>
        </w:tc>
        <w:tc>
          <w:tcPr>
            <w:tcW w:w="158" w:type="pct"/>
            <w:vMerge w:val="restart"/>
            <w:noWrap w:val="0"/>
            <w:tcMar>
              <w:top w:w="0" w:type="dxa"/>
              <w:left w:w="0" w:type="dxa"/>
              <w:bottom w:w="0" w:type="dxa"/>
              <w:right w:w="0" w:type="dxa"/>
            </w:tcMar>
            <w:vAlign w:val="center"/>
          </w:tcPr>
          <w:p w14:paraId="774758D5">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lang w:val="en-US" w:eastAsia="zh-CN"/>
              </w:rPr>
            </w:pPr>
          </w:p>
        </w:tc>
      </w:tr>
      <w:tr w14:paraId="5D4B68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54DE990D">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45A71325">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5D80992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337C06C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04B7F040">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较轻</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376CD664">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0D159F28">
            <w:pPr>
              <w:spacing w:line="260" w:lineRule="exact"/>
              <w:rPr>
                <w:rFonts w:hint="eastAsia" w:ascii="宋体" w:hAnsi="宋体" w:eastAsia="宋体" w:cs="宋体"/>
                <w:color w:val="000000"/>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526675A2">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161CBDCE">
            <w:pPr>
              <w:spacing w:line="260" w:lineRule="exact"/>
              <w:rPr>
                <w:rFonts w:hint="eastAsia" w:ascii="宋体" w:hAnsi="宋体" w:eastAsia="宋体" w:cs="宋体"/>
                <w:color w:val="000000"/>
                <w:kern w:val="2"/>
                <w:sz w:val="18"/>
                <w:szCs w:val="18"/>
                <w:vertAlign w:val="baseline"/>
                <w:lang w:val="en-US" w:eastAsia="zh-CN" w:bidi="ar-SA"/>
              </w:rPr>
            </w:pPr>
          </w:p>
        </w:tc>
        <w:tc>
          <w:tcPr>
            <w:tcW w:w="158" w:type="pct"/>
            <w:vMerge w:val="continue"/>
            <w:noWrap w:val="0"/>
            <w:tcMar>
              <w:top w:w="0" w:type="dxa"/>
              <w:left w:w="0" w:type="dxa"/>
              <w:bottom w:w="0" w:type="dxa"/>
              <w:right w:w="0" w:type="dxa"/>
            </w:tcMar>
            <w:vAlign w:val="center"/>
          </w:tcPr>
          <w:p w14:paraId="57BE4DA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lang w:val="en-US" w:eastAsia="zh-CN"/>
              </w:rPr>
            </w:pPr>
          </w:p>
        </w:tc>
      </w:tr>
      <w:tr w14:paraId="45B87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7B555A8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21C20A1A">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16E58D5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2218511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0430CF9C">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一般</w:t>
            </w:r>
          </w:p>
        </w:tc>
        <w:tc>
          <w:tcPr>
            <w:tcW w:w="561" w:type="pct"/>
            <w:noWrap w:val="0"/>
            <w:tcMar>
              <w:top w:w="0" w:type="dxa"/>
              <w:left w:w="0" w:type="dxa"/>
              <w:bottom w:w="0" w:type="dxa"/>
              <w:right w:w="0" w:type="dxa"/>
            </w:tcMar>
            <w:vAlign w:val="center"/>
          </w:tcPr>
          <w:p w14:paraId="2D09811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发现1台（套）未取得安全使用证或者安全标志的</w:t>
            </w:r>
          </w:p>
        </w:tc>
        <w:tc>
          <w:tcPr>
            <w:tcW w:w="873" w:type="pct"/>
            <w:noWrap w:val="0"/>
            <w:tcMar>
              <w:top w:w="0" w:type="dxa"/>
              <w:left w:w="0" w:type="dxa"/>
              <w:bottom w:w="0" w:type="dxa"/>
              <w:right w:w="0" w:type="dxa"/>
            </w:tcMar>
            <w:vAlign w:val="center"/>
          </w:tcPr>
          <w:p w14:paraId="67665FB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处2万元以下的罚款；逾期未改正的，处5万元以上10万元以下的罚款，对其直接负责的主管人员和其他直接责任人员处1万元以上1.3万元以下的罚款</w:t>
            </w:r>
          </w:p>
        </w:tc>
        <w:tc>
          <w:tcPr>
            <w:tcW w:w="158" w:type="pct"/>
            <w:vMerge w:val="continue"/>
            <w:noWrap w:val="0"/>
            <w:tcMar>
              <w:top w:w="0" w:type="dxa"/>
              <w:left w:w="0" w:type="dxa"/>
              <w:bottom w:w="0" w:type="dxa"/>
              <w:right w:w="0" w:type="dxa"/>
            </w:tcMar>
            <w:vAlign w:val="center"/>
          </w:tcPr>
          <w:p w14:paraId="3AB3CE60">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lang w:val="en-US" w:eastAsia="zh-CN"/>
              </w:rPr>
            </w:pPr>
          </w:p>
        </w:tc>
      </w:tr>
      <w:tr w14:paraId="2E260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7870860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4AE0DA48">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0AF141D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14BDCDC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307AF02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较重</w:t>
            </w:r>
          </w:p>
        </w:tc>
        <w:tc>
          <w:tcPr>
            <w:tcW w:w="561" w:type="pct"/>
            <w:noWrap w:val="0"/>
            <w:tcMar>
              <w:top w:w="0" w:type="dxa"/>
              <w:left w:w="0" w:type="dxa"/>
              <w:bottom w:w="0" w:type="dxa"/>
              <w:right w:w="0" w:type="dxa"/>
            </w:tcMar>
            <w:vAlign w:val="center"/>
          </w:tcPr>
          <w:p w14:paraId="37F619C4">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发现2台（套）未取得安全使用证或者安全标志的</w:t>
            </w:r>
          </w:p>
        </w:tc>
        <w:tc>
          <w:tcPr>
            <w:tcW w:w="873" w:type="pct"/>
            <w:noWrap w:val="0"/>
            <w:tcMar>
              <w:top w:w="0" w:type="dxa"/>
              <w:left w:w="0" w:type="dxa"/>
              <w:bottom w:w="0" w:type="dxa"/>
              <w:right w:w="0" w:type="dxa"/>
            </w:tcMar>
            <w:vAlign w:val="center"/>
          </w:tcPr>
          <w:p w14:paraId="2BB4F2E4">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处2万元以上4万元以下的罚款；逾期未改正的，处10万元以上15万元以下的罚款，对其直接负责的主管人员和其他直接责任人员处1.3万元以上1.6万元以下的罚款</w:t>
            </w:r>
          </w:p>
        </w:tc>
        <w:tc>
          <w:tcPr>
            <w:tcW w:w="158" w:type="pct"/>
            <w:vMerge w:val="continue"/>
            <w:noWrap w:val="0"/>
            <w:tcMar>
              <w:top w:w="0" w:type="dxa"/>
              <w:left w:w="0" w:type="dxa"/>
              <w:bottom w:w="0" w:type="dxa"/>
              <w:right w:w="0" w:type="dxa"/>
            </w:tcMar>
            <w:vAlign w:val="center"/>
          </w:tcPr>
          <w:p w14:paraId="76494871">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lang w:val="en-US" w:eastAsia="zh-CN"/>
              </w:rPr>
            </w:pPr>
          </w:p>
        </w:tc>
      </w:tr>
      <w:tr w14:paraId="0A8786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6F4B0FD0">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1ACD3E96">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3DAA955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3482A03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0C053200">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严重</w:t>
            </w:r>
          </w:p>
        </w:tc>
        <w:tc>
          <w:tcPr>
            <w:tcW w:w="561" w:type="pct"/>
            <w:noWrap w:val="0"/>
            <w:tcMar>
              <w:top w:w="0" w:type="dxa"/>
              <w:left w:w="0" w:type="dxa"/>
              <w:bottom w:w="0" w:type="dxa"/>
              <w:right w:w="0" w:type="dxa"/>
            </w:tcMar>
            <w:vAlign w:val="center"/>
          </w:tcPr>
          <w:p w14:paraId="2AC730B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发现3台（套）以上未取得安全使用证或者安全标志的</w:t>
            </w:r>
          </w:p>
        </w:tc>
        <w:tc>
          <w:tcPr>
            <w:tcW w:w="873" w:type="pct"/>
            <w:noWrap w:val="0"/>
            <w:tcMar>
              <w:top w:w="0" w:type="dxa"/>
              <w:left w:w="0" w:type="dxa"/>
              <w:bottom w:w="0" w:type="dxa"/>
              <w:right w:w="0" w:type="dxa"/>
            </w:tcMar>
            <w:vAlign w:val="center"/>
          </w:tcPr>
          <w:p w14:paraId="48F187C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处4万元以上5万元以下的罚款；逾期未改正的，处15万元以上20万元以下的罚款，对其直接负责的主管人员和其他直接责任人员处1.6万元以上2万元以下的罚款</w:t>
            </w:r>
          </w:p>
        </w:tc>
        <w:tc>
          <w:tcPr>
            <w:tcW w:w="158" w:type="pct"/>
            <w:vMerge w:val="continue"/>
            <w:noWrap w:val="0"/>
            <w:tcMar>
              <w:top w:w="0" w:type="dxa"/>
              <w:left w:w="0" w:type="dxa"/>
              <w:bottom w:w="0" w:type="dxa"/>
              <w:right w:w="0" w:type="dxa"/>
            </w:tcMar>
            <w:vAlign w:val="center"/>
          </w:tcPr>
          <w:p w14:paraId="6EFDF5E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lang w:val="en-US" w:eastAsia="zh-CN"/>
              </w:rPr>
            </w:pPr>
          </w:p>
        </w:tc>
      </w:tr>
      <w:tr w14:paraId="2ED66B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44E64BF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17EEBE69">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4844EEE4">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restart"/>
            <w:noWrap w:val="0"/>
            <w:tcMar>
              <w:top w:w="0" w:type="dxa"/>
              <w:left w:w="0" w:type="dxa"/>
              <w:bottom w:w="0" w:type="dxa"/>
              <w:right w:w="0" w:type="dxa"/>
            </w:tcMar>
            <w:vAlign w:val="center"/>
          </w:tcPr>
          <w:p w14:paraId="7CE96B8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生产经营单位使用应当淘汰的危及生产安全的工艺、设备的</w:t>
            </w:r>
          </w:p>
        </w:tc>
        <w:tc>
          <w:tcPr>
            <w:tcW w:w="174" w:type="pct"/>
            <w:noWrap w:val="0"/>
            <w:tcMar>
              <w:top w:w="0" w:type="dxa"/>
              <w:left w:w="0" w:type="dxa"/>
              <w:bottom w:w="0" w:type="dxa"/>
              <w:right w:w="0" w:type="dxa"/>
            </w:tcMar>
            <w:vAlign w:val="center"/>
          </w:tcPr>
          <w:p w14:paraId="2B1F9C3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r>
              <w:rPr>
                <w:rFonts w:hint="eastAsia" w:ascii="宋体" w:hAnsi="宋体" w:eastAsia="宋体" w:cs="宋体"/>
                <w:sz w:val="18"/>
                <w:szCs w:val="18"/>
                <w:vertAlign w:val="baseline"/>
                <w:lang w:val="en-US" w:eastAsia="zh-CN"/>
              </w:rPr>
              <w:t>轻微</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7210CAF8">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3D844121">
            <w:pPr>
              <w:spacing w:line="260" w:lineRule="exact"/>
              <w:rPr>
                <w:rFonts w:hint="eastAsia" w:ascii="宋体" w:hAnsi="宋体" w:eastAsia="宋体" w:cs="宋体"/>
                <w:color w:val="000000"/>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7A96846F">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5DD2939F">
            <w:pPr>
              <w:spacing w:line="260" w:lineRule="exact"/>
              <w:rPr>
                <w:rFonts w:hint="eastAsia" w:ascii="宋体" w:hAnsi="宋体" w:eastAsia="宋体" w:cs="宋体"/>
                <w:color w:val="000000"/>
                <w:kern w:val="2"/>
                <w:sz w:val="18"/>
                <w:szCs w:val="18"/>
                <w:vertAlign w:val="baseline"/>
                <w:lang w:val="en-US" w:eastAsia="zh-CN" w:bidi="ar-SA"/>
              </w:rPr>
            </w:pPr>
          </w:p>
        </w:tc>
        <w:tc>
          <w:tcPr>
            <w:tcW w:w="158" w:type="pct"/>
            <w:vMerge w:val="restart"/>
            <w:noWrap w:val="0"/>
            <w:tcMar>
              <w:top w:w="0" w:type="dxa"/>
              <w:left w:w="0" w:type="dxa"/>
              <w:bottom w:w="0" w:type="dxa"/>
              <w:right w:w="0" w:type="dxa"/>
            </w:tcMar>
            <w:vAlign w:val="center"/>
          </w:tcPr>
          <w:p w14:paraId="6AA5A010">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lang w:val="en-US" w:eastAsia="zh-CN"/>
              </w:rPr>
            </w:pPr>
          </w:p>
        </w:tc>
      </w:tr>
      <w:tr w14:paraId="108489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49404FC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49E5551B">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35E6F6D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48A3594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636FC52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r>
              <w:rPr>
                <w:rFonts w:hint="eastAsia" w:ascii="宋体" w:hAnsi="宋体" w:eastAsia="宋体" w:cs="宋体"/>
                <w:sz w:val="18"/>
                <w:szCs w:val="18"/>
                <w:vertAlign w:val="baseline"/>
                <w:lang w:val="en-US" w:eastAsia="zh-CN"/>
              </w:rPr>
              <w:t>较轻</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0826FF1D">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1FAF6113">
            <w:pPr>
              <w:spacing w:line="260" w:lineRule="exact"/>
              <w:rPr>
                <w:rFonts w:hint="eastAsia" w:ascii="宋体" w:hAnsi="宋体" w:eastAsia="宋体" w:cs="宋体"/>
                <w:color w:val="000000"/>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5C4F0A94">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478D90AF">
            <w:pPr>
              <w:spacing w:line="260" w:lineRule="exact"/>
              <w:rPr>
                <w:rFonts w:hint="eastAsia" w:ascii="宋体" w:hAnsi="宋体" w:eastAsia="宋体" w:cs="宋体"/>
                <w:color w:val="000000"/>
                <w:kern w:val="2"/>
                <w:sz w:val="18"/>
                <w:szCs w:val="18"/>
                <w:vertAlign w:val="baseline"/>
                <w:lang w:val="en-US" w:eastAsia="zh-CN" w:bidi="ar-SA"/>
              </w:rPr>
            </w:pPr>
          </w:p>
        </w:tc>
        <w:tc>
          <w:tcPr>
            <w:tcW w:w="158" w:type="pct"/>
            <w:vMerge w:val="continue"/>
            <w:noWrap w:val="0"/>
            <w:tcMar>
              <w:top w:w="0" w:type="dxa"/>
              <w:left w:w="0" w:type="dxa"/>
              <w:bottom w:w="0" w:type="dxa"/>
              <w:right w:w="0" w:type="dxa"/>
            </w:tcMar>
            <w:vAlign w:val="center"/>
          </w:tcPr>
          <w:p w14:paraId="6125DE0B">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lang w:val="en-US" w:eastAsia="zh-CN"/>
              </w:rPr>
            </w:pPr>
          </w:p>
        </w:tc>
      </w:tr>
      <w:tr w14:paraId="4944A5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178A725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50247C1F">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39F82F8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3387F63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57984DD8">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r>
              <w:rPr>
                <w:rFonts w:hint="eastAsia" w:ascii="宋体" w:hAnsi="宋体" w:eastAsia="宋体" w:cs="宋体"/>
                <w:sz w:val="18"/>
                <w:szCs w:val="18"/>
                <w:vertAlign w:val="baseline"/>
                <w:lang w:val="en-US" w:eastAsia="zh-CN"/>
              </w:rPr>
              <w:t>一般</w:t>
            </w:r>
          </w:p>
        </w:tc>
        <w:tc>
          <w:tcPr>
            <w:tcW w:w="561" w:type="pct"/>
            <w:noWrap w:val="0"/>
            <w:tcMar>
              <w:top w:w="0" w:type="dxa"/>
              <w:left w:w="0" w:type="dxa"/>
              <w:bottom w:w="0" w:type="dxa"/>
              <w:right w:w="0" w:type="dxa"/>
            </w:tcMar>
            <w:vAlign w:val="center"/>
          </w:tcPr>
          <w:p w14:paraId="3271AE3B">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使用1台（套）国家明令淘汰、禁止使用的设备或者1 种工艺的</w:t>
            </w:r>
          </w:p>
        </w:tc>
        <w:tc>
          <w:tcPr>
            <w:tcW w:w="873" w:type="pct"/>
            <w:noWrap w:val="0"/>
            <w:tcMar>
              <w:top w:w="0" w:type="dxa"/>
              <w:left w:w="0" w:type="dxa"/>
              <w:bottom w:w="0" w:type="dxa"/>
              <w:right w:w="0" w:type="dxa"/>
            </w:tcMar>
            <w:vAlign w:val="center"/>
          </w:tcPr>
          <w:p w14:paraId="0989B2FC">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处2万元以下的罚款；逾期未改正的，处5万元以上10万元以下的罚款，对其直接负责的主管人员和其他直接责任人员处1万元以上1.3万元以下的罚款</w:t>
            </w:r>
          </w:p>
        </w:tc>
        <w:tc>
          <w:tcPr>
            <w:tcW w:w="158" w:type="pct"/>
            <w:vMerge w:val="continue"/>
            <w:noWrap w:val="0"/>
            <w:tcMar>
              <w:top w:w="0" w:type="dxa"/>
              <w:left w:w="0" w:type="dxa"/>
              <w:bottom w:w="0" w:type="dxa"/>
              <w:right w:w="0" w:type="dxa"/>
            </w:tcMar>
            <w:vAlign w:val="center"/>
          </w:tcPr>
          <w:p w14:paraId="1B87A18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lang w:val="en-US" w:eastAsia="zh-CN"/>
              </w:rPr>
            </w:pPr>
          </w:p>
        </w:tc>
      </w:tr>
      <w:tr w14:paraId="3AEE6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4C44ECA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6BD47727">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13C1DD9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0721F57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7964EB9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r>
              <w:rPr>
                <w:rFonts w:hint="eastAsia" w:ascii="宋体" w:hAnsi="宋体" w:eastAsia="宋体" w:cs="宋体"/>
                <w:sz w:val="18"/>
                <w:szCs w:val="18"/>
                <w:vertAlign w:val="baseline"/>
                <w:lang w:val="en-US" w:eastAsia="zh-CN"/>
              </w:rPr>
              <w:t>较重</w:t>
            </w:r>
          </w:p>
        </w:tc>
        <w:tc>
          <w:tcPr>
            <w:tcW w:w="561" w:type="pct"/>
            <w:noWrap w:val="0"/>
            <w:tcMar>
              <w:top w:w="0" w:type="dxa"/>
              <w:left w:w="0" w:type="dxa"/>
              <w:bottom w:w="0" w:type="dxa"/>
              <w:right w:w="0" w:type="dxa"/>
            </w:tcMar>
            <w:vAlign w:val="center"/>
          </w:tcPr>
          <w:p w14:paraId="7226F855">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使用2台（套）国家明令淘汰、禁止使用的设备或者2 种工艺的</w:t>
            </w:r>
          </w:p>
        </w:tc>
        <w:tc>
          <w:tcPr>
            <w:tcW w:w="873" w:type="pct"/>
            <w:noWrap w:val="0"/>
            <w:tcMar>
              <w:top w:w="0" w:type="dxa"/>
              <w:left w:w="0" w:type="dxa"/>
              <w:bottom w:w="0" w:type="dxa"/>
              <w:right w:w="0" w:type="dxa"/>
            </w:tcMar>
            <w:vAlign w:val="center"/>
          </w:tcPr>
          <w:p w14:paraId="1DA27479">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处2万元以上4万元以下的罚款；逾期未改正的，处10万元以上15万元以下的罚款，对其直接负责的主管人员和其他直接责任人员处1.3万元以上1.6万元以下的罚款</w:t>
            </w:r>
          </w:p>
        </w:tc>
        <w:tc>
          <w:tcPr>
            <w:tcW w:w="158" w:type="pct"/>
            <w:vMerge w:val="continue"/>
            <w:noWrap w:val="0"/>
            <w:tcMar>
              <w:top w:w="0" w:type="dxa"/>
              <w:left w:w="0" w:type="dxa"/>
              <w:bottom w:w="0" w:type="dxa"/>
              <w:right w:w="0" w:type="dxa"/>
            </w:tcMar>
            <w:vAlign w:val="center"/>
          </w:tcPr>
          <w:p w14:paraId="27E39B8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lang w:val="en-US" w:eastAsia="zh-CN"/>
              </w:rPr>
            </w:pPr>
          </w:p>
        </w:tc>
      </w:tr>
      <w:tr w14:paraId="3DCA0A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440" w:hRule="atLeast"/>
          <w:jc w:val="center"/>
        </w:trPr>
        <w:tc>
          <w:tcPr>
            <w:tcW w:w="156" w:type="pct"/>
            <w:vMerge w:val="continue"/>
            <w:noWrap w:val="0"/>
            <w:tcMar>
              <w:top w:w="0" w:type="dxa"/>
              <w:left w:w="0" w:type="dxa"/>
              <w:bottom w:w="0" w:type="dxa"/>
              <w:right w:w="0" w:type="dxa"/>
            </w:tcMar>
            <w:vAlign w:val="center"/>
          </w:tcPr>
          <w:p w14:paraId="1CE7CF75">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74FDA4E8">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4D61D0F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01651E2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12D9B04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r>
              <w:rPr>
                <w:rFonts w:hint="eastAsia" w:ascii="宋体" w:hAnsi="宋体" w:eastAsia="宋体" w:cs="宋体"/>
                <w:sz w:val="18"/>
                <w:szCs w:val="18"/>
                <w:vertAlign w:val="baseline"/>
                <w:lang w:val="en-US" w:eastAsia="zh-CN"/>
              </w:rPr>
              <w:t>严重</w:t>
            </w:r>
          </w:p>
        </w:tc>
        <w:tc>
          <w:tcPr>
            <w:tcW w:w="561" w:type="pct"/>
            <w:noWrap w:val="0"/>
            <w:tcMar>
              <w:top w:w="0" w:type="dxa"/>
              <w:left w:w="0" w:type="dxa"/>
              <w:bottom w:w="0" w:type="dxa"/>
              <w:right w:w="0" w:type="dxa"/>
            </w:tcMar>
            <w:vAlign w:val="center"/>
          </w:tcPr>
          <w:p w14:paraId="2AC7983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使用3台（套）以上国家明令淘汰、禁止使用的设备或者3种以上工艺的</w:t>
            </w:r>
          </w:p>
        </w:tc>
        <w:tc>
          <w:tcPr>
            <w:tcW w:w="873" w:type="pct"/>
            <w:noWrap w:val="0"/>
            <w:tcMar>
              <w:top w:w="0" w:type="dxa"/>
              <w:left w:w="0" w:type="dxa"/>
              <w:bottom w:w="0" w:type="dxa"/>
              <w:right w:w="0" w:type="dxa"/>
            </w:tcMar>
            <w:vAlign w:val="center"/>
          </w:tcPr>
          <w:p w14:paraId="766DC3E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处4万元以上5万元以下的罚款；逾期未改正的，处15万元以上20万元以下的罚款，对其直接负责的主管人员和其他直接责任人员处1.6万元以上2万元以下的罚款</w:t>
            </w:r>
          </w:p>
        </w:tc>
        <w:tc>
          <w:tcPr>
            <w:tcW w:w="158" w:type="pct"/>
            <w:vMerge w:val="continue"/>
            <w:noWrap w:val="0"/>
            <w:tcMar>
              <w:top w:w="0" w:type="dxa"/>
              <w:left w:w="0" w:type="dxa"/>
              <w:bottom w:w="0" w:type="dxa"/>
              <w:right w:w="0" w:type="dxa"/>
            </w:tcMar>
            <w:vAlign w:val="center"/>
          </w:tcPr>
          <w:p w14:paraId="20CF4630">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lang w:val="en-US" w:eastAsia="zh-CN"/>
              </w:rPr>
            </w:pPr>
          </w:p>
        </w:tc>
      </w:tr>
      <w:tr w14:paraId="4E5AC3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4D681225">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756EA647">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494FF5E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restart"/>
            <w:noWrap w:val="0"/>
            <w:tcMar>
              <w:top w:w="0" w:type="dxa"/>
              <w:left w:w="0" w:type="dxa"/>
              <w:bottom w:w="0" w:type="dxa"/>
              <w:right w:w="0" w:type="dxa"/>
            </w:tcMar>
            <w:vAlign w:val="center"/>
          </w:tcPr>
          <w:p w14:paraId="4268AA9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生产经营单位关闭、破坏直接关系生产安全的监控、报警、防护、救生设备、设施，或者篡改、隐瞒、销毁其相关数据、信息的。</w:t>
            </w:r>
          </w:p>
        </w:tc>
        <w:tc>
          <w:tcPr>
            <w:tcW w:w="174" w:type="pct"/>
            <w:noWrap w:val="0"/>
            <w:tcMar>
              <w:top w:w="0" w:type="dxa"/>
              <w:left w:w="0" w:type="dxa"/>
              <w:bottom w:w="0" w:type="dxa"/>
              <w:right w:w="0" w:type="dxa"/>
            </w:tcMar>
            <w:vAlign w:val="center"/>
          </w:tcPr>
          <w:p w14:paraId="7DB0A4B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轻微</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67BF77EE">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0B832C4F">
            <w:pPr>
              <w:spacing w:line="260" w:lineRule="exact"/>
              <w:rPr>
                <w:rFonts w:hint="eastAsia" w:ascii="宋体" w:hAnsi="宋体" w:eastAsia="宋体" w:cs="宋体"/>
                <w:color w:val="000000"/>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07D6240E">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2B8C1EDB">
            <w:pPr>
              <w:spacing w:line="260" w:lineRule="exact"/>
              <w:rPr>
                <w:rFonts w:hint="eastAsia" w:ascii="宋体" w:hAnsi="宋体" w:eastAsia="宋体" w:cs="宋体"/>
                <w:color w:val="000000"/>
                <w:kern w:val="2"/>
                <w:sz w:val="18"/>
                <w:szCs w:val="18"/>
                <w:vertAlign w:val="baseline"/>
                <w:lang w:val="en-US" w:eastAsia="zh-CN" w:bidi="ar-SA"/>
              </w:rPr>
            </w:pPr>
          </w:p>
        </w:tc>
        <w:tc>
          <w:tcPr>
            <w:tcW w:w="158" w:type="pct"/>
            <w:vMerge w:val="restart"/>
            <w:noWrap w:val="0"/>
            <w:tcMar>
              <w:top w:w="0" w:type="dxa"/>
              <w:left w:w="0" w:type="dxa"/>
              <w:bottom w:w="0" w:type="dxa"/>
              <w:right w:w="0" w:type="dxa"/>
            </w:tcMar>
            <w:vAlign w:val="center"/>
          </w:tcPr>
          <w:p w14:paraId="30B59B69">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lang w:val="en-US" w:eastAsia="zh-CN"/>
              </w:rPr>
            </w:pPr>
          </w:p>
        </w:tc>
      </w:tr>
      <w:tr w14:paraId="5A7DFA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124BE1F8">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18E5C4F5">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4978507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6E58ED9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6B3CAD0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较轻</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56FF072B">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3BCE7075">
            <w:pPr>
              <w:spacing w:line="260" w:lineRule="exact"/>
              <w:rPr>
                <w:rFonts w:hint="eastAsia" w:ascii="宋体" w:hAnsi="宋体" w:eastAsia="宋体" w:cs="宋体"/>
                <w:color w:val="000000"/>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08C51894">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67559503">
            <w:pPr>
              <w:spacing w:line="260" w:lineRule="exact"/>
              <w:rPr>
                <w:rFonts w:hint="eastAsia" w:ascii="宋体" w:hAnsi="宋体" w:eastAsia="宋体" w:cs="宋体"/>
                <w:color w:val="000000"/>
                <w:kern w:val="2"/>
                <w:sz w:val="18"/>
                <w:szCs w:val="18"/>
                <w:vertAlign w:val="baseline"/>
                <w:lang w:val="en-US" w:eastAsia="zh-CN" w:bidi="ar-SA"/>
              </w:rPr>
            </w:pPr>
          </w:p>
        </w:tc>
        <w:tc>
          <w:tcPr>
            <w:tcW w:w="158" w:type="pct"/>
            <w:vMerge w:val="continue"/>
            <w:noWrap w:val="0"/>
            <w:tcMar>
              <w:top w:w="0" w:type="dxa"/>
              <w:left w:w="0" w:type="dxa"/>
              <w:bottom w:w="0" w:type="dxa"/>
              <w:right w:w="0" w:type="dxa"/>
            </w:tcMar>
            <w:vAlign w:val="center"/>
          </w:tcPr>
          <w:p w14:paraId="52849439">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lang w:val="en-US" w:eastAsia="zh-CN"/>
              </w:rPr>
            </w:pPr>
          </w:p>
        </w:tc>
      </w:tr>
      <w:tr w14:paraId="6D181C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913" w:hRule="atLeast"/>
          <w:jc w:val="center"/>
        </w:trPr>
        <w:tc>
          <w:tcPr>
            <w:tcW w:w="156" w:type="pct"/>
            <w:vMerge w:val="continue"/>
            <w:noWrap w:val="0"/>
            <w:tcMar>
              <w:top w:w="0" w:type="dxa"/>
              <w:left w:w="0" w:type="dxa"/>
              <w:bottom w:w="0" w:type="dxa"/>
              <w:right w:w="0" w:type="dxa"/>
            </w:tcMar>
            <w:vAlign w:val="center"/>
          </w:tcPr>
          <w:p w14:paraId="1E3372A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5991AD49">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3F80936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095B3AE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05D11CF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一般</w:t>
            </w:r>
          </w:p>
        </w:tc>
        <w:tc>
          <w:tcPr>
            <w:tcW w:w="561" w:type="pct"/>
            <w:noWrap w:val="0"/>
            <w:tcMar>
              <w:top w:w="0" w:type="dxa"/>
              <w:left w:w="0" w:type="dxa"/>
              <w:bottom w:w="0" w:type="dxa"/>
              <w:right w:w="0" w:type="dxa"/>
            </w:tcMar>
            <w:vAlign w:val="center"/>
          </w:tcPr>
          <w:p w14:paraId="7064D80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关闭、破坏直接关系生产安全的监控、报警、防护、救生设备、设施1台（套）的或篡改、隐瞒、销毁直接关系生产安全相关数据、信息1条的</w:t>
            </w:r>
          </w:p>
        </w:tc>
        <w:tc>
          <w:tcPr>
            <w:tcW w:w="873" w:type="pct"/>
            <w:noWrap w:val="0"/>
            <w:tcMar>
              <w:top w:w="0" w:type="dxa"/>
              <w:left w:w="0" w:type="dxa"/>
              <w:bottom w:w="0" w:type="dxa"/>
              <w:right w:w="0" w:type="dxa"/>
            </w:tcMar>
            <w:vAlign w:val="center"/>
          </w:tcPr>
          <w:p w14:paraId="0F36572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处2万元以下的罚款；逾期未改正的，处5万元以上10万元以下的罚款，对其直接负责的主管人员和其他直接责任人员处1万元以上1.3万元以下的罚款</w:t>
            </w:r>
          </w:p>
        </w:tc>
        <w:tc>
          <w:tcPr>
            <w:tcW w:w="158" w:type="pct"/>
            <w:vMerge w:val="continue"/>
            <w:noWrap w:val="0"/>
            <w:tcMar>
              <w:top w:w="0" w:type="dxa"/>
              <w:left w:w="0" w:type="dxa"/>
              <w:bottom w:w="0" w:type="dxa"/>
              <w:right w:w="0" w:type="dxa"/>
            </w:tcMar>
            <w:vAlign w:val="center"/>
          </w:tcPr>
          <w:p w14:paraId="4579F6C8">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lang w:val="en-US" w:eastAsia="zh-CN"/>
              </w:rPr>
            </w:pPr>
          </w:p>
        </w:tc>
      </w:tr>
      <w:tr w14:paraId="151C1C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992" w:hRule="atLeast"/>
          <w:jc w:val="center"/>
        </w:trPr>
        <w:tc>
          <w:tcPr>
            <w:tcW w:w="156" w:type="pct"/>
            <w:vMerge w:val="continue"/>
            <w:noWrap w:val="0"/>
            <w:tcMar>
              <w:top w:w="0" w:type="dxa"/>
              <w:left w:w="0" w:type="dxa"/>
              <w:bottom w:w="0" w:type="dxa"/>
              <w:right w:w="0" w:type="dxa"/>
            </w:tcMar>
            <w:vAlign w:val="center"/>
          </w:tcPr>
          <w:p w14:paraId="23BC1B7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5F15C122">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1D60228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210B6A5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5683F7D1">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较重</w:t>
            </w:r>
          </w:p>
        </w:tc>
        <w:tc>
          <w:tcPr>
            <w:tcW w:w="561" w:type="pct"/>
            <w:noWrap w:val="0"/>
            <w:tcMar>
              <w:top w:w="0" w:type="dxa"/>
              <w:left w:w="0" w:type="dxa"/>
              <w:bottom w:w="0" w:type="dxa"/>
              <w:right w:w="0" w:type="dxa"/>
            </w:tcMar>
            <w:vAlign w:val="center"/>
          </w:tcPr>
          <w:p w14:paraId="72EC3337">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关闭、破坏直接关系生产安全的监控、报警、防护、救生设备、设施2台（套）的或篡改、隐瞒、销毁直接关系生产安全相关数据、信息2条的</w:t>
            </w:r>
          </w:p>
        </w:tc>
        <w:tc>
          <w:tcPr>
            <w:tcW w:w="873" w:type="pct"/>
            <w:noWrap w:val="0"/>
            <w:tcMar>
              <w:top w:w="0" w:type="dxa"/>
              <w:left w:w="0" w:type="dxa"/>
              <w:bottom w:w="0" w:type="dxa"/>
              <w:right w:w="0" w:type="dxa"/>
            </w:tcMar>
            <w:vAlign w:val="center"/>
          </w:tcPr>
          <w:p w14:paraId="10BB3E4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处2万元以上4万元以下的罚款；逾期未改正的，处10万元以上15万元以下的罚款，对其直接负责的主管人员和其他直接责任人员处1.3万元以上1.6万元以下的罚款</w:t>
            </w:r>
          </w:p>
        </w:tc>
        <w:tc>
          <w:tcPr>
            <w:tcW w:w="158" w:type="pct"/>
            <w:vMerge w:val="continue"/>
            <w:noWrap w:val="0"/>
            <w:tcMar>
              <w:top w:w="0" w:type="dxa"/>
              <w:left w:w="0" w:type="dxa"/>
              <w:bottom w:w="0" w:type="dxa"/>
              <w:right w:w="0" w:type="dxa"/>
            </w:tcMar>
            <w:vAlign w:val="center"/>
          </w:tcPr>
          <w:p w14:paraId="653EEB1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lang w:val="en-US" w:eastAsia="zh-CN"/>
              </w:rPr>
            </w:pPr>
          </w:p>
        </w:tc>
      </w:tr>
      <w:tr w14:paraId="07E63E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960" w:hRule="atLeast"/>
          <w:jc w:val="center"/>
        </w:trPr>
        <w:tc>
          <w:tcPr>
            <w:tcW w:w="156" w:type="pct"/>
            <w:vMerge w:val="continue"/>
            <w:noWrap w:val="0"/>
            <w:tcMar>
              <w:top w:w="0" w:type="dxa"/>
              <w:left w:w="0" w:type="dxa"/>
              <w:bottom w:w="0" w:type="dxa"/>
              <w:right w:w="0" w:type="dxa"/>
            </w:tcMar>
            <w:vAlign w:val="center"/>
          </w:tcPr>
          <w:p w14:paraId="6BAB883C">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49AC28FF">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2D31D8F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684AC1E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7423669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严重</w:t>
            </w:r>
          </w:p>
        </w:tc>
        <w:tc>
          <w:tcPr>
            <w:tcW w:w="561" w:type="pct"/>
            <w:noWrap w:val="0"/>
            <w:tcMar>
              <w:top w:w="0" w:type="dxa"/>
              <w:left w:w="0" w:type="dxa"/>
              <w:bottom w:w="0" w:type="dxa"/>
              <w:right w:w="0" w:type="dxa"/>
            </w:tcMar>
            <w:vAlign w:val="center"/>
          </w:tcPr>
          <w:p w14:paraId="4C0A1F7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关闭、破坏直接关系生产安全的监控、报警、防护、救生设备、设施3台（套）及以上的或篡改、隐瞒、销毁直接关系生产安全相关数据、信息3条及以上的</w:t>
            </w:r>
          </w:p>
        </w:tc>
        <w:tc>
          <w:tcPr>
            <w:tcW w:w="873" w:type="pct"/>
            <w:noWrap w:val="0"/>
            <w:tcMar>
              <w:top w:w="0" w:type="dxa"/>
              <w:left w:w="0" w:type="dxa"/>
              <w:bottom w:w="0" w:type="dxa"/>
              <w:right w:w="0" w:type="dxa"/>
            </w:tcMar>
            <w:vAlign w:val="center"/>
          </w:tcPr>
          <w:p w14:paraId="66342E0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处4万元以上5万元以下的罚款；逾期未改正的，处15万元以上20万元以下的罚款，对直接负责的主管人员和其他直接责任人员处1.6万元以上2万元以下的罚款</w:t>
            </w:r>
          </w:p>
        </w:tc>
        <w:tc>
          <w:tcPr>
            <w:tcW w:w="158" w:type="pct"/>
            <w:vMerge w:val="continue"/>
            <w:noWrap w:val="0"/>
            <w:tcMar>
              <w:top w:w="0" w:type="dxa"/>
              <w:left w:w="0" w:type="dxa"/>
              <w:bottom w:w="0" w:type="dxa"/>
              <w:right w:w="0" w:type="dxa"/>
            </w:tcMar>
            <w:vAlign w:val="center"/>
          </w:tcPr>
          <w:p w14:paraId="2B1B7A4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lang w:val="en-US" w:eastAsia="zh-CN"/>
              </w:rPr>
            </w:pPr>
          </w:p>
        </w:tc>
      </w:tr>
      <w:tr w14:paraId="4E1CD4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restart"/>
            <w:noWrap w:val="0"/>
            <w:tcMar>
              <w:top w:w="0" w:type="dxa"/>
              <w:left w:w="0" w:type="dxa"/>
              <w:bottom w:w="0" w:type="dxa"/>
              <w:right w:w="0" w:type="dxa"/>
            </w:tcMar>
            <w:vAlign w:val="center"/>
          </w:tcPr>
          <w:p w14:paraId="46BBD56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default" w:ascii="宋体" w:hAnsi="宋体" w:eastAsia="宋体" w:cs="宋体"/>
                <w:color w:val="000000"/>
                <w:sz w:val="18"/>
                <w:szCs w:val="18"/>
                <w:shd w:val="clear" w:color="auto" w:fill="auto"/>
                <w:vertAlign w:val="baseline"/>
                <w:lang w:val="en-US" w:eastAsia="zh-CN"/>
              </w:rPr>
            </w:pPr>
            <w:r>
              <w:rPr>
                <w:rFonts w:hint="eastAsia" w:ascii="宋体" w:hAnsi="宋体" w:eastAsia="宋体" w:cs="宋体"/>
                <w:color w:val="000000"/>
                <w:sz w:val="18"/>
                <w:szCs w:val="18"/>
                <w:shd w:val="clear" w:color="auto" w:fill="auto"/>
                <w:vertAlign w:val="baseline"/>
                <w:lang w:val="en-US" w:eastAsia="zh-CN"/>
              </w:rPr>
              <w:t>101</w:t>
            </w:r>
          </w:p>
        </w:tc>
        <w:tc>
          <w:tcPr>
            <w:tcW w:w="415" w:type="pct"/>
            <w:vMerge w:val="restart"/>
            <w:noWrap w:val="0"/>
            <w:tcMar>
              <w:top w:w="0" w:type="dxa"/>
              <w:left w:w="0" w:type="dxa"/>
              <w:bottom w:w="0" w:type="dxa"/>
              <w:right w:w="0" w:type="dxa"/>
            </w:tcMar>
            <w:vAlign w:val="center"/>
          </w:tcPr>
          <w:p w14:paraId="4F58E831">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对水利领域生产经营单位未建立专门安全管理制度、未采取可靠的安全措施，未制定应急预案等行为的行政处罚</w:t>
            </w:r>
          </w:p>
        </w:tc>
        <w:tc>
          <w:tcPr>
            <w:tcW w:w="2168" w:type="pct"/>
            <w:vMerge w:val="restart"/>
            <w:noWrap w:val="0"/>
            <w:tcMar>
              <w:top w:w="0" w:type="dxa"/>
              <w:left w:w="0" w:type="dxa"/>
              <w:bottom w:w="0" w:type="dxa"/>
              <w:right w:w="0" w:type="dxa"/>
            </w:tcMar>
            <w:vAlign w:val="center"/>
          </w:tcPr>
          <w:p w14:paraId="486D349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《中华人民共和国安全生产法》第一百零一条 生产经营单位有下列行为之一的，责令限期改正，处十万元以下的罚款；逾期未改正的，责令停产停业整顿，并处十万元以上二十万元以下的罚款，对其直接负责的主管人员和其他直接责任人员处二万元以上五万元以下的罚款；构成犯罪的，依照刑法有关规定追究刑事责任：</w:t>
            </w:r>
          </w:p>
          <w:p w14:paraId="41CB463C">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（一）生产、经营、运输、储存、使用危险物品或者处置废弃危险物品，未建立专门安全管理制度、未采取可靠的安全措施的；</w:t>
            </w:r>
          </w:p>
          <w:p w14:paraId="27D2D09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（二）对重大危险源未登记建档，未进行定期检测、评估、监控，未制定应急预案，或者未告知应急措施的；</w:t>
            </w:r>
          </w:p>
          <w:p w14:paraId="14797DB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（三）进行爆破、吊装、动火、临时用电以及国务院应急管理部门会同国务院有关部门规定的其他危险作业，未安排专门人员进行现场安全管理的；</w:t>
            </w:r>
          </w:p>
          <w:p w14:paraId="4822FF5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（四）未建立安全风险分级管控制度或者未按照安全风险分级采取相应管控措施的；</w:t>
            </w:r>
          </w:p>
          <w:p w14:paraId="4BA4264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（五）未建立事故隐患排查治理制度，或者重大事故隐患排查治理情况未按照规定报告的。</w:t>
            </w:r>
          </w:p>
        </w:tc>
        <w:tc>
          <w:tcPr>
            <w:tcW w:w="491" w:type="pct"/>
            <w:vMerge w:val="restart"/>
            <w:noWrap w:val="0"/>
            <w:tcMar>
              <w:top w:w="0" w:type="dxa"/>
              <w:left w:w="0" w:type="dxa"/>
              <w:bottom w:w="0" w:type="dxa"/>
              <w:right w:w="0" w:type="dxa"/>
            </w:tcMar>
            <w:vAlign w:val="center"/>
          </w:tcPr>
          <w:p w14:paraId="4F7D186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生产、经营、运输、储存、使用危险物品或者处置废弃危险物品，未建立专门安全管理制度、未采取可靠的安全措施的</w:t>
            </w:r>
          </w:p>
        </w:tc>
        <w:tc>
          <w:tcPr>
            <w:tcW w:w="174" w:type="pct"/>
            <w:noWrap w:val="0"/>
            <w:tcMar>
              <w:top w:w="0" w:type="dxa"/>
              <w:left w:w="0" w:type="dxa"/>
              <w:bottom w:w="0" w:type="dxa"/>
              <w:right w:w="0" w:type="dxa"/>
            </w:tcMar>
            <w:vAlign w:val="center"/>
          </w:tcPr>
          <w:p w14:paraId="7ECAF0A1">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轻微</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43A09739">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53A21181">
            <w:pPr>
              <w:spacing w:line="260" w:lineRule="exact"/>
              <w:rPr>
                <w:rFonts w:hint="eastAsia" w:ascii="宋体" w:hAnsi="宋体" w:eastAsia="宋体" w:cs="宋体"/>
                <w:color w:val="000000"/>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4CA44462">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234F5D47">
            <w:pPr>
              <w:spacing w:line="260" w:lineRule="exact"/>
              <w:rPr>
                <w:rFonts w:hint="eastAsia" w:ascii="宋体" w:hAnsi="宋体" w:eastAsia="宋体" w:cs="宋体"/>
                <w:color w:val="000000"/>
                <w:kern w:val="2"/>
                <w:sz w:val="18"/>
                <w:szCs w:val="18"/>
                <w:vertAlign w:val="baseline"/>
                <w:lang w:val="en-US" w:eastAsia="zh-CN" w:bidi="ar-SA"/>
              </w:rPr>
            </w:pPr>
          </w:p>
        </w:tc>
        <w:tc>
          <w:tcPr>
            <w:tcW w:w="158" w:type="pct"/>
            <w:vMerge w:val="restart"/>
            <w:noWrap w:val="0"/>
            <w:tcMar>
              <w:top w:w="0" w:type="dxa"/>
              <w:left w:w="0" w:type="dxa"/>
              <w:bottom w:w="0" w:type="dxa"/>
              <w:right w:w="0" w:type="dxa"/>
            </w:tcMar>
            <w:vAlign w:val="center"/>
          </w:tcPr>
          <w:p w14:paraId="011F5B6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kern w:val="2"/>
                <w:sz w:val="18"/>
                <w:szCs w:val="18"/>
                <w:vertAlign w:val="baseline"/>
                <w:lang w:val="en-US" w:eastAsia="zh-CN" w:bidi="ar-SA"/>
              </w:rPr>
            </w:pPr>
          </w:p>
        </w:tc>
      </w:tr>
      <w:tr w14:paraId="39674E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4FFAA33B">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50B7D8E9">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44F43E4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4137A67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792B369C">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较轻</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7791CCE4">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1C96BB81">
            <w:pPr>
              <w:spacing w:line="260" w:lineRule="exact"/>
              <w:rPr>
                <w:rFonts w:hint="eastAsia" w:ascii="宋体" w:hAnsi="宋体" w:eastAsia="宋体" w:cs="宋体"/>
                <w:color w:val="000000"/>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6A2B2D8A">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3A06CFEF">
            <w:pPr>
              <w:spacing w:line="260" w:lineRule="exact"/>
              <w:rPr>
                <w:rFonts w:hint="eastAsia" w:ascii="宋体" w:hAnsi="宋体" w:eastAsia="宋体" w:cs="宋体"/>
                <w:color w:val="000000"/>
                <w:kern w:val="2"/>
                <w:sz w:val="18"/>
                <w:szCs w:val="18"/>
                <w:vertAlign w:val="baseline"/>
                <w:lang w:val="en-US" w:eastAsia="zh-CN" w:bidi="ar-SA"/>
              </w:rPr>
            </w:pPr>
          </w:p>
        </w:tc>
        <w:tc>
          <w:tcPr>
            <w:tcW w:w="158" w:type="pct"/>
            <w:vMerge w:val="continue"/>
            <w:noWrap w:val="0"/>
            <w:tcMar>
              <w:top w:w="0" w:type="dxa"/>
              <w:left w:w="0" w:type="dxa"/>
              <w:bottom w:w="0" w:type="dxa"/>
              <w:right w:w="0" w:type="dxa"/>
            </w:tcMar>
            <w:vAlign w:val="center"/>
          </w:tcPr>
          <w:p w14:paraId="2C934F2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5004B2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461" w:hRule="atLeast"/>
          <w:jc w:val="center"/>
        </w:trPr>
        <w:tc>
          <w:tcPr>
            <w:tcW w:w="156" w:type="pct"/>
            <w:vMerge w:val="continue"/>
            <w:noWrap w:val="0"/>
            <w:tcMar>
              <w:top w:w="0" w:type="dxa"/>
              <w:left w:w="0" w:type="dxa"/>
              <w:bottom w:w="0" w:type="dxa"/>
              <w:right w:w="0" w:type="dxa"/>
            </w:tcMar>
            <w:vAlign w:val="center"/>
          </w:tcPr>
          <w:p w14:paraId="21478C40">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472D3CB7">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0C7C7C8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6CC50E1C">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288E543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一般</w:t>
            </w:r>
          </w:p>
        </w:tc>
        <w:tc>
          <w:tcPr>
            <w:tcW w:w="561" w:type="pct"/>
            <w:noWrap w:val="0"/>
            <w:tcMar>
              <w:top w:w="0" w:type="dxa"/>
              <w:left w:w="0" w:type="dxa"/>
              <w:bottom w:w="0" w:type="dxa"/>
              <w:right w:w="0" w:type="dxa"/>
            </w:tcMar>
            <w:vAlign w:val="center"/>
          </w:tcPr>
          <w:p w14:paraId="7110934C">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建立的安全管理制度不全或者未采取可靠的安全措施的</w:t>
            </w:r>
          </w:p>
        </w:tc>
        <w:tc>
          <w:tcPr>
            <w:tcW w:w="873" w:type="pct"/>
            <w:noWrap w:val="0"/>
            <w:tcMar>
              <w:top w:w="0" w:type="dxa"/>
              <w:left w:w="0" w:type="dxa"/>
              <w:bottom w:w="0" w:type="dxa"/>
              <w:right w:w="0" w:type="dxa"/>
            </w:tcMar>
            <w:vAlign w:val="center"/>
          </w:tcPr>
          <w:p w14:paraId="39E0663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处5万元以下的罚款；逾期未改正的，处10万元以上14万元以下的罚款，对其直接负责的主管人员和其他直接责任人员处2万元以上3万元以下的罚款</w:t>
            </w:r>
          </w:p>
        </w:tc>
        <w:tc>
          <w:tcPr>
            <w:tcW w:w="158" w:type="pct"/>
            <w:vMerge w:val="continue"/>
            <w:noWrap w:val="0"/>
            <w:tcMar>
              <w:top w:w="0" w:type="dxa"/>
              <w:left w:w="0" w:type="dxa"/>
              <w:bottom w:w="0" w:type="dxa"/>
              <w:right w:w="0" w:type="dxa"/>
            </w:tcMar>
            <w:vAlign w:val="center"/>
          </w:tcPr>
          <w:p w14:paraId="1E417DA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kern w:val="2"/>
                <w:sz w:val="18"/>
                <w:szCs w:val="18"/>
                <w:vertAlign w:val="baseline"/>
                <w:lang w:val="en-US" w:eastAsia="zh-CN" w:bidi="ar-SA"/>
              </w:rPr>
            </w:pPr>
          </w:p>
        </w:tc>
      </w:tr>
      <w:tr w14:paraId="0AD2A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472" w:hRule="atLeast"/>
          <w:jc w:val="center"/>
        </w:trPr>
        <w:tc>
          <w:tcPr>
            <w:tcW w:w="156" w:type="pct"/>
            <w:vMerge w:val="continue"/>
            <w:noWrap w:val="0"/>
            <w:tcMar>
              <w:top w:w="0" w:type="dxa"/>
              <w:left w:w="0" w:type="dxa"/>
              <w:bottom w:w="0" w:type="dxa"/>
              <w:right w:w="0" w:type="dxa"/>
            </w:tcMar>
            <w:vAlign w:val="center"/>
          </w:tcPr>
          <w:p w14:paraId="5B0A26AC">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38600532">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68E41D0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360A945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211A59F0">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较重</w:t>
            </w:r>
          </w:p>
        </w:tc>
        <w:tc>
          <w:tcPr>
            <w:tcW w:w="561" w:type="pct"/>
            <w:noWrap w:val="0"/>
            <w:tcMar>
              <w:top w:w="0" w:type="dxa"/>
              <w:left w:w="0" w:type="dxa"/>
              <w:bottom w:w="0" w:type="dxa"/>
              <w:right w:w="0" w:type="dxa"/>
            </w:tcMar>
            <w:vAlign w:val="center"/>
          </w:tcPr>
          <w:p w14:paraId="5BA530F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未建立专门安全管理制度或者未采取安全措施的</w:t>
            </w:r>
          </w:p>
        </w:tc>
        <w:tc>
          <w:tcPr>
            <w:tcW w:w="873" w:type="pct"/>
            <w:noWrap w:val="0"/>
            <w:tcMar>
              <w:top w:w="0" w:type="dxa"/>
              <w:left w:w="0" w:type="dxa"/>
              <w:bottom w:w="0" w:type="dxa"/>
              <w:right w:w="0" w:type="dxa"/>
            </w:tcMar>
            <w:vAlign w:val="center"/>
          </w:tcPr>
          <w:p w14:paraId="45F1978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处5万元以上8万元以下的罚款；逾期未改正的，处14万元以上18万元以下的罚款，对其直接负责的主管人员和其他直接责任人员处3万元以上4万元以下的罚款</w:t>
            </w:r>
          </w:p>
        </w:tc>
        <w:tc>
          <w:tcPr>
            <w:tcW w:w="158" w:type="pct"/>
            <w:vMerge w:val="continue"/>
            <w:noWrap w:val="0"/>
            <w:tcMar>
              <w:top w:w="0" w:type="dxa"/>
              <w:left w:w="0" w:type="dxa"/>
              <w:bottom w:w="0" w:type="dxa"/>
              <w:right w:w="0" w:type="dxa"/>
            </w:tcMar>
            <w:vAlign w:val="center"/>
          </w:tcPr>
          <w:p w14:paraId="30E346B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kern w:val="2"/>
                <w:sz w:val="18"/>
                <w:szCs w:val="18"/>
                <w:vertAlign w:val="baseline"/>
                <w:lang w:val="en-US" w:eastAsia="zh-CN" w:bidi="ar-SA"/>
              </w:rPr>
            </w:pPr>
          </w:p>
        </w:tc>
      </w:tr>
      <w:tr w14:paraId="27644F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496" w:hRule="atLeast"/>
          <w:jc w:val="center"/>
        </w:trPr>
        <w:tc>
          <w:tcPr>
            <w:tcW w:w="156" w:type="pct"/>
            <w:vMerge w:val="continue"/>
            <w:noWrap w:val="0"/>
            <w:tcMar>
              <w:top w:w="0" w:type="dxa"/>
              <w:left w:w="0" w:type="dxa"/>
              <w:bottom w:w="0" w:type="dxa"/>
              <w:right w:w="0" w:type="dxa"/>
            </w:tcMar>
            <w:vAlign w:val="center"/>
          </w:tcPr>
          <w:p w14:paraId="51C4491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148B12E2">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635E4AB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0B70CC57">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6D0A9851">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严重</w:t>
            </w:r>
          </w:p>
        </w:tc>
        <w:tc>
          <w:tcPr>
            <w:tcW w:w="561" w:type="pct"/>
            <w:noWrap w:val="0"/>
            <w:tcMar>
              <w:top w:w="0" w:type="dxa"/>
              <w:left w:w="0" w:type="dxa"/>
              <w:bottom w:w="0" w:type="dxa"/>
              <w:right w:w="0" w:type="dxa"/>
            </w:tcMar>
            <w:vAlign w:val="center"/>
          </w:tcPr>
          <w:p w14:paraId="13564B9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既未建立专门安全管理制度且又未采取安全措施的</w:t>
            </w:r>
          </w:p>
        </w:tc>
        <w:tc>
          <w:tcPr>
            <w:tcW w:w="873" w:type="pct"/>
            <w:noWrap w:val="0"/>
            <w:tcMar>
              <w:top w:w="0" w:type="dxa"/>
              <w:left w:w="0" w:type="dxa"/>
              <w:bottom w:w="0" w:type="dxa"/>
              <w:right w:w="0" w:type="dxa"/>
            </w:tcMar>
            <w:vAlign w:val="center"/>
          </w:tcPr>
          <w:p w14:paraId="412B6CF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处8万元以上10万元以下的罚款；逾期未改正的，处18万元以上20万元以下的罚款，对其直接负责的主管人员和其他直接责任人员处4万元以上5万元以下的罚款</w:t>
            </w:r>
          </w:p>
        </w:tc>
        <w:tc>
          <w:tcPr>
            <w:tcW w:w="158" w:type="pct"/>
            <w:vMerge w:val="continue"/>
            <w:noWrap w:val="0"/>
            <w:tcMar>
              <w:top w:w="0" w:type="dxa"/>
              <w:left w:w="0" w:type="dxa"/>
              <w:bottom w:w="0" w:type="dxa"/>
              <w:right w:w="0" w:type="dxa"/>
            </w:tcMar>
            <w:vAlign w:val="center"/>
          </w:tcPr>
          <w:p w14:paraId="3F6EE4EA">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kern w:val="2"/>
                <w:sz w:val="18"/>
                <w:szCs w:val="18"/>
                <w:vertAlign w:val="baseline"/>
                <w:lang w:val="en-US" w:eastAsia="zh-CN" w:bidi="ar-SA"/>
              </w:rPr>
            </w:pPr>
          </w:p>
        </w:tc>
      </w:tr>
      <w:tr w14:paraId="593C99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626C2BD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6A49316D">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2F57709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restart"/>
            <w:noWrap w:val="0"/>
            <w:tcMar>
              <w:top w:w="0" w:type="dxa"/>
              <w:left w:w="0" w:type="dxa"/>
              <w:bottom w:w="0" w:type="dxa"/>
              <w:right w:w="0" w:type="dxa"/>
            </w:tcMar>
            <w:vAlign w:val="center"/>
          </w:tcPr>
          <w:p w14:paraId="776A698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对重大危险源未登记建档，未进行定期检测、评估、监控，未制定应急预案，或者未告知应急措施的</w:t>
            </w:r>
          </w:p>
        </w:tc>
        <w:tc>
          <w:tcPr>
            <w:tcW w:w="174" w:type="pct"/>
            <w:noWrap w:val="0"/>
            <w:tcMar>
              <w:top w:w="0" w:type="dxa"/>
              <w:left w:w="0" w:type="dxa"/>
              <w:bottom w:w="0" w:type="dxa"/>
              <w:right w:w="0" w:type="dxa"/>
            </w:tcMar>
            <w:vAlign w:val="center"/>
          </w:tcPr>
          <w:p w14:paraId="7DC78069">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轻微</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38A9F629">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5F189C7A">
            <w:pPr>
              <w:spacing w:line="260" w:lineRule="exact"/>
              <w:rPr>
                <w:rFonts w:hint="eastAsia" w:ascii="宋体" w:hAnsi="宋体" w:eastAsia="宋体" w:cs="宋体"/>
                <w:color w:val="000000"/>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51C9A975">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281262ED">
            <w:pPr>
              <w:spacing w:line="260" w:lineRule="exact"/>
              <w:rPr>
                <w:rFonts w:hint="eastAsia" w:ascii="宋体" w:hAnsi="宋体" w:eastAsia="宋体" w:cs="宋体"/>
                <w:color w:val="000000"/>
                <w:kern w:val="2"/>
                <w:sz w:val="18"/>
                <w:szCs w:val="18"/>
                <w:vertAlign w:val="baseline"/>
                <w:lang w:val="en-US" w:eastAsia="zh-CN" w:bidi="ar-SA"/>
              </w:rPr>
            </w:pPr>
          </w:p>
        </w:tc>
        <w:tc>
          <w:tcPr>
            <w:tcW w:w="158" w:type="pct"/>
            <w:vMerge w:val="restart"/>
            <w:noWrap w:val="0"/>
            <w:tcMar>
              <w:top w:w="0" w:type="dxa"/>
              <w:left w:w="0" w:type="dxa"/>
              <w:bottom w:w="0" w:type="dxa"/>
              <w:right w:w="0" w:type="dxa"/>
            </w:tcMar>
            <w:vAlign w:val="center"/>
          </w:tcPr>
          <w:p w14:paraId="5CA1AF48">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kern w:val="2"/>
                <w:sz w:val="18"/>
                <w:szCs w:val="18"/>
                <w:vertAlign w:val="baseline"/>
                <w:lang w:val="en-US" w:eastAsia="zh-CN" w:bidi="ar-SA"/>
              </w:rPr>
            </w:pPr>
          </w:p>
        </w:tc>
      </w:tr>
      <w:tr w14:paraId="51FCA9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3CF5FDA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1A17E5CC">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530EA4F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7B30059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127C03F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较轻</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34C54203">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53785998">
            <w:pPr>
              <w:spacing w:line="260" w:lineRule="exact"/>
              <w:rPr>
                <w:rFonts w:hint="eastAsia" w:ascii="宋体" w:hAnsi="宋体" w:eastAsia="宋体" w:cs="宋体"/>
                <w:color w:val="000000"/>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2AE8395F">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1B8C695E">
            <w:pPr>
              <w:spacing w:line="260" w:lineRule="exact"/>
              <w:rPr>
                <w:rFonts w:hint="eastAsia" w:ascii="宋体" w:hAnsi="宋体" w:eastAsia="宋体" w:cs="宋体"/>
                <w:color w:val="000000"/>
                <w:kern w:val="2"/>
                <w:sz w:val="18"/>
                <w:szCs w:val="18"/>
                <w:vertAlign w:val="baseline"/>
                <w:lang w:val="en-US" w:eastAsia="zh-CN" w:bidi="ar-SA"/>
              </w:rPr>
            </w:pPr>
          </w:p>
        </w:tc>
        <w:tc>
          <w:tcPr>
            <w:tcW w:w="158" w:type="pct"/>
            <w:vMerge w:val="continue"/>
            <w:noWrap w:val="0"/>
            <w:tcMar>
              <w:top w:w="0" w:type="dxa"/>
              <w:left w:w="0" w:type="dxa"/>
              <w:bottom w:w="0" w:type="dxa"/>
              <w:right w:w="0" w:type="dxa"/>
            </w:tcMar>
            <w:vAlign w:val="center"/>
          </w:tcPr>
          <w:p w14:paraId="0F15E1E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68BABB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726" w:hRule="atLeast"/>
          <w:jc w:val="center"/>
        </w:trPr>
        <w:tc>
          <w:tcPr>
            <w:tcW w:w="156" w:type="pct"/>
            <w:vMerge w:val="continue"/>
            <w:noWrap w:val="0"/>
            <w:tcMar>
              <w:top w:w="0" w:type="dxa"/>
              <w:left w:w="0" w:type="dxa"/>
              <w:bottom w:w="0" w:type="dxa"/>
              <w:right w:w="0" w:type="dxa"/>
            </w:tcMar>
            <w:vAlign w:val="center"/>
          </w:tcPr>
          <w:p w14:paraId="63E6D3AB">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512C4339">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77CC16D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3280299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4C4A284C">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一般</w:t>
            </w:r>
          </w:p>
        </w:tc>
        <w:tc>
          <w:tcPr>
            <w:tcW w:w="561" w:type="pct"/>
            <w:noWrap w:val="0"/>
            <w:tcMar>
              <w:top w:w="0" w:type="dxa"/>
              <w:left w:w="0" w:type="dxa"/>
              <w:bottom w:w="0" w:type="dxa"/>
              <w:right w:w="0" w:type="dxa"/>
            </w:tcMar>
            <w:vAlign w:val="center"/>
          </w:tcPr>
          <w:p w14:paraId="57FF74D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存在未登记建档，或者未定期进行检测、评估、监控，或者未制定应急预案，或者未告知应急措施四种违法情形中的1种的</w:t>
            </w:r>
          </w:p>
        </w:tc>
        <w:tc>
          <w:tcPr>
            <w:tcW w:w="873" w:type="pct"/>
            <w:noWrap w:val="0"/>
            <w:tcMar>
              <w:top w:w="0" w:type="dxa"/>
              <w:left w:w="0" w:type="dxa"/>
              <w:bottom w:w="0" w:type="dxa"/>
              <w:right w:w="0" w:type="dxa"/>
            </w:tcMar>
            <w:vAlign w:val="center"/>
          </w:tcPr>
          <w:p w14:paraId="2E1A473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处4万元以下的罚款；逾期未改正的，处10万元以上14万元以下的罚款，对其直接负责的主管人员和其他直接责任人员处2万元以上3万元以下的罚款</w:t>
            </w:r>
          </w:p>
        </w:tc>
        <w:tc>
          <w:tcPr>
            <w:tcW w:w="158" w:type="pct"/>
            <w:vMerge w:val="continue"/>
            <w:noWrap w:val="0"/>
            <w:tcMar>
              <w:top w:w="0" w:type="dxa"/>
              <w:left w:w="0" w:type="dxa"/>
              <w:bottom w:w="0" w:type="dxa"/>
              <w:right w:w="0" w:type="dxa"/>
            </w:tcMar>
            <w:vAlign w:val="center"/>
          </w:tcPr>
          <w:p w14:paraId="1F22D94A">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kern w:val="2"/>
                <w:sz w:val="18"/>
                <w:szCs w:val="18"/>
                <w:vertAlign w:val="baseline"/>
                <w:lang w:val="en-US" w:eastAsia="zh-CN" w:bidi="ar-SA"/>
              </w:rPr>
            </w:pPr>
          </w:p>
        </w:tc>
      </w:tr>
      <w:tr w14:paraId="03D44F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2142812A">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100B2F60">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40D42C1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02B7C0D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7BA63D45">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较重</w:t>
            </w:r>
          </w:p>
        </w:tc>
        <w:tc>
          <w:tcPr>
            <w:tcW w:w="561" w:type="pct"/>
            <w:noWrap w:val="0"/>
            <w:tcMar>
              <w:top w:w="0" w:type="dxa"/>
              <w:left w:w="0" w:type="dxa"/>
              <w:bottom w:w="0" w:type="dxa"/>
              <w:right w:w="0" w:type="dxa"/>
            </w:tcMar>
            <w:vAlign w:val="center"/>
          </w:tcPr>
          <w:p w14:paraId="3486ACE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存在未登记建档，或者未定期进行检测、评估、监控，或者未制定应急预案，或者未告知应急措施四种违法情形中的2种的</w:t>
            </w:r>
          </w:p>
        </w:tc>
        <w:tc>
          <w:tcPr>
            <w:tcW w:w="873" w:type="pct"/>
            <w:noWrap w:val="0"/>
            <w:tcMar>
              <w:top w:w="0" w:type="dxa"/>
              <w:left w:w="0" w:type="dxa"/>
              <w:bottom w:w="0" w:type="dxa"/>
              <w:right w:w="0" w:type="dxa"/>
            </w:tcMar>
            <w:vAlign w:val="center"/>
          </w:tcPr>
          <w:p w14:paraId="5F09860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处4万元以上8万元以下的罚款；逾期未改正的，处14万元以上18万元以下的罚款，对其直接负责的主管人员和其他直接责任人员处3万元以上4万元以下的罚款</w:t>
            </w:r>
          </w:p>
        </w:tc>
        <w:tc>
          <w:tcPr>
            <w:tcW w:w="158" w:type="pct"/>
            <w:vMerge w:val="continue"/>
            <w:noWrap w:val="0"/>
            <w:tcMar>
              <w:top w:w="0" w:type="dxa"/>
              <w:left w:w="0" w:type="dxa"/>
              <w:bottom w:w="0" w:type="dxa"/>
              <w:right w:w="0" w:type="dxa"/>
            </w:tcMar>
            <w:vAlign w:val="center"/>
          </w:tcPr>
          <w:p w14:paraId="704BA659">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kern w:val="2"/>
                <w:sz w:val="18"/>
                <w:szCs w:val="18"/>
                <w:vertAlign w:val="baseline"/>
                <w:lang w:val="en-US" w:eastAsia="zh-CN" w:bidi="ar-SA"/>
              </w:rPr>
            </w:pPr>
          </w:p>
        </w:tc>
      </w:tr>
      <w:tr w14:paraId="0FF58D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1A21EFD9">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0A9A66E5">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4BF1D06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601019F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651EB8DA">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严重</w:t>
            </w:r>
          </w:p>
        </w:tc>
        <w:tc>
          <w:tcPr>
            <w:tcW w:w="561" w:type="pct"/>
            <w:noWrap w:val="0"/>
            <w:tcMar>
              <w:top w:w="0" w:type="dxa"/>
              <w:left w:w="0" w:type="dxa"/>
              <w:bottom w:w="0" w:type="dxa"/>
              <w:right w:w="0" w:type="dxa"/>
            </w:tcMar>
            <w:vAlign w:val="center"/>
          </w:tcPr>
          <w:p w14:paraId="2A08DD3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同时存在未登记建档，未定期进行检测、评估、监控，未制定应急预案，或者未告知应急措施四种违法情形3种以上的</w:t>
            </w:r>
          </w:p>
        </w:tc>
        <w:tc>
          <w:tcPr>
            <w:tcW w:w="873" w:type="pct"/>
            <w:noWrap w:val="0"/>
            <w:tcMar>
              <w:top w:w="0" w:type="dxa"/>
              <w:left w:w="0" w:type="dxa"/>
              <w:bottom w:w="0" w:type="dxa"/>
              <w:right w:w="0" w:type="dxa"/>
            </w:tcMar>
            <w:vAlign w:val="center"/>
          </w:tcPr>
          <w:p w14:paraId="69893BB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处8万元以上10万元以下的罚款；逾期未改正的，处18万元以上20万元以下的罚款，对其直接负责的主管人员和其他直接责任人员处4万元以上5万元以下的罚款</w:t>
            </w:r>
          </w:p>
        </w:tc>
        <w:tc>
          <w:tcPr>
            <w:tcW w:w="158" w:type="pct"/>
            <w:vMerge w:val="continue"/>
            <w:noWrap w:val="0"/>
            <w:tcMar>
              <w:top w:w="0" w:type="dxa"/>
              <w:left w:w="0" w:type="dxa"/>
              <w:bottom w:w="0" w:type="dxa"/>
              <w:right w:w="0" w:type="dxa"/>
            </w:tcMar>
            <w:vAlign w:val="center"/>
          </w:tcPr>
          <w:p w14:paraId="1AEF964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kern w:val="2"/>
                <w:sz w:val="18"/>
                <w:szCs w:val="18"/>
                <w:vertAlign w:val="baseline"/>
                <w:lang w:val="en-US" w:eastAsia="zh-CN" w:bidi="ar-SA"/>
              </w:rPr>
            </w:pPr>
          </w:p>
        </w:tc>
      </w:tr>
      <w:tr w14:paraId="7291DA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253B4CDD">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4DDF8D3F">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381D5D3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restart"/>
            <w:noWrap w:val="0"/>
            <w:tcMar>
              <w:top w:w="0" w:type="dxa"/>
              <w:left w:w="0" w:type="dxa"/>
              <w:bottom w:w="0" w:type="dxa"/>
              <w:right w:w="0" w:type="dxa"/>
            </w:tcMar>
            <w:vAlign w:val="center"/>
          </w:tcPr>
          <w:p w14:paraId="64F0740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进行爆破、吊装、动火、临时用电以及国务院应急管理部门会同国务院有关部门规定的其他危险作业，未安排专门人员进行现场安全管理的</w:t>
            </w:r>
          </w:p>
        </w:tc>
        <w:tc>
          <w:tcPr>
            <w:tcW w:w="174" w:type="pct"/>
            <w:noWrap w:val="0"/>
            <w:tcMar>
              <w:top w:w="0" w:type="dxa"/>
              <w:left w:w="0" w:type="dxa"/>
              <w:bottom w:w="0" w:type="dxa"/>
              <w:right w:w="0" w:type="dxa"/>
            </w:tcMar>
            <w:vAlign w:val="center"/>
          </w:tcPr>
          <w:p w14:paraId="6F285C98">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轻微</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4CF744FE">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154BFE00">
            <w:pPr>
              <w:spacing w:line="260" w:lineRule="exact"/>
              <w:rPr>
                <w:rFonts w:hint="eastAsia" w:ascii="宋体" w:hAnsi="宋体" w:eastAsia="宋体" w:cs="宋体"/>
                <w:color w:val="000000"/>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6F04EE01">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59B20850">
            <w:pPr>
              <w:spacing w:line="260" w:lineRule="exact"/>
              <w:rPr>
                <w:rFonts w:hint="eastAsia" w:ascii="宋体" w:hAnsi="宋体" w:eastAsia="宋体" w:cs="宋体"/>
                <w:color w:val="000000"/>
                <w:kern w:val="2"/>
                <w:sz w:val="18"/>
                <w:szCs w:val="18"/>
                <w:vertAlign w:val="baseline"/>
                <w:lang w:val="en-US" w:eastAsia="zh-CN" w:bidi="ar-SA"/>
              </w:rPr>
            </w:pPr>
          </w:p>
        </w:tc>
        <w:tc>
          <w:tcPr>
            <w:tcW w:w="158" w:type="pct"/>
            <w:vMerge w:val="restart"/>
            <w:noWrap w:val="0"/>
            <w:tcMar>
              <w:top w:w="0" w:type="dxa"/>
              <w:left w:w="0" w:type="dxa"/>
              <w:bottom w:w="0" w:type="dxa"/>
              <w:right w:w="0" w:type="dxa"/>
            </w:tcMar>
            <w:vAlign w:val="center"/>
          </w:tcPr>
          <w:p w14:paraId="0D0770CB">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lang w:val="en-US" w:eastAsia="zh-CN"/>
              </w:rPr>
            </w:pPr>
          </w:p>
        </w:tc>
      </w:tr>
      <w:tr w14:paraId="381B9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1B57DFC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6B86794C">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7B8FB3D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7A35BA4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69BBE66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较轻</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54BA40C2">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5E114E9D">
            <w:pPr>
              <w:spacing w:line="260" w:lineRule="exact"/>
              <w:rPr>
                <w:rFonts w:hint="eastAsia" w:ascii="宋体" w:hAnsi="宋体" w:eastAsia="宋体" w:cs="宋体"/>
                <w:color w:val="000000"/>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62DD0D11">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0EADFDE6">
            <w:pPr>
              <w:spacing w:line="260" w:lineRule="exact"/>
              <w:rPr>
                <w:rFonts w:hint="eastAsia" w:ascii="宋体" w:hAnsi="宋体" w:eastAsia="宋体" w:cs="宋体"/>
                <w:color w:val="000000"/>
                <w:kern w:val="2"/>
                <w:sz w:val="18"/>
                <w:szCs w:val="18"/>
                <w:vertAlign w:val="baseline"/>
                <w:lang w:val="en-US" w:eastAsia="zh-CN" w:bidi="ar-SA"/>
              </w:rPr>
            </w:pPr>
          </w:p>
        </w:tc>
        <w:tc>
          <w:tcPr>
            <w:tcW w:w="158" w:type="pct"/>
            <w:vMerge w:val="continue"/>
            <w:noWrap w:val="0"/>
            <w:tcMar>
              <w:top w:w="0" w:type="dxa"/>
              <w:left w:w="0" w:type="dxa"/>
              <w:bottom w:w="0" w:type="dxa"/>
              <w:right w:w="0" w:type="dxa"/>
            </w:tcMar>
            <w:vAlign w:val="center"/>
          </w:tcPr>
          <w:p w14:paraId="5151B82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lang w:val="en-US" w:eastAsia="zh-CN"/>
              </w:rPr>
            </w:pPr>
          </w:p>
        </w:tc>
      </w:tr>
      <w:tr w14:paraId="4B4BCC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4316EFE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1DEA06A8">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6AFE15E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02DFF54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5C8A5C6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一般</w:t>
            </w:r>
          </w:p>
        </w:tc>
        <w:tc>
          <w:tcPr>
            <w:tcW w:w="561" w:type="pct"/>
            <w:noWrap w:val="0"/>
            <w:tcMar>
              <w:top w:w="0" w:type="dxa"/>
              <w:left w:w="0" w:type="dxa"/>
              <w:bottom w:w="0" w:type="dxa"/>
              <w:right w:w="0" w:type="dxa"/>
            </w:tcMar>
            <w:vAlign w:val="center"/>
          </w:tcPr>
          <w:p w14:paraId="38C5B4D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发现有1处危险作业，未安排专门人员进行现场安全管理的</w:t>
            </w:r>
          </w:p>
        </w:tc>
        <w:tc>
          <w:tcPr>
            <w:tcW w:w="873" w:type="pct"/>
            <w:noWrap w:val="0"/>
            <w:tcMar>
              <w:top w:w="0" w:type="dxa"/>
              <w:left w:w="0" w:type="dxa"/>
              <w:bottom w:w="0" w:type="dxa"/>
              <w:right w:w="0" w:type="dxa"/>
            </w:tcMar>
            <w:vAlign w:val="center"/>
          </w:tcPr>
          <w:p w14:paraId="75486D2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处3万元以下的罚款；逾期未改正的，处10万元以上13万元以下的罚款，对其直接负责的主管人员和其他直接责任人员处2万元以上3万元以下的罚款</w:t>
            </w:r>
          </w:p>
        </w:tc>
        <w:tc>
          <w:tcPr>
            <w:tcW w:w="158" w:type="pct"/>
            <w:vMerge w:val="continue"/>
            <w:noWrap w:val="0"/>
            <w:tcMar>
              <w:top w:w="0" w:type="dxa"/>
              <w:left w:w="0" w:type="dxa"/>
              <w:bottom w:w="0" w:type="dxa"/>
              <w:right w:w="0" w:type="dxa"/>
            </w:tcMar>
            <w:vAlign w:val="center"/>
          </w:tcPr>
          <w:p w14:paraId="0EC7009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lang w:val="en-US" w:eastAsia="zh-CN"/>
              </w:rPr>
            </w:pPr>
          </w:p>
        </w:tc>
      </w:tr>
      <w:tr w14:paraId="2310E1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481" w:hRule="atLeast"/>
          <w:jc w:val="center"/>
        </w:trPr>
        <w:tc>
          <w:tcPr>
            <w:tcW w:w="156" w:type="pct"/>
            <w:vMerge w:val="continue"/>
            <w:noWrap w:val="0"/>
            <w:tcMar>
              <w:top w:w="0" w:type="dxa"/>
              <w:left w:w="0" w:type="dxa"/>
              <w:bottom w:w="0" w:type="dxa"/>
              <w:right w:w="0" w:type="dxa"/>
            </w:tcMar>
            <w:vAlign w:val="center"/>
          </w:tcPr>
          <w:p w14:paraId="50296B1D">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4EAC9FD0">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621B772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0DED9C6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0C23A08D">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较重</w:t>
            </w:r>
          </w:p>
        </w:tc>
        <w:tc>
          <w:tcPr>
            <w:tcW w:w="561" w:type="pct"/>
            <w:noWrap w:val="0"/>
            <w:tcMar>
              <w:top w:w="0" w:type="dxa"/>
              <w:left w:w="0" w:type="dxa"/>
              <w:bottom w:w="0" w:type="dxa"/>
              <w:right w:w="0" w:type="dxa"/>
            </w:tcMar>
            <w:vAlign w:val="center"/>
          </w:tcPr>
          <w:p w14:paraId="4C23DEA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发现有2处危险作业，未安排专门人员进行现场安全管理的</w:t>
            </w:r>
          </w:p>
        </w:tc>
        <w:tc>
          <w:tcPr>
            <w:tcW w:w="873" w:type="pct"/>
            <w:noWrap w:val="0"/>
            <w:tcMar>
              <w:top w:w="0" w:type="dxa"/>
              <w:left w:w="0" w:type="dxa"/>
              <w:bottom w:w="0" w:type="dxa"/>
              <w:right w:w="0" w:type="dxa"/>
            </w:tcMar>
            <w:vAlign w:val="center"/>
          </w:tcPr>
          <w:p w14:paraId="3E4FDC5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处3万元以上6万元以下的罚款；逾期未改正的，处13万元以上16万元以下的罚款，对其直接负责的主管人员和其他直接责任人员处3万元以上4万元以下的罚款</w:t>
            </w:r>
          </w:p>
        </w:tc>
        <w:tc>
          <w:tcPr>
            <w:tcW w:w="158" w:type="pct"/>
            <w:vMerge w:val="continue"/>
            <w:noWrap w:val="0"/>
            <w:tcMar>
              <w:top w:w="0" w:type="dxa"/>
              <w:left w:w="0" w:type="dxa"/>
              <w:bottom w:w="0" w:type="dxa"/>
              <w:right w:w="0" w:type="dxa"/>
            </w:tcMar>
            <w:vAlign w:val="center"/>
          </w:tcPr>
          <w:p w14:paraId="1A0E05CC">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lang w:val="en-US" w:eastAsia="zh-CN"/>
              </w:rPr>
            </w:pPr>
          </w:p>
        </w:tc>
      </w:tr>
      <w:tr w14:paraId="5FE3E5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452" w:hRule="atLeast"/>
          <w:jc w:val="center"/>
        </w:trPr>
        <w:tc>
          <w:tcPr>
            <w:tcW w:w="156" w:type="pct"/>
            <w:vMerge w:val="continue"/>
            <w:noWrap w:val="0"/>
            <w:tcMar>
              <w:top w:w="0" w:type="dxa"/>
              <w:left w:w="0" w:type="dxa"/>
              <w:bottom w:w="0" w:type="dxa"/>
              <w:right w:w="0" w:type="dxa"/>
            </w:tcMar>
            <w:vAlign w:val="center"/>
          </w:tcPr>
          <w:p w14:paraId="4EF60661">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0303B3CE">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2B7C9FC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7D905B2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6197CB3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严重</w:t>
            </w:r>
          </w:p>
        </w:tc>
        <w:tc>
          <w:tcPr>
            <w:tcW w:w="561" w:type="pct"/>
            <w:noWrap w:val="0"/>
            <w:tcMar>
              <w:top w:w="0" w:type="dxa"/>
              <w:left w:w="0" w:type="dxa"/>
              <w:bottom w:w="0" w:type="dxa"/>
              <w:right w:w="0" w:type="dxa"/>
            </w:tcMar>
            <w:vAlign w:val="center"/>
          </w:tcPr>
          <w:p w14:paraId="00E703A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发现有3处以上危险作业，未安排专门人员进行现场安全管理的</w:t>
            </w:r>
          </w:p>
        </w:tc>
        <w:tc>
          <w:tcPr>
            <w:tcW w:w="873" w:type="pct"/>
            <w:noWrap w:val="0"/>
            <w:tcMar>
              <w:top w:w="0" w:type="dxa"/>
              <w:left w:w="0" w:type="dxa"/>
              <w:bottom w:w="0" w:type="dxa"/>
              <w:right w:w="0" w:type="dxa"/>
            </w:tcMar>
            <w:vAlign w:val="center"/>
          </w:tcPr>
          <w:p w14:paraId="49DF49E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处6万元以上10万元以下的罚款；逾期未改正的，处16万元以上20万元以下的罚款，对其直接负责的主管人员和其他直接责任人员处4万元以上5万元以下的罚款</w:t>
            </w:r>
          </w:p>
        </w:tc>
        <w:tc>
          <w:tcPr>
            <w:tcW w:w="158" w:type="pct"/>
            <w:vMerge w:val="continue"/>
            <w:noWrap w:val="0"/>
            <w:tcMar>
              <w:top w:w="0" w:type="dxa"/>
              <w:left w:w="0" w:type="dxa"/>
              <w:bottom w:w="0" w:type="dxa"/>
              <w:right w:w="0" w:type="dxa"/>
            </w:tcMar>
            <w:vAlign w:val="center"/>
          </w:tcPr>
          <w:p w14:paraId="4324F02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lang w:val="en-US" w:eastAsia="zh-CN"/>
              </w:rPr>
            </w:pPr>
          </w:p>
        </w:tc>
      </w:tr>
      <w:tr w14:paraId="79362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726" w:hRule="atLeast"/>
          <w:jc w:val="center"/>
        </w:trPr>
        <w:tc>
          <w:tcPr>
            <w:tcW w:w="156" w:type="pct"/>
            <w:vMerge w:val="continue"/>
            <w:noWrap w:val="0"/>
            <w:tcMar>
              <w:top w:w="0" w:type="dxa"/>
              <w:left w:w="0" w:type="dxa"/>
              <w:bottom w:w="0" w:type="dxa"/>
              <w:right w:w="0" w:type="dxa"/>
            </w:tcMar>
            <w:vAlign w:val="center"/>
          </w:tcPr>
          <w:p w14:paraId="04C2CA1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3CDE6395">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28222E44">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restart"/>
            <w:noWrap w:val="0"/>
            <w:tcMar>
              <w:top w:w="0" w:type="dxa"/>
              <w:left w:w="0" w:type="dxa"/>
              <w:bottom w:w="0" w:type="dxa"/>
              <w:right w:w="0" w:type="dxa"/>
            </w:tcMar>
            <w:vAlign w:val="center"/>
          </w:tcPr>
          <w:p w14:paraId="1AAC61A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未建立安全风险分级管控制度或者未按照安全风险分级采取相应管控措施的</w:t>
            </w:r>
          </w:p>
        </w:tc>
        <w:tc>
          <w:tcPr>
            <w:tcW w:w="174" w:type="pct"/>
            <w:noWrap w:val="0"/>
            <w:tcMar>
              <w:top w:w="0" w:type="dxa"/>
              <w:left w:w="0" w:type="dxa"/>
              <w:bottom w:w="0" w:type="dxa"/>
              <w:right w:w="0" w:type="dxa"/>
            </w:tcMar>
            <w:vAlign w:val="center"/>
          </w:tcPr>
          <w:p w14:paraId="744BC79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轻微</w:t>
            </w:r>
          </w:p>
        </w:tc>
        <w:tc>
          <w:tcPr>
            <w:tcW w:w="561" w:type="pct"/>
            <w:noWrap w:val="0"/>
            <w:tcMar>
              <w:top w:w="0" w:type="dxa"/>
              <w:left w:w="0" w:type="dxa"/>
              <w:bottom w:w="0" w:type="dxa"/>
              <w:right w:w="0" w:type="dxa"/>
            </w:tcMar>
            <w:vAlign w:val="center"/>
          </w:tcPr>
          <w:p w14:paraId="62AB6E8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一般行业生产经营单位；初次违法；在限定期限内完成整改；未造成危害后果</w:t>
            </w:r>
          </w:p>
          <w:p w14:paraId="4C6FD9E3">
            <w:pPr>
              <w:pStyle w:val="2"/>
              <w:spacing w:line="260" w:lineRule="exact"/>
              <w:rPr>
                <w:rFonts w:hint="eastAsia" w:ascii="宋体" w:hAnsi="宋体" w:eastAsia="宋体" w:cs="宋体"/>
                <w:sz w:val="18"/>
                <w:szCs w:val="18"/>
                <w:lang w:val="en-US" w:eastAsia="zh-CN"/>
              </w:rPr>
            </w:pPr>
            <w:r>
              <w:rPr>
                <w:rStyle w:val="21"/>
                <w:rFonts w:hint="eastAsia" w:ascii="宋体" w:hAnsi="宋体" w:eastAsia="宋体" w:cs="宋体"/>
                <w:sz w:val="18"/>
                <w:szCs w:val="18"/>
                <w:lang w:val="en-US" w:eastAsia="zh-CN" w:bidi="ar"/>
              </w:rPr>
              <w:t>（注：符合上述所有情形的，不予处罚，应将本次违法情况进行登记备案，以后再发生类似问题的将不再适用本条件）</w:t>
            </w:r>
          </w:p>
        </w:tc>
        <w:tc>
          <w:tcPr>
            <w:tcW w:w="873" w:type="pct"/>
            <w:noWrap w:val="0"/>
            <w:tcMar>
              <w:top w:w="0" w:type="dxa"/>
              <w:left w:w="0" w:type="dxa"/>
              <w:bottom w:w="0" w:type="dxa"/>
              <w:right w:w="0" w:type="dxa"/>
            </w:tcMar>
            <w:vAlign w:val="center"/>
          </w:tcPr>
          <w:p w14:paraId="3EDFDEB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不予处罚</w:t>
            </w:r>
          </w:p>
        </w:tc>
        <w:tc>
          <w:tcPr>
            <w:tcW w:w="158" w:type="pct"/>
            <w:vMerge w:val="restart"/>
            <w:noWrap w:val="0"/>
            <w:tcMar>
              <w:top w:w="0" w:type="dxa"/>
              <w:left w:w="0" w:type="dxa"/>
              <w:bottom w:w="0" w:type="dxa"/>
              <w:right w:w="0" w:type="dxa"/>
            </w:tcMar>
            <w:vAlign w:val="center"/>
          </w:tcPr>
          <w:p w14:paraId="43F059F8">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lang w:val="en-US" w:eastAsia="zh-CN"/>
              </w:rPr>
            </w:pPr>
          </w:p>
        </w:tc>
      </w:tr>
      <w:tr w14:paraId="482DF7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32F67A2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575F7140">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0DF5E4B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4D93553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24DBEBD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较轻</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37E9F763">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4F0E8D0F">
            <w:pPr>
              <w:spacing w:line="260" w:lineRule="exact"/>
              <w:rPr>
                <w:rFonts w:hint="eastAsia" w:ascii="宋体" w:hAnsi="宋体" w:eastAsia="宋体" w:cs="宋体"/>
                <w:color w:val="000000"/>
                <w:kern w:val="2"/>
                <w:sz w:val="18"/>
                <w:szCs w:val="18"/>
                <w:vertAlign w:val="baseline"/>
                <w:lang w:val="en-US" w:eastAsia="zh-CN" w:bidi="ar-SA"/>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5159C34B">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1AADF6AA">
            <w:pPr>
              <w:spacing w:line="260" w:lineRule="exact"/>
              <w:rPr>
                <w:rFonts w:hint="eastAsia" w:ascii="宋体" w:hAnsi="宋体" w:eastAsia="宋体" w:cs="宋体"/>
                <w:color w:val="000000"/>
                <w:kern w:val="2"/>
                <w:sz w:val="18"/>
                <w:szCs w:val="18"/>
                <w:vertAlign w:val="baseline"/>
                <w:lang w:val="en-US" w:eastAsia="zh-CN" w:bidi="ar-SA"/>
              </w:rPr>
            </w:pPr>
          </w:p>
        </w:tc>
        <w:tc>
          <w:tcPr>
            <w:tcW w:w="158" w:type="pct"/>
            <w:vMerge w:val="continue"/>
            <w:noWrap w:val="0"/>
            <w:tcMar>
              <w:top w:w="0" w:type="dxa"/>
              <w:left w:w="0" w:type="dxa"/>
              <w:bottom w:w="0" w:type="dxa"/>
              <w:right w:w="0" w:type="dxa"/>
            </w:tcMar>
            <w:vAlign w:val="center"/>
          </w:tcPr>
          <w:p w14:paraId="16B9073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lang w:val="en-US" w:eastAsia="zh-CN"/>
              </w:rPr>
            </w:pPr>
          </w:p>
        </w:tc>
      </w:tr>
      <w:tr w14:paraId="191B7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721" w:hRule="atLeast"/>
          <w:jc w:val="center"/>
        </w:trPr>
        <w:tc>
          <w:tcPr>
            <w:tcW w:w="156" w:type="pct"/>
            <w:vMerge w:val="continue"/>
            <w:noWrap w:val="0"/>
            <w:tcMar>
              <w:top w:w="0" w:type="dxa"/>
              <w:left w:w="0" w:type="dxa"/>
              <w:bottom w:w="0" w:type="dxa"/>
              <w:right w:w="0" w:type="dxa"/>
            </w:tcMar>
            <w:vAlign w:val="center"/>
          </w:tcPr>
          <w:p w14:paraId="1753233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45C0AE05">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28EF169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3AAE2D7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05BE910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一般</w:t>
            </w:r>
          </w:p>
        </w:tc>
        <w:tc>
          <w:tcPr>
            <w:tcW w:w="561" w:type="pct"/>
            <w:noWrap w:val="0"/>
            <w:tcMar>
              <w:top w:w="0" w:type="dxa"/>
              <w:left w:w="0" w:type="dxa"/>
              <w:bottom w:w="0" w:type="dxa"/>
              <w:right w:w="0" w:type="dxa"/>
            </w:tcMar>
            <w:vAlign w:val="center"/>
          </w:tcPr>
          <w:p w14:paraId="18AA17A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rPr>
              <w:t>不涉及重大危险源且从业人员在100人以下的生产经营单位</w:t>
            </w:r>
          </w:p>
        </w:tc>
        <w:tc>
          <w:tcPr>
            <w:tcW w:w="873" w:type="pct"/>
            <w:noWrap w:val="0"/>
            <w:tcMar>
              <w:top w:w="0" w:type="dxa"/>
              <w:left w:w="0" w:type="dxa"/>
              <w:bottom w:w="0" w:type="dxa"/>
              <w:right w:w="0" w:type="dxa"/>
            </w:tcMar>
            <w:vAlign w:val="center"/>
          </w:tcPr>
          <w:p w14:paraId="34648EE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rPr>
              <w:t>处3万元以下的罚款；逾期未改正的，责令停产停业整顿，并处10万元以上12万元以下的罚款，对其直接负责的主管人员和其他直接责任人员处2万元以上3万元以下的罚款</w:t>
            </w:r>
          </w:p>
        </w:tc>
        <w:tc>
          <w:tcPr>
            <w:tcW w:w="158" w:type="pct"/>
            <w:vMerge w:val="continue"/>
            <w:noWrap w:val="0"/>
            <w:tcMar>
              <w:top w:w="0" w:type="dxa"/>
              <w:left w:w="0" w:type="dxa"/>
              <w:bottom w:w="0" w:type="dxa"/>
              <w:right w:w="0" w:type="dxa"/>
            </w:tcMar>
            <w:vAlign w:val="center"/>
          </w:tcPr>
          <w:p w14:paraId="444D9D7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lang w:val="en-US" w:eastAsia="zh-CN"/>
              </w:rPr>
            </w:pPr>
          </w:p>
        </w:tc>
      </w:tr>
      <w:tr w14:paraId="0CF52F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721" w:hRule="atLeast"/>
          <w:jc w:val="center"/>
        </w:trPr>
        <w:tc>
          <w:tcPr>
            <w:tcW w:w="156" w:type="pct"/>
            <w:vMerge w:val="continue"/>
            <w:noWrap w:val="0"/>
            <w:tcMar>
              <w:top w:w="0" w:type="dxa"/>
              <w:left w:w="0" w:type="dxa"/>
              <w:bottom w:w="0" w:type="dxa"/>
              <w:right w:w="0" w:type="dxa"/>
            </w:tcMar>
            <w:vAlign w:val="center"/>
          </w:tcPr>
          <w:p w14:paraId="0D0C97CC">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588BD854">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3C45FB1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01B34D6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0228944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较重</w:t>
            </w:r>
          </w:p>
        </w:tc>
        <w:tc>
          <w:tcPr>
            <w:tcW w:w="561" w:type="pct"/>
            <w:noWrap w:val="0"/>
            <w:tcMar>
              <w:top w:w="0" w:type="dxa"/>
              <w:left w:w="0" w:type="dxa"/>
              <w:bottom w:w="0" w:type="dxa"/>
              <w:right w:w="0" w:type="dxa"/>
            </w:tcMar>
            <w:vAlign w:val="center"/>
          </w:tcPr>
          <w:p w14:paraId="4900295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rPr>
              <w:t>不涉及重大危险源且从业人员在100人及以上的生产经营单位</w:t>
            </w:r>
          </w:p>
        </w:tc>
        <w:tc>
          <w:tcPr>
            <w:tcW w:w="873" w:type="pct"/>
            <w:noWrap w:val="0"/>
            <w:tcMar>
              <w:top w:w="0" w:type="dxa"/>
              <w:left w:w="0" w:type="dxa"/>
              <w:bottom w:w="0" w:type="dxa"/>
              <w:right w:w="0" w:type="dxa"/>
            </w:tcMar>
            <w:vAlign w:val="center"/>
          </w:tcPr>
          <w:p w14:paraId="364D381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rPr>
              <w:t>处3万元以上6万元以下的罚款；逾期未改正的，责令停产停业整顿，并处12万元以上16万元以下的罚款，对其直接负责的主管人员和其他直接责任人员处3万元以上4万元以下的罚款</w:t>
            </w:r>
          </w:p>
        </w:tc>
        <w:tc>
          <w:tcPr>
            <w:tcW w:w="158" w:type="pct"/>
            <w:vMerge w:val="continue"/>
            <w:noWrap w:val="0"/>
            <w:tcMar>
              <w:top w:w="0" w:type="dxa"/>
              <w:left w:w="0" w:type="dxa"/>
              <w:bottom w:w="0" w:type="dxa"/>
              <w:right w:w="0" w:type="dxa"/>
            </w:tcMar>
            <w:vAlign w:val="center"/>
          </w:tcPr>
          <w:p w14:paraId="0E7C356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lang w:val="en-US" w:eastAsia="zh-CN"/>
              </w:rPr>
            </w:pPr>
          </w:p>
        </w:tc>
      </w:tr>
      <w:tr w14:paraId="25F6D5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709" w:hRule="atLeast"/>
          <w:jc w:val="center"/>
        </w:trPr>
        <w:tc>
          <w:tcPr>
            <w:tcW w:w="156" w:type="pct"/>
            <w:vMerge w:val="continue"/>
            <w:noWrap w:val="0"/>
            <w:tcMar>
              <w:top w:w="0" w:type="dxa"/>
              <w:left w:w="0" w:type="dxa"/>
              <w:bottom w:w="0" w:type="dxa"/>
              <w:right w:w="0" w:type="dxa"/>
            </w:tcMar>
            <w:vAlign w:val="center"/>
          </w:tcPr>
          <w:p w14:paraId="6A70B14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0C1E28AB">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3681ED04">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06AFBCC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3B3F06E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严重</w:t>
            </w:r>
          </w:p>
        </w:tc>
        <w:tc>
          <w:tcPr>
            <w:tcW w:w="561" w:type="pct"/>
            <w:noWrap w:val="0"/>
            <w:tcMar>
              <w:top w:w="0" w:type="dxa"/>
              <w:left w:w="0" w:type="dxa"/>
              <w:bottom w:w="0" w:type="dxa"/>
              <w:right w:w="0" w:type="dxa"/>
            </w:tcMar>
            <w:vAlign w:val="center"/>
          </w:tcPr>
          <w:p w14:paraId="188CFEB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rPr>
              <w:t>涉及重大危险源的生产经营单位</w:t>
            </w:r>
          </w:p>
        </w:tc>
        <w:tc>
          <w:tcPr>
            <w:tcW w:w="873" w:type="pct"/>
            <w:noWrap w:val="0"/>
            <w:tcMar>
              <w:top w:w="0" w:type="dxa"/>
              <w:left w:w="0" w:type="dxa"/>
              <w:bottom w:w="0" w:type="dxa"/>
              <w:right w:w="0" w:type="dxa"/>
            </w:tcMar>
            <w:vAlign w:val="center"/>
          </w:tcPr>
          <w:p w14:paraId="48C2B81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rPr>
              <w:t>处6万元以上10万元以下的罚款；逾期未改正的，责令停产停业整顿，并处16万元以上20万元以下的罚款，对其直接负责的主管人员和其他直接责任人员处4万元以上5万元以下的罚款</w:t>
            </w:r>
          </w:p>
        </w:tc>
        <w:tc>
          <w:tcPr>
            <w:tcW w:w="158" w:type="pct"/>
            <w:vMerge w:val="continue"/>
            <w:noWrap w:val="0"/>
            <w:tcMar>
              <w:top w:w="0" w:type="dxa"/>
              <w:left w:w="0" w:type="dxa"/>
              <w:bottom w:w="0" w:type="dxa"/>
              <w:right w:w="0" w:type="dxa"/>
            </w:tcMar>
            <w:vAlign w:val="center"/>
          </w:tcPr>
          <w:p w14:paraId="7332F060">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lang w:val="en-US" w:eastAsia="zh-CN"/>
              </w:rPr>
            </w:pPr>
          </w:p>
        </w:tc>
      </w:tr>
      <w:tr w14:paraId="685D1C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156" w:type="pct"/>
            <w:vMerge w:val="continue"/>
            <w:noWrap w:val="0"/>
            <w:tcMar>
              <w:top w:w="0" w:type="dxa"/>
              <w:left w:w="0" w:type="dxa"/>
              <w:bottom w:w="0" w:type="dxa"/>
              <w:right w:w="0" w:type="dxa"/>
            </w:tcMar>
            <w:vAlign w:val="center"/>
          </w:tcPr>
          <w:p w14:paraId="6948B1E5">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5A9457E0">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50DED70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restart"/>
            <w:noWrap w:val="0"/>
            <w:tcMar>
              <w:top w:w="0" w:type="dxa"/>
              <w:left w:w="0" w:type="dxa"/>
              <w:bottom w:w="0" w:type="dxa"/>
              <w:right w:w="0" w:type="dxa"/>
            </w:tcMar>
            <w:vAlign w:val="center"/>
          </w:tcPr>
          <w:p w14:paraId="4B7D65C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未建立事故隐患排查治理制度，或者重大事故隐患排查治理情况未按照规定报告的</w:t>
            </w:r>
          </w:p>
        </w:tc>
        <w:tc>
          <w:tcPr>
            <w:tcW w:w="174" w:type="pct"/>
            <w:noWrap w:val="0"/>
            <w:tcMar>
              <w:top w:w="0" w:type="dxa"/>
              <w:left w:w="0" w:type="dxa"/>
              <w:bottom w:w="0" w:type="dxa"/>
              <w:right w:w="0" w:type="dxa"/>
            </w:tcMar>
            <w:vAlign w:val="center"/>
          </w:tcPr>
          <w:p w14:paraId="3FA6575C">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轻微</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465EC42F">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4AD2D740">
            <w:pPr>
              <w:spacing w:line="260" w:lineRule="exact"/>
              <w:rPr>
                <w:rFonts w:hint="eastAsia" w:ascii="宋体" w:hAnsi="宋体" w:eastAsia="宋体" w:cs="宋体"/>
                <w:color w:val="000000"/>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14A7A6A1">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4A1D2C6B">
            <w:pPr>
              <w:spacing w:line="260" w:lineRule="exact"/>
              <w:rPr>
                <w:rFonts w:hint="eastAsia" w:ascii="宋体" w:hAnsi="宋体" w:eastAsia="宋体" w:cs="宋体"/>
                <w:color w:val="000000"/>
                <w:kern w:val="2"/>
                <w:sz w:val="18"/>
                <w:szCs w:val="18"/>
                <w:vertAlign w:val="baseline"/>
                <w:lang w:val="en-US" w:eastAsia="zh-CN" w:bidi="ar-SA"/>
              </w:rPr>
            </w:pPr>
          </w:p>
        </w:tc>
        <w:tc>
          <w:tcPr>
            <w:tcW w:w="158" w:type="pct"/>
            <w:vMerge w:val="restart"/>
            <w:noWrap w:val="0"/>
            <w:tcMar>
              <w:top w:w="0" w:type="dxa"/>
              <w:left w:w="0" w:type="dxa"/>
              <w:bottom w:w="0" w:type="dxa"/>
              <w:right w:w="0" w:type="dxa"/>
            </w:tcMar>
            <w:vAlign w:val="center"/>
          </w:tcPr>
          <w:p w14:paraId="2F2898C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lang w:val="en-US" w:eastAsia="zh-CN"/>
              </w:rPr>
            </w:pPr>
          </w:p>
        </w:tc>
      </w:tr>
      <w:tr w14:paraId="3C54CF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156" w:type="pct"/>
            <w:vMerge w:val="continue"/>
            <w:noWrap w:val="0"/>
            <w:tcMar>
              <w:top w:w="0" w:type="dxa"/>
              <w:left w:w="0" w:type="dxa"/>
              <w:bottom w:w="0" w:type="dxa"/>
              <w:right w:w="0" w:type="dxa"/>
            </w:tcMar>
            <w:vAlign w:val="center"/>
          </w:tcPr>
          <w:p w14:paraId="5CC2DAD9">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349A374E">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4D1C03C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4A76CFD4">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18E3313C">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较轻</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491FE74C">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0B659BCA">
            <w:pPr>
              <w:spacing w:line="260" w:lineRule="exact"/>
              <w:rPr>
                <w:rFonts w:hint="eastAsia" w:ascii="宋体" w:hAnsi="宋体" w:eastAsia="宋体" w:cs="宋体"/>
                <w:color w:val="000000"/>
                <w:kern w:val="2"/>
                <w:sz w:val="18"/>
                <w:szCs w:val="18"/>
                <w:vertAlign w:val="baseline"/>
                <w:lang w:val="en-US" w:eastAsia="zh-CN" w:bidi="ar-SA"/>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24D98E5E">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7360C575">
            <w:pPr>
              <w:spacing w:line="260" w:lineRule="exact"/>
              <w:rPr>
                <w:rFonts w:hint="eastAsia" w:ascii="宋体" w:hAnsi="宋体" w:eastAsia="宋体" w:cs="宋体"/>
                <w:color w:val="000000"/>
                <w:kern w:val="2"/>
                <w:sz w:val="18"/>
                <w:szCs w:val="18"/>
                <w:vertAlign w:val="baseline"/>
                <w:lang w:val="en-US" w:eastAsia="zh-CN" w:bidi="ar-SA"/>
              </w:rPr>
            </w:pPr>
          </w:p>
        </w:tc>
        <w:tc>
          <w:tcPr>
            <w:tcW w:w="158" w:type="pct"/>
            <w:vMerge w:val="continue"/>
            <w:noWrap w:val="0"/>
            <w:tcMar>
              <w:top w:w="0" w:type="dxa"/>
              <w:left w:w="0" w:type="dxa"/>
              <w:bottom w:w="0" w:type="dxa"/>
              <w:right w:w="0" w:type="dxa"/>
            </w:tcMar>
            <w:vAlign w:val="center"/>
          </w:tcPr>
          <w:p w14:paraId="67C787F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lang w:val="en-US" w:eastAsia="zh-CN"/>
              </w:rPr>
            </w:pPr>
          </w:p>
        </w:tc>
      </w:tr>
      <w:tr w14:paraId="6064B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2600EA1B">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1763F392">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452D115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6CF10A3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0B861AE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一般</w:t>
            </w:r>
          </w:p>
        </w:tc>
        <w:tc>
          <w:tcPr>
            <w:tcW w:w="561" w:type="pct"/>
            <w:noWrap w:val="0"/>
            <w:tcMar>
              <w:top w:w="0" w:type="dxa"/>
              <w:left w:w="0" w:type="dxa"/>
              <w:bottom w:w="0" w:type="dxa"/>
              <w:right w:w="0" w:type="dxa"/>
            </w:tcMar>
            <w:vAlign w:val="center"/>
          </w:tcPr>
          <w:p w14:paraId="101620EB">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sz w:val="18"/>
                <w:szCs w:val="18"/>
                <w:vertAlign w:val="baseline"/>
              </w:rPr>
              <w:t>未建立事故隐患排查治理制度的</w:t>
            </w:r>
          </w:p>
        </w:tc>
        <w:tc>
          <w:tcPr>
            <w:tcW w:w="873" w:type="pct"/>
            <w:noWrap w:val="0"/>
            <w:tcMar>
              <w:top w:w="0" w:type="dxa"/>
              <w:left w:w="0" w:type="dxa"/>
              <w:bottom w:w="0" w:type="dxa"/>
              <w:right w:w="0" w:type="dxa"/>
            </w:tcMar>
            <w:vAlign w:val="center"/>
          </w:tcPr>
          <w:p w14:paraId="21AFF40D">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处3万元以下的罚款；逾期未改正的，处10万元以上13万元以下的罚款，对其直接负责的主管人员和其他直接责任人员处2万元以上3万元以下的罚款</w:t>
            </w:r>
          </w:p>
        </w:tc>
        <w:tc>
          <w:tcPr>
            <w:tcW w:w="158" w:type="pct"/>
            <w:vMerge w:val="continue"/>
            <w:noWrap w:val="0"/>
            <w:tcMar>
              <w:top w:w="0" w:type="dxa"/>
              <w:left w:w="0" w:type="dxa"/>
              <w:bottom w:w="0" w:type="dxa"/>
              <w:right w:w="0" w:type="dxa"/>
            </w:tcMar>
            <w:vAlign w:val="center"/>
          </w:tcPr>
          <w:p w14:paraId="700B0AF8">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lang w:val="en-US" w:eastAsia="zh-CN"/>
              </w:rPr>
            </w:pPr>
          </w:p>
        </w:tc>
      </w:tr>
      <w:tr w14:paraId="0AE1C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4C3A345C">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39BED4F7">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471A7BB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3A06E26C">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5C12E05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较重</w:t>
            </w:r>
          </w:p>
        </w:tc>
        <w:tc>
          <w:tcPr>
            <w:tcW w:w="561" w:type="pct"/>
            <w:noWrap w:val="0"/>
            <w:tcMar>
              <w:top w:w="0" w:type="dxa"/>
              <w:left w:w="0" w:type="dxa"/>
              <w:bottom w:w="0" w:type="dxa"/>
              <w:right w:w="0" w:type="dxa"/>
            </w:tcMar>
            <w:vAlign w:val="center"/>
          </w:tcPr>
          <w:p w14:paraId="6A8FC11C">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sz w:val="18"/>
                <w:szCs w:val="18"/>
                <w:vertAlign w:val="baseline"/>
              </w:rPr>
              <w:t>重大事故隐患排查治理情况未按规定报告的</w:t>
            </w:r>
          </w:p>
        </w:tc>
        <w:tc>
          <w:tcPr>
            <w:tcW w:w="873" w:type="pct"/>
            <w:noWrap w:val="0"/>
            <w:tcMar>
              <w:top w:w="0" w:type="dxa"/>
              <w:left w:w="0" w:type="dxa"/>
              <w:bottom w:w="0" w:type="dxa"/>
              <w:right w:w="0" w:type="dxa"/>
            </w:tcMar>
            <w:vAlign w:val="center"/>
          </w:tcPr>
          <w:p w14:paraId="1F4D7EAE">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处3万元以上6万元以下的罚款；逾期未改正的，处13万元以上16万元以下的罚款，对其直接负责的主管人员和其他直接责任人员处3万元以上4万元以下的罚款</w:t>
            </w:r>
          </w:p>
        </w:tc>
        <w:tc>
          <w:tcPr>
            <w:tcW w:w="158" w:type="pct"/>
            <w:vMerge w:val="continue"/>
            <w:noWrap w:val="0"/>
            <w:tcMar>
              <w:top w:w="0" w:type="dxa"/>
              <w:left w:w="0" w:type="dxa"/>
              <w:bottom w:w="0" w:type="dxa"/>
              <w:right w:w="0" w:type="dxa"/>
            </w:tcMar>
            <w:vAlign w:val="center"/>
          </w:tcPr>
          <w:p w14:paraId="1403D29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lang w:val="en-US" w:eastAsia="zh-CN"/>
              </w:rPr>
            </w:pPr>
          </w:p>
        </w:tc>
      </w:tr>
      <w:tr w14:paraId="3D072D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1175B005">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3AB01B88">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606775DC">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6BE1C85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17F4A84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严重</w:t>
            </w:r>
          </w:p>
        </w:tc>
        <w:tc>
          <w:tcPr>
            <w:tcW w:w="561" w:type="pct"/>
            <w:noWrap w:val="0"/>
            <w:tcMar>
              <w:top w:w="0" w:type="dxa"/>
              <w:left w:w="0" w:type="dxa"/>
              <w:bottom w:w="0" w:type="dxa"/>
              <w:right w:w="0" w:type="dxa"/>
            </w:tcMar>
            <w:vAlign w:val="center"/>
          </w:tcPr>
          <w:p w14:paraId="733E16C8">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sz w:val="18"/>
                <w:szCs w:val="18"/>
                <w:vertAlign w:val="baseline"/>
              </w:rPr>
              <w:t>未建立事故隐患排查治理制度且重大事故隐患排查治理情况未按规定报告的</w:t>
            </w:r>
          </w:p>
        </w:tc>
        <w:tc>
          <w:tcPr>
            <w:tcW w:w="873" w:type="pct"/>
            <w:noWrap w:val="0"/>
            <w:tcMar>
              <w:top w:w="0" w:type="dxa"/>
              <w:left w:w="0" w:type="dxa"/>
              <w:bottom w:w="0" w:type="dxa"/>
              <w:right w:w="0" w:type="dxa"/>
            </w:tcMar>
            <w:vAlign w:val="center"/>
          </w:tcPr>
          <w:p w14:paraId="7FA7AA49">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责令限期改正，处6万元以上10万元以下的罚款；逾期未改正的，处16万元以上20万元以下的罚款，对其直接负责的主管人员和其他直接责任人员处4万元以上5万元以下的罚款</w:t>
            </w:r>
          </w:p>
        </w:tc>
        <w:tc>
          <w:tcPr>
            <w:tcW w:w="158" w:type="pct"/>
            <w:vMerge w:val="continue"/>
            <w:noWrap w:val="0"/>
            <w:tcMar>
              <w:top w:w="0" w:type="dxa"/>
              <w:left w:w="0" w:type="dxa"/>
              <w:bottom w:w="0" w:type="dxa"/>
              <w:right w:w="0" w:type="dxa"/>
            </w:tcMar>
            <w:vAlign w:val="center"/>
          </w:tcPr>
          <w:p w14:paraId="2157AED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lang w:val="en-US" w:eastAsia="zh-CN"/>
              </w:rPr>
            </w:pPr>
          </w:p>
        </w:tc>
      </w:tr>
      <w:tr w14:paraId="06F6AC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156" w:type="pct"/>
            <w:vMerge w:val="restart"/>
            <w:noWrap w:val="0"/>
            <w:tcMar>
              <w:top w:w="0" w:type="dxa"/>
              <w:left w:w="0" w:type="dxa"/>
              <w:bottom w:w="0" w:type="dxa"/>
              <w:right w:w="0" w:type="dxa"/>
            </w:tcMar>
            <w:vAlign w:val="center"/>
          </w:tcPr>
          <w:p w14:paraId="3B972FA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r>
              <w:rPr>
                <w:rFonts w:hint="eastAsia" w:ascii="宋体" w:hAnsi="宋体" w:eastAsia="宋体" w:cs="宋体"/>
                <w:color w:val="000000"/>
                <w:sz w:val="18"/>
                <w:szCs w:val="18"/>
                <w:shd w:val="clear" w:color="auto" w:fill="auto"/>
                <w:vertAlign w:val="baseline"/>
                <w:lang w:val="en-US" w:eastAsia="zh-CN"/>
              </w:rPr>
              <w:t>102</w:t>
            </w:r>
          </w:p>
        </w:tc>
        <w:tc>
          <w:tcPr>
            <w:tcW w:w="415" w:type="pct"/>
            <w:vMerge w:val="restart"/>
            <w:noWrap w:val="0"/>
            <w:tcMar>
              <w:top w:w="0" w:type="dxa"/>
              <w:left w:w="0" w:type="dxa"/>
              <w:bottom w:w="0" w:type="dxa"/>
              <w:right w:w="0" w:type="dxa"/>
            </w:tcMar>
            <w:vAlign w:val="center"/>
          </w:tcPr>
          <w:p w14:paraId="4B372B8B">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对水利领域生产经营单位未采取措施消除事故隐患行为的行政处罚</w:t>
            </w:r>
          </w:p>
        </w:tc>
        <w:tc>
          <w:tcPr>
            <w:tcW w:w="2168" w:type="pct"/>
            <w:vMerge w:val="restart"/>
            <w:noWrap w:val="0"/>
            <w:tcMar>
              <w:top w:w="0" w:type="dxa"/>
              <w:left w:w="0" w:type="dxa"/>
              <w:bottom w:w="0" w:type="dxa"/>
              <w:right w:w="0" w:type="dxa"/>
            </w:tcMar>
            <w:vAlign w:val="center"/>
          </w:tcPr>
          <w:p w14:paraId="7490FC0C">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《中华人民共和国安全生产法》第一百零二条 生产经营单位未采取措施消除事故隐患的，责令立即消除或者限期消除，处五万元以下的罚款；生产经营单位拒不执行的，责令停产停业整顿，对其直接负责的主管人员和其他直接责任人员处五万元以上十万元以下的罚款；构成犯罪的，依照刑法有关规定追究刑事责任。</w:t>
            </w:r>
          </w:p>
        </w:tc>
        <w:tc>
          <w:tcPr>
            <w:tcW w:w="491" w:type="pct"/>
            <w:vMerge w:val="restart"/>
            <w:noWrap w:val="0"/>
            <w:tcMar>
              <w:top w:w="0" w:type="dxa"/>
              <w:left w:w="0" w:type="dxa"/>
              <w:bottom w:w="0" w:type="dxa"/>
              <w:right w:w="0" w:type="dxa"/>
            </w:tcMar>
            <w:vAlign w:val="center"/>
          </w:tcPr>
          <w:p w14:paraId="030A7D5C">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水利领域生产经营单位未采取措施消除事故隐患的</w:t>
            </w:r>
          </w:p>
        </w:tc>
        <w:tc>
          <w:tcPr>
            <w:tcW w:w="174" w:type="pct"/>
            <w:noWrap w:val="0"/>
            <w:tcMar>
              <w:top w:w="0" w:type="dxa"/>
              <w:left w:w="0" w:type="dxa"/>
              <w:bottom w:w="0" w:type="dxa"/>
              <w:right w:w="0" w:type="dxa"/>
            </w:tcMar>
            <w:vAlign w:val="center"/>
          </w:tcPr>
          <w:p w14:paraId="6E0BBD10">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轻微</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1D4FECA1">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2CF83A02">
            <w:pPr>
              <w:spacing w:line="260" w:lineRule="exact"/>
              <w:rPr>
                <w:rFonts w:hint="eastAsia" w:ascii="宋体" w:hAnsi="宋体" w:eastAsia="宋体" w:cs="宋体"/>
                <w:color w:val="000000"/>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1ADF200F">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2C019A8E">
            <w:pPr>
              <w:spacing w:line="260" w:lineRule="exact"/>
              <w:rPr>
                <w:rFonts w:hint="eastAsia" w:ascii="宋体" w:hAnsi="宋体" w:eastAsia="宋体" w:cs="宋体"/>
                <w:color w:val="000000"/>
                <w:kern w:val="2"/>
                <w:sz w:val="18"/>
                <w:szCs w:val="18"/>
                <w:vertAlign w:val="baseline"/>
                <w:lang w:val="en-US" w:eastAsia="zh-CN" w:bidi="ar-SA"/>
              </w:rPr>
            </w:pPr>
          </w:p>
        </w:tc>
        <w:tc>
          <w:tcPr>
            <w:tcW w:w="158" w:type="pct"/>
            <w:vMerge w:val="restart"/>
            <w:noWrap w:val="0"/>
            <w:tcMar>
              <w:top w:w="0" w:type="dxa"/>
              <w:left w:w="0" w:type="dxa"/>
              <w:bottom w:w="0" w:type="dxa"/>
              <w:right w:w="0" w:type="dxa"/>
            </w:tcMar>
            <w:vAlign w:val="center"/>
          </w:tcPr>
          <w:p w14:paraId="53AB6171">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kern w:val="2"/>
                <w:sz w:val="18"/>
                <w:szCs w:val="18"/>
                <w:vertAlign w:val="baseline"/>
                <w:lang w:val="en-US" w:eastAsia="zh-CN" w:bidi="ar-SA"/>
              </w:rPr>
            </w:pPr>
          </w:p>
        </w:tc>
      </w:tr>
      <w:tr w14:paraId="77828E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039637AB">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1620B736">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24738D9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527DDB7C">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38E4E915">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较轻</w:t>
            </w:r>
          </w:p>
        </w:tc>
        <w:tc>
          <w:tcPr>
            <w:tcW w:w="561" w:type="pct"/>
            <w:noWrap w:val="0"/>
            <w:tcMar>
              <w:top w:w="0" w:type="dxa"/>
              <w:left w:w="0" w:type="dxa"/>
              <w:bottom w:w="0" w:type="dxa"/>
              <w:right w:w="0" w:type="dxa"/>
            </w:tcMar>
            <w:vAlign w:val="center"/>
          </w:tcPr>
          <w:p w14:paraId="0F5ADAF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发现生产经营单位存在1处一般事故隐患未采取措施消除的</w:t>
            </w:r>
          </w:p>
        </w:tc>
        <w:tc>
          <w:tcPr>
            <w:tcW w:w="873" w:type="pct"/>
            <w:noWrap w:val="0"/>
            <w:tcMar>
              <w:top w:w="0" w:type="dxa"/>
              <w:left w:w="0" w:type="dxa"/>
              <w:bottom w:w="0" w:type="dxa"/>
              <w:right w:w="0" w:type="dxa"/>
            </w:tcMar>
            <w:vAlign w:val="center"/>
          </w:tcPr>
          <w:p w14:paraId="3648F4B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处2万元以下的罚款；生产经营单位拒不执行的，对其直接负责的主管人员和其他直接责任人员处5万元以上6万元以下的罚款</w:t>
            </w:r>
          </w:p>
        </w:tc>
        <w:tc>
          <w:tcPr>
            <w:tcW w:w="158" w:type="pct"/>
            <w:vMerge w:val="continue"/>
            <w:noWrap w:val="0"/>
            <w:tcMar>
              <w:top w:w="0" w:type="dxa"/>
              <w:left w:w="0" w:type="dxa"/>
              <w:bottom w:w="0" w:type="dxa"/>
              <w:right w:w="0" w:type="dxa"/>
            </w:tcMar>
            <w:vAlign w:val="center"/>
          </w:tcPr>
          <w:p w14:paraId="041DC298">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kern w:val="2"/>
                <w:sz w:val="18"/>
                <w:szCs w:val="18"/>
                <w:vertAlign w:val="baseline"/>
                <w:lang w:val="en-US" w:eastAsia="zh-CN" w:bidi="ar-SA"/>
              </w:rPr>
            </w:pPr>
          </w:p>
        </w:tc>
      </w:tr>
      <w:tr w14:paraId="335217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3BE6693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6AB327D3">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698DC52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2E5C378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2F08523C">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一般</w:t>
            </w:r>
          </w:p>
        </w:tc>
        <w:tc>
          <w:tcPr>
            <w:tcW w:w="561" w:type="pct"/>
            <w:noWrap w:val="0"/>
            <w:tcMar>
              <w:top w:w="0" w:type="dxa"/>
              <w:left w:w="0" w:type="dxa"/>
              <w:bottom w:w="0" w:type="dxa"/>
              <w:right w:w="0" w:type="dxa"/>
            </w:tcMar>
            <w:vAlign w:val="center"/>
          </w:tcPr>
          <w:p w14:paraId="1F0E5A3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发现生产经营单位存在2处一般事故隐患未采取措施消除的</w:t>
            </w:r>
          </w:p>
        </w:tc>
        <w:tc>
          <w:tcPr>
            <w:tcW w:w="873" w:type="pct"/>
            <w:noWrap w:val="0"/>
            <w:tcMar>
              <w:top w:w="0" w:type="dxa"/>
              <w:left w:w="0" w:type="dxa"/>
              <w:bottom w:w="0" w:type="dxa"/>
              <w:right w:w="0" w:type="dxa"/>
            </w:tcMar>
            <w:vAlign w:val="center"/>
          </w:tcPr>
          <w:p w14:paraId="118A0CB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spacing w:val="-6"/>
                <w:kern w:val="2"/>
                <w:sz w:val="18"/>
                <w:szCs w:val="18"/>
                <w:vertAlign w:val="baseline"/>
                <w:lang w:val="en-US" w:eastAsia="zh-CN" w:bidi="ar-SA"/>
              </w:rPr>
              <w:t>处2万元以上3万元以下的罚款；生产经营单位拒不执行的，对其直接负责的主管人员和其他直接责任人员处6万元以上7万元以下的罚款</w:t>
            </w:r>
          </w:p>
        </w:tc>
        <w:tc>
          <w:tcPr>
            <w:tcW w:w="158" w:type="pct"/>
            <w:vMerge w:val="continue"/>
            <w:noWrap w:val="0"/>
            <w:tcMar>
              <w:top w:w="0" w:type="dxa"/>
              <w:left w:w="0" w:type="dxa"/>
              <w:bottom w:w="0" w:type="dxa"/>
              <w:right w:w="0" w:type="dxa"/>
            </w:tcMar>
            <w:vAlign w:val="center"/>
          </w:tcPr>
          <w:p w14:paraId="088F12C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kern w:val="2"/>
                <w:sz w:val="18"/>
                <w:szCs w:val="18"/>
                <w:vertAlign w:val="baseline"/>
                <w:lang w:val="en-US" w:eastAsia="zh-CN" w:bidi="ar-SA"/>
              </w:rPr>
            </w:pPr>
          </w:p>
        </w:tc>
      </w:tr>
      <w:tr w14:paraId="00459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1600E77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41CB7174">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3CB8EA9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046B33BC">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0FB5C6DA">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较重</w:t>
            </w:r>
          </w:p>
        </w:tc>
        <w:tc>
          <w:tcPr>
            <w:tcW w:w="561" w:type="pct"/>
            <w:noWrap w:val="0"/>
            <w:tcMar>
              <w:top w:w="0" w:type="dxa"/>
              <w:left w:w="0" w:type="dxa"/>
              <w:bottom w:w="0" w:type="dxa"/>
              <w:right w:w="0" w:type="dxa"/>
            </w:tcMar>
            <w:vAlign w:val="center"/>
          </w:tcPr>
          <w:p w14:paraId="5514512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pacing w:val="-6"/>
                <w:sz w:val="18"/>
                <w:szCs w:val="18"/>
                <w:vertAlign w:val="baseline"/>
              </w:rPr>
              <w:t>发现生产经营单位存在3者处以上一般事故隐或1处重大事故隐患未采取措施消除的</w:t>
            </w:r>
          </w:p>
        </w:tc>
        <w:tc>
          <w:tcPr>
            <w:tcW w:w="873" w:type="pct"/>
            <w:noWrap w:val="0"/>
            <w:tcMar>
              <w:top w:w="0" w:type="dxa"/>
              <w:left w:w="0" w:type="dxa"/>
              <w:bottom w:w="0" w:type="dxa"/>
              <w:right w:w="0" w:type="dxa"/>
            </w:tcMar>
            <w:vAlign w:val="center"/>
          </w:tcPr>
          <w:p w14:paraId="02649E7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处3万元以上4万元以下的罚款；生产经营单位拒不执行的，对其直接负责的主管人员和其他直接责任人员处7万元以上8万元以下的罚款</w:t>
            </w:r>
          </w:p>
        </w:tc>
        <w:tc>
          <w:tcPr>
            <w:tcW w:w="158" w:type="pct"/>
            <w:vMerge w:val="continue"/>
            <w:noWrap w:val="0"/>
            <w:tcMar>
              <w:top w:w="0" w:type="dxa"/>
              <w:left w:w="0" w:type="dxa"/>
              <w:bottom w:w="0" w:type="dxa"/>
              <w:right w:w="0" w:type="dxa"/>
            </w:tcMar>
            <w:vAlign w:val="center"/>
          </w:tcPr>
          <w:p w14:paraId="5B0B9C5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kern w:val="2"/>
                <w:sz w:val="18"/>
                <w:szCs w:val="18"/>
                <w:vertAlign w:val="baseline"/>
                <w:lang w:val="en-US" w:eastAsia="zh-CN" w:bidi="ar-SA"/>
              </w:rPr>
            </w:pPr>
          </w:p>
        </w:tc>
      </w:tr>
      <w:tr w14:paraId="4D1F70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229" w:hRule="atLeast"/>
          <w:jc w:val="center"/>
        </w:trPr>
        <w:tc>
          <w:tcPr>
            <w:tcW w:w="156" w:type="pct"/>
            <w:vMerge w:val="continue"/>
            <w:noWrap w:val="0"/>
            <w:tcMar>
              <w:top w:w="0" w:type="dxa"/>
              <w:left w:w="0" w:type="dxa"/>
              <w:bottom w:w="0" w:type="dxa"/>
              <w:right w:w="0" w:type="dxa"/>
            </w:tcMar>
            <w:vAlign w:val="center"/>
          </w:tcPr>
          <w:p w14:paraId="430FBE8A">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3AC4367A">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5985C18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7BC7116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191D2DB5">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严重</w:t>
            </w:r>
          </w:p>
        </w:tc>
        <w:tc>
          <w:tcPr>
            <w:tcW w:w="561" w:type="pct"/>
            <w:noWrap w:val="0"/>
            <w:tcMar>
              <w:top w:w="0" w:type="dxa"/>
              <w:left w:w="0" w:type="dxa"/>
              <w:bottom w:w="0" w:type="dxa"/>
              <w:right w:w="0" w:type="dxa"/>
            </w:tcMar>
            <w:vAlign w:val="center"/>
          </w:tcPr>
          <w:p w14:paraId="016271E0">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发现生产经营单位存在4或者处以上一般事故隐患2处以上重大事故隐患未采取措施消除的</w:t>
            </w:r>
          </w:p>
        </w:tc>
        <w:tc>
          <w:tcPr>
            <w:tcW w:w="873" w:type="pct"/>
            <w:noWrap w:val="0"/>
            <w:tcMar>
              <w:top w:w="0" w:type="dxa"/>
              <w:left w:w="0" w:type="dxa"/>
              <w:bottom w:w="0" w:type="dxa"/>
              <w:right w:w="0" w:type="dxa"/>
            </w:tcMar>
            <w:vAlign w:val="center"/>
          </w:tcPr>
          <w:p w14:paraId="7A68A94F">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处4万元以上5万元以下的罚款；生产经营单位拒不执行的，对其直接负责的主管人员和其他直接责任人员处8万元以上10万元以下的罚款</w:t>
            </w:r>
          </w:p>
        </w:tc>
        <w:tc>
          <w:tcPr>
            <w:tcW w:w="158" w:type="pct"/>
            <w:vMerge w:val="continue"/>
            <w:noWrap w:val="0"/>
            <w:tcMar>
              <w:top w:w="0" w:type="dxa"/>
              <w:left w:w="0" w:type="dxa"/>
              <w:bottom w:w="0" w:type="dxa"/>
              <w:right w:w="0" w:type="dxa"/>
            </w:tcMar>
            <w:vAlign w:val="center"/>
          </w:tcPr>
          <w:p w14:paraId="3CB9319B">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kern w:val="2"/>
                <w:sz w:val="18"/>
                <w:szCs w:val="18"/>
                <w:vertAlign w:val="baseline"/>
                <w:lang w:val="en-US" w:eastAsia="zh-CN" w:bidi="ar-SA"/>
              </w:rPr>
            </w:pPr>
          </w:p>
        </w:tc>
      </w:tr>
      <w:tr w14:paraId="203D6B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156" w:type="pct"/>
            <w:vMerge w:val="restart"/>
            <w:noWrap w:val="0"/>
            <w:tcMar>
              <w:top w:w="0" w:type="dxa"/>
              <w:left w:w="0" w:type="dxa"/>
              <w:bottom w:w="0" w:type="dxa"/>
              <w:right w:w="0" w:type="dxa"/>
            </w:tcMar>
            <w:vAlign w:val="center"/>
          </w:tcPr>
          <w:p w14:paraId="7EA8CDA8">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r>
              <w:rPr>
                <w:rFonts w:hint="eastAsia" w:ascii="宋体" w:hAnsi="宋体" w:eastAsia="宋体" w:cs="宋体"/>
                <w:color w:val="000000"/>
                <w:sz w:val="18"/>
                <w:szCs w:val="18"/>
                <w:shd w:val="clear" w:color="auto" w:fill="auto"/>
                <w:vertAlign w:val="baseline"/>
                <w:lang w:val="en-US" w:eastAsia="zh-CN"/>
              </w:rPr>
              <w:t>103</w:t>
            </w:r>
          </w:p>
        </w:tc>
        <w:tc>
          <w:tcPr>
            <w:tcW w:w="415" w:type="pct"/>
            <w:vMerge w:val="restart"/>
            <w:noWrap w:val="0"/>
            <w:tcMar>
              <w:top w:w="0" w:type="dxa"/>
              <w:left w:w="0" w:type="dxa"/>
              <w:bottom w:w="0" w:type="dxa"/>
              <w:right w:w="0" w:type="dxa"/>
            </w:tcMar>
            <w:vAlign w:val="center"/>
          </w:tcPr>
          <w:p w14:paraId="51C74F92">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对水利领域生产经营单位将生产经营项目、场所、设备发包或者出租给不具备安全生产条件或者相应资质的单位或者个人，未与承包单位、承租单位明确各自的安全生产管理职责等行为的行政处罚</w:t>
            </w:r>
          </w:p>
        </w:tc>
        <w:tc>
          <w:tcPr>
            <w:tcW w:w="2168" w:type="pct"/>
            <w:vMerge w:val="restart"/>
            <w:noWrap w:val="0"/>
            <w:tcMar>
              <w:top w:w="0" w:type="dxa"/>
              <w:left w:w="0" w:type="dxa"/>
              <w:bottom w:w="0" w:type="dxa"/>
              <w:right w:w="0" w:type="dxa"/>
            </w:tcMar>
            <w:vAlign w:val="center"/>
          </w:tcPr>
          <w:p w14:paraId="3DF4D7D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《中华人民共和国安全生产法》第一百零三条第一款 生产经营单位将生产经营项目、场所、设备发包或者出租给不具备安全生产条件或者相应资质的单位或者个人的，责令限期改正，没收违法所得；违法所得十万元以上的，并处违法所得二倍以上五倍以下的罚款；没有违法所得或者违法所得不足十万元的，单处或者并处十万元以上二十万元以下的罚款；对其直接负责的主管人员和其他直接责任人员处一万元以上二万元以下的罚款；导致发生生产安全事故给他人造成损害的，与承包方、承租方承担连带赔偿责任。</w:t>
            </w:r>
          </w:p>
          <w:p w14:paraId="0DE5B65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第一百零三条第二款 生产经营单位未与承包单位、承租单位签订专门的安全生产管理协议或者未在承包合同、租赁合同中明确各自的安全生产管理职责，或者未对承包单位、承租单位的安全生产统一协调、管理的，责令限期改正，处五万元以下的罚款，对其直接负责的主管人员和其他直接责任人员处一万元以下的罚款；逾期未改正的，责令停产停业整顿。</w:t>
            </w:r>
          </w:p>
        </w:tc>
        <w:tc>
          <w:tcPr>
            <w:tcW w:w="491" w:type="pct"/>
            <w:vMerge w:val="restart"/>
            <w:noWrap w:val="0"/>
            <w:tcMar>
              <w:top w:w="0" w:type="dxa"/>
              <w:left w:w="0" w:type="dxa"/>
              <w:bottom w:w="0" w:type="dxa"/>
              <w:right w:w="0" w:type="dxa"/>
            </w:tcMar>
            <w:vAlign w:val="center"/>
          </w:tcPr>
          <w:p w14:paraId="1845AC2C">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水利领域生产经营单位将生产经营项目、场所、设备发包或者出租给不具备安全生产条件或者相应资质的单位或者个人的</w:t>
            </w:r>
          </w:p>
        </w:tc>
        <w:tc>
          <w:tcPr>
            <w:tcW w:w="174" w:type="pct"/>
            <w:noWrap w:val="0"/>
            <w:tcMar>
              <w:top w:w="0" w:type="dxa"/>
              <w:left w:w="0" w:type="dxa"/>
              <w:bottom w:w="0" w:type="dxa"/>
              <w:right w:w="0" w:type="dxa"/>
            </w:tcMar>
            <w:vAlign w:val="center"/>
          </w:tcPr>
          <w:p w14:paraId="573C44B9">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轻微</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3EB44E5D">
            <w:pPr>
              <w:snapToGrid/>
              <w:spacing w:line="24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6BB671D2">
            <w:pPr>
              <w:spacing w:line="240" w:lineRule="exact"/>
              <w:rPr>
                <w:rFonts w:hint="eastAsia" w:ascii="宋体" w:hAnsi="宋体" w:eastAsia="宋体" w:cs="宋体"/>
                <w:color w:val="000000"/>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53F8AC16">
            <w:pPr>
              <w:snapToGrid/>
              <w:spacing w:line="24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4029D0CB">
            <w:pPr>
              <w:spacing w:line="240" w:lineRule="exact"/>
              <w:rPr>
                <w:rFonts w:hint="eastAsia" w:ascii="宋体" w:hAnsi="宋体" w:eastAsia="宋体" w:cs="宋体"/>
                <w:color w:val="000000"/>
                <w:kern w:val="2"/>
                <w:sz w:val="18"/>
                <w:szCs w:val="18"/>
                <w:vertAlign w:val="baseline"/>
                <w:lang w:val="en-US" w:eastAsia="zh-CN" w:bidi="ar-SA"/>
              </w:rPr>
            </w:pPr>
          </w:p>
        </w:tc>
        <w:tc>
          <w:tcPr>
            <w:tcW w:w="158" w:type="pct"/>
            <w:vMerge w:val="restart"/>
            <w:noWrap w:val="0"/>
            <w:tcMar>
              <w:top w:w="0" w:type="dxa"/>
              <w:left w:w="0" w:type="dxa"/>
              <w:bottom w:w="0" w:type="dxa"/>
              <w:right w:w="0" w:type="dxa"/>
            </w:tcMar>
            <w:vAlign w:val="center"/>
          </w:tcPr>
          <w:p w14:paraId="19E874D0">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lang w:val="en-US" w:eastAsia="zh-CN"/>
              </w:rPr>
            </w:pPr>
          </w:p>
        </w:tc>
      </w:tr>
      <w:tr w14:paraId="41E818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69" w:hRule="atLeast"/>
          <w:jc w:val="center"/>
        </w:trPr>
        <w:tc>
          <w:tcPr>
            <w:tcW w:w="156" w:type="pct"/>
            <w:vMerge w:val="continue"/>
            <w:noWrap w:val="0"/>
            <w:tcMar>
              <w:top w:w="0" w:type="dxa"/>
              <w:left w:w="0" w:type="dxa"/>
              <w:bottom w:w="0" w:type="dxa"/>
              <w:right w:w="0" w:type="dxa"/>
            </w:tcMar>
            <w:vAlign w:val="center"/>
          </w:tcPr>
          <w:p w14:paraId="121D233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11E4EEC9">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5F76233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35AF653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6EEC737D">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较轻</w:t>
            </w:r>
          </w:p>
        </w:tc>
        <w:tc>
          <w:tcPr>
            <w:tcW w:w="561" w:type="pct"/>
            <w:noWrap w:val="0"/>
            <w:tcMar>
              <w:top w:w="0" w:type="dxa"/>
              <w:left w:w="0" w:type="dxa"/>
              <w:bottom w:w="0" w:type="dxa"/>
              <w:right w:w="0" w:type="dxa"/>
            </w:tcMar>
            <w:vAlign w:val="center"/>
          </w:tcPr>
          <w:p w14:paraId="31D364E0">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没有违法所得的</w:t>
            </w:r>
          </w:p>
        </w:tc>
        <w:tc>
          <w:tcPr>
            <w:tcW w:w="873" w:type="pct"/>
            <w:noWrap w:val="0"/>
            <w:tcMar>
              <w:top w:w="0" w:type="dxa"/>
              <w:left w:w="0" w:type="dxa"/>
              <w:bottom w:w="0" w:type="dxa"/>
              <w:right w:w="0" w:type="dxa"/>
            </w:tcMar>
            <w:vAlign w:val="center"/>
          </w:tcPr>
          <w:p w14:paraId="1A3F7AD7">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对生产经营单位处10万元以上15万元以下的罚款；对其直接负责的主管人员和其他直接责任人员处1万元的罚款</w:t>
            </w:r>
          </w:p>
        </w:tc>
        <w:tc>
          <w:tcPr>
            <w:tcW w:w="158" w:type="pct"/>
            <w:vMerge w:val="continue"/>
            <w:noWrap w:val="0"/>
            <w:tcMar>
              <w:top w:w="0" w:type="dxa"/>
              <w:left w:w="0" w:type="dxa"/>
              <w:bottom w:w="0" w:type="dxa"/>
              <w:right w:w="0" w:type="dxa"/>
            </w:tcMar>
            <w:vAlign w:val="center"/>
          </w:tcPr>
          <w:p w14:paraId="30E5803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lang w:val="en-US" w:eastAsia="zh-CN"/>
              </w:rPr>
            </w:pPr>
          </w:p>
        </w:tc>
      </w:tr>
      <w:tr w14:paraId="5B16B2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5C6C3BC9">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64F93387">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76CDC457">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15E3565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18BC0B5A">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一般</w:t>
            </w:r>
          </w:p>
        </w:tc>
        <w:tc>
          <w:tcPr>
            <w:tcW w:w="561" w:type="pct"/>
            <w:noWrap w:val="0"/>
            <w:tcMar>
              <w:top w:w="0" w:type="dxa"/>
              <w:left w:w="0" w:type="dxa"/>
              <w:bottom w:w="0" w:type="dxa"/>
              <w:right w:w="0" w:type="dxa"/>
            </w:tcMar>
            <w:vAlign w:val="center"/>
          </w:tcPr>
          <w:p w14:paraId="68A3C5EC">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违法所得不足10万元的</w:t>
            </w:r>
          </w:p>
        </w:tc>
        <w:tc>
          <w:tcPr>
            <w:tcW w:w="873" w:type="pct"/>
            <w:noWrap w:val="0"/>
            <w:tcMar>
              <w:top w:w="0" w:type="dxa"/>
              <w:left w:w="0" w:type="dxa"/>
              <w:bottom w:w="0" w:type="dxa"/>
              <w:right w:w="0" w:type="dxa"/>
            </w:tcMar>
            <w:vAlign w:val="center"/>
          </w:tcPr>
          <w:p w14:paraId="12C4788B">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没收违法所得，对生产经营单位并处15万元以上20万元以下的罚款；对其直接负责的主管人员和其他直接责任人员处1万元以1.3万元以下的罚款</w:t>
            </w:r>
          </w:p>
        </w:tc>
        <w:tc>
          <w:tcPr>
            <w:tcW w:w="158" w:type="pct"/>
            <w:vMerge w:val="continue"/>
            <w:noWrap w:val="0"/>
            <w:tcMar>
              <w:top w:w="0" w:type="dxa"/>
              <w:left w:w="0" w:type="dxa"/>
              <w:bottom w:w="0" w:type="dxa"/>
              <w:right w:w="0" w:type="dxa"/>
            </w:tcMar>
            <w:vAlign w:val="center"/>
          </w:tcPr>
          <w:p w14:paraId="5191E0C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lang w:val="en-US" w:eastAsia="zh-CN"/>
              </w:rPr>
            </w:pPr>
          </w:p>
        </w:tc>
      </w:tr>
      <w:tr w14:paraId="19D268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45A5EF3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77FE6DC3">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07544B1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1080BF5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557D58A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较重</w:t>
            </w:r>
          </w:p>
        </w:tc>
        <w:tc>
          <w:tcPr>
            <w:tcW w:w="561" w:type="pct"/>
            <w:noWrap w:val="0"/>
            <w:tcMar>
              <w:top w:w="0" w:type="dxa"/>
              <w:left w:w="0" w:type="dxa"/>
              <w:bottom w:w="0" w:type="dxa"/>
              <w:right w:w="0" w:type="dxa"/>
            </w:tcMar>
            <w:vAlign w:val="center"/>
          </w:tcPr>
          <w:p w14:paraId="5A15D145">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违法所得10万元以上不足20万元的</w:t>
            </w:r>
          </w:p>
        </w:tc>
        <w:tc>
          <w:tcPr>
            <w:tcW w:w="873" w:type="pct"/>
            <w:noWrap w:val="0"/>
            <w:tcMar>
              <w:top w:w="0" w:type="dxa"/>
              <w:left w:w="0" w:type="dxa"/>
              <w:bottom w:w="0" w:type="dxa"/>
              <w:right w:w="0" w:type="dxa"/>
            </w:tcMar>
            <w:vAlign w:val="center"/>
          </w:tcPr>
          <w:p w14:paraId="0AD65822">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没收违法所得，对生产经营单位并处违法所得2-3倍的罚款；对其直接负责的主管人员和其他直接责任人员处1.3万元以上1.6万元以下的罚款</w:t>
            </w:r>
          </w:p>
        </w:tc>
        <w:tc>
          <w:tcPr>
            <w:tcW w:w="158" w:type="pct"/>
            <w:vMerge w:val="continue"/>
            <w:noWrap w:val="0"/>
            <w:tcMar>
              <w:top w:w="0" w:type="dxa"/>
              <w:left w:w="0" w:type="dxa"/>
              <w:bottom w:w="0" w:type="dxa"/>
              <w:right w:w="0" w:type="dxa"/>
            </w:tcMar>
            <w:vAlign w:val="center"/>
          </w:tcPr>
          <w:p w14:paraId="0C09564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lang w:val="en-US" w:eastAsia="zh-CN"/>
              </w:rPr>
            </w:pPr>
          </w:p>
        </w:tc>
      </w:tr>
      <w:tr w14:paraId="53E283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39BCED30">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3E2A2AB9">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79D8AC9C">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44D6258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3FC1862C">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严重</w:t>
            </w:r>
          </w:p>
        </w:tc>
        <w:tc>
          <w:tcPr>
            <w:tcW w:w="561" w:type="pct"/>
            <w:noWrap w:val="0"/>
            <w:tcMar>
              <w:top w:w="0" w:type="dxa"/>
              <w:left w:w="0" w:type="dxa"/>
              <w:bottom w:w="0" w:type="dxa"/>
              <w:right w:w="0" w:type="dxa"/>
            </w:tcMar>
            <w:vAlign w:val="center"/>
          </w:tcPr>
          <w:p w14:paraId="38C49CA5">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违法所得20万元以上的</w:t>
            </w:r>
          </w:p>
        </w:tc>
        <w:tc>
          <w:tcPr>
            <w:tcW w:w="873" w:type="pct"/>
            <w:noWrap w:val="0"/>
            <w:tcMar>
              <w:top w:w="0" w:type="dxa"/>
              <w:left w:w="0" w:type="dxa"/>
              <w:bottom w:w="0" w:type="dxa"/>
              <w:right w:w="0" w:type="dxa"/>
            </w:tcMar>
            <w:vAlign w:val="center"/>
          </w:tcPr>
          <w:p w14:paraId="06633C05">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没收违法所得，对生产经营单位并处违法所得3-5倍的罚款；对其直接负责的主管人员和其他直接责任人员处1.6万元以上2万元以下的罚款</w:t>
            </w:r>
          </w:p>
        </w:tc>
        <w:tc>
          <w:tcPr>
            <w:tcW w:w="158" w:type="pct"/>
            <w:vMerge w:val="continue"/>
            <w:noWrap w:val="0"/>
            <w:tcMar>
              <w:top w:w="0" w:type="dxa"/>
              <w:left w:w="0" w:type="dxa"/>
              <w:bottom w:w="0" w:type="dxa"/>
              <w:right w:w="0" w:type="dxa"/>
            </w:tcMar>
            <w:vAlign w:val="center"/>
          </w:tcPr>
          <w:p w14:paraId="4B1273AC">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lang w:val="en-US" w:eastAsia="zh-CN"/>
              </w:rPr>
            </w:pPr>
          </w:p>
        </w:tc>
      </w:tr>
      <w:tr w14:paraId="30A71A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156" w:type="pct"/>
            <w:vMerge w:val="continue"/>
            <w:noWrap w:val="0"/>
            <w:tcMar>
              <w:top w:w="0" w:type="dxa"/>
              <w:left w:w="0" w:type="dxa"/>
              <w:bottom w:w="0" w:type="dxa"/>
              <w:right w:w="0" w:type="dxa"/>
            </w:tcMar>
            <w:vAlign w:val="center"/>
          </w:tcPr>
          <w:p w14:paraId="5365D61A">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446A7B30">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62E8499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restart"/>
            <w:noWrap w:val="0"/>
            <w:tcMar>
              <w:top w:w="0" w:type="dxa"/>
              <w:left w:w="0" w:type="dxa"/>
              <w:bottom w:w="0" w:type="dxa"/>
              <w:right w:w="0" w:type="dxa"/>
            </w:tcMar>
            <w:vAlign w:val="center"/>
          </w:tcPr>
          <w:p w14:paraId="3673C495">
            <w:pPr>
              <w:keepNext w:val="0"/>
              <w:keepLines w:val="0"/>
              <w:pageBreakBefore w:val="0"/>
              <w:widowControl w:val="0"/>
              <w:kinsoku/>
              <w:wordWrap/>
              <w:overflowPunct/>
              <w:topLinePunct w:val="0"/>
              <w:autoSpaceDE/>
              <w:autoSpaceDN/>
              <w:bidi w:val="0"/>
              <w:adjustRightInd/>
              <w:snapToGrid/>
              <w:spacing w:line="22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未与承包单位、承租单位签订专门的安全生产管理协议或者未在承包合同、租赁合同中明确各自的安全生产管理职责，或者未对承包单位、承租单位的安全生产统一协调、管理的</w:t>
            </w:r>
          </w:p>
        </w:tc>
        <w:tc>
          <w:tcPr>
            <w:tcW w:w="174" w:type="pct"/>
            <w:noWrap w:val="0"/>
            <w:tcMar>
              <w:top w:w="0" w:type="dxa"/>
              <w:left w:w="0" w:type="dxa"/>
              <w:bottom w:w="0" w:type="dxa"/>
              <w:right w:w="0" w:type="dxa"/>
            </w:tcMar>
            <w:vAlign w:val="center"/>
          </w:tcPr>
          <w:p w14:paraId="3B3C2336">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轻微</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05B8254D">
            <w:pPr>
              <w:snapToGrid w:val="0"/>
              <w:spacing w:line="24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2D01F6F5">
            <w:pPr>
              <w:spacing w:line="240" w:lineRule="exact"/>
              <w:rPr>
                <w:rFonts w:hint="eastAsia" w:ascii="宋体" w:hAnsi="宋体" w:eastAsia="宋体" w:cs="宋体"/>
                <w:color w:val="000000"/>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39DA37B8">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6BD8AEF1">
            <w:pPr>
              <w:spacing w:line="260" w:lineRule="exact"/>
              <w:rPr>
                <w:rFonts w:hint="eastAsia" w:ascii="宋体" w:hAnsi="宋体" w:eastAsia="宋体" w:cs="宋体"/>
                <w:color w:val="000000"/>
                <w:kern w:val="2"/>
                <w:sz w:val="18"/>
                <w:szCs w:val="18"/>
                <w:vertAlign w:val="baseline"/>
                <w:lang w:val="en-US" w:eastAsia="zh-CN" w:bidi="ar-SA"/>
              </w:rPr>
            </w:pPr>
          </w:p>
        </w:tc>
        <w:tc>
          <w:tcPr>
            <w:tcW w:w="158" w:type="pct"/>
            <w:vMerge w:val="restart"/>
            <w:noWrap w:val="0"/>
            <w:tcMar>
              <w:top w:w="0" w:type="dxa"/>
              <w:left w:w="0" w:type="dxa"/>
              <w:bottom w:w="0" w:type="dxa"/>
              <w:right w:w="0" w:type="dxa"/>
            </w:tcMar>
            <w:vAlign w:val="center"/>
          </w:tcPr>
          <w:p w14:paraId="762775A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kern w:val="2"/>
                <w:sz w:val="18"/>
                <w:szCs w:val="18"/>
                <w:vertAlign w:val="baseline"/>
                <w:lang w:val="en-US" w:eastAsia="zh-CN" w:bidi="ar-SA"/>
              </w:rPr>
            </w:pPr>
          </w:p>
        </w:tc>
      </w:tr>
      <w:tr w14:paraId="34FEFD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156" w:type="pct"/>
            <w:vMerge w:val="continue"/>
            <w:noWrap w:val="0"/>
            <w:tcMar>
              <w:top w:w="0" w:type="dxa"/>
              <w:left w:w="0" w:type="dxa"/>
              <w:bottom w:w="0" w:type="dxa"/>
              <w:right w:w="0" w:type="dxa"/>
            </w:tcMar>
            <w:vAlign w:val="center"/>
          </w:tcPr>
          <w:p w14:paraId="120B680A">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25610CE8">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1E6579C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7B6F6ED3">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5A4CAEFC">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较轻</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1D685989">
            <w:pPr>
              <w:snapToGrid w:val="0"/>
              <w:spacing w:line="24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64E4E94B">
            <w:pPr>
              <w:spacing w:line="240" w:lineRule="exact"/>
              <w:rPr>
                <w:rFonts w:hint="eastAsia" w:ascii="宋体" w:hAnsi="宋体" w:eastAsia="宋体" w:cs="宋体"/>
                <w:color w:val="000000"/>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091ECC3C">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3D8E0B58">
            <w:pPr>
              <w:spacing w:line="260" w:lineRule="exact"/>
              <w:rPr>
                <w:rFonts w:hint="eastAsia" w:ascii="宋体" w:hAnsi="宋体" w:eastAsia="宋体" w:cs="宋体"/>
                <w:color w:val="000000"/>
                <w:kern w:val="2"/>
                <w:sz w:val="18"/>
                <w:szCs w:val="18"/>
                <w:vertAlign w:val="baseline"/>
                <w:lang w:val="en-US" w:eastAsia="zh-CN" w:bidi="ar-SA"/>
              </w:rPr>
            </w:pPr>
          </w:p>
        </w:tc>
        <w:tc>
          <w:tcPr>
            <w:tcW w:w="158" w:type="pct"/>
            <w:vMerge w:val="continue"/>
            <w:noWrap w:val="0"/>
            <w:tcMar>
              <w:top w:w="0" w:type="dxa"/>
              <w:left w:w="0" w:type="dxa"/>
              <w:bottom w:w="0" w:type="dxa"/>
              <w:right w:w="0" w:type="dxa"/>
            </w:tcMar>
            <w:vAlign w:val="center"/>
          </w:tcPr>
          <w:p w14:paraId="7B1D0BA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364628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35AED9D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70873812">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2AB0591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4DDE8E97">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324EEBA1">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一般</w:t>
            </w:r>
          </w:p>
        </w:tc>
        <w:tc>
          <w:tcPr>
            <w:tcW w:w="561" w:type="pct"/>
            <w:noWrap w:val="0"/>
            <w:tcMar>
              <w:top w:w="0" w:type="dxa"/>
              <w:left w:w="0" w:type="dxa"/>
              <w:bottom w:w="0" w:type="dxa"/>
              <w:right w:w="0" w:type="dxa"/>
            </w:tcMar>
            <w:vAlign w:val="center"/>
          </w:tcPr>
          <w:p w14:paraId="1E3DDD1B">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未与承包单位、承租单位签订专门的安全生产管理协议，或者在承包合同、租赁合同中约定各自的安全生产管理职责的</w:t>
            </w:r>
          </w:p>
        </w:tc>
        <w:tc>
          <w:tcPr>
            <w:tcW w:w="873" w:type="pct"/>
            <w:noWrap w:val="0"/>
            <w:tcMar>
              <w:top w:w="0" w:type="dxa"/>
              <w:left w:w="0" w:type="dxa"/>
              <w:bottom w:w="0" w:type="dxa"/>
              <w:right w:w="0" w:type="dxa"/>
            </w:tcMar>
            <w:vAlign w:val="center"/>
          </w:tcPr>
          <w:p w14:paraId="0049EB2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处2万元以下的罚款，对其直接负责的主管人员和其他直接责任人员处0.5万元的罚款</w:t>
            </w:r>
          </w:p>
        </w:tc>
        <w:tc>
          <w:tcPr>
            <w:tcW w:w="158" w:type="pct"/>
            <w:vMerge w:val="continue"/>
            <w:noWrap w:val="0"/>
            <w:tcMar>
              <w:top w:w="0" w:type="dxa"/>
              <w:left w:w="0" w:type="dxa"/>
              <w:bottom w:w="0" w:type="dxa"/>
              <w:right w:w="0" w:type="dxa"/>
            </w:tcMar>
            <w:vAlign w:val="center"/>
          </w:tcPr>
          <w:p w14:paraId="1CBBA00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kern w:val="2"/>
                <w:sz w:val="18"/>
                <w:szCs w:val="18"/>
                <w:vertAlign w:val="baseline"/>
                <w:lang w:val="en-US" w:eastAsia="zh-CN" w:bidi="ar-SA"/>
              </w:rPr>
            </w:pPr>
          </w:p>
        </w:tc>
      </w:tr>
      <w:tr w14:paraId="1ABFEC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192" w:hRule="atLeast"/>
          <w:jc w:val="center"/>
        </w:trPr>
        <w:tc>
          <w:tcPr>
            <w:tcW w:w="156" w:type="pct"/>
            <w:vMerge w:val="continue"/>
            <w:noWrap w:val="0"/>
            <w:tcMar>
              <w:top w:w="0" w:type="dxa"/>
              <w:left w:w="0" w:type="dxa"/>
              <w:bottom w:w="0" w:type="dxa"/>
              <w:right w:w="0" w:type="dxa"/>
            </w:tcMar>
            <w:vAlign w:val="center"/>
          </w:tcPr>
          <w:p w14:paraId="19718369">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47D23FC0">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27C722D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6F3E6D8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108121B1">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较重</w:t>
            </w:r>
          </w:p>
        </w:tc>
        <w:tc>
          <w:tcPr>
            <w:tcW w:w="561" w:type="pct"/>
            <w:noWrap w:val="0"/>
            <w:tcMar>
              <w:top w:w="0" w:type="dxa"/>
              <w:left w:w="0" w:type="dxa"/>
              <w:bottom w:w="0" w:type="dxa"/>
              <w:right w:w="0" w:type="dxa"/>
            </w:tcMar>
            <w:vAlign w:val="center"/>
          </w:tcPr>
          <w:p w14:paraId="018DA13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未对承包单位、承租单位的安全生产工作统一协调、管理，定期进行安全检查的</w:t>
            </w:r>
          </w:p>
        </w:tc>
        <w:tc>
          <w:tcPr>
            <w:tcW w:w="873" w:type="pct"/>
            <w:noWrap w:val="0"/>
            <w:tcMar>
              <w:top w:w="0" w:type="dxa"/>
              <w:left w:w="0" w:type="dxa"/>
              <w:bottom w:w="0" w:type="dxa"/>
              <w:right w:w="0" w:type="dxa"/>
            </w:tcMar>
            <w:vAlign w:val="center"/>
          </w:tcPr>
          <w:p w14:paraId="3CDA321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处2万元以上4万元以下的罚款，对其直接负责的主管人员和其他直接责任人员处0.8万元的罚款</w:t>
            </w:r>
          </w:p>
        </w:tc>
        <w:tc>
          <w:tcPr>
            <w:tcW w:w="158" w:type="pct"/>
            <w:vMerge w:val="continue"/>
            <w:noWrap w:val="0"/>
            <w:tcMar>
              <w:top w:w="0" w:type="dxa"/>
              <w:left w:w="0" w:type="dxa"/>
              <w:bottom w:w="0" w:type="dxa"/>
              <w:right w:w="0" w:type="dxa"/>
            </w:tcMar>
            <w:vAlign w:val="center"/>
          </w:tcPr>
          <w:p w14:paraId="78F4B41C">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kern w:val="2"/>
                <w:sz w:val="18"/>
                <w:szCs w:val="18"/>
                <w:vertAlign w:val="baseline"/>
                <w:lang w:val="en-US" w:eastAsia="zh-CN" w:bidi="ar-SA"/>
              </w:rPr>
            </w:pPr>
          </w:p>
        </w:tc>
      </w:tr>
      <w:tr w14:paraId="571CAB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782" w:hRule="atLeast"/>
          <w:jc w:val="center"/>
        </w:trPr>
        <w:tc>
          <w:tcPr>
            <w:tcW w:w="156" w:type="pct"/>
            <w:vMerge w:val="continue"/>
            <w:noWrap w:val="0"/>
            <w:tcMar>
              <w:top w:w="0" w:type="dxa"/>
              <w:left w:w="0" w:type="dxa"/>
              <w:bottom w:w="0" w:type="dxa"/>
              <w:right w:w="0" w:type="dxa"/>
            </w:tcMar>
            <w:vAlign w:val="center"/>
          </w:tcPr>
          <w:p w14:paraId="437F653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685C654E">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6100EE7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482BFE4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496A9BF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严重</w:t>
            </w:r>
          </w:p>
        </w:tc>
        <w:tc>
          <w:tcPr>
            <w:tcW w:w="561" w:type="pct"/>
            <w:noWrap w:val="0"/>
            <w:tcMar>
              <w:top w:w="0" w:type="dxa"/>
              <w:left w:w="0" w:type="dxa"/>
              <w:bottom w:w="0" w:type="dxa"/>
              <w:right w:w="0" w:type="dxa"/>
            </w:tcMar>
            <w:vAlign w:val="center"/>
          </w:tcPr>
          <w:p w14:paraId="5F0B0AB4">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既未与承包单位、承租单位签订专门的安全生产管理协议或者在承包合同、租赁合同中约定各自的安全生产管理职责，又未对承包单位、承租单位的安全生产工作统一协调、管理，定期进行安全检查的</w:t>
            </w:r>
          </w:p>
        </w:tc>
        <w:tc>
          <w:tcPr>
            <w:tcW w:w="873" w:type="pct"/>
            <w:noWrap w:val="0"/>
            <w:tcMar>
              <w:top w:w="0" w:type="dxa"/>
              <w:left w:w="0" w:type="dxa"/>
              <w:bottom w:w="0" w:type="dxa"/>
              <w:right w:w="0" w:type="dxa"/>
            </w:tcMar>
            <w:vAlign w:val="center"/>
          </w:tcPr>
          <w:p w14:paraId="39BC857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处4万元以上5万元以下的罚款，对其直接负责的主管人员和其他直接责任人员处1万元的罚款</w:t>
            </w:r>
          </w:p>
        </w:tc>
        <w:tc>
          <w:tcPr>
            <w:tcW w:w="158" w:type="pct"/>
            <w:vMerge w:val="continue"/>
            <w:noWrap w:val="0"/>
            <w:tcMar>
              <w:top w:w="0" w:type="dxa"/>
              <w:left w:w="0" w:type="dxa"/>
              <w:bottom w:w="0" w:type="dxa"/>
              <w:right w:w="0" w:type="dxa"/>
            </w:tcMar>
            <w:vAlign w:val="center"/>
          </w:tcPr>
          <w:p w14:paraId="5CA0AB0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kern w:val="2"/>
                <w:sz w:val="18"/>
                <w:szCs w:val="18"/>
                <w:vertAlign w:val="baseline"/>
                <w:lang w:val="en-US" w:eastAsia="zh-CN" w:bidi="ar-SA"/>
              </w:rPr>
            </w:pPr>
          </w:p>
        </w:tc>
      </w:tr>
      <w:tr w14:paraId="53D743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restart"/>
            <w:noWrap w:val="0"/>
            <w:tcMar>
              <w:top w:w="0" w:type="dxa"/>
              <w:left w:w="0" w:type="dxa"/>
              <w:bottom w:w="0" w:type="dxa"/>
              <w:right w:w="0" w:type="dxa"/>
            </w:tcMar>
            <w:vAlign w:val="center"/>
          </w:tcPr>
          <w:p w14:paraId="1C80D63C">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r>
              <w:rPr>
                <w:rFonts w:hint="eastAsia" w:ascii="宋体" w:hAnsi="宋体" w:eastAsia="宋体" w:cs="宋体"/>
                <w:color w:val="000000"/>
                <w:sz w:val="18"/>
                <w:szCs w:val="18"/>
                <w:shd w:val="clear" w:color="auto" w:fill="auto"/>
                <w:vertAlign w:val="baseline"/>
                <w:lang w:val="en-US" w:eastAsia="zh-CN"/>
              </w:rPr>
              <w:t>104</w:t>
            </w:r>
          </w:p>
        </w:tc>
        <w:tc>
          <w:tcPr>
            <w:tcW w:w="415" w:type="pct"/>
            <w:vMerge w:val="restart"/>
            <w:noWrap w:val="0"/>
            <w:tcMar>
              <w:top w:w="0" w:type="dxa"/>
              <w:left w:w="0" w:type="dxa"/>
              <w:bottom w:w="0" w:type="dxa"/>
              <w:right w:w="0" w:type="dxa"/>
            </w:tcMar>
            <w:vAlign w:val="center"/>
          </w:tcPr>
          <w:p w14:paraId="26F86F7F">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对水利领域两个以上生产经营单位在同一作业区域内进行可能危及对方安全生产的生产经营活动，未签订安全生产管理协议或者未指定专职安全生产管理人员进行安全检查与协调行为的行政处罚</w:t>
            </w:r>
          </w:p>
        </w:tc>
        <w:tc>
          <w:tcPr>
            <w:tcW w:w="2168" w:type="pct"/>
            <w:vMerge w:val="restart"/>
            <w:noWrap w:val="0"/>
            <w:tcMar>
              <w:top w:w="0" w:type="dxa"/>
              <w:left w:w="0" w:type="dxa"/>
              <w:bottom w:w="0" w:type="dxa"/>
              <w:right w:w="0" w:type="dxa"/>
            </w:tcMar>
            <w:vAlign w:val="center"/>
          </w:tcPr>
          <w:p w14:paraId="1605974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《中华人民共和国安全生产法》第一百零四条 两个以上生产经营单位在同一作业区域内进行可能危及对方安全生产的生产经营活动，未签订安全生产管理协议或者未指定专职安全生产管理人员进行安全检查与协调的，责令限期改正，处五万元以下的罚款，对其直接负责的主管人员和其他直接责任人员处一万元以下的罚款；逾期未改正的，责令停产停业。</w:t>
            </w:r>
          </w:p>
        </w:tc>
        <w:tc>
          <w:tcPr>
            <w:tcW w:w="491" w:type="pct"/>
            <w:vMerge w:val="restart"/>
            <w:noWrap w:val="0"/>
            <w:tcMar>
              <w:top w:w="0" w:type="dxa"/>
              <w:left w:w="0" w:type="dxa"/>
              <w:bottom w:w="0" w:type="dxa"/>
              <w:right w:w="0" w:type="dxa"/>
            </w:tcMar>
            <w:vAlign w:val="center"/>
          </w:tcPr>
          <w:p w14:paraId="412375AC">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水利领域两个以上生产经营单位在同一作业区域内进行可能危及对方安全生产的生产经营活动，未签订安全生产管理协议或者未指定专职安全生产管理人员进行安全检查与协调的</w:t>
            </w:r>
          </w:p>
        </w:tc>
        <w:tc>
          <w:tcPr>
            <w:tcW w:w="174" w:type="pct"/>
            <w:noWrap w:val="0"/>
            <w:tcMar>
              <w:top w:w="0" w:type="dxa"/>
              <w:left w:w="0" w:type="dxa"/>
              <w:bottom w:w="0" w:type="dxa"/>
              <w:right w:w="0" w:type="dxa"/>
            </w:tcMar>
            <w:vAlign w:val="center"/>
          </w:tcPr>
          <w:p w14:paraId="4E334AD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轻微</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6A15DD1F">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2B5CD8B1">
            <w:pPr>
              <w:spacing w:line="260" w:lineRule="exact"/>
              <w:rPr>
                <w:rFonts w:hint="eastAsia" w:ascii="宋体" w:hAnsi="宋体" w:eastAsia="宋体" w:cs="宋体"/>
                <w:color w:val="000000"/>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4E18079F">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2DCABCF7">
            <w:pPr>
              <w:spacing w:line="260" w:lineRule="exact"/>
              <w:rPr>
                <w:rFonts w:hint="eastAsia" w:ascii="宋体" w:hAnsi="宋体" w:eastAsia="宋体" w:cs="宋体"/>
                <w:color w:val="000000"/>
                <w:kern w:val="2"/>
                <w:sz w:val="18"/>
                <w:szCs w:val="18"/>
                <w:vertAlign w:val="baseline"/>
                <w:lang w:val="en-US" w:eastAsia="zh-CN" w:bidi="ar-SA"/>
              </w:rPr>
            </w:pPr>
          </w:p>
        </w:tc>
        <w:tc>
          <w:tcPr>
            <w:tcW w:w="158" w:type="pct"/>
            <w:vMerge w:val="restart"/>
            <w:noWrap w:val="0"/>
            <w:tcMar>
              <w:top w:w="0" w:type="dxa"/>
              <w:left w:w="0" w:type="dxa"/>
              <w:bottom w:w="0" w:type="dxa"/>
              <w:right w:w="0" w:type="dxa"/>
            </w:tcMar>
            <w:vAlign w:val="center"/>
          </w:tcPr>
          <w:p w14:paraId="4BF43FC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kern w:val="2"/>
                <w:sz w:val="18"/>
                <w:szCs w:val="18"/>
                <w:vertAlign w:val="baseline"/>
                <w:lang w:val="en-US" w:eastAsia="zh-CN" w:bidi="ar-SA"/>
              </w:rPr>
            </w:pPr>
          </w:p>
        </w:tc>
      </w:tr>
      <w:tr w14:paraId="07CA2E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2C8BCD0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28F4799C">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1D76918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0223CB7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705CDB38">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较轻</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33ABB63E">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214EA231">
            <w:pPr>
              <w:spacing w:line="260" w:lineRule="exact"/>
              <w:rPr>
                <w:rFonts w:hint="eastAsia" w:ascii="宋体" w:hAnsi="宋体" w:eastAsia="宋体" w:cs="宋体"/>
                <w:color w:val="000000"/>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6769A7B0">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33A94C4D">
            <w:pPr>
              <w:spacing w:line="260" w:lineRule="exact"/>
              <w:rPr>
                <w:rFonts w:hint="eastAsia" w:ascii="宋体" w:hAnsi="宋体" w:eastAsia="宋体" w:cs="宋体"/>
                <w:color w:val="000000"/>
                <w:kern w:val="2"/>
                <w:sz w:val="18"/>
                <w:szCs w:val="18"/>
                <w:vertAlign w:val="baseline"/>
                <w:lang w:val="en-US" w:eastAsia="zh-CN" w:bidi="ar-SA"/>
              </w:rPr>
            </w:pPr>
          </w:p>
        </w:tc>
        <w:tc>
          <w:tcPr>
            <w:tcW w:w="158" w:type="pct"/>
            <w:vMerge w:val="continue"/>
            <w:noWrap w:val="0"/>
            <w:tcMar>
              <w:top w:w="0" w:type="dxa"/>
              <w:left w:w="0" w:type="dxa"/>
              <w:bottom w:w="0" w:type="dxa"/>
              <w:right w:w="0" w:type="dxa"/>
            </w:tcMar>
            <w:vAlign w:val="center"/>
          </w:tcPr>
          <w:p w14:paraId="058B6E8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730C57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46" w:hRule="atLeast"/>
          <w:jc w:val="center"/>
        </w:trPr>
        <w:tc>
          <w:tcPr>
            <w:tcW w:w="156" w:type="pct"/>
            <w:vMerge w:val="continue"/>
            <w:noWrap w:val="0"/>
            <w:tcMar>
              <w:top w:w="0" w:type="dxa"/>
              <w:left w:w="0" w:type="dxa"/>
              <w:bottom w:w="0" w:type="dxa"/>
              <w:right w:w="0" w:type="dxa"/>
            </w:tcMar>
            <w:vAlign w:val="center"/>
          </w:tcPr>
          <w:p w14:paraId="22F169E5">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35B8D51C">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4694B7D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2DF6E29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07C6E3A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一般</w:t>
            </w:r>
          </w:p>
        </w:tc>
        <w:tc>
          <w:tcPr>
            <w:tcW w:w="561" w:type="pct"/>
            <w:noWrap w:val="0"/>
            <w:tcMar>
              <w:top w:w="0" w:type="dxa"/>
              <w:left w:w="0" w:type="dxa"/>
              <w:bottom w:w="0" w:type="dxa"/>
              <w:right w:w="0" w:type="dxa"/>
            </w:tcMar>
            <w:vAlign w:val="center"/>
          </w:tcPr>
          <w:p w14:paraId="5C27675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未指定专职安全生产管理人员进行安全检查与协调的</w:t>
            </w:r>
          </w:p>
        </w:tc>
        <w:tc>
          <w:tcPr>
            <w:tcW w:w="873" w:type="pct"/>
            <w:noWrap w:val="0"/>
            <w:tcMar>
              <w:top w:w="0" w:type="dxa"/>
              <w:left w:w="0" w:type="dxa"/>
              <w:bottom w:w="0" w:type="dxa"/>
              <w:right w:w="0" w:type="dxa"/>
            </w:tcMar>
            <w:vAlign w:val="center"/>
          </w:tcPr>
          <w:p w14:paraId="3ACD9BA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处2万元以下的罚款，对其直接负责的主管人员和其他直接责任人员处0.5万元的罚款</w:t>
            </w:r>
          </w:p>
        </w:tc>
        <w:tc>
          <w:tcPr>
            <w:tcW w:w="158" w:type="pct"/>
            <w:vMerge w:val="continue"/>
            <w:noWrap w:val="0"/>
            <w:tcMar>
              <w:top w:w="0" w:type="dxa"/>
              <w:left w:w="0" w:type="dxa"/>
              <w:bottom w:w="0" w:type="dxa"/>
              <w:right w:w="0" w:type="dxa"/>
            </w:tcMar>
            <w:vAlign w:val="center"/>
          </w:tcPr>
          <w:p w14:paraId="3C3EECEB">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kern w:val="2"/>
                <w:sz w:val="18"/>
                <w:szCs w:val="18"/>
                <w:vertAlign w:val="baseline"/>
                <w:lang w:val="en-US" w:eastAsia="zh-CN" w:bidi="ar-SA"/>
              </w:rPr>
            </w:pPr>
          </w:p>
        </w:tc>
      </w:tr>
      <w:tr w14:paraId="203333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61" w:hRule="atLeast"/>
          <w:jc w:val="center"/>
        </w:trPr>
        <w:tc>
          <w:tcPr>
            <w:tcW w:w="156" w:type="pct"/>
            <w:vMerge w:val="continue"/>
            <w:noWrap w:val="0"/>
            <w:tcMar>
              <w:top w:w="0" w:type="dxa"/>
              <w:left w:w="0" w:type="dxa"/>
              <w:bottom w:w="0" w:type="dxa"/>
              <w:right w:w="0" w:type="dxa"/>
            </w:tcMar>
            <w:vAlign w:val="center"/>
          </w:tcPr>
          <w:p w14:paraId="69176CC5">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144CDA84">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35B52E47">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1181B95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59B4BFB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较重</w:t>
            </w:r>
          </w:p>
        </w:tc>
        <w:tc>
          <w:tcPr>
            <w:tcW w:w="561" w:type="pct"/>
            <w:noWrap w:val="0"/>
            <w:tcMar>
              <w:top w:w="0" w:type="dxa"/>
              <w:left w:w="0" w:type="dxa"/>
              <w:bottom w:w="0" w:type="dxa"/>
              <w:right w:w="0" w:type="dxa"/>
            </w:tcMar>
            <w:vAlign w:val="center"/>
          </w:tcPr>
          <w:p w14:paraId="7FC17577">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未签订安全生产管理协议的</w:t>
            </w:r>
          </w:p>
        </w:tc>
        <w:tc>
          <w:tcPr>
            <w:tcW w:w="873" w:type="pct"/>
            <w:noWrap w:val="0"/>
            <w:tcMar>
              <w:top w:w="0" w:type="dxa"/>
              <w:left w:w="0" w:type="dxa"/>
              <w:bottom w:w="0" w:type="dxa"/>
              <w:right w:w="0" w:type="dxa"/>
            </w:tcMar>
            <w:vAlign w:val="center"/>
          </w:tcPr>
          <w:p w14:paraId="4DD74C5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处2万元以上4万元以下的罚款，对其直接负责的主管人员和其他直接责任人员处0.8万元的罚款</w:t>
            </w:r>
          </w:p>
        </w:tc>
        <w:tc>
          <w:tcPr>
            <w:tcW w:w="158" w:type="pct"/>
            <w:vMerge w:val="continue"/>
            <w:noWrap w:val="0"/>
            <w:tcMar>
              <w:top w:w="0" w:type="dxa"/>
              <w:left w:w="0" w:type="dxa"/>
              <w:bottom w:w="0" w:type="dxa"/>
              <w:right w:w="0" w:type="dxa"/>
            </w:tcMar>
            <w:vAlign w:val="center"/>
          </w:tcPr>
          <w:p w14:paraId="6405E8A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kern w:val="2"/>
                <w:sz w:val="18"/>
                <w:szCs w:val="18"/>
                <w:vertAlign w:val="baseline"/>
                <w:lang w:val="en-US" w:eastAsia="zh-CN" w:bidi="ar-SA"/>
              </w:rPr>
            </w:pPr>
          </w:p>
        </w:tc>
      </w:tr>
      <w:tr w14:paraId="0F42C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437" w:hRule="atLeast"/>
          <w:jc w:val="center"/>
        </w:trPr>
        <w:tc>
          <w:tcPr>
            <w:tcW w:w="156" w:type="pct"/>
            <w:vMerge w:val="continue"/>
            <w:noWrap w:val="0"/>
            <w:tcMar>
              <w:top w:w="0" w:type="dxa"/>
              <w:left w:w="0" w:type="dxa"/>
              <w:bottom w:w="0" w:type="dxa"/>
              <w:right w:w="0" w:type="dxa"/>
            </w:tcMar>
            <w:vAlign w:val="center"/>
          </w:tcPr>
          <w:p w14:paraId="1B1C9AC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1CF7EFCC">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48C14F1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48184E6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0717F9C1">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严重</w:t>
            </w:r>
          </w:p>
        </w:tc>
        <w:tc>
          <w:tcPr>
            <w:tcW w:w="561" w:type="pct"/>
            <w:noWrap w:val="0"/>
            <w:tcMar>
              <w:top w:w="0" w:type="dxa"/>
              <w:left w:w="0" w:type="dxa"/>
              <w:bottom w:w="0" w:type="dxa"/>
              <w:right w:w="0" w:type="dxa"/>
            </w:tcMar>
            <w:vAlign w:val="center"/>
          </w:tcPr>
          <w:p w14:paraId="1307DF6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既未指定专职安全生产管理人员进行安全检查与协调，又未签订安全生产管理协议的</w:t>
            </w:r>
          </w:p>
        </w:tc>
        <w:tc>
          <w:tcPr>
            <w:tcW w:w="873" w:type="pct"/>
            <w:noWrap w:val="0"/>
            <w:tcMar>
              <w:top w:w="0" w:type="dxa"/>
              <w:left w:w="0" w:type="dxa"/>
              <w:bottom w:w="0" w:type="dxa"/>
              <w:right w:w="0" w:type="dxa"/>
            </w:tcMar>
            <w:vAlign w:val="center"/>
          </w:tcPr>
          <w:p w14:paraId="4055E74C">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处4万元以上5万元以下的罚款，对其直接负责的主管人员和其他直接责任人员处1万元的罚款</w:t>
            </w:r>
          </w:p>
        </w:tc>
        <w:tc>
          <w:tcPr>
            <w:tcW w:w="158" w:type="pct"/>
            <w:vMerge w:val="continue"/>
            <w:noWrap w:val="0"/>
            <w:tcMar>
              <w:top w:w="0" w:type="dxa"/>
              <w:left w:w="0" w:type="dxa"/>
              <w:bottom w:w="0" w:type="dxa"/>
              <w:right w:w="0" w:type="dxa"/>
            </w:tcMar>
            <w:vAlign w:val="center"/>
          </w:tcPr>
          <w:p w14:paraId="4A70E9CB">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kern w:val="2"/>
                <w:sz w:val="18"/>
                <w:szCs w:val="18"/>
                <w:vertAlign w:val="baseline"/>
                <w:lang w:val="en-US" w:eastAsia="zh-CN" w:bidi="ar-SA"/>
              </w:rPr>
            </w:pPr>
          </w:p>
        </w:tc>
      </w:tr>
      <w:tr w14:paraId="7E5CF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restart"/>
            <w:noWrap w:val="0"/>
            <w:tcMar>
              <w:top w:w="0" w:type="dxa"/>
              <w:left w:w="0" w:type="dxa"/>
              <w:bottom w:w="0" w:type="dxa"/>
              <w:right w:w="0" w:type="dxa"/>
            </w:tcMar>
            <w:vAlign w:val="center"/>
          </w:tcPr>
          <w:p w14:paraId="65AD44C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r>
              <w:rPr>
                <w:rFonts w:hint="eastAsia" w:ascii="宋体" w:hAnsi="宋体" w:eastAsia="宋体" w:cs="宋体"/>
                <w:color w:val="000000"/>
                <w:sz w:val="18"/>
                <w:szCs w:val="18"/>
                <w:shd w:val="clear" w:color="auto" w:fill="auto"/>
                <w:vertAlign w:val="baseline"/>
                <w:lang w:val="en-US" w:eastAsia="zh-CN"/>
              </w:rPr>
              <w:t>105</w:t>
            </w:r>
          </w:p>
        </w:tc>
        <w:tc>
          <w:tcPr>
            <w:tcW w:w="415" w:type="pct"/>
            <w:vMerge w:val="restart"/>
            <w:noWrap w:val="0"/>
            <w:tcMar>
              <w:top w:w="0" w:type="dxa"/>
              <w:left w:w="0" w:type="dxa"/>
              <w:bottom w:w="0" w:type="dxa"/>
              <w:right w:w="0" w:type="dxa"/>
            </w:tcMar>
            <w:vAlign w:val="center"/>
          </w:tcPr>
          <w:p w14:paraId="5E53BFC1">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对水利领域生产经营单位生产、经营、储存、使用危险物品的车间、商店、仓库与员工宿舍的距离不符合安全要求，未设有符合紧急疏散需要、标志明显、保持畅通的出口、疏散通道等行为的行政处罚</w:t>
            </w:r>
          </w:p>
        </w:tc>
        <w:tc>
          <w:tcPr>
            <w:tcW w:w="2168" w:type="pct"/>
            <w:vMerge w:val="restart"/>
            <w:noWrap w:val="0"/>
            <w:tcMar>
              <w:top w:w="0" w:type="dxa"/>
              <w:left w:w="0" w:type="dxa"/>
              <w:bottom w:w="0" w:type="dxa"/>
              <w:right w:w="0" w:type="dxa"/>
            </w:tcMar>
            <w:vAlign w:val="center"/>
          </w:tcPr>
          <w:p w14:paraId="06EF506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《中华人民共和国安全生产法》第一百零五条 生产经营单位有下列行为之一的，责令限期改正，处五万元以下的罚款，对其直接负责的主管人员和其他直接责任人员处一万元以下的罚款；逾期未改正的，责令停产停业整顿；构成犯罪的，依照刑法有关规定追究刑事责任：</w:t>
            </w:r>
          </w:p>
          <w:p w14:paraId="6B85B277">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（一）生产、经营、储存、使用危险物品的车间、商店、仓库与员工宿舍在同一座建筑内，或者与员工宿舍的距离不符合安全要求的；</w:t>
            </w:r>
          </w:p>
          <w:p w14:paraId="5732282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（二）生产经营场所和员工宿舍未设有符合紧急疏散需要、标志明显、保持畅通的出口、疏散通道，或者占用、锁闭、封堵生产经营场所或者员工宿舍出口、疏散通道的。</w:t>
            </w:r>
          </w:p>
        </w:tc>
        <w:tc>
          <w:tcPr>
            <w:tcW w:w="491" w:type="pct"/>
            <w:vMerge w:val="restart"/>
            <w:noWrap w:val="0"/>
            <w:tcMar>
              <w:top w:w="0" w:type="dxa"/>
              <w:left w:w="0" w:type="dxa"/>
              <w:bottom w:w="0" w:type="dxa"/>
              <w:right w:w="0" w:type="dxa"/>
            </w:tcMar>
            <w:vAlign w:val="center"/>
          </w:tcPr>
          <w:p w14:paraId="0D9655C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水利领域生产经营单位生产、经营、储存、使用危险物品的车间、商店、仓库与员工宿舍的距离不符合安全要求的</w:t>
            </w:r>
          </w:p>
        </w:tc>
        <w:tc>
          <w:tcPr>
            <w:tcW w:w="174" w:type="pct"/>
            <w:noWrap w:val="0"/>
            <w:tcMar>
              <w:top w:w="0" w:type="dxa"/>
              <w:left w:w="0" w:type="dxa"/>
              <w:bottom w:w="0" w:type="dxa"/>
              <w:right w:w="0" w:type="dxa"/>
            </w:tcMar>
            <w:vAlign w:val="center"/>
          </w:tcPr>
          <w:p w14:paraId="3EB3B67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轻微</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36C25C7E">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3011EDDC">
            <w:pPr>
              <w:spacing w:line="260" w:lineRule="exact"/>
              <w:rPr>
                <w:rFonts w:hint="eastAsia" w:ascii="宋体" w:hAnsi="宋体" w:eastAsia="宋体" w:cs="宋体"/>
                <w:color w:val="000000"/>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435FDB5A">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0113B4B2">
            <w:pPr>
              <w:spacing w:line="260" w:lineRule="exact"/>
              <w:rPr>
                <w:rFonts w:hint="eastAsia" w:ascii="宋体" w:hAnsi="宋体" w:eastAsia="宋体" w:cs="宋体"/>
                <w:color w:val="000000"/>
                <w:kern w:val="2"/>
                <w:sz w:val="18"/>
                <w:szCs w:val="18"/>
                <w:vertAlign w:val="baseline"/>
                <w:lang w:val="en-US" w:eastAsia="zh-CN" w:bidi="ar-SA"/>
              </w:rPr>
            </w:pPr>
          </w:p>
        </w:tc>
        <w:tc>
          <w:tcPr>
            <w:tcW w:w="158" w:type="pct"/>
            <w:vMerge w:val="restart"/>
            <w:noWrap w:val="0"/>
            <w:tcMar>
              <w:top w:w="0" w:type="dxa"/>
              <w:left w:w="0" w:type="dxa"/>
              <w:bottom w:w="0" w:type="dxa"/>
              <w:right w:w="0" w:type="dxa"/>
            </w:tcMar>
            <w:vAlign w:val="center"/>
          </w:tcPr>
          <w:p w14:paraId="21FC84F1">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kern w:val="2"/>
                <w:sz w:val="18"/>
                <w:szCs w:val="18"/>
                <w:vertAlign w:val="baseline"/>
                <w:lang w:val="en-US" w:eastAsia="zh-CN" w:bidi="ar-SA"/>
              </w:rPr>
            </w:pPr>
          </w:p>
        </w:tc>
      </w:tr>
      <w:tr w14:paraId="1963D3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1458F909">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37F93B22">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2DB3D37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1FE649C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4CEF189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较轻</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63EF7C49">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4F3FD0D0">
            <w:pPr>
              <w:spacing w:line="260" w:lineRule="exact"/>
              <w:rPr>
                <w:rFonts w:hint="eastAsia" w:ascii="宋体" w:hAnsi="宋体" w:eastAsia="宋体" w:cs="宋体"/>
                <w:color w:val="000000"/>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67E26852">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35A30816">
            <w:pPr>
              <w:spacing w:line="260" w:lineRule="exact"/>
              <w:rPr>
                <w:rFonts w:hint="eastAsia" w:ascii="宋体" w:hAnsi="宋体" w:eastAsia="宋体" w:cs="宋体"/>
                <w:color w:val="000000"/>
                <w:kern w:val="2"/>
                <w:sz w:val="18"/>
                <w:szCs w:val="18"/>
                <w:vertAlign w:val="baseline"/>
                <w:lang w:val="en-US" w:eastAsia="zh-CN" w:bidi="ar-SA"/>
              </w:rPr>
            </w:pPr>
          </w:p>
        </w:tc>
        <w:tc>
          <w:tcPr>
            <w:tcW w:w="158" w:type="pct"/>
            <w:vMerge w:val="continue"/>
            <w:noWrap w:val="0"/>
            <w:tcMar>
              <w:top w:w="0" w:type="dxa"/>
              <w:left w:w="0" w:type="dxa"/>
              <w:bottom w:w="0" w:type="dxa"/>
              <w:right w:w="0" w:type="dxa"/>
            </w:tcMar>
            <w:vAlign w:val="center"/>
          </w:tcPr>
          <w:p w14:paraId="1B3A290D">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1BCB34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6944623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4DCB524F">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572A2E0C">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5A38F07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14706D9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一般</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34BEF5B6">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1EC3F406">
            <w:pPr>
              <w:spacing w:line="260" w:lineRule="exact"/>
              <w:rPr>
                <w:rFonts w:hint="eastAsia" w:ascii="宋体" w:hAnsi="宋体" w:eastAsia="宋体" w:cs="宋体"/>
                <w:color w:val="000000"/>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7EA07ED4">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4FF49D26">
            <w:pPr>
              <w:spacing w:line="260" w:lineRule="exact"/>
              <w:rPr>
                <w:rFonts w:hint="eastAsia" w:ascii="宋体" w:hAnsi="宋体" w:eastAsia="宋体" w:cs="宋体"/>
                <w:color w:val="000000"/>
                <w:kern w:val="2"/>
                <w:sz w:val="18"/>
                <w:szCs w:val="18"/>
                <w:vertAlign w:val="baseline"/>
                <w:lang w:val="en-US" w:eastAsia="zh-CN" w:bidi="ar-SA"/>
              </w:rPr>
            </w:pPr>
          </w:p>
        </w:tc>
        <w:tc>
          <w:tcPr>
            <w:tcW w:w="158" w:type="pct"/>
            <w:vMerge w:val="continue"/>
            <w:noWrap w:val="0"/>
            <w:tcMar>
              <w:top w:w="0" w:type="dxa"/>
              <w:left w:w="0" w:type="dxa"/>
              <w:bottom w:w="0" w:type="dxa"/>
              <w:right w:w="0" w:type="dxa"/>
            </w:tcMar>
            <w:vAlign w:val="center"/>
          </w:tcPr>
          <w:p w14:paraId="669402B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kern w:val="2"/>
                <w:sz w:val="18"/>
                <w:szCs w:val="18"/>
                <w:vertAlign w:val="baseline"/>
                <w:lang w:val="en-US" w:eastAsia="zh-CN" w:bidi="ar-SA"/>
              </w:rPr>
            </w:pPr>
          </w:p>
        </w:tc>
      </w:tr>
      <w:tr w14:paraId="57DD37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437" w:hRule="atLeast"/>
          <w:jc w:val="center"/>
        </w:trPr>
        <w:tc>
          <w:tcPr>
            <w:tcW w:w="156" w:type="pct"/>
            <w:vMerge w:val="continue"/>
            <w:noWrap w:val="0"/>
            <w:tcMar>
              <w:top w:w="0" w:type="dxa"/>
              <w:left w:w="0" w:type="dxa"/>
              <w:bottom w:w="0" w:type="dxa"/>
              <w:right w:w="0" w:type="dxa"/>
            </w:tcMar>
            <w:vAlign w:val="center"/>
          </w:tcPr>
          <w:p w14:paraId="189E6E3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61419AF3">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678FA60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7E7CAED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73B2581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较重</w:t>
            </w:r>
          </w:p>
        </w:tc>
        <w:tc>
          <w:tcPr>
            <w:tcW w:w="561" w:type="pct"/>
            <w:noWrap w:val="0"/>
            <w:tcMar>
              <w:top w:w="0" w:type="dxa"/>
              <w:left w:w="0" w:type="dxa"/>
              <w:bottom w:w="0" w:type="dxa"/>
              <w:right w:w="0" w:type="dxa"/>
            </w:tcMar>
            <w:vAlign w:val="center"/>
          </w:tcPr>
          <w:p w14:paraId="3B2F770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sz w:val="18"/>
                <w:szCs w:val="18"/>
                <w:vertAlign w:val="baseline"/>
              </w:rPr>
              <w:t>生产、经营、储存、使用危险物品的车间、商店、仓库与员工宿舍的距离不符合安全要求的</w:t>
            </w:r>
          </w:p>
        </w:tc>
        <w:tc>
          <w:tcPr>
            <w:tcW w:w="873" w:type="pct"/>
            <w:noWrap w:val="0"/>
            <w:tcMar>
              <w:top w:w="0" w:type="dxa"/>
              <w:left w:w="0" w:type="dxa"/>
              <w:bottom w:w="0" w:type="dxa"/>
              <w:right w:w="0" w:type="dxa"/>
            </w:tcMar>
            <w:vAlign w:val="center"/>
          </w:tcPr>
          <w:p w14:paraId="63472EE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处2万元以下的罚款，对其直接负责的主管人员和其他直接责任人员处0.5万元的罚款</w:t>
            </w:r>
          </w:p>
        </w:tc>
        <w:tc>
          <w:tcPr>
            <w:tcW w:w="158" w:type="pct"/>
            <w:vMerge w:val="continue"/>
            <w:noWrap w:val="0"/>
            <w:tcMar>
              <w:top w:w="0" w:type="dxa"/>
              <w:left w:w="0" w:type="dxa"/>
              <w:bottom w:w="0" w:type="dxa"/>
              <w:right w:w="0" w:type="dxa"/>
            </w:tcMar>
            <w:vAlign w:val="center"/>
          </w:tcPr>
          <w:p w14:paraId="618DB8C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514BBB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467" w:hRule="atLeast"/>
          <w:jc w:val="center"/>
        </w:trPr>
        <w:tc>
          <w:tcPr>
            <w:tcW w:w="156" w:type="pct"/>
            <w:vMerge w:val="continue"/>
            <w:noWrap w:val="0"/>
            <w:tcMar>
              <w:top w:w="0" w:type="dxa"/>
              <w:left w:w="0" w:type="dxa"/>
              <w:bottom w:w="0" w:type="dxa"/>
              <w:right w:w="0" w:type="dxa"/>
            </w:tcMar>
            <w:vAlign w:val="center"/>
          </w:tcPr>
          <w:p w14:paraId="2AEDD04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1AA93F28">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3172D8F7">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719E4A2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0ABC50D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严重</w:t>
            </w:r>
          </w:p>
        </w:tc>
        <w:tc>
          <w:tcPr>
            <w:tcW w:w="561" w:type="pct"/>
            <w:noWrap w:val="0"/>
            <w:tcMar>
              <w:top w:w="0" w:type="dxa"/>
              <w:left w:w="0" w:type="dxa"/>
              <w:bottom w:w="0" w:type="dxa"/>
              <w:right w:w="0" w:type="dxa"/>
            </w:tcMar>
            <w:vAlign w:val="center"/>
          </w:tcPr>
          <w:p w14:paraId="06CA3334">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生产、经营、储存、使用危险物品的车间、商店、仓库与员工宿舍在同一座建筑内的</w:t>
            </w:r>
          </w:p>
        </w:tc>
        <w:tc>
          <w:tcPr>
            <w:tcW w:w="873" w:type="pct"/>
            <w:noWrap w:val="0"/>
            <w:tcMar>
              <w:top w:w="0" w:type="dxa"/>
              <w:left w:w="0" w:type="dxa"/>
              <w:bottom w:w="0" w:type="dxa"/>
              <w:right w:w="0" w:type="dxa"/>
            </w:tcMar>
            <w:vAlign w:val="center"/>
          </w:tcPr>
          <w:p w14:paraId="231FE3E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处2万元以上5万元以下的罚款，对其直接负责的主管人员和其他直接责任人员处1万元的罚款</w:t>
            </w:r>
          </w:p>
        </w:tc>
        <w:tc>
          <w:tcPr>
            <w:tcW w:w="158" w:type="pct"/>
            <w:vMerge w:val="continue"/>
            <w:noWrap w:val="0"/>
            <w:tcMar>
              <w:top w:w="0" w:type="dxa"/>
              <w:left w:w="0" w:type="dxa"/>
              <w:bottom w:w="0" w:type="dxa"/>
              <w:right w:w="0" w:type="dxa"/>
            </w:tcMar>
            <w:vAlign w:val="center"/>
          </w:tcPr>
          <w:p w14:paraId="0F26463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kern w:val="2"/>
                <w:sz w:val="18"/>
                <w:szCs w:val="18"/>
                <w:vertAlign w:val="baseline"/>
                <w:lang w:val="en-US" w:eastAsia="zh-CN" w:bidi="ar-SA"/>
              </w:rPr>
            </w:pPr>
          </w:p>
        </w:tc>
      </w:tr>
      <w:tr w14:paraId="1B52D0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156" w:type="pct"/>
            <w:vMerge w:val="continue"/>
            <w:noWrap w:val="0"/>
            <w:tcMar>
              <w:top w:w="0" w:type="dxa"/>
              <w:left w:w="0" w:type="dxa"/>
              <w:bottom w:w="0" w:type="dxa"/>
              <w:right w:w="0" w:type="dxa"/>
            </w:tcMar>
            <w:vAlign w:val="center"/>
          </w:tcPr>
          <w:p w14:paraId="5BCB8BE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1BCB0C2C">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4746B8C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restart"/>
            <w:noWrap w:val="0"/>
            <w:tcMar>
              <w:top w:w="0" w:type="dxa"/>
              <w:left w:w="0" w:type="dxa"/>
              <w:bottom w:w="0" w:type="dxa"/>
              <w:right w:w="0" w:type="dxa"/>
            </w:tcMar>
            <w:vAlign w:val="center"/>
          </w:tcPr>
          <w:p w14:paraId="7DEDB8E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水利领域生产经营单位未设有符合紧急疏散需要、标志明显、保持畅通的出口、疏散通道的</w:t>
            </w:r>
          </w:p>
        </w:tc>
        <w:tc>
          <w:tcPr>
            <w:tcW w:w="174" w:type="pct"/>
            <w:noWrap w:val="0"/>
            <w:tcMar>
              <w:top w:w="0" w:type="dxa"/>
              <w:left w:w="0" w:type="dxa"/>
              <w:bottom w:w="0" w:type="dxa"/>
              <w:right w:w="0" w:type="dxa"/>
            </w:tcMar>
            <w:vAlign w:val="center"/>
          </w:tcPr>
          <w:p w14:paraId="11B854DA">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轻微</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05D565D3">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7491471D">
            <w:pPr>
              <w:spacing w:line="260" w:lineRule="exact"/>
              <w:rPr>
                <w:rFonts w:hint="eastAsia" w:ascii="宋体" w:hAnsi="宋体" w:eastAsia="宋体" w:cs="宋体"/>
                <w:color w:val="000000"/>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2CCE3DCA">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2FDBB9BF">
            <w:pPr>
              <w:spacing w:line="260" w:lineRule="exact"/>
              <w:rPr>
                <w:rFonts w:hint="eastAsia" w:ascii="宋体" w:hAnsi="宋体" w:eastAsia="宋体" w:cs="宋体"/>
                <w:color w:val="000000"/>
                <w:kern w:val="2"/>
                <w:sz w:val="18"/>
                <w:szCs w:val="18"/>
                <w:vertAlign w:val="baseline"/>
                <w:lang w:val="en-US" w:eastAsia="zh-CN" w:bidi="ar-SA"/>
              </w:rPr>
            </w:pPr>
          </w:p>
        </w:tc>
        <w:tc>
          <w:tcPr>
            <w:tcW w:w="158" w:type="pct"/>
            <w:vMerge w:val="restart"/>
            <w:noWrap w:val="0"/>
            <w:tcMar>
              <w:top w:w="0" w:type="dxa"/>
              <w:left w:w="0" w:type="dxa"/>
              <w:bottom w:w="0" w:type="dxa"/>
              <w:right w:w="0" w:type="dxa"/>
            </w:tcMar>
            <w:vAlign w:val="center"/>
          </w:tcPr>
          <w:p w14:paraId="4CE3EF4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kern w:val="2"/>
                <w:sz w:val="18"/>
                <w:szCs w:val="18"/>
                <w:vertAlign w:val="baseline"/>
                <w:lang w:val="en-US" w:eastAsia="zh-CN" w:bidi="ar-SA"/>
              </w:rPr>
            </w:pPr>
          </w:p>
        </w:tc>
      </w:tr>
      <w:tr w14:paraId="5F9062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156" w:type="pct"/>
            <w:vMerge w:val="continue"/>
            <w:noWrap w:val="0"/>
            <w:tcMar>
              <w:top w:w="0" w:type="dxa"/>
              <w:left w:w="0" w:type="dxa"/>
              <w:bottom w:w="0" w:type="dxa"/>
              <w:right w:w="0" w:type="dxa"/>
            </w:tcMar>
            <w:vAlign w:val="center"/>
          </w:tcPr>
          <w:p w14:paraId="6A0FB5A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389802C1">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3D1F1B9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3B353C1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3C9EABAB">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较轻</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7B51A6B6">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5024E6BC">
            <w:pPr>
              <w:spacing w:line="260" w:lineRule="exact"/>
              <w:rPr>
                <w:rFonts w:hint="eastAsia" w:ascii="宋体" w:hAnsi="宋体" w:eastAsia="宋体" w:cs="宋体"/>
                <w:color w:val="000000"/>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7315E225">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5D27CC8C">
            <w:pPr>
              <w:spacing w:line="260" w:lineRule="exact"/>
              <w:rPr>
                <w:rFonts w:hint="eastAsia" w:ascii="宋体" w:hAnsi="宋体" w:eastAsia="宋体" w:cs="宋体"/>
                <w:color w:val="000000"/>
                <w:kern w:val="2"/>
                <w:sz w:val="18"/>
                <w:szCs w:val="18"/>
                <w:vertAlign w:val="baseline"/>
                <w:lang w:val="en-US" w:eastAsia="zh-CN" w:bidi="ar-SA"/>
              </w:rPr>
            </w:pPr>
          </w:p>
        </w:tc>
        <w:tc>
          <w:tcPr>
            <w:tcW w:w="158" w:type="pct"/>
            <w:vMerge w:val="continue"/>
            <w:noWrap w:val="0"/>
            <w:tcMar>
              <w:top w:w="0" w:type="dxa"/>
              <w:left w:w="0" w:type="dxa"/>
              <w:bottom w:w="0" w:type="dxa"/>
              <w:right w:w="0" w:type="dxa"/>
            </w:tcMar>
            <w:vAlign w:val="center"/>
          </w:tcPr>
          <w:p w14:paraId="38A523D8">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50BFEC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097" w:hRule="atLeast"/>
          <w:jc w:val="center"/>
        </w:trPr>
        <w:tc>
          <w:tcPr>
            <w:tcW w:w="156" w:type="pct"/>
            <w:vMerge w:val="continue"/>
            <w:noWrap w:val="0"/>
            <w:tcMar>
              <w:top w:w="0" w:type="dxa"/>
              <w:left w:w="0" w:type="dxa"/>
              <w:bottom w:w="0" w:type="dxa"/>
              <w:right w:w="0" w:type="dxa"/>
            </w:tcMar>
            <w:vAlign w:val="center"/>
          </w:tcPr>
          <w:p w14:paraId="2B1DF3CB">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32F5DA96">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68F209C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2A68017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40E3FDD9">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一般</w:t>
            </w:r>
          </w:p>
        </w:tc>
        <w:tc>
          <w:tcPr>
            <w:tcW w:w="561" w:type="pct"/>
            <w:noWrap w:val="0"/>
            <w:tcMar>
              <w:top w:w="0" w:type="dxa"/>
              <w:left w:w="0" w:type="dxa"/>
              <w:bottom w:w="0" w:type="dxa"/>
              <w:right w:w="0" w:type="dxa"/>
            </w:tcMar>
            <w:vAlign w:val="center"/>
          </w:tcPr>
          <w:p w14:paraId="7E020C46">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未设有符合紧急疏散需要、标志明显、保持畅通的出口、疏散通道的</w:t>
            </w:r>
          </w:p>
        </w:tc>
        <w:tc>
          <w:tcPr>
            <w:tcW w:w="873" w:type="pct"/>
            <w:noWrap w:val="0"/>
            <w:tcMar>
              <w:top w:w="0" w:type="dxa"/>
              <w:left w:w="0" w:type="dxa"/>
              <w:bottom w:w="0" w:type="dxa"/>
              <w:right w:w="0" w:type="dxa"/>
            </w:tcMar>
            <w:vAlign w:val="center"/>
          </w:tcPr>
          <w:p w14:paraId="40B94323">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处2万元以下的罚款，对其直接负责的主管人员和其他直接责任人员处5000元的罚款</w:t>
            </w:r>
          </w:p>
        </w:tc>
        <w:tc>
          <w:tcPr>
            <w:tcW w:w="158" w:type="pct"/>
            <w:vMerge w:val="continue"/>
            <w:noWrap w:val="0"/>
            <w:tcMar>
              <w:top w:w="0" w:type="dxa"/>
              <w:left w:w="0" w:type="dxa"/>
              <w:bottom w:w="0" w:type="dxa"/>
              <w:right w:w="0" w:type="dxa"/>
            </w:tcMar>
            <w:vAlign w:val="center"/>
          </w:tcPr>
          <w:p w14:paraId="56C313E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kern w:val="2"/>
                <w:sz w:val="18"/>
                <w:szCs w:val="18"/>
                <w:vertAlign w:val="baseline"/>
                <w:lang w:val="en-US" w:eastAsia="zh-CN" w:bidi="ar-SA"/>
              </w:rPr>
            </w:pPr>
          </w:p>
        </w:tc>
      </w:tr>
      <w:tr w14:paraId="0F0951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083" w:hRule="atLeast"/>
          <w:jc w:val="center"/>
        </w:trPr>
        <w:tc>
          <w:tcPr>
            <w:tcW w:w="156" w:type="pct"/>
            <w:vMerge w:val="continue"/>
            <w:noWrap w:val="0"/>
            <w:tcMar>
              <w:top w:w="0" w:type="dxa"/>
              <w:left w:w="0" w:type="dxa"/>
              <w:bottom w:w="0" w:type="dxa"/>
              <w:right w:w="0" w:type="dxa"/>
            </w:tcMar>
            <w:vAlign w:val="center"/>
          </w:tcPr>
          <w:p w14:paraId="1B4D9169">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6700E59F">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0C6029D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7E820AA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0A366ED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较重</w:t>
            </w:r>
          </w:p>
        </w:tc>
        <w:tc>
          <w:tcPr>
            <w:tcW w:w="561" w:type="pct"/>
            <w:noWrap w:val="0"/>
            <w:tcMar>
              <w:top w:w="0" w:type="dxa"/>
              <w:left w:w="0" w:type="dxa"/>
              <w:bottom w:w="0" w:type="dxa"/>
              <w:right w:w="0" w:type="dxa"/>
            </w:tcMar>
            <w:vAlign w:val="center"/>
          </w:tcPr>
          <w:p w14:paraId="6ADF4BDC">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占用、锁闭、封堵生产经营场所或者员工宿舍出口、疏散通道的</w:t>
            </w:r>
          </w:p>
        </w:tc>
        <w:tc>
          <w:tcPr>
            <w:tcW w:w="873" w:type="pct"/>
            <w:noWrap w:val="0"/>
            <w:tcMar>
              <w:top w:w="0" w:type="dxa"/>
              <w:left w:w="0" w:type="dxa"/>
              <w:bottom w:w="0" w:type="dxa"/>
              <w:right w:w="0" w:type="dxa"/>
            </w:tcMar>
            <w:vAlign w:val="center"/>
          </w:tcPr>
          <w:p w14:paraId="438F87C0">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处2万元以上4万元以下的罚款，对其直接负责的主管人员和其他直接责任人员处7000元的罚款</w:t>
            </w:r>
          </w:p>
        </w:tc>
        <w:tc>
          <w:tcPr>
            <w:tcW w:w="158" w:type="pct"/>
            <w:vMerge w:val="continue"/>
            <w:noWrap w:val="0"/>
            <w:tcMar>
              <w:top w:w="0" w:type="dxa"/>
              <w:left w:w="0" w:type="dxa"/>
              <w:bottom w:w="0" w:type="dxa"/>
              <w:right w:w="0" w:type="dxa"/>
            </w:tcMar>
            <w:vAlign w:val="center"/>
          </w:tcPr>
          <w:p w14:paraId="50CA0CD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kern w:val="2"/>
                <w:sz w:val="18"/>
                <w:szCs w:val="18"/>
                <w:vertAlign w:val="baseline"/>
                <w:lang w:val="en-US" w:eastAsia="zh-CN" w:bidi="ar-SA"/>
              </w:rPr>
            </w:pPr>
          </w:p>
        </w:tc>
      </w:tr>
      <w:tr w14:paraId="270CDE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636CDCA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181ED104">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23B0EBD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1494AF5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33FC4FA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严重</w:t>
            </w:r>
          </w:p>
        </w:tc>
        <w:tc>
          <w:tcPr>
            <w:tcW w:w="561" w:type="pct"/>
            <w:noWrap w:val="0"/>
            <w:tcMar>
              <w:top w:w="0" w:type="dxa"/>
              <w:left w:w="0" w:type="dxa"/>
              <w:bottom w:w="0" w:type="dxa"/>
              <w:right w:w="0" w:type="dxa"/>
            </w:tcMar>
            <w:vAlign w:val="center"/>
          </w:tcPr>
          <w:p w14:paraId="0583B9FC">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前述两种情形均违反的</w:t>
            </w:r>
          </w:p>
        </w:tc>
        <w:tc>
          <w:tcPr>
            <w:tcW w:w="873" w:type="pct"/>
            <w:noWrap w:val="0"/>
            <w:tcMar>
              <w:top w:w="0" w:type="dxa"/>
              <w:left w:w="0" w:type="dxa"/>
              <w:bottom w:w="0" w:type="dxa"/>
              <w:right w:w="0" w:type="dxa"/>
            </w:tcMar>
            <w:vAlign w:val="center"/>
          </w:tcPr>
          <w:p w14:paraId="06A3D949">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处4万元以上5万元以下的罚款，对其直接负责的主管人员和其他直接责任人员处1万元的罚款</w:t>
            </w:r>
          </w:p>
        </w:tc>
        <w:tc>
          <w:tcPr>
            <w:tcW w:w="158" w:type="pct"/>
            <w:vMerge w:val="continue"/>
            <w:noWrap w:val="0"/>
            <w:tcMar>
              <w:top w:w="0" w:type="dxa"/>
              <w:left w:w="0" w:type="dxa"/>
              <w:bottom w:w="0" w:type="dxa"/>
              <w:right w:w="0" w:type="dxa"/>
            </w:tcMar>
            <w:vAlign w:val="center"/>
          </w:tcPr>
          <w:p w14:paraId="4A1697D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kern w:val="2"/>
                <w:sz w:val="18"/>
                <w:szCs w:val="18"/>
                <w:vertAlign w:val="baseline"/>
                <w:lang w:val="en-US" w:eastAsia="zh-CN" w:bidi="ar-SA"/>
              </w:rPr>
            </w:pPr>
          </w:p>
        </w:tc>
      </w:tr>
      <w:tr w14:paraId="3DAF6C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156" w:type="pct"/>
            <w:vMerge w:val="restart"/>
            <w:noWrap w:val="0"/>
            <w:tcMar>
              <w:top w:w="0" w:type="dxa"/>
              <w:left w:w="0" w:type="dxa"/>
              <w:bottom w:w="0" w:type="dxa"/>
              <w:right w:w="0" w:type="dxa"/>
            </w:tcMar>
            <w:vAlign w:val="center"/>
          </w:tcPr>
          <w:p w14:paraId="100FD4E5">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r>
              <w:rPr>
                <w:rFonts w:hint="eastAsia" w:ascii="宋体" w:hAnsi="宋体" w:eastAsia="宋体" w:cs="宋体"/>
                <w:color w:val="000000"/>
                <w:sz w:val="18"/>
                <w:szCs w:val="18"/>
                <w:shd w:val="clear" w:color="auto" w:fill="auto"/>
                <w:vertAlign w:val="baseline"/>
                <w:lang w:val="en-US" w:eastAsia="zh-CN"/>
              </w:rPr>
              <w:t>106</w:t>
            </w:r>
          </w:p>
        </w:tc>
        <w:tc>
          <w:tcPr>
            <w:tcW w:w="415" w:type="pct"/>
            <w:vMerge w:val="restart"/>
            <w:noWrap w:val="0"/>
            <w:tcMar>
              <w:top w:w="0" w:type="dxa"/>
              <w:left w:w="0" w:type="dxa"/>
              <w:bottom w:w="0" w:type="dxa"/>
              <w:right w:w="0" w:type="dxa"/>
            </w:tcMar>
            <w:vAlign w:val="center"/>
          </w:tcPr>
          <w:p w14:paraId="40A45CC7">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对水利领域生产经营单位与从业人员订立协议，免除或者减轻其对从业人员因生产安全事故伤亡依法应承担的责任行为的行政处罚</w:t>
            </w:r>
          </w:p>
        </w:tc>
        <w:tc>
          <w:tcPr>
            <w:tcW w:w="2168" w:type="pct"/>
            <w:vMerge w:val="restart"/>
            <w:noWrap w:val="0"/>
            <w:tcMar>
              <w:top w:w="0" w:type="dxa"/>
              <w:left w:w="0" w:type="dxa"/>
              <w:bottom w:w="0" w:type="dxa"/>
              <w:right w:w="0" w:type="dxa"/>
            </w:tcMar>
            <w:vAlign w:val="center"/>
          </w:tcPr>
          <w:p w14:paraId="45B73C1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《中华人民共和国安全生产法》第一百零六条 生产经营单位与从业人员订立协议，免除或者减轻其对从业人员因生产安全事故伤亡依法应承担的责任的，该协议无效；对生产经营单位的主要负责人、个人经营的投资人处二万元以上十万元以下的罚款。</w:t>
            </w:r>
          </w:p>
        </w:tc>
        <w:tc>
          <w:tcPr>
            <w:tcW w:w="491" w:type="pct"/>
            <w:vMerge w:val="restart"/>
            <w:noWrap w:val="0"/>
            <w:tcMar>
              <w:top w:w="0" w:type="dxa"/>
              <w:left w:w="0" w:type="dxa"/>
              <w:bottom w:w="0" w:type="dxa"/>
              <w:right w:w="0" w:type="dxa"/>
            </w:tcMar>
            <w:vAlign w:val="center"/>
          </w:tcPr>
          <w:p w14:paraId="20B376C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生产经营单位与从业人员订立协议，免除或者减轻其对从业人员因生产安全事故伤亡依法应承担的责任的</w:t>
            </w:r>
          </w:p>
        </w:tc>
        <w:tc>
          <w:tcPr>
            <w:tcW w:w="174" w:type="pct"/>
            <w:noWrap w:val="0"/>
            <w:tcMar>
              <w:top w:w="0" w:type="dxa"/>
              <w:left w:w="0" w:type="dxa"/>
              <w:bottom w:w="0" w:type="dxa"/>
              <w:right w:w="0" w:type="dxa"/>
            </w:tcMar>
            <w:vAlign w:val="center"/>
          </w:tcPr>
          <w:p w14:paraId="022CE180">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轻微</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1F600A2C">
            <w:pPr>
              <w:snapToGrid/>
              <w:spacing w:line="24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6E965888">
            <w:pPr>
              <w:spacing w:line="240" w:lineRule="exact"/>
              <w:rPr>
                <w:rFonts w:hint="eastAsia" w:ascii="宋体" w:hAnsi="宋体" w:eastAsia="宋体" w:cs="宋体"/>
                <w:color w:val="000000"/>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7C274BBE">
            <w:pPr>
              <w:snapToGrid/>
              <w:spacing w:line="24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5997739A">
            <w:pPr>
              <w:spacing w:line="240" w:lineRule="exact"/>
              <w:rPr>
                <w:rFonts w:hint="eastAsia" w:ascii="宋体" w:hAnsi="宋体" w:eastAsia="宋体" w:cs="宋体"/>
                <w:color w:val="000000"/>
                <w:kern w:val="2"/>
                <w:sz w:val="18"/>
                <w:szCs w:val="18"/>
                <w:vertAlign w:val="baseline"/>
                <w:lang w:val="en-US" w:eastAsia="zh-CN" w:bidi="ar-SA"/>
              </w:rPr>
            </w:pPr>
          </w:p>
        </w:tc>
        <w:tc>
          <w:tcPr>
            <w:tcW w:w="158" w:type="pct"/>
            <w:vMerge w:val="restart"/>
            <w:noWrap w:val="0"/>
            <w:tcMar>
              <w:top w:w="0" w:type="dxa"/>
              <w:left w:w="0" w:type="dxa"/>
              <w:bottom w:w="0" w:type="dxa"/>
              <w:right w:w="0" w:type="dxa"/>
            </w:tcMar>
            <w:vAlign w:val="center"/>
          </w:tcPr>
          <w:p w14:paraId="2DBA13A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kern w:val="2"/>
                <w:sz w:val="18"/>
                <w:szCs w:val="18"/>
                <w:vertAlign w:val="baseline"/>
                <w:lang w:val="en-US" w:eastAsia="zh-CN" w:bidi="ar-SA"/>
              </w:rPr>
            </w:pPr>
          </w:p>
        </w:tc>
      </w:tr>
      <w:tr w14:paraId="140B2E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39E8C355">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7AA95746">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325D17D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489B4FE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02CFBE58">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较轻</w:t>
            </w:r>
          </w:p>
        </w:tc>
        <w:tc>
          <w:tcPr>
            <w:tcW w:w="561" w:type="pct"/>
            <w:noWrap w:val="0"/>
            <w:tcMar>
              <w:top w:w="0" w:type="dxa"/>
              <w:left w:w="0" w:type="dxa"/>
              <w:bottom w:w="0" w:type="dxa"/>
              <w:right w:w="0" w:type="dxa"/>
            </w:tcMar>
            <w:vAlign w:val="center"/>
          </w:tcPr>
          <w:p w14:paraId="4CE40DD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与从业人员订立协议，减轻其对从业人员因生产安全事故受伤依法应承担责任的</w:t>
            </w:r>
          </w:p>
        </w:tc>
        <w:tc>
          <w:tcPr>
            <w:tcW w:w="873" w:type="pct"/>
            <w:noWrap w:val="0"/>
            <w:tcMar>
              <w:top w:w="0" w:type="dxa"/>
              <w:left w:w="0" w:type="dxa"/>
              <w:bottom w:w="0" w:type="dxa"/>
              <w:right w:w="0" w:type="dxa"/>
            </w:tcMar>
            <w:vAlign w:val="center"/>
          </w:tcPr>
          <w:p w14:paraId="59B5DC47">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处2万元以上3万元以下的罚款</w:t>
            </w:r>
          </w:p>
        </w:tc>
        <w:tc>
          <w:tcPr>
            <w:tcW w:w="158" w:type="pct"/>
            <w:vMerge w:val="continue"/>
            <w:noWrap w:val="0"/>
            <w:tcMar>
              <w:top w:w="0" w:type="dxa"/>
              <w:left w:w="0" w:type="dxa"/>
              <w:bottom w:w="0" w:type="dxa"/>
              <w:right w:w="0" w:type="dxa"/>
            </w:tcMar>
            <w:vAlign w:val="center"/>
          </w:tcPr>
          <w:p w14:paraId="75CEC76A">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kern w:val="2"/>
                <w:sz w:val="18"/>
                <w:szCs w:val="18"/>
                <w:vertAlign w:val="baseline"/>
                <w:lang w:val="en-US" w:eastAsia="zh-CN" w:bidi="ar-SA"/>
              </w:rPr>
            </w:pPr>
          </w:p>
        </w:tc>
      </w:tr>
      <w:tr w14:paraId="678B4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1119362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5A03A519">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4FD41CE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7393DEFC">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5031CA9B">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一般</w:t>
            </w:r>
          </w:p>
        </w:tc>
        <w:tc>
          <w:tcPr>
            <w:tcW w:w="561" w:type="pct"/>
            <w:noWrap w:val="0"/>
            <w:tcMar>
              <w:top w:w="0" w:type="dxa"/>
              <w:left w:w="0" w:type="dxa"/>
              <w:bottom w:w="0" w:type="dxa"/>
              <w:right w:w="0" w:type="dxa"/>
            </w:tcMar>
            <w:vAlign w:val="center"/>
          </w:tcPr>
          <w:p w14:paraId="200FFA3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pacing w:val="-6"/>
                <w:sz w:val="18"/>
                <w:szCs w:val="18"/>
                <w:vertAlign w:val="baseline"/>
              </w:rPr>
              <w:t>与从业人员订立协议，减轻其对从业人员因生产安全事故死亡依法应承担责任的</w:t>
            </w:r>
          </w:p>
        </w:tc>
        <w:tc>
          <w:tcPr>
            <w:tcW w:w="873" w:type="pct"/>
            <w:noWrap w:val="0"/>
            <w:tcMar>
              <w:top w:w="0" w:type="dxa"/>
              <w:left w:w="0" w:type="dxa"/>
              <w:bottom w:w="0" w:type="dxa"/>
              <w:right w:w="0" w:type="dxa"/>
            </w:tcMar>
            <w:vAlign w:val="center"/>
          </w:tcPr>
          <w:p w14:paraId="50DFD946">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处3万元以上5万元以下的罚款</w:t>
            </w:r>
          </w:p>
        </w:tc>
        <w:tc>
          <w:tcPr>
            <w:tcW w:w="158" w:type="pct"/>
            <w:vMerge w:val="continue"/>
            <w:noWrap w:val="0"/>
            <w:tcMar>
              <w:top w:w="0" w:type="dxa"/>
              <w:left w:w="0" w:type="dxa"/>
              <w:bottom w:w="0" w:type="dxa"/>
              <w:right w:w="0" w:type="dxa"/>
            </w:tcMar>
            <w:vAlign w:val="center"/>
          </w:tcPr>
          <w:p w14:paraId="0396BE91">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kern w:val="2"/>
                <w:sz w:val="18"/>
                <w:szCs w:val="18"/>
                <w:vertAlign w:val="baseline"/>
                <w:lang w:val="en-US" w:eastAsia="zh-CN" w:bidi="ar-SA"/>
              </w:rPr>
            </w:pPr>
          </w:p>
        </w:tc>
      </w:tr>
      <w:tr w14:paraId="171A1D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090" w:hRule="atLeast"/>
          <w:jc w:val="center"/>
        </w:trPr>
        <w:tc>
          <w:tcPr>
            <w:tcW w:w="156" w:type="pct"/>
            <w:vMerge w:val="continue"/>
            <w:noWrap w:val="0"/>
            <w:tcMar>
              <w:top w:w="0" w:type="dxa"/>
              <w:left w:w="0" w:type="dxa"/>
              <w:bottom w:w="0" w:type="dxa"/>
              <w:right w:w="0" w:type="dxa"/>
            </w:tcMar>
            <w:vAlign w:val="center"/>
          </w:tcPr>
          <w:p w14:paraId="7A0E0DA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3955E5C5">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229A8E4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007498E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009E139A">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较重</w:t>
            </w:r>
          </w:p>
        </w:tc>
        <w:tc>
          <w:tcPr>
            <w:tcW w:w="561" w:type="pct"/>
            <w:noWrap w:val="0"/>
            <w:tcMar>
              <w:top w:w="0" w:type="dxa"/>
              <w:left w:w="0" w:type="dxa"/>
              <w:bottom w:w="0" w:type="dxa"/>
              <w:right w:w="0" w:type="dxa"/>
            </w:tcMar>
            <w:vAlign w:val="center"/>
          </w:tcPr>
          <w:p w14:paraId="688B24B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与从业人员订立协议，免除其对从业人员因生产安全事故受伤依法应承担责任的</w:t>
            </w:r>
          </w:p>
        </w:tc>
        <w:tc>
          <w:tcPr>
            <w:tcW w:w="873" w:type="pct"/>
            <w:noWrap w:val="0"/>
            <w:tcMar>
              <w:top w:w="0" w:type="dxa"/>
              <w:left w:w="0" w:type="dxa"/>
              <w:bottom w:w="0" w:type="dxa"/>
              <w:right w:w="0" w:type="dxa"/>
            </w:tcMar>
            <w:vAlign w:val="center"/>
          </w:tcPr>
          <w:p w14:paraId="0BB00A92">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处5万元以上8万元以下的罚款</w:t>
            </w:r>
          </w:p>
        </w:tc>
        <w:tc>
          <w:tcPr>
            <w:tcW w:w="158" w:type="pct"/>
            <w:vMerge w:val="continue"/>
            <w:noWrap w:val="0"/>
            <w:tcMar>
              <w:top w:w="0" w:type="dxa"/>
              <w:left w:w="0" w:type="dxa"/>
              <w:bottom w:w="0" w:type="dxa"/>
              <w:right w:w="0" w:type="dxa"/>
            </w:tcMar>
            <w:vAlign w:val="center"/>
          </w:tcPr>
          <w:p w14:paraId="5635684A">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kern w:val="2"/>
                <w:sz w:val="18"/>
                <w:szCs w:val="18"/>
                <w:vertAlign w:val="baseline"/>
                <w:lang w:val="en-US" w:eastAsia="zh-CN" w:bidi="ar-SA"/>
              </w:rPr>
            </w:pPr>
          </w:p>
        </w:tc>
      </w:tr>
      <w:tr w14:paraId="43AC19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624EB03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703F866D">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0AFAFE4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774A834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05B97AE1">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严重</w:t>
            </w:r>
          </w:p>
        </w:tc>
        <w:tc>
          <w:tcPr>
            <w:tcW w:w="561" w:type="pct"/>
            <w:noWrap w:val="0"/>
            <w:tcMar>
              <w:top w:w="0" w:type="dxa"/>
              <w:left w:w="0" w:type="dxa"/>
              <w:bottom w:w="0" w:type="dxa"/>
              <w:right w:w="0" w:type="dxa"/>
            </w:tcMar>
            <w:vAlign w:val="center"/>
          </w:tcPr>
          <w:p w14:paraId="3334A93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与从业人员订立协议，免除其对从业人员因生产安全事故死亡依法应承担责任的</w:t>
            </w:r>
          </w:p>
        </w:tc>
        <w:tc>
          <w:tcPr>
            <w:tcW w:w="873" w:type="pct"/>
            <w:noWrap w:val="0"/>
            <w:tcMar>
              <w:top w:w="0" w:type="dxa"/>
              <w:left w:w="0" w:type="dxa"/>
              <w:bottom w:w="0" w:type="dxa"/>
              <w:right w:w="0" w:type="dxa"/>
            </w:tcMar>
            <w:vAlign w:val="center"/>
          </w:tcPr>
          <w:p w14:paraId="338B3CBB">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处8万元以上10万元以下的罚款</w:t>
            </w:r>
          </w:p>
        </w:tc>
        <w:tc>
          <w:tcPr>
            <w:tcW w:w="158" w:type="pct"/>
            <w:vMerge w:val="continue"/>
            <w:noWrap w:val="0"/>
            <w:tcMar>
              <w:top w:w="0" w:type="dxa"/>
              <w:left w:w="0" w:type="dxa"/>
              <w:bottom w:w="0" w:type="dxa"/>
              <w:right w:w="0" w:type="dxa"/>
            </w:tcMar>
            <w:vAlign w:val="center"/>
          </w:tcPr>
          <w:p w14:paraId="58C8F70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kern w:val="2"/>
                <w:sz w:val="18"/>
                <w:szCs w:val="18"/>
                <w:vertAlign w:val="baseline"/>
                <w:lang w:val="en-US" w:eastAsia="zh-CN" w:bidi="ar-SA"/>
              </w:rPr>
            </w:pPr>
          </w:p>
        </w:tc>
      </w:tr>
      <w:tr w14:paraId="0EA574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jc w:val="center"/>
        </w:trPr>
        <w:tc>
          <w:tcPr>
            <w:tcW w:w="156" w:type="pct"/>
            <w:vMerge w:val="restart"/>
            <w:noWrap w:val="0"/>
            <w:tcMar>
              <w:top w:w="0" w:type="dxa"/>
              <w:left w:w="0" w:type="dxa"/>
              <w:bottom w:w="0" w:type="dxa"/>
              <w:right w:w="0" w:type="dxa"/>
            </w:tcMar>
            <w:vAlign w:val="center"/>
          </w:tcPr>
          <w:p w14:paraId="52C0B36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r>
              <w:rPr>
                <w:rFonts w:hint="eastAsia" w:ascii="宋体" w:hAnsi="宋体" w:eastAsia="宋体" w:cs="宋体"/>
                <w:color w:val="000000"/>
                <w:sz w:val="18"/>
                <w:szCs w:val="18"/>
                <w:shd w:val="clear" w:color="auto" w:fill="auto"/>
                <w:vertAlign w:val="baseline"/>
                <w:lang w:val="en-US" w:eastAsia="zh-CN"/>
              </w:rPr>
              <w:t>107</w:t>
            </w:r>
          </w:p>
        </w:tc>
        <w:tc>
          <w:tcPr>
            <w:tcW w:w="415" w:type="pct"/>
            <w:vMerge w:val="restart"/>
            <w:noWrap w:val="0"/>
            <w:tcMar>
              <w:top w:w="0" w:type="dxa"/>
              <w:left w:w="0" w:type="dxa"/>
              <w:bottom w:w="0" w:type="dxa"/>
              <w:right w:w="0" w:type="dxa"/>
            </w:tcMar>
            <w:vAlign w:val="center"/>
          </w:tcPr>
          <w:p w14:paraId="7C248694">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对水利领域生产经营单位拒绝、阻碍负有安全生产监督管理职责的部门依法实施监督检查行为的行政处罚</w:t>
            </w:r>
          </w:p>
        </w:tc>
        <w:tc>
          <w:tcPr>
            <w:tcW w:w="2168" w:type="pct"/>
            <w:vMerge w:val="restart"/>
            <w:noWrap w:val="0"/>
            <w:tcMar>
              <w:top w:w="0" w:type="dxa"/>
              <w:left w:w="0" w:type="dxa"/>
              <w:bottom w:w="0" w:type="dxa"/>
              <w:right w:w="0" w:type="dxa"/>
            </w:tcMar>
            <w:vAlign w:val="center"/>
          </w:tcPr>
          <w:p w14:paraId="696B8D9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《中华人民共和国安全生产法》第一百零八条 违反本法规定，生产经营单位拒绝、阻碍负有安全生产监督管理职责的部门依法实施监督检查的，责令改正；拒不改正的，处二万元以上二十万元以下的罚款；对其直接负责的主管人员和其他直接责任人员处一万元以上二万元以下的罚款；构成犯罪的，依照刑法有关规定追究刑事责任。</w:t>
            </w:r>
          </w:p>
        </w:tc>
        <w:tc>
          <w:tcPr>
            <w:tcW w:w="491" w:type="pct"/>
            <w:vMerge w:val="restart"/>
            <w:noWrap w:val="0"/>
            <w:tcMar>
              <w:top w:w="0" w:type="dxa"/>
              <w:left w:w="0" w:type="dxa"/>
              <w:bottom w:w="0" w:type="dxa"/>
              <w:right w:w="0" w:type="dxa"/>
            </w:tcMar>
            <w:vAlign w:val="center"/>
          </w:tcPr>
          <w:p w14:paraId="60F4E3E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水利领域生产经营单位拒绝、阻碍负有安全生产监督管理职责的部门依法实施监督检查的</w:t>
            </w:r>
          </w:p>
        </w:tc>
        <w:tc>
          <w:tcPr>
            <w:tcW w:w="174" w:type="pct"/>
            <w:noWrap w:val="0"/>
            <w:tcMar>
              <w:top w:w="0" w:type="dxa"/>
              <w:left w:w="0" w:type="dxa"/>
              <w:bottom w:w="0" w:type="dxa"/>
              <w:right w:w="0" w:type="dxa"/>
            </w:tcMar>
            <w:vAlign w:val="center"/>
          </w:tcPr>
          <w:p w14:paraId="049DB3E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轻微</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59A1F08E">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4452B069">
            <w:pPr>
              <w:spacing w:line="260" w:lineRule="exact"/>
              <w:rPr>
                <w:rFonts w:hint="eastAsia" w:ascii="宋体" w:hAnsi="宋体" w:eastAsia="宋体" w:cs="宋体"/>
                <w:color w:val="000000"/>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5CB33D38">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3DDE0415">
            <w:pPr>
              <w:spacing w:line="260" w:lineRule="exact"/>
              <w:rPr>
                <w:rFonts w:hint="eastAsia" w:ascii="宋体" w:hAnsi="宋体" w:eastAsia="宋体" w:cs="宋体"/>
                <w:color w:val="000000"/>
                <w:kern w:val="2"/>
                <w:sz w:val="18"/>
                <w:szCs w:val="18"/>
                <w:vertAlign w:val="baseline"/>
                <w:lang w:val="en-US" w:eastAsia="zh-CN" w:bidi="ar-SA"/>
              </w:rPr>
            </w:pPr>
          </w:p>
        </w:tc>
        <w:tc>
          <w:tcPr>
            <w:tcW w:w="158" w:type="pct"/>
            <w:vMerge w:val="restart"/>
            <w:noWrap w:val="0"/>
            <w:tcMar>
              <w:top w:w="0" w:type="dxa"/>
              <w:left w:w="0" w:type="dxa"/>
              <w:bottom w:w="0" w:type="dxa"/>
              <w:right w:w="0" w:type="dxa"/>
            </w:tcMar>
            <w:vAlign w:val="center"/>
          </w:tcPr>
          <w:p w14:paraId="7E05C655">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kern w:val="2"/>
                <w:sz w:val="18"/>
                <w:szCs w:val="18"/>
                <w:vertAlign w:val="baseline"/>
                <w:lang w:val="en-US" w:eastAsia="zh-CN" w:bidi="ar-SA"/>
              </w:rPr>
            </w:pPr>
          </w:p>
        </w:tc>
      </w:tr>
      <w:tr w14:paraId="257C7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jc w:val="center"/>
        </w:trPr>
        <w:tc>
          <w:tcPr>
            <w:tcW w:w="156" w:type="pct"/>
            <w:vMerge w:val="continue"/>
            <w:noWrap w:val="0"/>
            <w:tcMar>
              <w:top w:w="0" w:type="dxa"/>
              <w:left w:w="0" w:type="dxa"/>
              <w:bottom w:w="0" w:type="dxa"/>
              <w:right w:w="0" w:type="dxa"/>
            </w:tcMar>
            <w:vAlign w:val="center"/>
          </w:tcPr>
          <w:p w14:paraId="51990A55">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3FF8626E">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518710A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5AF1157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4FB0A0D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较轻</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26B18506">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4EC224A6">
            <w:pPr>
              <w:spacing w:line="260" w:lineRule="exact"/>
              <w:rPr>
                <w:rFonts w:hint="eastAsia" w:ascii="宋体" w:hAnsi="宋体" w:eastAsia="宋体" w:cs="宋体"/>
                <w:color w:val="000000"/>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1F02D587">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617D3A27">
            <w:pPr>
              <w:spacing w:line="260" w:lineRule="exact"/>
              <w:rPr>
                <w:rFonts w:hint="eastAsia" w:ascii="宋体" w:hAnsi="宋体" w:eastAsia="宋体" w:cs="宋体"/>
                <w:color w:val="000000"/>
                <w:kern w:val="2"/>
                <w:sz w:val="18"/>
                <w:szCs w:val="18"/>
                <w:vertAlign w:val="baseline"/>
                <w:lang w:val="en-US" w:eastAsia="zh-CN" w:bidi="ar-SA"/>
              </w:rPr>
            </w:pPr>
          </w:p>
        </w:tc>
        <w:tc>
          <w:tcPr>
            <w:tcW w:w="158" w:type="pct"/>
            <w:vMerge w:val="continue"/>
            <w:noWrap w:val="0"/>
            <w:tcMar>
              <w:top w:w="0" w:type="dxa"/>
              <w:left w:w="0" w:type="dxa"/>
              <w:bottom w:w="0" w:type="dxa"/>
              <w:right w:w="0" w:type="dxa"/>
            </w:tcMar>
            <w:vAlign w:val="center"/>
          </w:tcPr>
          <w:p w14:paraId="73D9DA1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304237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jc w:val="center"/>
        </w:trPr>
        <w:tc>
          <w:tcPr>
            <w:tcW w:w="156" w:type="pct"/>
            <w:vMerge w:val="continue"/>
            <w:noWrap w:val="0"/>
            <w:tcMar>
              <w:top w:w="0" w:type="dxa"/>
              <w:left w:w="0" w:type="dxa"/>
              <w:bottom w:w="0" w:type="dxa"/>
              <w:right w:w="0" w:type="dxa"/>
            </w:tcMar>
            <w:vAlign w:val="center"/>
          </w:tcPr>
          <w:p w14:paraId="052A0A5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4FCE86C5">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2031C67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203C086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76D9178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一般</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531E1CD1">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5EC8436F">
            <w:pPr>
              <w:spacing w:line="260" w:lineRule="exact"/>
              <w:rPr>
                <w:rFonts w:hint="eastAsia" w:ascii="宋体" w:hAnsi="宋体" w:eastAsia="宋体" w:cs="宋体"/>
                <w:color w:val="000000"/>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41BD8F4C">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33574212">
            <w:pPr>
              <w:spacing w:line="260" w:lineRule="exact"/>
              <w:rPr>
                <w:rFonts w:hint="eastAsia" w:ascii="宋体" w:hAnsi="宋体" w:eastAsia="宋体" w:cs="宋体"/>
                <w:color w:val="000000"/>
                <w:kern w:val="2"/>
                <w:sz w:val="18"/>
                <w:szCs w:val="18"/>
                <w:vertAlign w:val="baseline"/>
                <w:lang w:val="en-US" w:eastAsia="zh-CN" w:bidi="ar-SA"/>
              </w:rPr>
            </w:pPr>
          </w:p>
        </w:tc>
        <w:tc>
          <w:tcPr>
            <w:tcW w:w="158" w:type="pct"/>
            <w:vMerge w:val="continue"/>
            <w:noWrap w:val="0"/>
            <w:tcMar>
              <w:top w:w="0" w:type="dxa"/>
              <w:left w:w="0" w:type="dxa"/>
              <w:bottom w:w="0" w:type="dxa"/>
              <w:right w:w="0" w:type="dxa"/>
            </w:tcMar>
            <w:vAlign w:val="center"/>
          </w:tcPr>
          <w:p w14:paraId="06D76800">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kern w:val="2"/>
                <w:sz w:val="18"/>
                <w:szCs w:val="18"/>
                <w:vertAlign w:val="baseline"/>
                <w:lang w:val="en-US" w:eastAsia="zh-CN" w:bidi="ar-SA"/>
              </w:rPr>
            </w:pPr>
          </w:p>
        </w:tc>
      </w:tr>
      <w:tr w14:paraId="561B0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120" w:hRule="atLeast"/>
          <w:jc w:val="center"/>
        </w:trPr>
        <w:tc>
          <w:tcPr>
            <w:tcW w:w="156" w:type="pct"/>
            <w:vMerge w:val="continue"/>
            <w:noWrap w:val="0"/>
            <w:tcMar>
              <w:top w:w="0" w:type="dxa"/>
              <w:left w:w="0" w:type="dxa"/>
              <w:bottom w:w="0" w:type="dxa"/>
              <w:right w:w="0" w:type="dxa"/>
            </w:tcMar>
            <w:vAlign w:val="center"/>
          </w:tcPr>
          <w:p w14:paraId="73D75EB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6DAC5A0C">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13CEA4A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2C1DDDA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069CB82C">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较重</w:t>
            </w:r>
          </w:p>
        </w:tc>
        <w:tc>
          <w:tcPr>
            <w:tcW w:w="561" w:type="pct"/>
            <w:noWrap w:val="0"/>
            <w:tcMar>
              <w:top w:w="0" w:type="dxa"/>
              <w:left w:w="0" w:type="dxa"/>
              <w:bottom w:w="0" w:type="dxa"/>
              <w:right w:w="0" w:type="dxa"/>
            </w:tcMar>
            <w:vAlign w:val="center"/>
          </w:tcPr>
          <w:p w14:paraId="3B1B394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sz w:val="18"/>
                <w:szCs w:val="18"/>
                <w:vertAlign w:val="baseline"/>
              </w:rPr>
              <w:t>生产经营单位阻碍负有安全生产监督管理职责的部门依法实施监督检查的</w:t>
            </w:r>
          </w:p>
        </w:tc>
        <w:tc>
          <w:tcPr>
            <w:tcW w:w="873" w:type="pct"/>
            <w:noWrap w:val="0"/>
            <w:tcMar>
              <w:top w:w="0" w:type="dxa"/>
              <w:left w:w="0" w:type="dxa"/>
              <w:bottom w:w="0" w:type="dxa"/>
              <w:right w:w="0" w:type="dxa"/>
            </w:tcMar>
            <w:vAlign w:val="center"/>
          </w:tcPr>
          <w:p w14:paraId="2F7338D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拒不改正的，处2万元以上10万元以下的罚款；对其直接负责的主管人员和其他直接责任人员处1万元以上1.5万元以下的罚款</w:t>
            </w:r>
          </w:p>
        </w:tc>
        <w:tc>
          <w:tcPr>
            <w:tcW w:w="158" w:type="pct"/>
            <w:vMerge w:val="continue"/>
            <w:noWrap w:val="0"/>
            <w:tcMar>
              <w:top w:w="0" w:type="dxa"/>
              <w:left w:w="0" w:type="dxa"/>
              <w:bottom w:w="0" w:type="dxa"/>
              <w:right w:w="0" w:type="dxa"/>
            </w:tcMar>
            <w:vAlign w:val="center"/>
          </w:tcPr>
          <w:p w14:paraId="5ABB157B">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22B30D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110" w:hRule="atLeast"/>
          <w:jc w:val="center"/>
        </w:trPr>
        <w:tc>
          <w:tcPr>
            <w:tcW w:w="156" w:type="pct"/>
            <w:vMerge w:val="continue"/>
            <w:noWrap w:val="0"/>
            <w:tcMar>
              <w:top w:w="0" w:type="dxa"/>
              <w:left w:w="0" w:type="dxa"/>
              <w:bottom w:w="0" w:type="dxa"/>
              <w:right w:w="0" w:type="dxa"/>
            </w:tcMar>
            <w:vAlign w:val="center"/>
          </w:tcPr>
          <w:p w14:paraId="54822990">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16FDF5ED">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350A901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4F23659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38FF227A">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严重</w:t>
            </w:r>
          </w:p>
        </w:tc>
        <w:tc>
          <w:tcPr>
            <w:tcW w:w="561" w:type="pct"/>
            <w:noWrap w:val="0"/>
            <w:tcMar>
              <w:top w:w="0" w:type="dxa"/>
              <w:left w:w="0" w:type="dxa"/>
              <w:bottom w:w="0" w:type="dxa"/>
              <w:right w:w="0" w:type="dxa"/>
            </w:tcMar>
            <w:vAlign w:val="center"/>
          </w:tcPr>
          <w:p w14:paraId="41FD3E5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生产经营单位拒绝负有安全生产监督管理职责的部门依法实施监督检查的</w:t>
            </w:r>
          </w:p>
        </w:tc>
        <w:tc>
          <w:tcPr>
            <w:tcW w:w="873" w:type="pct"/>
            <w:noWrap w:val="0"/>
            <w:tcMar>
              <w:top w:w="0" w:type="dxa"/>
              <w:left w:w="0" w:type="dxa"/>
              <w:bottom w:w="0" w:type="dxa"/>
              <w:right w:w="0" w:type="dxa"/>
            </w:tcMar>
            <w:vAlign w:val="center"/>
          </w:tcPr>
          <w:p w14:paraId="6420B60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拒不改正的，处10万元以上20万元以下的罚款；对其直接负责的主管人员和其他直接责任人员处1.5万元以上2万元以下的罚款</w:t>
            </w:r>
          </w:p>
        </w:tc>
        <w:tc>
          <w:tcPr>
            <w:tcW w:w="158" w:type="pct"/>
            <w:vMerge w:val="continue"/>
            <w:noWrap w:val="0"/>
            <w:tcMar>
              <w:top w:w="0" w:type="dxa"/>
              <w:left w:w="0" w:type="dxa"/>
              <w:bottom w:w="0" w:type="dxa"/>
              <w:right w:w="0" w:type="dxa"/>
            </w:tcMar>
            <w:vAlign w:val="center"/>
          </w:tcPr>
          <w:p w14:paraId="7C06A345">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kern w:val="2"/>
                <w:sz w:val="18"/>
                <w:szCs w:val="18"/>
                <w:vertAlign w:val="baseline"/>
                <w:lang w:val="en-US" w:eastAsia="zh-CN" w:bidi="ar-SA"/>
              </w:rPr>
            </w:pPr>
          </w:p>
        </w:tc>
      </w:tr>
      <w:tr w14:paraId="6C853F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restart"/>
            <w:noWrap w:val="0"/>
            <w:tcMar>
              <w:top w:w="0" w:type="dxa"/>
              <w:left w:w="0" w:type="dxa"/>
              <w:bottom w:w="0" w:type="dxa"/>
              <w:right w:w="0" w:type="dxa"/>
            </w:tcMar>
            <w:vAlign w:val="center"/>
          </w:tcPr>
          <w:p w14:paraId="6F49393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r>
              <w:rPr>
                <w:rFonts w:hint="eastAsia" w:ascii="宋体" w:hAnsi="宋体" w:eastAsia="宋体" w:cs="宋体"/>
                <w:color w:val="000000"/>
                <w:sz w:val="18"/>
                <w:szCs w:val="18"/>
                <w:shd w:val="clear" w:color="auto" w:fill="auto"/>
                <w:vertAlign w:val="baseline"/>
                <w:lang w:val="en-US" w:eastAsia="zh-CN"/>
              </w:rPr>
              <w:t>108</w:t>
            </w:r>
          </w:p>
        </w:tc>
        <w:tc>
          <w:tcPr>
            <w:tcW w:w="415" w:type="pct"/>
            <w:vMerge w:val="restart"/>
            <w:noWrap w:val="0"/>
            <w:tcMar>
              <w:top w:w="0" w:type="dxa"/>
              <w:left w:w="0" w:type="dxa"/>
              <w:bottom w:w="0" w:type="dxa"/>
              <w:right w:w="0" w:type="dxa"/>
            </w:tcMar>
            <w:vAlign w:val="center"/>
          </w:tcPr>
          <w:p w14:paraId="171D538C">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对水利领域高危的生产经营单位未按照国家规定投保安全生产责任保险行为的行政处罚</w:t>
            </w:r>
          </w:p>
        </w:tc>
        <w:tc>
          <w:tcPr>
            <w:tcW w:w="2168" w:type="pct"/>
            <w:vMerge w:val="restart"/>
            <w:noWrap w:val="0"/>
            <w:tcMar>
              <w:top w:w="0" w:type="dxa"/>
              <w:left w:w="0" w:type="dxa"/>
              <w:bottom w:w="0" w:type="dxa"/>
              <w:right w:w="0" w:type="dxa"/>
            </w:tcMar>
            <w:vAlign w:val="center"/>
          </w:tcPr>
          <w:p w14:paraId="72C5A374">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《中华人民共和国安全生产法》第一百零九条 高危行业、领域的生产经营单位未按照国家规定投保安全生产责任保险的，责令限期改正，处五万元以上十万元以下的罚款；逾期未改正的，处十万元以上二十万元以下的罚款。</w:t>
            </w:r>
          </w:p>
        </w:tc>
        <w:tc>
          <w:tcPr>
            <w:tcW w:w="491" w:type="pct"/>
            <w:vMerge w:val="restart"/>
            <w:noWrap w:val="0"/>
            <w:tcMar>
              <w:top w:w="0" w:type="dxa"/>
              <w:left w:w="0" w:type="dxa"/>
              <w:bottom w:w="0" w:type="dxa"/>
              <w:right w:w="0" w:type="dxa"/>
            </w:tcMar>
            <w:vAlign w:val="center"/>
          </w:tcPr>
          <w:p w14:paraId="5F7877E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水利领域高危的生产经营单位未按照国家规定投保安全生产责任保险的</w:t>
            </w:r>
          </w:p>
        </w:tc>
        <w:tc>
          <w:tcPr>
            <w:tcW w:w="174" w:type="pct"/>
            <w:noWrap w:val="0"/>
            <w:tcMar>
              <w:top w:w="0" w:type="dxa"/>
              <w:left w:w="0" w:type="dxa"/>
              <w:bottom w:w="0" w:type="dxa"/>
              <w:right w:w="0" w:type="dxa"/>
            </w:tcMar>
            <w:vAlign w:val="center"/>
          </w:tcPr>
          <w:p w14:paraId="2141DA3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轻微</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06C2510E">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5F8F1AF5">
            <w:pPr>
              <w:spacing w:line="260" w:lineRule="exact"/>
              <w:rPr>
                <w:rFonts w:hint="eastAsia" w:ascii="宋体" w:hAnsi="宋体" w:eastAsia="宋体" w:cs="宋体"/>
                <w:color w:val="000000"/>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62AF66C7">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12D6CE25">
            <w:pPr>
              <w:spacing w:line="260" w:lineRule="exact"/>
              <w:rPr>
                <w:rFonts w:hint="eastAsia" w:ascii="宋体" w:hAnsi="宋体" w:eastAsia="宋体" w:cs="宋体"/>
                <w:color w:val="000000"/>
                <w:kern w:val="2"/>
                <w:sz w:val="18"/>
                <w:szCs w:val="18"/>
                <w:vertAlign w:val="baseline"/>
                <w:lang w:val="en-US" w:eastAsia="zh-CN" w:bidi="ar-SA"/>
              </w:rPr>
            </w:pPr>
          </w:p>
        </w:tc>
        <w:tc>
          <w:tcPr>
            <w:tcW w:w="158" w:type="pct"/>
            <w:vMerge w:val="restart"/>
            <w:noWrap w:val="0"/>
            <w:tcMar>
              <w:top w:w="0" w:type="dxa"/>
              <w:left w:w="0" w:type="dxa"/>
              <w:bottom w:w="0" w:type="dxa"/>
              <w:right w:w="0" w:type="dxa"/>
            </w:tcMar>
            <w:vAlign w:val="center"/>
          </w:tcPr>
          <w:p w14:paraId="7366834D">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kern w:val="2"/>
                <w:sz w:val="18"/>
                <w:szCs w:val="18"/>
                <w:vertAlign w:val="baseline"/>
                <w:lang w:val="en-US" w:eastAsia="zh-CN" w:bidi="ar-SA"/>
              </w:rPr>
            </w:pPr>
          </w:p>
        </w:tc>
      </w:tr>
      <w:tr w14:paraId="0821D0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55554638">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3CBD9B29">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56471E0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185B46B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74BE436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较轻</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23AA837F">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7C27EF47">
            <w:pPr>
              <w:spacing w:line="260" w:lineRule="exact"/>
              <w:rPr>
                <w:rFonts w:hint="eastAsia" w:ascii="宋体" w:hAnsi="宋体" w:eastAsia="宋体" w:cs="宋体"/>
                <w:color w:val="000000"/>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73227E36">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4E80A109">
            <w:pPr>
              <w:spacing w:line="260" w:lineRule="exact"/>
              <w:rPr>
                <w:rFonts w:hint="eastAsia" w:ascii="宋体" w:hAnsi="宋体" w:eastAsia="宋体" w:cs="宋体"/>
                <w:color w:val="000000"/>
                <w:kern w:val="2"/>
                <w:sz w:val="18"/>
                <w:szCs w:val="18"/>
                <w:vertAlign w:val="baseline"/>
                <w:lang w:val="en-US" w:eastAsia="zh-CN" w:bidi="ar-SA"/>
              </w:rPr>
            </w:pPr>
          </w:p>
        </w:tc>
        <w:tc>
          <w:tcPr>
            <w:tcW w:w="158" w:type="pct"/>
            <w:vMerge w:val="continue"/>
            <w:noWrap w:val="0"/>
            <w:tcMar>
              <w:top w:w="0" w:type="dxa"/>
              <w:left w:w="0" w:type="dxa"/>
              <w:bottom w:w="0" w:type="dxa"/>
              <w:right w:w="0" w:type="dxa"/>
            </w:tcMar>
            <w:vAlign w:val="center"/>
          </w:tcPr>
          <w:p w14:paraId="4E6567E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41565D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760D923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714E1BE3">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6E033BF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464895EC">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72A2B59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一般</w:t>
            </w:r>
          </w:p>
        </w:tc>
        <w:tc>
          <w:tcPr>
            <w:tcW w:w="561" w:type="pct"/>
            <w:noWrap w:val="0"/>
            <w:tcMar>
              <w:top w:w="0" w:type="dxa"/>
              <w:left w:w="0" w:type="dxa"/>
              <w:bottom w:w="0" w:type="dxa"/>
              <w:right w:w="0" w:type="dxa"/>
            </w:tcMar>
            <w:vAlign w:val="center"/>
          </w:tcPr>
          <w:p w14:paraId="764B8144">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p>
        </w:tc>
        <w:tc>
          <w:tcPr>
            <w:tcW w:w="873" w:type="pct"/>
            <w:noWrap w:val="0"/>
            <w:tcMar>
              <w:top w:w="0" w:type="dxa"/>
              <w:left w:w="0" w:type="dxa"/>
              <w:bottom w:w="0" w:type="dxa"/>
              <w:right w:w="0" w:type="dxa"/>
            </w:tcMar>
            <w:vAlign w:val="center"/>
          </w:tcPr>
          <w:p w14:paraId="11ED373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p>
        </w:tc>
        <w:tc>
          <w:tcPr>
            <w:tcW w:w="158" w:type="pct"/>
            <w:vMerge w:val="continue"/>
            <w:noWrap w:val="0"/>
            <w:tcMar>
              <w:top w:w="0" w:type="dxa"/>
              <w:left w:w="0" w:type="dxa"/>
              <w:bottom w:w="0" w:type="dxa"/>
              <w:right w:w="0" w:type="dxa"/>
            </w:tcMar>
            <w:vAlign w:val="center"/>
          </w:tcPr>
          <w:p w14:paraId="428338D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kern w:val="2"/>
                <w:sz w:val="18"/>
                <w:szCs w:val="18"/>
                <w:vertAlign w:val="baseline"/>
                <w:lang w:val="en-US" w:eastAsia="zh-CN" w:bidi="ar-SA"/>
              </w:rPr>
            </w:pPr>
          </w:p>
        </w:tc>
      </w:tr>
      <w:tr w14:paraId="498DB5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2D46A205">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57BF083A">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7FC73184">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3BBE46B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0F8065A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较重</w:t>
            </w:r>
          </w:p>
        </w:tc>
        <w:tc>
          <w:tcPr>
            <w:tcW w:w="561" w:type="pct"/>
            <w:noWrap w:val="0"/>
            <w:tcMar>
              <w:top w:w="0" w:type="dxa"/>
              <w:left w:w="0" w:type="dxa"/>
              <w:bottom w:w="0" w:type="dxa"/>
              <w:right w:w="0" w:type="dxa"/>
            </w:tcMar>
            <w:vAlign w:val="center"/>
          </w:tcPr>
          <w:p w14:paraId="16BA993C">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sz w:val="18"/>
                <w:szCs w:val="18"/>
                <w:vertAlign w:val="baseline"/>
              </w:rPr>
              <w:t>从业人员不满100人的高危行业、领域的生产经营单位未按照国家规定投保安全生产责任保险的</w:t>
            </w:r>
          </w:p>
        </w:tc>
        <w:tc>
          <w:tcPr>
            <w:tcW w:w="873" w:type="pct"/>
            <w:noWrap w:val="0"/>
            <w:tcMar>
              <w:top w:w="0" w:type="dxa"/>
              <w:left w:w="0" w:type="dxa"/>
              <w:bottom w:w="0" w:type="dxa"/>
              <w:right w:w="0" w:type="dxa"/>
            </w:tcMar>
            <w:vAlign w:val="center"/>
          </w:tcPr>
          <w:p w14:paraId="175CBBE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处5万元以上7.5万元以下的罚款；逾期未改正的，处10万元以上15万元以下的罚款</w:t>
            </w:r>
          </w:p>
        </w:tc>
        <w:tc>
          <w:tcPr>
            <w:tcW w:w="158" w:type="pct"/>
            <w:vMerge w:val="continue"/>
            <w:noWrap w:val="0"/>
            <w:tcMar>
              <w:top w:w="0" w:type="dxa"/>
              <w:left w:w="0" w:type="dxa"/>
              <w:bottom w:w="0" w:type="dxa"/>
              <w:right w:w="0" w:type="dxa"/>
            </w:tcMar>
            <w:vAlign w:val="center"/>
          </w:tcPr>
          <w:p w14:paraId="1BFF101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631069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513DD9F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7E4A267F">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43AC6E0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74D1CAA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51A55F6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严重</w:t>
            </w:r>
          </w:p>
        </w:tc>
        <w:tc>
          <w:tcPr>
            <w:tcW w:w="561" w:type="pct"/>
            <w:noWrap w:val="0"/>
            <w:tcMar>
              <w:top w:w="0" w:type="dxa"/>
              <w:left w:w="0" w:type="dxa"/>
              <w:bottom w:w="0" w:type="dxa"/>
              <w:right w:w="0" w:type="dxa"/>
            </w:tcMar>
            <w:vAlign w:val="center"/>
          </w:tcPr>
          <w:p w14:paraId="6B1D9EA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从业人员100人以上的高危行业、领域的生产经营单位未按照国家规定投保安全生产责任保险的</w:t>
            </w:r>
          </w:p>
        </w:tc>
        <w:tc>
          <w:tcPr>
            <w:tcW w:w="873" w:type="pct"/>
            <w:noWrap w:val="0"/>
            <w:tcMar>
              <w:top w:w="0" w:type="dxa"/>
              <w:left w:w="0" w:type="dxa"/>
              <w:bottom w:w="0" w:type="dxa"/>
              <w:right w:w="0" w:type="dxa"/>
            </w:tcMar>
            <w:vAlign w:val="center"/>
          </w:tcPr>
          <w:p w14:paraId="67A92FA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处7.5万元以上10万元以下罚款；逾期未改正的，处15万元以上20万元以下的罚款</w:t>
            </w:r>
          </w:p>
        </w:tc>
        <w:tc>
          <w:tcPr>
            <w:tcW w:w="158" w:type="pct"/>
            <w:vMerge w:val="continue"/>
            <w:noWrap w:val="0"/>
            <w:tcMar>
              <w:top w:w="0" w:type="dxa"/>
              <w:left w:w="0" w:type="dxa"/>
              <w:bottom w:w="0" w:type="dxa"/>
              <w:right w:w="0" w:type="dxa"/>
            </w:tcMar>
            <w:vAlign w:val="center"/>
          </w:tcPr>
          <w:p w14:paraId="0EBA6CFA">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kern w:val="2"/>
                <w:sz w:val="18"/>
                <w:szCs w:val="18"/>
                <w:vertAlign w:val="baseline"/>
                <w:lang w:val="en-US" w:eastAsia="zh-CN" w:bidi="ar-SA"/>
              </w:rPr>
            </w:pPr>
          </w:p>
        </w:tc>
      </w:tr>
      <w:tr w14:paraId="52F913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156" w:type="pct"/>
            <w:vMerge w:val="restart"/>
            <w:noWrap w:val="0"/>
            <w:tcMar>
              <w:top w:w="0" w:type="dxa"/>
              <w:left w:w="0" w:type="dxa"/>
              <w:bottom w:w="0" w:type="dxa"/>
              <w:right w:w="0" w:type="dxa"/>
            </w:tcMar>
            <w:vAlign w:val="center"/>
          </w:tcPr>
          <w:p w14:paraId="055B6D25">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default" w:ascii="宋体" w:hAnsi="宋体" w:eastAsia="宋体" w:cs="宋体"/>
                <w:color w:val="000000"/>
                <w:sz w:val="18"/>
                <w:szCs w:val="18"/>
                <w:shd w:val="clear" w:color="auto" w:fill="auto"/>
                <w:vertAlign w:val="baseline"/>
                <w:lang w:val="en-US" w:eastAsia="zh-CN"/>
              </w:rPr>
            </w:pPr>
            <w:r>
              <w:rPr>
                <w:rFonts w:hint="eastAsia" w:ascii="宋体" w:hAnsi="宋体" w:eastAsia="宋体" w:cs="宋体"/>
                <w:color w:val="000000"/>
                <w:sz w:val="18"/>
                <w:szCs w:val="18"/>
                <w:shd w:val="clear" w:color="auto" w:fill="auto"/>
                <w:vertAlign w:val="baseline"/>
                <w:lang w:val="en-US" w:eastAsia="zh-CN"/>
              </w:rPr>
              <w:t>109</w:t>
            </w:r>
          </w:p>
        </w:tc>
        <w:tc>
          <w:tcPr>
            <w:tcW w:w="415" w:type="pct"/>
            <w:vMerge w:val="restart"/>
            <w:noWrap w:val="0"/>
            <w:tcMar>
              <w:top w:w="0" w:type="dxa"/>
              <w:left w:w="0" w:type="dxa"/>
              <w:bottom w:w="0" w:type="dxa"/>
              <w:right w:w="0" w:type="dxa"/>
            </w:tcMar>
            <w:vAlign w:val="center"/>
          </w:tcPr>
          <w:p w14:paraId="2E93C78A">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auto"/>
                <w:sz w:val="18"/>
                <w:szCs w:val="18"/>
                <w:vertAlign w:val="baseline"/>
                <w:lang w:val="en-US" w:eastAsia="zh-CN"/>
              </w:rPr>
              <w:t>对水利领域生产经营单位被责令改正且受到罚款处罚，拒不改正行为的行政处罚</w:t>
            </w:r>
          </w:p>
        </w:tc>
        <w:tc>
          <w:tcPr>
            <w:tcW w:w="2168" w:type="pct"/>
            <w:vMerge w:val="restart"/>
            <w:noWrap w:val="0"/>
            <w:tcMar>
              <w:top w:w="0" w:type="dxa"/>
              <w:left w:w="0" w:type="dxa"/>
              <w:bottom w:w="0" w:type="dxa"/>
              <w:right w:w="0" w:type="dxa"/>
            </w:tcMar>
            <w:vAlign w:val="center"/>
          </w:tcPr>
          <w:p w14:paraId="61DCDBF4">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《中华人民共和国安全生产法》第一百一十二条 生产经营单位违反本法规定，被责令改正且受到罚款处罚，拒不改正的，负有安全生产监督管理职责的部门可以自作出责令改正之日的次日起，按照原处罚数额按日连续处罚。</w:t>
            </w:r>
          </w:p>
        </w:tc>
        <w:tc>
          <w:tcPr>
            <w:tcW w:w="491" w:type="pct"/>
            <w:vMerge w:val="restart"/>
            <w:noWrap w:val="0"/>
            <w:tcMar>
              <w:top w:w="0" w:type="dxa"/>
              <w:left w:w="0" w:type="dxa"/>
              <w:bottom w:w="0" w:type="dxa"/>
              <w:right w:w="0" w:type="dxa"/>
            </w:tcMar>
            <w:vAlign w:val="center"/>
          </w:tcPr>
          <w:p w14:paraId="7D00895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水利领域生产经营单位被责令改正且受到罚款处罚，拒不改正的</w:t>
            </w:r>
          </w:p>
        </w:tc>
        <w:tc>
          <w:tcPr>
            <w:tcW w:w="174" w:type="pct"/>
            <w:noWrap w:val="0"/>
            <w:tcMar>
              <w:top w:w="0" w:type="dxa"/>
              <w:left w:w="0" w:type="dxa"/>
              <w:bottom w:w="0" w:type="dxa"/>
              <w:right w:w="0" w:type="dxa"/>
            </w:tcMar>
            <w:vAlign w:val="center"/>
          </w:tcPr>
          <w:p w14:paraId="3279DCE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轻微</w:t>
            </w:r>
          </w:p>
        </w:tc>
        <w:tc>
          <w:tcPr>
            <w:tcW w:w="1435" w:type="pct"/>
            <w:gridSpan w:val="2"/>
            <w:vMerge w:val="restar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1D67B8FD">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0D9FF269">
            <w:pPr>
              <w:spacing w:line="260" w:lineRule="exact"/>
              <w:rPr>
                <w:rFonts w:hint="eastAsia" w:ascii="宋体" w:hAnsi="宋体" w:eastAsia="宋体" w:cs="宋体"/>
                <w:kern w:val="2"/>
                <w:sz w:val="18"/>
                <w:szCs w:val="18"/>
                <w:vertAlign w:val="baseline"/>
                <w:lang w:val="en-US" w:eastAsia="zh-CN" w:bidi="ar-SA"/>
              </w:rPr>
            </w:pPr>
          </w:p>
        </w:tc>
        <w:tc>
          <w:tcPr>
            <w:tcW w:w="158" w:type="pct"/>
            <w:vMerge w:val="restar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0853EE16">
            <w:pPr>
              <w:snapToGrid w:val="0"/>
              <w:spacing w:line="260" w:lineRule="exact"/>
              <w:jc w:val="center"/>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03A68AC5">
            <w:pPr>
              <w:spacing w:line="260" w:lineRule="exact"/>
              <w:jc w:val="center"/>
              <w:rPr>
                <w:rFonts w:hint="eastAsia" w:ascii="宋体" w:hAnsi="宋体" w:eastAsia="宋体" w:cs="宋体"/>
                <w:kern w:val="2"/>
                <w:sz w:val="18"/>
                <w:szCs w:val="18"/>
                <w:vertAlign w:val="baseline"/>
                <w:lang w:val="en-US" w:eastAsia="zh-CN" w:bidi="ar-SA"/>
              </w:rPr>
            </w:pPr>
          </w:p>
        </w:tc>
      </w:tr>
      <w:tr w14:paraId="2774D9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156" w:type="pct"/>
            <w:vMerge w:val="continue"/>
            <w:noWrap w:val="0"/>
            <w:tcMar>
              <w:top w:w="0" w:type="dxa"/>
              <w:left w:w="0" w:type="dxa"/>
              <w:bottom w:w="0" w:type="dxa"/>
              <w:right w:w="0" w:type="dxa"/>
            </w:tcMar>
            <w:vAlign w:val="center"/>
          </w:tcPr>
          <w:p w14:paraId="5751EE75">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53D93E58">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3BC6A73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7460978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4D72F0F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较轻</w:t>
            </w:r>
          </w:p>
        </w:tc>
        <w:tc>
          <w:tcPr>
            <w:tcW w:w="1435" w:type="pct"/>
            <w:gridSpan w:val="2"/>
            <w:vMerge w:val="continue"/>
            <w:noWrap w:val="0"/>
            <w:tcMar>
              <w:top w:w="0" w:type="dxa"/>
              <w:left w:w="0" w:type="dxa"/>
              <w:bottom w:w="0" w:type="dxa"/>
              <w:right w:w="0" w:type="dxa"/>
            </w:tcMar>
            <w:vAlign w:val="center"/>
          </w:tcPr>
          <w:p w14:paraId="111D44A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p>
        </w:tc>
        <w:tc>
          <w:tcPr>
            <w:tcW w:w="158" w:type="pct"/>
            <w:vMerge w:val="continue"/>
            <w:noWrap w:val="0"/>
            <w:tcMar>
              <w:top w:w="0" w:type="dxa"/>
              <w:left w:w="0" w:type="dxa"/>
              <w:bottom w:w="0" w:type="dxa"/>
              <w:right w:w="0" w:type="dxa"/>
            </w:tcMar>
            <w:vAlign w:val="center"/>
          </w:tcPr>
          <w:p w14:paraId="114D177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608C71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156" w:type="pct"/>
            <w:vMerge w:val="continue"/>
            <w:noWrap w:val="0"/>
            <w:tcMar>
              <w:top w:w="0" w:type="dxa"/>
              <w:left w:w="0" w:type="dxa"/>
              <w:bottom w:w="0" w:type="dxa"/>
              <w:right w:w="0" w:type="dxa"/>
            </w:tcMar>
            <w:vAlign w:val="center"/>
          </w:tcPr>
          <w:p w14:paraId="40FF3E8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05B0BCD2">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7B58EE0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0C8D888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2D1DA1ED">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一般</w:t>
            </w:r>
          </w:p>
        </w:tc>
        <w:tc>
          <w:tcPr>
            <w:tcW w:w="1435" w:type="pct"/>
            <w:gridSpan w:val="2"/>
            <w:vMerge w:val="continue"/>
            <w:noWrap w:val="0"/>
            <w:tcMar>
              <w:top w:w="0" w:type="dxa"/>
              <w:left w:w="0" w:type="dxa"/>
              <w:bottom w:w="0" w:type="dxa"/>
              <w:right w:w="0" w:type="dxa"/>
            </w:tcMar>
            <w:vAlign w:val="center"/>
          </w:tcPr>
          <w:p w14:paraId="1322E824">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p>
        </w:tc>
        <w:tc>
          <w:tcPr>
            <w:tcW w:w="158" w:type="pct"/>
            <w:vMerge w:val="continue"/>
            <w:noWrap w:val="0"/>
            <w:tcMar>
              <w:top w:w="0" w:type="dxa"/>
              <w:left w:w="0" w:type="dxa"/>
              <w:bottom w:w="0" w:type="dxa"/>
              <w:right w:w="0" w:type="dxa"/>
            </w:tcMar>
            <w:vAlign w:val="center"/>
          </w:tcPr>
          <w:p w14:paraId="1C1E658D">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2256FD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156" w:type="pct"/>
            <w:vMerge w:val="continue"/>
            <w:noWrap w:val="0"/>
            <w:tcMar>
              <w:top w:w="0" w:type="dxa"/>
              <w:left w:w="0" w:type="dxa"/>
              <w:bottom w:w="0" w:type="dxa"/>
              <w:right w:w="0" w:type="dxa"/>
            </w:tcMar>
            <w:vAlign w:val="center"/>
          </w:tcPr>
          <w:p w14:paraId="481E4330">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61FB95CF">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5CE8F89C">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479138B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0381D23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较重</w:t>
            </w:r>
          </w:p>
        </w:tc>
        <w:tc>
          <w:tcPr>
            <w:tcW w:w="1435" w:type="pct"/>
            <w:gridSpan w:val="2"/>
            <w:vMerge w:val="continue"/>
            <w:noWrap w:val="0"/>
            <w:tcMar>
              <w:top w:w="0" w:type="dxa"/>
              <w:left w:w="0" w:type="dxa"/>
              <w:bottom w:w="0" w:type="dxa"/>
              <w:right w:w="0" w:type="dxa"/>
            </w:tcMar>
            <w:vAlign w:val="center"/>
          </w:tcPr>
          <w:p w14:paraId="474F3FD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p>
        </w:tc>
        <w:tc>
          <w:tcPr>
            <w:tcW w:w="158" w:type="pct"/>
            <w:vMerge w:val="continue"/>
            <w:noWrap w:val="0"/>
            <w:tcMar>
              <w:top w:w="0" w:type="dxa"/>
              <w:left w:w="0" w:type="dxa"/>
              <w:bottom w:w="0" w:type="dxa"/>
              <w:right w:w="0" w:type="dxa"/>
            </w:tcMar>
            <w:vAlign w:val="center"/>
          </w:tcPr>
          <w:p w14:paraId="24EEC639">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7BEB34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156" w:type="pct"/>
            <w:vMerge w:val="continue"/>
            <w:noWrap w:val="0"/>
            <w:tcMar>
              <w:top w:w="0" w:type="dxa"/>
              <w:left w:w="0" w:type="dxa"/>
              <w:bottom w:w="0" w:type="dxa"/>
              <w:right w:w="0" w:type="dxa"/>
            </w:tcMar>
            <w:vAlign w:val="center"/>
          </w:tcPr>
          <w:p w14:paraId="6575F5D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1A123879">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11F6114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1916C2B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36F36898">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严重</w:t>
            </w:r>
          </w:p>
        </w:tc>
        <w:tc>
          <w:tcPr>
            <w:tcW w:w="1435" w:type="pct"/>
            <w:gridSpan w:val="2"/>
            <w:vMerge w:val="continue"/>
            <w:noWrap w:val="0"/>
            <w:tcMar>
              <w:top w:w="0" w:type="dxa"/>
              <w:left w:w="0" w:type="dxa"/>
              <w:bottom w:w="0" w:type="dxa"/>
              <w:right w:w="0" w:type="dxa"/>
            </w:tcMar>
            <w:vAlign w:val="center"/>
          </w:tcPr>
          <w:p w14:paraId="0DE71247">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p>
        </w:tc>
        <w:tc>
          <w:tcPr>
            <w:tcW w:w="158" w:type="pct"/>
            <w:vMerge w:val="continue"/>
            <w:noWrap w:val="0"/>
            <w:tcMar>
              <w:top w:w="0" w:type="dxa"/>
              <w:left w:w="0" w:type="dxa"/>
              <w:bottom w:w="0" w:type="dxa"/>
              <w:right w:w="0" w:type="dxa"/>
            </w:tcMar>
            <w:vAlign w:val="center"/>
          </w:tcPr>
          <w:p w14:paraId="0ED774F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664E73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restart"/>
            <w:noWrap w:val="0"/>
            <w:tcMar>
              <w:top w:w="0" w:type="dxa"/>
              <w:left w:w="0" w:type="dxa"/>
              <w:bottom w:w="0" w:type="dxa"/>
              <w:right w:w="0" w:type="dxa"/>
            </w:tcMar>
            <w:vAlign w:val="center"/>
          </w:tcPr>
          <w:p w14:paraId="2E0DA059">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default" w:ascii="宋体" w:hAnsi="宋体" w:eastAsia="宋体" w:cs="宋体"/>
                <w:color w:val="000000"/>
                <w:sz w:val="18"/>
                <w:szCs w:val="18"/>
                <w:shd w:val="clear" w:color="auto" w:fill="auto"/>
                <w:vertAlign w:val="baseline"/>
                <w:lang w:val="en-US" w:eastAsia="zh-CN"/>
              </w:rPr>
            </w:pPr>
            <w:r>
              <w:rPr>
                <w:rFonts w:hint="eastAsia" w:ascii="宋体" w:hAnsi="宋体" w:eastAsia="宋体" w:cs="宋体"/>
                <w:color w:val="000000"/>
                <w:sz w:val="18"/>
                <w:szCs w:val="18"/>
                <w:shd w:val="clear" w:color="auto" w:fill="auto"/>
                <w:vertAlign w:val="baseline"/>
                <w:lang w:val="en-US" w:eastAsia="zh-CN"/>
              </w:rPr>
              <w:t>110</w:t>
            </w:r>
          </w:p>
        </w:tc>
        <w:tc>
          <w:tcPr>
            <w:tcW w:w="415" w:type="pct"/>
            <w:vMerge w:val="restart"/>
            <w:noWrap w:val="0"/>
            <w:tcMar>
              <w:top w:w="0" w:type="dxa"/>
              <w:left w:w="0" w:type="dxa"/>
              <w:bottom w:w="0" w:type="dxa"/>
              <w:right w:w="0" w:type="dxa"/>
            </w:tcMar>
            <w:vAlign w:val="center"/>
          </w:tcPr>
          <w:p w14:paraId="7AE1C588">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对水利领域建设单位提出不符合安全生产法律、法规和强制性标准规定的要求，要求施工单位压缩合同约定的工期等行为的行政处罚</w:t>
            </w:r>
          </w:p>
        </w:tc>
        <w:tc>
          <w:tcPr>
            <w:tcW w:w="2168" w:type="pct"/>
            <w:vMerge w:val="restart"/>
            <w:noWrap w:val="0"/>
            <w:tcMar>
              <w:top w:w="0" w:type="dxa"/>
              <w:left w:w="0" w:type="dxa"/>
              <w:bottom w:w="0" w:type="dxa"/>
              <w:right w:w="0" w:type="dxa"/>
            </w:tcMar>
            <w:vAlign w:val="center"/>
          </w:tcPr>
          <w:p w14:paraId="3E24A91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《建设工程安全生产管理条例》第五十五条 违反本条例的规定，建设单位有下列行为之一的，责令限期改正，处20万元以上50万元以下的罚款；造成重大安全事故，构成犯罪的，对直接责任人员，依照刑法有关规定追究刑事责任；造成损失的，依法承担赔偿责任：</w:t>
            </w:r>
          </w:p>
          <w:p w14:paraId="4F0B579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（一）对勘察、设计、施工、工程监理等单位提出不符合安全生产法律、法规和强制性标准规定的要求的；</w:t>
            </w:r>
          </w:p>
          <w:p w14:paraId="2044B1E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（二）要求施工单位压缩合同约定的工期的；</w:t>
            </w:r>
          </w:p>
          <w:p w14:paraId="1DB0F887">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（三）将拆除工程发包给不具有相应资质等级的施工单位的。</w:t>
            </w:r>
          </w:p>
          <w:p w14:paraId="79564F5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《水利工程建设监理规定》第二十五条第二款 项目法人对监理单位提出不符合安全生产法律、法规和工程建设强制性标准要求的，依照《建设工程安全生产管理条例》第五十五条处罚。</w:t>
            </w:r>
          </w:p>
        </w:tc>
        <w:tc>
          <w:tcPr>
            <w:tcW w:w="491" w:type="pct"/>
            <w:vMerge w:val="restart"/>
            <w:noWrap w:val="0"/>
            <w:tcMar>
              <w:top w:w="0" w:type="dxa"/>
              <w:left w:w="0" w:type="dxa"/>
              <w:bottom w:w="0" w:type="dxa"/>
              <w:right w:w="0" w:type="dxa"/>
            </w:tcMar>
            <w:vAlign w:val="center"/>
          </w:tcPr>
          <w:p w14:paraId="74E6844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水利领域建设单位提出不符合安全生产法律、法规和强制性标准规定的要求的</w:t>
            </w:r>
          </w:p>
        </w:tc>
        <w:tc>
          <w:tcPr>
            <w:tcW w:w="174" w:type="pct"/>
            <w:noWrap w:val="0"/>
            <w:tcMar>
              <w:top w:w="0" w:type="dxa"/>
              <w:left w:w="0" w:type="dxa"/>
              <w:bottom w:w="0" w:type="dxa"/>
              <w:right w:w="0" w:type="dxa"/>
            </w:tcMar>
            <w:vAlign w:val="center"/>
          </w:tcPr>
          <w:p w14:paraId="0E57FC7B">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轻微</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3E5529B8">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57F35545">
            <w:pPr>
              <w:spacing w:line="260" w:lineRule="exact"/>
              <w:rPr>
                <w:rFonts w:hint="eastAsia" w:ascii="宋体" w:hAnsi="宋体" w:eastAsia="宋体" w:cs="宋体"/>
                <w:color w:val="000000"/>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226B9831">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08F7FF5A">
            <w:pPr>
              <w:spacing w:line="260" w:lineRule="exact"/>
              <w:rPr>
                <w:rFonts w:hint="eastAsia" w:ascii="宋体" w:hAnsi="宋体" w:eastAsia="宋体" w:cs="宋体"/>
                <w:color w:val="000000"/>
                <w:kern w:val="2"/>
                <w:sz w:val="18"/>
                <w:szCs w:val="18"/>
                <w:vertAlign w:val="baseline"/>
                <w:lang w:val="en-US" w:eastAsia="zh-CN" w:bidi="ar-SA"/>
              </w:rPr>
            </w:pPr>
          </w:p>
        </w:tc>
        <w:tc>
          <w:tcPr>
            <w:tcW w:w="158" w:type="pct"/>
            <w:vMerge w:val="restart"/>
            <w:noWrap w:val="0"/>
            <w:tcMar>
              <w:top w:w="0" w:type="dxa"/>
              <w:left w:w="0" w:type="dxa"/>
              <w:bottom w:w="0" w:type="dxa"/>
              <w:right w:w="0" w:type="dxa"/>
            </w:tcMar>
            <w:vAlign w:val="center"/>
          </w:tcPr>
          <w:p w14:paraId="65110F08">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color w:val="000000"/>
                <w:sz w:val="18"/>
                <w:szCs w:val="18"/>
                <w:vertAlign w:val="baseline"/>
              </w:rPr>
            </w:pPr>
          </w:p>
        </w:tc>
      </w:tr>
      <w:tr w14:paraId="798DE7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171D38BC">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0E9519ED">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3A2598D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480369B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5B7A842C">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较轻</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53F3FDB0">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355747CB">
            <w:pPr>
              <w:spacing w:line="260" w:lineRule="exact"/>
              <w:rPr>
                <w:rFonts w:hint="eastAsia" w:ascii="宋体" w:hAnsi="宋体" w:eastAsia="宋体" w:cs="宋体"/>
                <w:color w:val="000000"/>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57EA36AE">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0DCA0F13">
            <w:pPr>
              <w:spacing w:line="260" w:lineRule="exact"/>
              <w:rPr>
                <w:rFonts w:hint="eastAsia" w:ascii="宋体" w:hAnsi="宋体" w:eastAsia="宋体" w:cs="宋体"/>
                <w:color w:val="000000"/>
                <w:kern w:val="2"/>
                <w:sz w:val="18"/>
                <w:szCs w:val="18"/>
                <w:vertAlign w:val="baseline"/>
                <w:lang w:val="en-US" w:eastAsia="zh-CN" w:bidi="ar-SA"/>
              </w:rPr>
            </w:pPr>
          </w:p>
        </w:tc>
        <w:tc>
          <w:tcPr>
            <w:tcW w:w="158" w:type="pct"/>
            <w:vMerge w:val="continue"/>
            <w:noWrap w:val="0"/>
            <w:tcMar>
              <w:top w:w="0" w:type="dxa"/>
              <w:left w:w="0" w:type="dxa"/>
              <w:bottom w:w="0" w:type="dxa"/>
              <w:right w:w="0" w:type="dxa"/>
            </w:tcMar>
            <w:vAlign w:val="center"/>
          </w:tcPr>
          <w:p w14:paraId="4B6FBDD0">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color w:val="000000"/>
                <w:sz w:val="18"/>
                <w:szCs w:val="18"/>
                <w:vertAlign w:val="baseline"/>
              </w:rPr>
            </w:pPr>
          </w:p>
        </w:tc>
      </w:tr>
      <w:tr w14:paraId="33CF9B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218730E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353813F6">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6BB59A6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3031BC7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432AFA2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一般</w:t>
            </w:r>
          </w:p>
        </w:tc>
        <w:tc>
          <w:tcPr>
            <w:tcW w:w="561" w:type="pct"/>
            <w:noWrap w:val="0"/>
            <w:tcMar>
              <w:top w:w="0" w:type="dxa"/>
              <w:left w:w="0" w:type="dxa"/>
              <w:bottom w:w="0" w:type="dxa"/>
              <w:right w:w="0" w:type="dxa"/>
            </w:tcMar>
            <w:vAlign w:val="center"/>
          </w:tcPr>
          <w:p w14:paraId="36A78CB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sz w:val="18"/>
                <w:szCs w:val="18"/>
                <w:vertAlign w:val="baseline"/>
              </w:rPr>
              <w:t>未造成安全事故隐患的</w:t>
            </w:r>
          </w:p>
        </w:tc>
        <w:tc>
          <w:tcPr>
            <w:tcW w:w="873" w:type="pct"/>
            <w:noWrap w:val="0"/>
            <w:tcMar>
              <w:top w:w="0" w:type="dxa"/>
              <w:left w:w="0" w:type="dxa"/>
              <w:bottom w:w="0" w:type="dxa"/>
              <w:right w:w="0" w:type="dxa"/>
            </w:tcMar>
            <w:vAlign w:val="center"/>
          </w:tcPr>
          <w:p w14:paraId="68F0C22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处20万元以上25万元以下的罚款</w:t>
            </w:r>
          </w:p>
        </w:tc>
        <w:tc>
          <w:tcPr>
            <w:tcW w:w="158" w:type="pct"/>
            <w:vMerge w:val="continue"/>
            <w:noWrap w:val="0"/>
            <w:tcMar>
              <w:top w:w="0" w:type="dxa"/>
              <w:left w:w="0" w:type="dxa"/>
              <w:bottom w:w="0" w:type="dxa"/>
              <w:right w:w="0" w:type="dxa"/>
            </w:tcMar>
            <w:vAlign w:val="center"/>
          </w:tcPr>
          <w:p w14:paraId="7B596ABB">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color w:val="000000"/>
                <w:sz w:val="18"/>
                <w:szCs w:val="18"/>
                <w:vertAlign w:val="baseline"/>
              </w:rPr>
            </w:pPr>
          </w:p>
        </w:tc>
      </w:tr>
      <w:tr w14:paraId="425EBA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1E7F444A">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05BA2BBF">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1239A854">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2729B8F4">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49DD141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较重</w:t>
            </w:r>
          </w:p>
        </w:tc>
        <w:tc>
          <w:tcPr>
            <w:tcW w:w="561" w:type="pct"/>
            <w:noWrap w:val="0"/>
            <w:tcMar>
              <w:top w:w="0" w:type="dxa"/>
              <w:left w:w="0" w:type="dxa"/>
              <w:bottom w:w="0" w:type="dxa"/>
              <w:right w:w="0" w:type="dxa"/>
            </w:tcMar>
            <w:vAlign w:val="center"/>
          </w:tcPr>
          <w:p w14:paraId="6957504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造成安全事故隐患的</w:t>
            </w:r>
          </w:p>
        </w:tc>
        <w:tc>
          <w:tcPr>
            <w:tcW w:w="873" w:type="pct"/>
            <w:noWrap w:val="0"/>
            <w:tcMar>
              <w:top w:w="0" w:type="dxa"/>
              <w:left w:w="0" w:type="dxa"/>
              <w:bottom w:w="0" w:type="dxa"/>
              <w:right w:w="0" w:type="dxa"/>
            </w:tcMar>
            <w:vAlign w:val="center"/>
          </w:tcPr>
          <w:p w14:paraId="4D4A7A7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处25万元以上40万元以下的罚款</w:t>
            </w:r>
          </w:p>
        </w:tc>
        <w:tc>
          <w:tcPr>
            <w:tcW w:w="158" w:type="pct"/>
            <w:vMerge w:val="continue"/>
            <w:noWrap w:val="0"/>
            <w:tcMar>
              <w:top w:w="0" w:type="dxa"/>
              <w:left w:w="0" w:type="dxa"/>
              <w:bottom w:w="0" w:type="dxa"/>
              <w:right w:w="0" w:type="dxa"/>
            </w:tcMar>
            <w:vAlign w:val="center"/>
          </w:tcPr>
          <w:p w14:paraId="2178BAB8">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color w:val="000000"/>
                <w:sz w:val="18"/>
                <w:szCs w:val="18"/>
                <w:vertAlign w:val="baseline"/>
              </w:rPr>
            </w:pPr>
          </w:p>
        </w:tc>
      </w:tr>
      <w:tr w14:paraId="382D81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32" w:hRule="atLeast"/>
          <w:jc w:val="center"/>
        </w:trPr>
        <w:tc>
          <w:tcPr>
            <w:tcW w:w="156" w:type="pct"/>
            <w:vMerge w:val="continue"/>
            <w:noWrap w:val="0"/>
            <w:tcMar>
              <w:top w:w="0" w:type="dxa"/>
              <w:left w:w="0" w:type="dxa"/>
              <w:bottom w:w="0" w:type="dxa"/>
              <w:right w:w="0" w:type="dxa"/>
            </w:tcMar>
            <w:vAlign w:val="center"/>
          </w:tcPr>
          <w:p w14:paraId="3DDF6E18">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5FF8A587">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0723FC2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7477247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3ED349F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严重</w:t>
            </w:r>
          </w:p>
        </w:tc>
        <w:tc>
          <w:tcPr>
            <w:tcW w:w="561" w:type="pct"/>
            <w:noWrap w:val="0"/>
            <w:tcMar>
              <w:top w:w="0" w:type="dxa"/>
              <w:left w:w="0" w:type="dxa"/>
              <w:bottom w:w="0" w:type="dxa"/>
              <w:right w:w="0" w:type="dxa"/>
            </w:tcMar>
            <w:vAlign w:val="center"/>
          </w:tcPr>
          <w:p w14:paraId="4E22BAD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造成生产安全事故的；造成其他严重危害后果的</w:t>
            </w:r>
          </w:p>
        </w:tc>
        <w:tc>
          <w:tcPr>
            <w:tcW w:w="873" w:type="pct"/>
            <w:noWrap w:val="0"/>
            <w:tcMar>
              <w:top w:w="0" w:type="dxa"/>
              <w:left w:w="0" w:type="dxa"/>
              <w:bottom w:w="0" w:type="dxa"/>
              <w:right w:w="0" w:type="dxa"/>
            </w:tcMar>
            <w:vAlign w:val="center"/>
          </w:tcPr>
          <w:p w14:paraId="17B56E5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处40万元以上50万元以下的罚款</w:t>
            </w:r>
          </w:p>
        </w:tc>
        <w:tc>
          <w:tcPr>
            <w:tcW w:w="158" w:type="pct"/>
            <w:vMerge w:val="continue"/>
            <w:noWrap w:val="0"/>
            <w:tcMar>
              <w:top w:w="0" w:type="dxa"/>
              <w:left w:w="0" w:type="dxa"/>
              <w:bottom w:w="0" w:type="dxa"/>
              <w:right w:w="0" w:type="dxa"/>
            </w:tcMar>
            <w:vAlign w:val="center"/>
          </w:tcPr>
          <w:p w14:paraId="0F64016F">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color w:val="000000"/>
                <w:sz w:val="18"/>
                <w:szCs w:val="18"/>
                <w:vertAlign w:val="baseline"/>
              </w:rPr>
            </w:pPr>
          </w:p>
        </w:tc>
      </w:tr>
      <w:tr w14:paraId="6586AE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3C563F6D">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6048D7AD">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6E769EC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restart"/>
            <w:noWrap w:val="0"/>
            <w:tcMar>
              <w:top w:w="0" w:type="dxa"/>
              <w:left w:w="0" w:type="dxa"/>
              <w:bottom w:w="0" w:type="dxa"/>
              <w:right w:w="0" w:type="dxa"/>
            </w:tcMar>
            <w:vAlign w:val="center"/>
          </w:tcPr>
          <w:p w14:paraId="51B4AD3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水利领域建设单位要求施工单位压缩合同约定的工期上午</w:t>
            </w:r>
          </w:p>
        </w:tc>
        <w:tc>
          <w:tcPr>
            <w:tcW w:w="174" w:type="pct"/>
            <w:noWrap w:val="0"/>
            <w:tcMar>
              <w:top w:w="0" w:type="dxa"/>
              <w:left w:w="0" w:type="dxa"/>
              <w:bottom w:w="0" w:type="dxa"/>
              <w:right w:w="0" w:type="dxa"/>
            </w:tcMar>
            <w:vAlign w:val="center"/>
          </w:tcPr>
          <w:p w14:paraId="7B5B16BA">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轻微</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0EB4C866">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6552DE8F">
            <w:pPr>
              <w:spacing w:line="260" w:lineRule="exact"/>
              <w:rPr>
                <w:rFonts w:hint="eastAsia" w:ascii="宋体" w:hAnsi="宋体" w:eastAsia="宋体" w:cs="宋体"/>
                <w:color w:val="000000"/>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2493F16E">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7A10C16E">
            <w:pPr>
              <w:spacing w:line="260" w:lineRule="exact"/>
              <w:rPr>
                <w:rFonts w:hint="eastAsia" w:ascii="宋体" w:hAnsi="宋体" w:eastAsia="宋体" w:cs="宋体"/>
                <w:color w:val="000000"/>
                <w:kern w:val="2"/>
                <w:sz w:val="18"/>
                <w:szCs w:val="18"/>
                <w:vertAlign w:val="baseline"/>
                <w:lang w:val="en-US" w:eastAsia="zh-CN" w:bidi="ar-SA"/>
              </w:rPr>
            </w:pPr>
          </w:p>
        </w:tc>
        <w:tc>
          <w:tcPr>
            <w:tcW w:w="158" w:type="pct"/>
            <w:vMerge w:val="restart"/>
            <w:noWrap w:val="0"/>
            <w:tcMar>
              <w:top w:w="0" w:type="dxa"/>
              <w:left w:w="0" w:type="dxa"/>
              <w:bottom w:w="0" w:type="dxa"/>
              <w:right w:w="0" w:type="dxa"/>
            </w:tcMar>
            <w:vAlign w:val="center"/>
          </w:tcPr>
          <w:p w14:paraId="7C79C775">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color w:val="000000"/>
                <w:sz w:val="18"/>
                <w:szCs w:val="18"/>
                <w:vertAlign w:val="baseline"/>
              </w:rPr>
            </w:pPr>
          </w:p>
        </w:tc>
      </w:tr>
      <w:tr w14:paraId="618C8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0B5B68BA">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6FE3A357">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48E34F5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2D7EA72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198F23B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较轻</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670F4BA4">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782AD9B5">
            <w:pPr>
              <w:spacing w:line="260" w:lineRule="exact"/>
              <w:rPr>
                <w:rFonts w:hint="eastAsia" w:ascii="宋体" w:hAnsi="宋体" w:eastAsia="宋体" w:cs="宋体"/>
                <w:color w:val="000000"/>
                <w:kern w:val="2"/>
                <w:sz w:val="18"/>
                <w:szCs w:val="18"/>
                <w:vertAlign w:val="baseline"/>
                <w:lang w:val="en-US" w:eastAsia="zh-CN" w:bidi="ar-SA"/>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62656300">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5F05D3B3">
            <w:pPr>
              <w:spacing w:line="260" w:lineRule="exact"/>
              <w:rPr>
                <w:rFonts w:hint="eastAsia" w:ascii="宋体" w:hAnsi="宋体" w:eastAsia="宋体" w:cs="宋体"/>
                <w:color w:val="000000"/>
                <w:kern w:val="2"/>
                <w:sz w:val="18"/>
                <w:szCs w:val="18"/>
                <w:vertAlign w:val="baseline"/>
                <w:lang w:val="en-US" w:eastAsia="zh-CN" w:bidi="ar-SA"/>
              </w:rPr>
            </w:pPr>
          </w:p>
        </w:tc>
        <w:tc>
          <w:tcPr>
            <w:tcW w:w="158" w:type="pct"/>
            <w:vMerge w:val="continue"/>
            <w:noWrap w:val="0"/>
            <w:tcMar>
              <w:top w:w="0" w:type="dxa"/>
              <w:left w:w="0" w:type="dxa"/>
              <w:bottom w:w="0" w:type="dxa"/>
              <w:right w:w="0" w:type="dxa"/>
            </w:tcMar>
            <w:vAlign w:val="center"/>
          </w:tcPr>
          <w:p w14:paraId="0D5A532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141687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76DC6BA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7B04B410">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1A6A7CB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712E605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56FA9BA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一般</w:t>
            </w:r>
          </w:p>
        </w:tc>
        <w:tc>
          <w:tcPr>
            <w:tcW w:w="561" w:type="pct"/>
            <w:noWrap w:val="0"/>
            <w:tcMar>
              <w:top w:w="0" w:type="dxa"/>
              <w:left w:w="0" w:type="dxa"/>
              <w:bottom w:w="0" w:type="dxa"/>
              <w:right w:w="0" w:type="dxa"/>
            </w:tcMar>
            <w:vAlign w:val="center"/>
          </w:tcPr>
          <w:p w14:paraId="0306934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pacing w:val="-6"/>
                <w:kern w:val="2"/>
                <w:sz w:val="18"/>
                <w:szCs w:val="18"/>
                <w:vertAlign w:val="baseline"/>
                <w:lang w:val="en-US" w:eastAsia="zh-CN" w:bidi="ar-SA"/>
              </w:rPr>
            </w:pPr>
            <w:r>
              <w:rPr>
                <w:rFonts w:hint="eastAsia" w:ascii="宋体" w:hAnsi="宋体" w:eastAsia="宋体" w:cs="宋体"/>
                <w:color w:val="000000"/>
                <w:spacing w:val="-6"/>
                <w:sz w:val="18"/>
                <w:szCs w:val="18"/>
                <w:vertAlign w:val="baseline"/>
              </w:rPr>
              <w:t>未造成安全事故隐患的</w:t>
            </w:r>
          </w:p>
        </w:tc>
        <w:tc>
          <w:tcPr>
            <w:tcW w:w="873" w:type="pct"/>
            <w:noWrap w:val="0"/>
            <w:tcMar>
              <w:top w:w="0" w:type="dxa"/>
              <w:left w:w="0" w:type="dxa"/>
              <w:bottom w:w="0" w:type="dxa"/>
              <w:right w:w="0" w:type="dxa"/>
            </w:tcMar>
            <w:vAlign w:val="center"/>
          </w:tcPr>
          <w:p w14:paraId="58F7A91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处20万元以上25万元以下的罚款</w:t>
            </w:r>
          </w:p>
        </w:tc>
        <w:tc>
          <w:tcPr>
            <w:tcW w:w="158" w:type="pct"/>
            <w:vMerge w:val="continue"/>
            <w:noWrap w:val="0"/>
            <w:tcMar>
              <w:top w:w="0" w:type="dxa"/>
              <w:left w:w="0" w:type="dxa"/>
              <w:bottom w:w="0" w:type="dxa"/>
              <w:right w:w="0" w:type="dxa"/>
            </w:tcMar>
            <w:vAlign w:val="center"/>
          </w:tcPr>
          <w:p w14:paraId="00831FA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243CB0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6DB635E8">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598C8846">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3BA6C92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370A402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08FF895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较重</w:t>
            </w:r>
          </w:p>
        </w:tc>
        <w:tc>
          <w:tcPr>
            <w:tcW w:w="561" w:type="pct"/>
            <w:noWrap w:val="0"/>
            <w:tcMar>
              <w:top w:w="0" w:type="dxa"/>
              <w:left w:w="0" w:type="dxa"/>
              <w:bottom w:w="0" w:type="dxa"/>
              <w:right w:w="0" w:type="dxa"/>
            </w:tcMar>
            <w:vAlign w:val="center"/>
          </w:tcPr>
          <w:p w14:paraId="1D89213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pacing w:val="-6"/>
                <w:kern w:val="2"/>
                <w:sz w:val="18"/>
                <w:szCs w:val="18"/>
                <w:vertAlign w:val="baseline"/>
                <w:lang w:val="en-US" w:eastAsia="zh-CN" w:bidi="ar-SA"/>
              </w:rPr>
            </w:pPr>
            <w:r>
              <w:rPr>
                <w:rFonts w:hint="eastAsia" w:ascii="宋体" w:hAnsi="宋体" w:eastAsia="宋体" w:cs="宋体"/>
                <w:color w:val="000000"/>
                <w:spacing w:val="-6"/>
                <w:sz w:val="18"/>
                <w:szCs w:val="18"/>
                <w:vertAlign w:val="baseline"/>
              </w:rPr>
              <w:t>造成安全事故隐患的</w:t>
            </w:r>
          </w:p>
        </w:tc>
        <w:tc>
          <w:tcPr>
            <w:tcW w:w="873" w:type="pct"/>
            <w:noWrap w:val="0"/>
            <w:tcMar>
              <w:top w:w="0" w:type="dxa"/>
              <w:left w:w="0" w:type="dxa"/>
              <w:bottom w:w="0" w:type="dxa"/>
              <w:right w:w="0" w:type="dxa"/>
            </w:tcMar>
            <w:vAlign w:val="center"/>
          </w:tcPr>
          <w:p w14:paraId="00CD870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处25万元以上40万元以下的罚款</w:t>
            </w:r>
          </w:p>
        </w:tc>
        <w:tc>
          <w:tcPr>
            <w:tcW w:w="158" w:type="pct"/>
            <w:vMerge w:val="continue"/>
            <w:noWrap w:val="0"/>
            <w:tcMar>
              <w:top w:w="0" w:type="dxa"/>
              <w:left w:w="0" w:type="dxa"/>
              <w:bottom w:w="0" w:type="dxa"/>
              <w:right w:w="0" w:type="dxa"/>
            </w:tcMar>
            <w:vAlign w:val="center"/>
          </w:tcPr>
          <w:p w14:paraId="033277BA">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40035C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873" w:hRule="atLeast"/>
          <w:jc w:val="center"/>
        </w:trPr>
        <w:tc>
          <w:tcPr>
            <w:tcW w:w="156" w:type="pct"/>
            <w:vMerge w:val="continue"/>
            <w:noWrap w:val="0"/>
            <w:tcMar>
              <w:top w:w="0" w:type="dxa"/>
              <w:left w:w="0" w:type="dxa"/>
              <w:bottom w:w="0" w:type="dxa"/>
              <w:right w:w="0" w:type="dxa"/>
            </w:tcMar>
            <w:vAlign w:val="center"/>
          </w:tcPr>
          <w:p w14:paraId="4BE9D4F1">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58579992">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555E107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332EA27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1AD84055">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严重</w:t>
            </w:r>
          </w:p>
        </w:tc>
        <w:tc>
          <w:tcPr>
            <w:tcW w:w="561" w:type="pct"/>
            <w:noWrap w:val="0"/>
            <w:tcMar>
              <w:top w:w="0" w:type="dxa"/>
              <w:left w:w="0" w:type="dxa"/>
              <w:bottom w:w="0" w:type="dxa"/>
              <w:right w:w="0" w:type="dxa"/>
            </w:tcMar>
            <w:vAlign w:val="center"/>
          </w:tcPr>
          <w:p w14:paraId="2032CA9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sz w:val="18"/>
                <w:szCs w:val="18"/>
                <w:vertAlign w:val="baseline"/>
              </w:rPr>
              <w:t>造成生产安全事故的；造成其他严重危害后果的</w:t>
            </w:r>
          </w:p>
        </w:tc>
        <w:tc>
          <w:tcPr>
            <w:tcW w:w="873" w:type="pct"/>
            <w:noWrap w:val="0"/>
            <w:tcMar>
              <w:top w:w="0" w:type="dxa"/>
              <w:left w:w="0" w:type="dxa"/>
              <w:bottom w:w="0" w:type="dxa"/>
              <w:right w:w="0" w:type="dxa"/>
            </w:tcMar>
            <w:vAlign w:val="center"/>
          </w:tcPr>
          <w:p w14:paraId="2EF80F3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处40万元以上50万元以下的罚款</w:t>
            </w:r>
          </w:p>
        </w:tc>
        <w:tc>
          <w:tcPr>
            <w:tcW w:w="158" w:type="pct"/>
            <w:vMerge w:val="continue"/>
            <w:noWrap w:val="0"/>
            <w:tcMar>
              <w:top w:w="0" w:type="dxa"/>
              <w:left w:w="0" w:type="dxa"/>
              <w:bottom w:w="0" w:type="dxa"/>
              <w:right w:w="0" w:type="dxa"/>
            </w:tcMar>
            <w:vAlign w:val="center"/>
          </w:tcPr>
          <w:p w14:paraId="73BCD821">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1DC04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5B0BB3A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6A927E38">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1C0A0A27">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restart"/>
            <w:noWrap w:val="0"/>
            <w:tcMar>
              <w:top w:w="0" w:type="dxa"/>
              <w:left w:w="0" w:type="dxa"/>
              <w:bottom w:w="0" w:type="dxa"/>
              <w:right w:w="0" w:type="dxa"/>
            </w:tcMar>
            <w:vAlign w:val="center"/>
          </w:tcPr>
          <w:p w14:paraId="67DCFFF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建设单位将拆除工程发包给不具有相应资质等级的施工单位的</w:t>
            </w:r>
          </w:p>
        </w:tc>
        <w:tc>
          <w:tcPr>
            <w:tcW w:w="174" w:type="pct"/>
            <w:noWrap w:val="0"/>
            <w:tcMar>
              <w:top w:w="0" w:type="dxa"/>
              <w:left w:w="0" w:type="dxa"/>
              <w:bottom w:w="0" w:type="dxa"/>
              <w:right w:w="0" w:type="dxa"/>
            </w:tcMar>
            <w:vAlign w:val="center"/>
          </w:tcPr>
          <w:p w14:paraId="6C739838">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轻微</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79869F64">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59214E01">
            <w:pPr>
              <w:spacing w:line="260" w:lineRule="exact"/>
              <w:rPr>
                <w:rFonts w:hint="eastAsia" w:ascii="宋体" w:hAnsi="宋体" w:eastAsia="宋体" w:cs="宋体"/>
                <w:color w:val="000000"/>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4F50ADC3">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591D048D">
            <w:pPr>
              <w:spacing w:line="260" w:lineRule="exact"/>
              <w:rPr>
                <w:rFonts w:hint="eastAsia" w:ascii="宋体" w:hAnsi="宋体" w:eastAsia="宋体" w:cs="宋体"/>
                <w:color w:val="000000"/>
                <w:kern w:val="2"/>
                <w:sz w:val="18"/>
                <w:szCs w:val="18"/>
                <w:vertAlign w:val="baseline"/>
                <w:lang w:val="en-US" w:eastAsia="zh-CN" w:bidi="ar-SA"/>
              </w:rPr>
            </w:pPr>
          </w:p>
        </w:tc>
        <w:tc>
          <w:tcPr>
            <w:tcW w:w="158" w:type="pct"/>
            <w:vMerge w:val="restart"/>
            <w:noWrap w:val="0"/>
            <w:tcMar>
              <w:top w:w="0" w:type="dxa"/>
              <w:left w:w="0" w:type="dxa"/>
              <w:bottom w:w="0" w:type="dxa"/>
              <w:right w:w="0" w:type="dxa"/>
            </w:tcMar>
            <w:vAlign w:val="center"/>
          </w:tcPr>
          <w:p w14:paraId="5E2E618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7941DF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29522AF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409D1CB5">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2A914B6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46134A2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71CA513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较轻</w:t>
            </w:r>
          </w:p>
        </w:tc>
        <w:tc>
          <w:tcPr>
            <w:tcW w:w="561" w:type="pct"/>
            <w:noWrap w:val="0"/>
            <w:tcMar>
              <w:top w:w="0" w:type="dxa"/>
              <w:left w:w="0" w:type="dxa"/>
              <w:bottom w:w="0" w:type="dxa"/>
              <w:right w:w="0" w:type="dxa"/>
            </w:tcMar>
            <w:vAlign w:val="center"/>
          </w:tcPr>
          <w:p w14:paraId="7EABDBD7">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拆除工程尚未实施的</w:t>
            </w:r>
          </w:p>
        </w:tc>
        <w:tc>
          <w:tcPr>
            <w:tcW w:w="873" w:type="pct"/>
            <w:noWrap w:val="0"/>
            <w:tcMar>
              <w:top w:w="0" w:type="dxa"/>
              <w:left w:w="0" w:type="dxa"/>
              <w:bottom w:w="0" w:type="dxa"/>
              <w:right w:w="0" w:type="dxa"/>
            </w:tcMar>
            <w:vAlign w:val="center"/>
          </w:tcPr>
          <w:p w14:paraId="7678BF5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处20万元以上25万元以下的罚款</w:t>
            </w:r>
          </w:p>
        </w:tc>
        <w:tc>
          <w:tcPr>
            <w:tcW w:w="158" w:type="pct"/>
            <w:vMerge w:val="continue"/>
            <w:noWrap w:val="0"/>
            <w:tcMar>
              <w:top w:w="0" w:type="dxa"/>
              <w:left w:w="0" w:type="dxa"/>
              <w:bottom w:w="0" w:type="dxa"/>
              <w:right w:w="0" w:type="dxa"/>
            </w:tcMar>
            <w:vAlign w:val="center"/>
          </w:tcPr>
          <w:p w14:paraId="2EAD1D9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21A50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5B081A5D">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11065721">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0B79B34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7C23B29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6360B7F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一般</w:t>
            </w:r>
          </w:p>
        </w:tc>
        <w:tc>
          <w:tcPr>
            <w:tcW w:w="561" w:type="pct"/>
            <w:noWrap w:val="0"/>
            <w:tcMar>
              <w:top w:w="0" w:type="dxa"/>
              <w:left w:w="0" w:type="dxa"/>
              <w:bottom w:w="0" w:type="dxa"/>
              <w:right w:w="0" w:type="dxa"/>
            </w:tcMar>
            <w:vAlign w:val="center"/>
          </w:tcPr>
          <w:p w14:paraId="6F6B67A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p>
        </w:tc>
        <w:tc>
          <w:tcPr>
            <w:tcW w:w="873" w:type="pct"/>
            <w:noWrap w:val="0"/>
            <w:tcMar>
              <w:top w:w="0" w:type="dxa"/>
              <w:left w:w="0" w:type="dxa"/>
              <w:bottom w:w="0" w:type="dxa"/>
              <w:right w:w="0" w:type="dxa"/>
            </w:tcMar>
            <w:vAlign w:val="center"/>
          </w:tcPr>
          <w:p w14:paraId="486A470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p>
        </w:tc>
        <w:tc>
          <w:tcPr>
            <w:tcW w:w="158" w:type="pct"/>
            <w:vMerge w:val="continue"/>
            <w:noWrap w:val="0"/>
            <w:tcMar>
              <w:top w:w="0" w:type="dxa"/>
              <w:left w:w="0" w:type="dxa"/>
              <w:bottom w:w="0" w:type="dxa"/>
              <w:right w:w="0" w:type="dxa"/>
            </w:tcMar>
            <w:vAlign w:val="center"/>
          </w:tcPr>
          <w:p w14:paraId="58F6F5D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31A395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02B8CABC">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4AC3A054">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35AD352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0C4FBEA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7860183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较重</w:t>
            </w:r>
          </w:p>
        </w:tc>
        <w:tc>
          <w:tcPr>
            <w:tcW w:w="561" w:type="pct"/>
            <w:noWrap w:val="0"/>
            <w:tcMar>
              <w:top w:w="0" w:type="dxa"/>
              <w:left w:w="0" w:type="dxa"/>
              <w:bottom w:w="0" w:type="dxa"/>
              <w:right w:w="0" w:type="dxa"/>
            </w:tcMar>
            <w:vAlign w:val="center"/>
          </w:tcPr>
          <w:p w14:paraId="57F09FB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拆除工程已经实施的</w:t>
            </w:r>
          </w:p>
        </w:tc>
        <w:tc>
          <w:tcPr>
            <w:tcW w:w="873" w:type="pct"/>
            <w:noWrap w:val="0"/>
            <w:tcMar>
              <w:top w:w="0" w:type="dxa"/>
              <w:left w:w="0" w:type="dxa"/>
              <w:bottom w:w="0" w:type="dxa"/>
              <w:right w:w="0" w:type="dxa"/>
            </w:tcMar>
            <w:vAlign w:val="center"/>
          </w:tcPr>
          <w:p w14:paraId="3848DD6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处25万元以上40万元以下的罚款</w:t>
            </w:r>
          </w:p>
        </w:tc>
        <w:tc>
          <w:tcPr>
            <w:tcW w:w="158" w:type="pct"/>
            <w:vMerge w:val="continue"/>
            <w:noWrap w:val="0"/>
            <w:tcMar>
              <w:top w:w="0" w:type="dxa"/>
              <w:left w:w="0" w:type="dxa"/>
              <w:bottom w:w="0" w:type="dxa"/>
              <w:right w:w="0" w:type="dxa"/>
            </w:tcMar>
            <w:vAlign w:val="center"/>
          </w:tcPr>
          <w:p w14:paraId="4489B06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438F8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466" w:hRule="atLeast"/>
          <w:jc w:val="center"/>
        </w:trPr>
        <w:tc>
          <w:tcPr>
            <w:tcW w:w="156" w:type="pct"/>
            <w:vMerge w:val="continue"/>
            <w:noWrap w:val="0"/>
            <w:tcMar>
              <w:top w:w="0" w:type="dxa"/>
              <w:left w:w="0" w:type="dxa"/>
              <w:bottom w:w="0" w:type="dxa"/>
              <w:right w:w="0" w:type="dxa"/>
            </w:tcMar>
            <w:vAlign w:val="center"/>
          </w:tcPr>
          <w:p w14:paraId="6DB363BD">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0C008C62">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49CB2F7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7A8BCF3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7292CFB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严重</w:t>
            </w:r>
          </w:p>
        </w:tc>
        <w:tc>
          <w:tcPr>
            <w:tcW w:w="561" w:type="pct"/>
            <w:noWrap w:val="0"/>
            <w:tcMar>
              <w:top w:w="0" w:type="dxa"/>
              <w:left w:w="0" w:type="dxa"/>
              <w:bottom w:w="0" w:type="dxa"/>
              <w:right w:w="0" w:type="dxa"/>
            </w:tcMar>
            <w:vAlign w:val="center"/>
          </w:tcPr>
          <w:p w14:paraId="05EC052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造成生产安全事故的；2年内2次及以上同类型违法的；造成其他严重危害后果的</w:t>
            </w:r>
          </w:p>
        </w:tc>
        <w:tc>
          <w:tcPr>
            <w:tcW w:w="873" w:type="pct"/>
            <w:noWrap w:val="0"/>
            <w:tcMar>
              <w:top w:w="0" w:type="dxa"/>
              <w:left w:w="0" w:type="dxa"/>
              <w:bottom w:w="0" w:type="dxa"/>
              <w:right w:w="0" w:type="dxa"/>
            </w:tcMar>
            <w:vAlign w:val="center"/>
          </w:tcPr>
          <w:p w14:paraId="0A7EFD4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处40万元以上50万元以下的罚款</w:t>
            </w:r>
          </w:p>
        </w:tc>
        <w:tc>
          <w:tcPr>
            <w:tcW w:w="158" w:type="pct"/>
            <w:vMerge w:val="continue"/>
            <w:noWrap w:val="0"/>
            <w:tcMar>
              <w:top w:w="0" w:type="dxa"/>
              <w:left w:w="0" w:type="dxa"/>
              <w:bottom w:w="0" w:type="dxa"/>
              <w:right w:w="0" w:type="dxa"/>
            </w:tcMar>
            <w:vAlign w:val="center"/>
          </w:tcPr>
          <w:p w14:paraId="6478765D">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7CD478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restart"/>
            <w:noWrap w:val="0"/>
            <w:tcMar>
              <w:top w:w="0" w:type="dxa"/>
              <w:left w:w="0" w:type="dxa"/>
              <w:bottom w:w="0" w:type="dxa"/>
              <w:right w:w="0" w:type="dxa"/>
            </w:tcMar>
            <w:vAlign w:val="center"/>
          </w:tcPr>
          <w:p w14:paraId="5B1208F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r>
              <w:rPr>
                <w:rFonts w:hint="eastAsia" w:ascii="宋体" w:hAnsi="宋体" w:eastAsia="宋体" w:cs="宋体"/>
                <w:color w:val="000000"/>
                <w:sz w:val="18"/>
                <w:szCs w:val="18"/>
                <w:shd w:val="clear" w:color="auto" w:fill="auto"/>
                <w:vertAlign w:val="baseline"/>
                <w:lang w:val="en-US" w:eastAsia="zh-CN"/>
              </w:rPr>
              <w:t>111</w:t>
            </w:r>
          </w:p>
        </w:tc>
        <w:tc>
          <w:tcPr>
            <w:tcW w:w="415" w:type="pct"/>
            <w:vMerge w:val="restart"/>
            <w:noWrap w:val="0"/>
            <w:tcMar>
              <w:top w:w="0" w:type="dxa"/>
              <w:left w:w="0" w:type="dxa"/>
              <w:bottom w:w="0" w:type="dxa"/>
              <w:right w:w="0" w:type="dxa"/>
            </w:tcMar>
            <w:vAlign w:val="center"/>
          </w:tcPr>
          <w:p w14:paraId="1F013B42">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对水利工程建设监理单位未对施工组织设计中的安全技术措施或者专项施工方案进行审查，发现安全事故隐患未及时要求施工单位整改或者暂时停止施工等行为的行政处罚</w:t>
            </w:r>
          </w:p>
        </w:tc>
        <w:tc>
          <w:tcPr>
            <w:tcW w:w="2168" w:type="pct"/>
            <w:vMerge w:val="restart"/>
            <w:noWrap w:val="0"/>
            <w:tcMar>
              <w:top w:w="0" w:type="dxa"/>
              <w:left w:w="0" w:type="dxa"/>
              <w:bottom w:w="0" w:type="dxa"/>
              <w:right w:w="0" w:type="dxa"/>
            </w:tcMar>
            <w:vAlign w:val="center"/>
          </w:tcPr>
          <w:p w14:paraId="3BB7A3A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《建设工程安全生产管理条例》第五十七条 违反本条例的规定，工程监理单位有下列行为之一的，责令限期改正；逾期未改正的，责令停业整顿，并处10万元以上30万元以下的罚款；情节严重的，降低资质等级，直至吊销资质证书；造成重大安全事故，构成犯罪的，对直接责任人员，依照刑法有关规定追究刑事责任；造成损失的，依法承担赔偿责任：</w:t>
            </w:r>
          </w:p>
          <w:p w14:paraId="39BA69C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（一）未对施工组织设计中的安全技术措施或者专项施工方案进行审查的；</w:t>
            </w:r>
          </w:p>
          <w:p w14:paraId="12E70FF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（二）发现安全事故隐患未及时要求施工单位整改或者暂时停止施工的；</w:t>
            </w:r>
          </w:p>
          <w:p w14:paraId="1F3C1A1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（三）施工单位拒不整改或者不停止施工，未及时向有关主管部门报告的；</w:t>
            </w:r>
          </w:p>
          <w:p w14:paraId="755D7D6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（四）未依照法律、法规和工程建设强制性标准实施监理的。</w:t>
            </w:r>
          </w:p>
          <w:p w14:paraId="7A6A03A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《水利工程建设监理规定》第二十九条 监理单位有下列行为之一的，依照《建设工程安全生产管理条例》第五十七条处罚：</w:t>
            </w:r>
          </w:p>
          <w:p w14:paraId="735BE84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（一）未对施工组织设计中的安全技术措施或者专项施工方案进行审查的；</w:t>
            </w:r>
          </w:p>
          <w:p w14:paraId="47E22B9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（二）发现安全事故隐患未及时要求施工单位整改或者暂时停止施工的；</w:t>
            </w:r>
          </w:p>
          <w:p w14:paraId="0926447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（三）施工单位拒不整改或者不停止施工，未及时向有关水行政主管部门或者流域管理机构报告的；</w:t>
            </w:r>
          </w:p>
          <w:p w14:paraId="28C62DC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（四）未依照法律、法规和工程建设强制性标准实施监理的。</w:t>
            </w:r>
          </w:p>
        </w:tc>
        <w:tc>
          <w:tcPr>
            <w:tcW w:w="491" w:type="pct"/>
            <w:vMerge w:val="restart"/>
            <w:noWrap w:val="0"/>
            <w:tcMar>
              <w:top w:w="0" w:type="dxa"/>
              <w:left w:w="0" w:type="dxa"/>
              <w:bottom w:w="0" w:type="dxa"/>
              <w:right w:w="0" w:type="dxa"/>
            </w:tcMar>
            <w:vAlign w:val="center"/>
          </w:tcPr>
          <w:p w14:paraId="265F90A7">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水利工程建设监理单位未对施工组织设计中的安全技术措施或者专项施工方案进行审查的</w:t>
            </w:r>
          </w:p>
        </w:tc>
        <w:tc>
          <w:tcPr>
            <w:tcW w:w="174" w:type="pct"/>
            <w:noWrap w:val="0"/>
            <w:tcMar>
              <w:top w:w="0" w:type="dxa"/>
              <w:left w:w="0" w:type="dxa"/>
              <w:bottom w:w="0" w:type="dxa"/>
              <w:right w:w="0" w:type="dxa"/>
            </w:tcMar>
            <w:vAlign w:val="center"/>
          </w:tcPr>
          <w:p w14:paraId="58B71BDD">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轻微</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6BD5D5DB">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0668E946">
            <w:pPr>
              <w:spacing w:line="260" w:lineRule="exact"/>
              <w:rPr>
                <w:rFonts w:hint="eastAsia" w:ascii="宋体" w:hAnsi="宋体" w:eastAsia="宋体" w:cs="宋体"/>
                <w:color w:val="000000"/>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3BD6EE2D">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30203096">
            <w:pPr>
              <w:spacing w:line="260" w:lineRule="exact"/>
              <w:rPr>
                <w:rFonts w:hint="eastAsia" w:ascii="宋体" w:hAnsi="宋体" w:eastAsia="宋体" w:cs="宋体"/>
                <w:color w:val="000000"/>
                <w:kern w:val="2"/>
                <w:sz w:val="18"/>
                <w:szCs w:val="18"/>
                <w:vertAlign w:val="baseline"/>
                <w:lang w:val="en-US" w:eastAsia="zh-CN" w:bidi="ar-SA"/>
              </w:rPr>
            </w:pPr>
          </w:p>
        </w:tc>
        <w:tc>
          <w:tcPr>
            <w:tcW w:w="158" w:type="pct"/>
            <w:vMerge w:val="restart"/>
            <w:noWrap w:val="0"/>
            <w:tcMar>
              <w:top w:w="0" w:type="dxa"/>
              <w:left w:w="0" w:type="dxa"/>
              <w:bottom w:w="0" w:type="dxa"/>
              <w:right w:w="0" w:type="dxa"/>
            </w:tcMar>
            <w:vAlign w:val="center"/>
          </w:tcPr>
          <w:p w14:paraId="79B549C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3C767E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52" w:hRule="atLeast"/>
          <w:jc w:val="center"/>
        </w:trPr>
        <w:tc>
          <w:tcPr>
            <w:tcW w:w="156" w:type="pct"/>
            <w:vMerge w:val="continue"/>
            <w:noWrap w:val="0"/>
            <w:tcMar>
              <w:top w:w="0" w:type="dxa"/>
              <w:left w:w="0" w:type="dxa"/>
              <w:bottom w:w="0" w:type="dxa"/>
              <w:right w:w="0" w:type="dxa"/>
            </w:tcMar>
            <w:vAlign w:val="center"/>
          </w:tcPr>
          <w:p w14:paraId="712CB310">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4F914FC4">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7050A4D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119CDB3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77FF851C">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较轻</w:t>
            </w:r>
          </w:p>
        </w:tc>
        <w:tc>
          <w:tcPr>
            <w:tcW w:w="561" w:type="pct"/>
            <w:noWrap w:val="0"/>
            <w:tcMar>
              <w:top w:w="0" w:type="dxa"/>
              <w:left w:w="0" w:type="dxa"/>
              <w:bottom w:w="0" w:type="dxa"/>
              <w:right w:w="0" w:type="dxa"/>
            </w:tcMar>
            <w:vAlign w:val="center"/>
          </w:tcPr>
          <w:p w14:paraId="2F533EA0">
            <w:pPr>
              <w:keepNext w:val="0"/>
              <w:keepLines w:val="0"/>
              <w:pageBreakBefore w:val="0"/>
              <w:widowControl w:val="0"/>
              <w:kinsoku/>
              <w:wordWrap/>
              <w:overflowPunct/>
              <w:topLinePunct w:val="0"/>
              <w:autoSpaceDE/>
              <w:autoSpaceDN/>
              <w:bidi w:val="0"/>
              <w:adjustRightInd/>
              <w:snapToGrid/>
              <w:spacing w:line="30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不涉及危大工程的</w:t>
            </w:r>
          </w:p>
        </w:tc>
        <w:tc>
          <w:tcPr>
            <w:tcW w:w="873" w:type="pct"/>
            <w:noWrap w:val="0"/>
            <w:tcMar>
              <w:top w:w="0" w:type="dxa"/>
              <w:left w:w="0" w:type="dxa"/>
              <w:bottom w:w="0" w:type="dxa"/>
              <w:right w:w="0" w:type="dxa"/>
            </w:tcMar>
            <w:vAlign w:val="center"/>
          </w:tcPr>
          <w:p w14:paraId="30A84AD8">
            <w:pPr>
              <w:keepNext w:val="0"/>
              <w:keepLines w:val="0"/>
              <w:pageBreakBefore w:val="0"/>
              <w:widowControl w:val="0"/>
              <w:kinsoku/>
              <w:wordWrap/>
              <w:overflowPunct/>
              <w:topLinePunct w:val="0"/>
              <w:autoSpaceDE/>
              <w:autoSpaceDN/>
              <w:bidi w:val="0"/>
              <w:adjustRightInd/>
              <w:snapToGrid/>
              <w:spacing w:line="30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责令停业整顿，直至改正违法行为；并处10万元以上20万元以下的罚款</w:t>
            </w:r>
          </w:p>
        </w:tc>
        <w:tc>
          <w:tcPr>
            <w:tcW w:w="158" w:type="pct"/>
            <w:vMerge w:val="continue"/>
            <w:noWrap w:val="0"/>
            <w:tcMar>
              <w:top w:w="0" w:type="dxa"/>
              <w:left w:w="0" w:type="dxa"/>
              <w:bottom w:w="0" w:type="dxa"/>
              <w:right w:w="0" w:type="dxa"/>
            </w:tcMar>
            <w:vAlign w:val="center"/>
          </w:tcPr>
          <w:p w14:paraId="2D78C1B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26184C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623" w:hRule="atLeast"/>
          <w:jc w:val="center"/>
        </w:trPr>
        <w:tc>
          <w:tcPr>
            <w:tcW w:w="156" w:type="pct"/>
            <w:vMerge w:val="continue"/>
            <w:noWrap w:val="0"/>
            <w:tcMar>
              <w:top w:w="0" w:type="dxa"/>
              <w:left w:w="0" w:type="dxa"/>
              <w:bottom w:w="0" w:type="dxa"/>
              <w:right w:w="0" w:type="dxa"/>
            </w:tcMar>
            <w:vAlign w:val="center"/>
          </w:tcPr>
          <w:p w14:paraId="7FA3C87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241034A5">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3E81D8D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17279D1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42626C6B">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一般</w:t>
            </w:r>
          </w:p>
        </w:tc>
        <w:tc>
          <w:tcPr>
            <w:tcW w:w="561" w:type="pct"/>
            <w:noWrap w:val="0"/>
            <w:tcMar>
              <w:top w:w="0" w:type="dxa"/>
              <w:left w:w="0" w:type="dxa"/>
              <w:bottom w:w="0" w:type="dxa"/>
              <w:right w:w="0" w:type="dxa"/>
            </w:tcMar>
            <w:vAlign w:val="center"/>
          </w:tcPr>
          <w:p w14:paraId="49F26650">
            <w:pPr>
              <w:keepNext w:val="0"/>
              <w:keepLines w:val="0"/>
              <w:pageBreakBefore w:val="0"/>
              <w:widowControl w:val="0"/>
              <w:kinsoku/>
              <w:wordWrap/>
              <w:overflowPunct/>
              <w:topLinePunct w:val="0"/>
              <w:autoSpaceDE/>
              <w:autoSpaceDN/>
              <w:bidi w:val="0"/>
              <w:adjustRightInd/>
              <w:snapToGrid/>
              <w:spacing w:line="30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涉及危大工程的</w:t>
            </w:r>
          </w:p>
        </w:tc>
        <w:tc>
          <w:tcPr>
            <w:tcW w:w="873" w:type="pct"/>
            <w:noWrap w:val="0"/>
            <w:tcMar>
              <w:top w:w="0" w:type="dxa"/>
              <w:left w:w="0" w:type="dxa"/>
              <w:bottom w:w="0" w:type="dxa"/>
              <w:right w:w="0" w:type="dxa"/>
            </w:tcMar>
            <w:vAlign w:val="center"/>
          </w:tcPr>
          <w:p w14:paraId="6F809EA4">
            <w:pPr>
              <w:keepNext w:val="0"/>
              <w:keepLines w:val="0"/>
              <w:pageBreakBefore w:val="0"/>
              <w:widowControl w:val="0"/>
              <w:kinsoku/>
              <w:wordWrap/>
              <w:overflowPunct/>
              <w:topLinePunct w:val="0"/>
              <w:autoSpaceDE/>
              <w:autoSpaceDN/>
              <w:bidi w:val="0"/>
              <w:adjustRightInd/>
              <w:snapToGrid/>
              <w:spacing w:line="30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责令停业整顿，直至改正违法行为；并处20万元以上30万元以下的罚款；对直接负责的主管人员和其他直接责任人员处1000元以上5000元以下的罚款</w:t>
            </w:r>
          </w:p>
        </w:tc>
        <w:tc>
          <w:tcPr>
            <w:tcW w:w="158" w:type="pct"/>
            <w:vMerge w:val="continue"/>
            <w:noWrap w:val="0"/>
            <w:tcMar>
              <w:top w:w="0" w:type="dxa"/>
              <w:left w:w="0" w:type="dxa"/>
              <w:bottom w:w="0" w:type="dxa"/>
              <w:right w:w="0" w:type="dxa"/>
            </w:tcMar>
            <w:vAlign w:val="center"/>
          </w:tcPr>
          <w:p w14:paraId="7953C6BB">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26C0CC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4C755FB5">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6F893D95">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23B09E2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57B30B4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vMerge w:val="restart"/>
            <w:noWrap w:val="0"/>
            <w:tcMar>
              <w:top w:w="0" w:type="dxa"/>
              <w:left w:w="0" w:type="dxa"/>
              <w:bottom w:w="0" w:type="dxa"/>
              <w:right w:w="0" w:type="dxa"/>
            </w:tcMar>
            <w:vAlign w:val="center"/>
          </w:tcPr>
          <w:p w14:paraId="761D301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较重</w:t>
            </w:r>
          </w:p>
        </w:tc>
        <w:tc>
          <w:tcPr>
            <w:tcW w:w="561" w:type="pct"/>
            <w:noWrap w:val="0"/>
            <w:tcMar>
              <w:top w:w="0" w:type="dxa"/>
              <w:left w:w="0" w:type="dxa"/>
              <w:bottom w:w="0" w:type="dxa"/>
              <w:right w:w="0" w:type="dxa"/>
            </w:tcMar>
            <w:vAlign w:val="center"/>
          </w:tcPr>
          <w:p w14:paraId="59DA00F8">
            <w:pPr>
              <w:keepNext w:val="0"/>
              <w:keepLines w:val="0"/>
              <w:pageBreakBefore w:val="0"/>
              <w:widowControl w:val="0"/>
              <w:kinsoku/>
              <w:wordWrap/>
              <w:overflowPunct/>
              <w:topLinePunct w:val="0"/>
              <w:autoSpaceDE/>
              <w:autoSpaceDN/>
              <w:bidi w:val="0"/>
              <w:adjustRightInd/>
              <w:snapToGrid/>
              <w:spacing w:line="30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造成多于3人少于5人死亡；或者多于10人少于20人重伤；或者多于1000万元少于2000万元直接经济损失</w:t>
            </w:r>
          </w:p>
        </w:tc>
        <w:tc>
          <w:tcPr>
            <w:tcW w:w="873" w:type="pct"/>
            <w:noWrap w:val="0"/>
            <w:tcMar>
              <w:top w:w="0" w:type="dxa"/>
              <w:left w:w="0" w:type="dxa"/>
              <w:bottom w:w="0" w:type="dxa"/>
              <w:right w:w="0" w:type="dxa"/>
            </w:tcMar>
            <w:vAlign w:val="center"/>
          </w:tcPr>
          <w:p w14:paraId="0E82EB41">
            <w:pPr>
              <w:keepNext w:val="0"/>
              <w:keepLines w:val="0"/>
              <w:pageBreakBefore w:val="0"/>
              <w:widowControl w:val="0"/>
              <w:kinsoku/>
              <w:wordWrap/>
              <w:overflowPunct/>
              <w:topLinePunct w:val="0"/>
              <w:autoSpaceDE/>
              <w:autoSpaceDN/>
              <w:bidi w:val="0"/>
              <w:adjustRightInd/>
              <w:snapToGrid/>
              <w:spacing w:line="30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责令停业整顿60-90日；并处30万元的罚款；涉及危大工程的，对直接负责的主管人员和其他直接责任人员处5000元的罚款</w:t>
            </w:r>
          </w:p>
        </w:tc>
        <w:tc>
          <w:tcPr>
            <w:tcW w:w="158" w:type="pct"/>
            <w:vMerge w:val="continue"/>
            <w:noWrap w:val="0"/>
            <w:tcMar>
              <w:top w:w="0" w:type="dxa"/>
              <w:left w:w="0" w:type="dxa"/>
              <w:bottom w:w="0" w:type="dxa"/>
              <w:right w:w="0" w:type="dxa"/>
            </w:tcMar>
            <w:vAlign w:val="center"/>
          </w:tcPr>
          <w:p w14:paraId="0652072C">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7579E2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6EBD1C9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10F4D40B">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2365C71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6160B58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vMerge w:val="continue"/>
            <w:noWrap w:val="0"/>
            <w:tcMar>
              <w:top w:w="0" w:type="dxa"/>
              <w:left w:w="0" w:type="dxa"/>
              <w:bottom w:w="0" w:type="dxa"/>
              <w:right w:w="0" w:type="dxa"/>
            </w:tcMar>
            <w:vAlign w:val="center"/>
          </w:tcPr>
          <w:p w14:paraId="57A9518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p>
        </w:tc>
        <w:tc>
          <w:tcPr>
            <w:tcW w:w="561" w:type="pct"/>
            <w:noWrap w:val="0"/>
            <w:tcMar>
              <w:top w:w="0" w:type="dxa"/>
              <w:left w:w="0" w:type="dxa"/>
              <w:bottom w:w="0" w:type="dxa"/>
              <w:right w:w="0" w:type="dxa"/>
            </w:tcMar>
            <w:vAlign w:val="center"/>
          </w:tcPr>
          <w:p w14:paraId="0E3A86F0">
            <w:pPr>
              <w:keepNext w:val="0"/>
              <w:keepLines w:val="0"/>
              <w:pageBreakBefore w:val="0"/>
              <w:widowControl w:val="0"/>
              <w:kinsoku/>
              <w:wordWrap/>
              <w:overflowPunct/>
              <w:topLinePunct w:val="0"/>
              <w:autoSpaceDE/>
              <w:autoSpaceDN/>
              <w:bidi w:val="0"/>
              <w:adjustRightInd/>
              <w:snapToGrid/>
              <w:spacing w:line="30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造成多于5人少于7人死亡；或者多于20人少于30人重伤；或者多于2000万元少于3000万元直接经济损失</w:t>
            </w:r>
          </w:p>
        </w:tc>
        <w:tc>
          <w:tcPr>
            <w:tcW w:w="873" w:type="pct"/>
            <w:noWrap w:val="0"/>
            <w:tcMar>
              <w:top w:w="0" w:type="dxa"/>
              <w:left w:w="0" w:type="dxa"/>
              <w:bottom w:w="0" w:type="dxa"/>
              <w:right w:w="0" w:type="dxa"/>
            </w:tcMar>
            <w:vAlign w:val="center"/>
          </w:tcPr>
          <w:p w14:paraId="0B81BAB6">
            <w:pPr>
              <w:keepNext w:val="0"/>
              <w:keepLines w:val="0"/>
              <w:pageBreakBefore w:val="0"/>
              <w:widowControl w:val="0"/>
              <w:kinsoku/>
              <w:wordWrap/>
              <w:overflowPunct/>
              <w:topLinePunct w:val="0"/>
              <w:autoSpaceDE/>
              <w:autoSpaceDN/>
              <w:bidi w:val="0"/>
              <w:adjustRightInd/>
              <w:snapToGrid/>
              <w:spacing w:line="30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责令停业整顿90-120日；并处30万元的罚款；涉及危大工程的，对直接负责的主管人员和其他直接责任人员处5000元的罚款</w:t>
            </w:r>
          </w:p>
        </w:tc>
        <w:tc>
          <w:tcPr>
            <w:tcW w:w="158" w:type="pct"/>
            <w:vMerge w:val="continue"/>
            <w:noWrap w:val="0"/>
            <w:tcMar>
              <w:top w:w="0" w:type="dxa"/>
              <w:left w:w="0" w:type="dxa"/>
              <w:bottom w:w="0" w:type="dxa"/>
              <w:right w:w="0" w:type="dxa"/>
            </w:tcMar>
            <w:vAlign w:val="center"/>
          </w:tcPr>
          <w:p w14:paraId="176E32EA">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1224F7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650" w:hRule="atLeast"/>
          <w:jc w:val="center"/>
        </w:trPr>
        <w:tc>
          <w:tcPr>
            <w:tcW w:w="156" w:type="pct"/>
            <w:vMerge w:val="continue"/>
            <w:noWrap w:val="0"/>
            <w:tcMar>
              <w:top w:w="0" w:type="dxa"/>
              <w:left w:w="0" w:type="dxa"/>
              <w:bottom w:w="0" w:type="dxa"/>
              <w:right w:w="0" w:type="dxa"/>
            </w:tcMar>
            <w:vAlign w:val="center"/>
          </w:tcPr>
          <w:p w14:paraId="671484F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74D6D8FA">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2D9FAA7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540088A4">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vMerge w:val="continue"/>
            <w:noWrap w:val="0"/>
            <w:tcMar>
              <w:top w:w="0" w:type="dxa"/>
              <w:left w:w="0" w:type="dxa"/>
              <w:bottom w:w="0" w:type="dxa"/>
              <w:right w:w="0" w:type="dxa"/>
            </w:tcMar>
            <w:vAlign w:val="center"/>
          </w:tcPr>
          <w:p w14:paraId="24177518">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p>
        </w:tc>
        <w:tc>
          <w:tcPr>
            <w:tcW w:w="561" w:type="pct"/>
            <w:noWrap w:val="0"/>
            <w:tcMar>
              <w:top w:w="0" w:type="dxa"/>
              <w:left w:w="0" w:type="dxa"/>
              <w:bottom w:w="0" w:type="dxa"/>
              <w:right w:w="0" w:type="dxa"/>
            </w:tcMar>
            <w:vAlign w:val="center"/>
          </w:tcPr>
          <w:p w14:paraId="03E3970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造成多于7人少于10人死亡；或者多于30人少于50人重伤；或者多于3000万元少于5000万元直接经济损失</w:t>
            </w:r>
          </w:p>
        </w:tc>
        <w:tc>
          <w:tcPr>
            <w:tcW w:w="873" w:type="pct"/>
            <w:noWrap w:val="0"/>
            <w:tcMar>
              <w:top w:w="0" w:type="dxa"/>
              <w:left w:w="0" w:type="dxa"/>
              <w:bottom w:w="0" w:type="dxa"/>
              <w:right w:w="0" w:type="dxa"/>
            </w:tcMar>
            <w:vAlign w:val="center"/>
          </w:tcPr>
          <w:p w14:paraId="40AFAD5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责令停业整顿120-180日；并处30万元的罚款；涉及危大工程的，对直接负责的主管人员和其他直接责任人员处5000元的罚款</w:t>
            </w:r>
          </w:p>
        </w:tc>
        <w:tc>
          <w:tcPr>
            <w:tcW w:w="158" w:type="pct"/>
            <w:vMerge w:val="continue"/>
            <w:noWrap w:val="0"/>
            <w:tcMar>
              <w:top w:w="0" w:type="dxa"/>
              <w:left w:w="0" w:type="dxa"/>
              <w:bottom w:w="0" w:type="dxa"/>
              <w:right w:w="0" w:type="dxa"/>
            </w:tcMar>
            <w:vAlign w:val="center"/>
          </w:tcPr>
          <w:p w14:paraId="5E080D4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4468F1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12C2123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44472842">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0A8BFE9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18B2862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vMerge w:val="restart"/>
            <w:noWrap w:val="0"/>
            <w:tcMar>
              <w:top w:w="0" w:type="dxa"/>
              <w:left w:w="0" w:type="dxa"/>
              <w:bottom w:w="0" w:type="dxa"/>
              <w:right w:w="0" w:type="dxa"/>
            </w:tcMar>
            <w:vAlign w:val="center"/>
          </w:tcPr>
          <w:p w14:paraId="57F23D5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严重</w:t>
            </w:r>
          </w:p>
        </w:tc>
        <w:tc>
          <w:tcPr>
            <w:tcW w:w="561" w:type="pct"/>
            <w:noWrap w:val="0"/>
            <w:tcMar>
              <w:top w:w="0" w:type="dxa"/>
              <w:left w:w="0" w:type="dxa"/>
              <w:bottom w:w="0" w:type="dxa"/>
              <w:right w:w="0" w:type="dxa"/>
            </w:tcMar>
            <w:vAlign w:val="center"/>
          </w:tcPr>
          <w:p w14:paraId="346E1484">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造成重大安全事故</w:t>
            </w:r>
          </w:p>
        </w:tc>
        <w:tc>
          <w:tcPr>
            <w:tcW w:w="873" w:type="pct"/>
            <w:noWrap w:val="0"/>
            <w:tcMar>
              <w:top w:w="0" w:type="dxa"/>
              <w:left w:w="0" w:type="dxa"/>
              <w:bottom w:w="0" w:type="dxa"/>
              <w:right w:w="0" w:type="dxa"/>
            </w:tcMar>
            <w:vAlign w:val="center"/>
          </w:tcPr>
          <w:p w14:paraId="6C42515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降低资质等级，并处30万元的罚款；涉及危大工程的，对直接负责的主管人员和其他直接责任人员处5000元的罚款</w:t>
            </w:r>
          </w:p>
        </w:tc>
        <w:tc>
          <w:tcPr>
            <w:tcW w:w="158" w:type="pct"/>
            <w:vMerge w:val="continue"/>
            <w:noWrap w:val="0"/>
            <w:tcMar>
              <w:top w:w="0" w:type="dxa"/>
              <w:left w:w="0" w:type="dxa"/>
              <w:bottom w:w="0" w:type="dxa"/>
              <w:right w:w="0" w:type="dxa"/>
            </w:tcMar>
            <w:vAlign w:val="center"/>
          </w:tcPr>
          <w:p w14:paraId="21F3ACC0">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2102D3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155" w:hRule="atLeast"/>
          <w:jc w:val="center"/>
        </w:trPr>
        <w:tc>
          <w:tcPr>
            <w:tcW w:w="156" w:type="pct"/>
            <w:vMerge w:val="continue"/>
            <w:noWrap w:val="0"/>
            <w:tcMar>
              <w:top w:w="0" w:type="dxa"/>
              <w:left w:w="0" w:type="dxa"/>
              <w:bottom w:w="0" w:type="dxa"/>
              <w:right w:w="0" w:type="dxa"/>
            </w:tcMar>
            <w:vAlign w:val="center"/>
          </w:tcPr>
          <w:p w14:paraId="6CA9957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3D5BDC50">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36F1461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3FB9994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vMerge w:val="continue"/>
            <w:noWrap w:val="0"/>
            <w:tcMar>
              <w:top w:w="0" w:type="dxa"/>
              <w:left w:w="0" w:type="dxa"/>
              <w:bottom w:w="0" w:type="dxa"/>
              <w:right w:w="0" w:type="dxa"/>
            </w:tcMar>
            <w:vAlign w:val="center"/>
          </w:tcPr>
          <w:p w14:paraId="30D07F5D">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p>
        </w:tc>
        <w:tc>
          <w:tcPr>
            <w:tcW w:w="561" w:type="pct"/>
            <w:noWrap w:val="0"/>
            <w:tcMar>
              <w:top w:w="0" w:type="dxa"/>
              <w:left w:w="0" w:type="dxa"/>
              <w:bottom w:w="0" w:type="dxa"/>
              <w:right w:w="0" w:type="dxa"/>
            </w:tcMar>
            <w:vAlign w:val="center"/>
          </w:tcPr>
          <w:p w14:paraId="4FA7435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造成特别重大安全事故</w:t>
            </w:r>
          </w:p>
        </w:tc>
        <w:tc>
          <w:tcPr>
            <w:tcW w:w="873" w:type="pct"/>
            <w:noWrap w:val="0"/>
            <w:tcMar>
              <w:top w:w="0" w:type="dxa"/>
              <w:left w:w="0" w:type="dxa"/>
              <w:bottom w:w="0" w:type="dxa"/>
              <w:right w:w="0" w:type="dxa"/>
            </w:tcMar>
            <w:vAlign w:val="center"/>
          </w:tcPr>
          <w:p w14:paraId="040D681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吊销资质证书，并处30万元的罚款；涉及危大工程的，对直接负责的主管人员和其他直接责任人员处5000元的罚款</w:t>
            </w:r>
          </w:p>
        </w:tc>
        <w:tc>
          <w:tcPr>
            <w:tcW w:w="158" w:type="pct"/>
            <w:vMerge w:val="continue"/>
            <w:noWrap w:val="0"/>
            <w:tcMar>
              <w:top w:w="0" w:type="dxa"/>
              <w:left w:w="0" w:type="dxa"/>
              <w:bottom w:w="0" w:type="dxa"/>
              <w:right w:w="0" w:type="dxa"/>
            </w:tcMar>
            <w:vAlign w:val="center"/>
          </w:tcPr>
          <w:p w14:paraId="19915908">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283BEF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0C99990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1F144866">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3F5F85F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restart"/>
            <w:noWrap w:val="0"/>
            <w:tcMar>
              <w:top w:w="0" w:type="dxa"/>
              <w:left w:w="0" w:type="dxa"/>
              <w:bottom w:w="0" w:type="dxa"/>
              <w:right w:w="0" w:type="dxa"/>
            </w:tcMar>
            <w:vAlign w:val="center"/>
          </w:tcPr>
          <w:p w14:paraId="018669B4">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水利工程建设监理单位发现安全事故隐患未及时要求施工单位整改或者暂时停止施工的</w:t>
            </w:r>
          </w:p>
        </w:tc>
        <w:tc>
          <w:tcPr>
            <w:tcW w:w="174" w:type="pct"/>
            <w:noWrap w:val="0"/>
            <w:tcMar>
              <w:top w:w="0" w:type="dxa"/>
              <w:left w:w="0" w:type="dxa"/>
              <w:bottom w:w="0" w:type="dxa"/>
              <w:right w:w="0" w:type="dxa"/>
            </w:tcMar>
            <w:vAlign w:val="center"/>
          </w:tcPr>
          <w:p w14:paraId="3C47364A">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轻微</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56BDEA97">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4A272727">
            <w:pPr>
              <w:spacing w:line="260" w:lineRule="exact"/>
              <w:rPr>
                <w:rFonts w:hint="eastAsia" w:ascii="宋体" w:hAnsi="宋体" w:eastAsia="宋体" w:cs="宋体"/>
                <w:color w:val="000000"/>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6443800A">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6A338E5E">
            <w:pPr>
              <w:spacing w:line="260" w:lineRule="exact"/>
              <w:rPr>
                <w:rFonts w:hint="eastAsia" w:ascii="宋体" w:hAnsi="宋体" w:eastAsia="宋体" w:cs="宋体"/>
                <w:color w:val="000000"/>
                <w:kern w:val="2"/>
                <w:sz w:val="18"/>
                <w:szCs w:val="18"/>
                <w:vertAlign w:val="baseline"/>
                <w:lang w:val="en-US" w:eastAsia="zh-CN" w:bidi="ar-SA"/>
              </w:rPr>
            </w:pPr>
          </w:p>
        </w:tc>
        <w:tc>
          <w:tcPr>
            <w:tcW w:w="158" w:type="pct"/>
            <w:vMerge w:val="restart"/>
            <w:noWrap w:val="0"/>
            <w:tcMar>
              <w:top w:w="0" w:type="dxa"/>
              <w:left w:w="0" w:type="dxa"/>
              <w:bottom w:w="0" w:type="dxa"/>
              <w:right w:w="0" w:type="dxa"/>
            </w:tcMar>
            <w:vAlign w:val="center"/>
          </w:tcPr>
          <w:p w14:paraId="3F3EE26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72933B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714" w:hRule="atLeast"/>
          <w:jc w:val="center"/>
        </w:trPr>
        <w:tc>
          <w:tcPr>
            <w:tcW w:w="156" w:type="pct"/>
            <w:vMerge w:val="continue"/>
            <w:noWrap w:val="0"/>
            <w:tcMar>
              <w:top w:w="0" w:type="dxa"/>
              <w:left w:w="0" w:type="dxa"/>
              <w:bottom w:w="0" w:type="dxa"/>
              <w:right w:w="0" w:type="dxa"/>
            </w:tcMar>
            <w:vAlign w:val="center"/>
          </w:tcPr>
          <w:p w14:paraId="06F3D31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6D0EBBC6">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2ACB22F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270D776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2CC72779">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较轻</w:t>
            </w:r>
          </w:p>
        </w:tc>
        <w:tc>
          <w:tcPr>
            <w:tcW w:w="561" w:type="pct"/>
            <w:noWrap w:val="0"/>
            <w:tcMar>
              <w:top w:w="0" w:type="dxa"/>
              <w:left w:w="0" w:type="dxa"/>
              <w:bottom w:w="0" w:type="dxa"/>
              <w:right w:w="0" w:type="dxa"/>
            </w:tcMar>
            <w:vAlign w:val="center"/>
          </w:tcPr>
          <w:p w14:paraId="1F20768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sz w:val="18"/>
                <w:szCs w:val="18"/>
                <w:vertAlign w:val="baseline"/>
              </w:rPr>
              <w:t>不涉及危大工程的</w:t>
            </w:r>
          </w:p>
        </w:tc>
        <w:tc>
          <w:tcPr>
            <w:tcW w:w="873" w:type="pct"/>
            <w:noWrap w:val="0"/>
            <w:tcMar>
              <w:top w:w="0" w:type="dxa"/>
              <w:left w:w="0" w:type="dxa"/>
              <w:bottom w:w="0" w:type="dxa"/>
              <w:right w:w="0" w:type="dxa"/>
            </w:tcMar>
            <w:vAlign w:val="center"/>
          </w:tcPr>
          <w:p w14:paraId="19FBB2EC">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责令停业整顿，直至改正违法行为；并处10万元以上20万元以下的罚款</w:t>
            </w:r>
          </w:p>
        </w:tc>
        <w:tc>
          <w:tcPr>
            <w:tcW w:w="158" w:type="pct"/>
            <w:vMerge w:val="continue"/>
            <w:noWrap w:val="0"/>
            <w:tcMar>
              <w:top w:w="0" w:type="dxa"/>
              <w:left w:w="0" w:type="dxa"/>
              <w:bottom w:w="0" w:type="dxa"/>
              <w:right w:w="0" w:type="dxa"/>
            </w:tcMar>
            <w:vAlign w:val="center"/>
          </w:tcPr>
          <w:p w14:paraId="5DBC8B7D">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285A2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322" w:hRule="atLeast"/>
          <w:jc w:val="center"/>
        </w:trPr>
        <w:tc>
          <w:tcPr>
            <w:tcW w:w="156" w:type="pct"/>
            <w:vMerge w:val="continue"/>
            <w:noWrap w:val="0"/>
            <w:tcMar>
              <w:top w:w="0" w:type="dxa"/>
              <w:left w:w="0" w:type="dxa"/>
              <w:bottom w:w="0" w:type="dxa"/>
              <w:right w:w="0" w:type="dxa"/>
            </w:tcMar>
            <w:vAlign w:val="center"/>
          </w:tcPr>
          <w:p w14:paraId="64AF1DA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5893E868">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7C3BEA6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57A16E9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2F86B87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一般</w:t>
            </w:r>
          </w:p>
        </w:tc>
        <w:tc>
          <w:tcPr>
            <w:tcW w:w="561" w:type="pct"/>
            <w:noWrap w:val="0"/>
            <w:tcMar>
              <w:top w:w="0" w:type="dxa"/>
              <w:left w:w="0" w:type="dxa"/>
              <w:bottom w:w="0" w:type="dxa"/>
              <w:right w:w="0" w:type="dxa"/>
            </w:tcMar>
            <w:vAlign w:val="center"/>
          </w:tcPr>
          <w:p w14:paraId="72EF126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sz w:val="18"/>
                <w:szCs w:val="18"/>
                <w:vertAlign w:val="baseline"/>
              </w:rPr>
              <w:t>涉及危大工程的</w:t>
            </w:r>
          </w:p>
        </w:tc>
        <w:tc>
          <w:tcPr>
            <w:tcW w:w="873" w:type="pct"/>
            <w:noWrap w:val="0"/>
            <w:tcMar>
              <w:top w:w="0" w:type="dxa"/>
              <w:left w:w="0" w:type="dxa"/>
              <w:bottom w:w="0" w:type="dxa"/>
              <w:right w:w="0" w:type="dxa"/>
            </w:tcMar>
            <w:vAlign w:val="center"/>
          </w:tcPr>
          <w:p w14:paraId="78647D7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责令停业整顿，直至改正违法行为；并处20万元以上30万元以下的罚款；对直接负责的主管人员和其他直接责任人员处1000元以上5000元以下的罚款</w:t>
            </w:r>
          </w:p>
        </w:tc>
        <w:tc>
          <w:tcPr>
            <w:tcW w:w="158" w:type="pct"/>
            <w:vMerge w:val="continue"/>
            <w:noWrap w:val="0"/>
            <w:tcMar>
              <w:top w:w="0" w:type="dxa"/>
              <w:left w:w="0" w:type="dxa"/>
              <w:bottom w:w="0" w:type="dxa"/>
              <w:right w:w="0" w:type="dxa"/>
            </w:tcMar>
            <w:vAlign w:val="center"/>
          </w:tcPr>
          <w:p w14:paraId="142EF69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597E74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7DC10F81">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2D964907">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1787403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3138056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vMerge w:val="restart"/>
            <w:noWrap w:val="0"/>
            <w:tcMar>
              <w:top w:w="0" w:type="dxa"/>
              <w:left w:w="0" w:type="dxa"/>
              <w:bottom w:w="0" w:type="dxa"/>
              <w:right w:w="0" w:type="dxa"/>
            </w:tcMar>
            <w:vAlign w:val="center"/>
          </w:tcPr>
          <w:p w14:paraId="1491E97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较重</w:t>
            </w:r>
          </w:p>
        </w:tc>
        <w:tc>
          <w:tcPr>
            <w:tcW w:w="561" w:type="pct"/>
            <w:noWrap w:val="0"/>
            <w:tcMar>
              <w:top w:w="0" w:type="dxa"/>
              <w:left w:w="0" w:type="dxa"/>
              <w:bottom w:w="0" w:type="dxa"/>
              <w:right w:w="0" w:type="dxa"/>
            </w:tcMar>
            <w:vAlign w:val="center"/>
          </w:tcPr>
          <w:p w14:paraId="04A435B5">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造成多于3人少于5人死亡；或者多于10人少于20人重伤；或者多于1000万元少于2000万元直接经济损失</w:t>
            </w:r>
          </w:p>
        </w:tc>
        <w:tc>
          <w:tcPr>
            <w:tcW w:w="873" w:type="pct"/>
            <w:noWrap w:val="0"/>
            <w:tcMar>
              <w:top w:w="0" w:type="dxa"/>
              <w:left w:w="0" w:type="dxa"/>
              <w:bottom w:w="0" w:type="dxa"/>
              <w:right w:w="0" w:type="dxa"/>
            </w:tcMar>
            <w:vAlign w:val="center"/>
          </w:tcPr>
          <w:p w14:paraId="4357541F">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责令停业整顿60-90日；并处30万元的罚款；涉及危大工程的，对直接负责的主管人员和其他直接责任人员处5000元的罚款</w:t>
            </w:r>
          </w:p>
        </w:tc>
        <w:tc>
          <w:tcPr>
            <w:tcW w:w="158" w:type="pct"/>
            <w:vMerge w:val="continue"/>
            <w:noWrap w:val="0"/>
            <w:tcMar>
              <w:top w:w="0" w:type="dxa"/>
              <w:left w:w="0" w:type="dxa"/>
              <w:bottom w:w="0" w:type="dxa"/>
              <w:right w:w="0" w:type="dxa"/>
            </w:tcMar>
            <w:vAlign w:val="center"/>
          </w:tcPr>
          <w:p w14:paraId="44E3E2B8">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68006D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809" w:hRule="atLeast"/>
          <w:jc w:val="center"/>
        </w:trPr>
        <w:tc>
          <w:tcPr>
            <w:tcW w:w="156" w:type="pct"/>
            <w:vMerge w:val="continue"/>
            <w:noWrap w:val="0"/>
            <w:tcMar>
              <w:top w:w="0" w:type="dxa"/>
              <w:left w:w="0" w:type="dxa"/>
              <w:bottom w:w="0" w:type="dxa"/>
              <w:right w:w="0" w:type="dxa"/>
            </w:tcMar>
            <w:vAlign w:val="center"/>
          </w:tcPr>
          <w:p w14:paraId="2978742D">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1517F17D">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7AF3DD7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1A2C4AD7">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vMerge w:val="continue"/>
            <w:noWrap w:val="0"/>
            <w:tcMar>
              <w:top w:w="0" w:type="dxa"/>
              <w:left w:w="0" w:type="dxa"/>
              <w:bottom w:w="0" w:type="dxa"/>
              <w:right w:w="0" w:type="dxa"/>
            </w:tcMar>
            <w:vAlign w:val="center"/>
          </w:tcPr>
          <w:p w14:paraId="4364611B">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p>
        </w:tc>
        <w:tc>
          <w:tcPr>
            <w:tcW w:w="561" w:type="pct"/>
            <w:noWrap w:val="0"/>
            <w:tcMar>
              <w:top w:w="0" w:type="dxa"/>
              <w:left w:w="0" w:type="dxa"/>
              <w:bottom w:w="0" w:type="dxa"/>
              <w:right w:w="0" w:type="dxa"/>
            </w:tcMar>
            <w:vAlign w:val="center"/>
          </w:tcPr>
          <w:p w14:paraId="36E49683">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造成多于5人少于7人死亡；或者多于20人少于30人重伤；或者多于2000万元少于3000万元直接经济损失</w:t>
            </w:r>
          </w:p>
        </w:tc>
        <w:tc>
          <w:tcPr>
            <w:tcW w:w="873" w:type="pct"/>
            <w:noWrap w:val="0"/>
            <w:tcMar>
              <w:top w:w="0" w:type="dxa"/>
              <w:left w:w="0" w:type="dxa"/>
              <w:bottom w:w="0" w:type="dxa"/>
              <w:right w:w="0" w:type="dxa"/>
            </w:tcMar>
            <w:vAlign w:val="center"/>
          </w:tcPr>
          <w:p w14:paraId="64C6D15A">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责令停业整顿90-120日；并处30万元的罚款；涉及危大工程的，对直接负责的主管人员和其他直接责任人员处5000元的罚款</w:t>
            </w:r>
          </w:p>
        </w:tc>
        <w:tc>
          <w:tcPr>
            <w:tcW w:w="158" w:type="pct"/>
            <w:vMerge w:val="continue"/>
            <w:noWrap w:val="0"/>
            <w:tcMar>
              <w:top w:w="0" w:type="dxa"/>
              <w:left w:w="0" w:type="dxa"/>
              <w:bottom w:w="0" w:type="dxa"/>
              <w:right w:w="0" w:type="dxa"/>
            </w:tcMar>
            <w:vAlign w:val="center"/>
          </w:tcPr>
          <w:p w14:paraId="55323E40">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2E8CE5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370A71F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0039C23E">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7A53DBD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4DA7C58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07CFD820">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r>
              <w:rPr>
                <w:rFonts w:hint="eastAsia" w:ascii="宋体" w:hAnsi="宋体" w:eastAsia="宋体" w:cs="宋体"/>
                <w:sz w:val="18"/>
                <w:szCs w:val="18"/>
                <w:vertAlign w:val="baseline"/>
                <w:lang w:val="en-US" w:eastAsia="zh-CN"/>
              </w:rPr>
              <w:t>较重</w:t>
            </w:r>
          </w:p>
        </w:tc>
        <w:tc>
          <w:tcPr>
            <w:tcW w:w="561" w:type="pct"/>
            <w:noWrap w:val="0"/>
            <w:tcMar>
              <w:top w:w="0" w:type="dxa"/>
              <w:left w:w="0" w:type="dxa"/>
              <w:bottom w:w="0" w:type="dxa"/>
              <w:right w:w="0" w:type="dxa"/>
            </w:tcMar>
            <w:vAlign w:val="center"/>
          </w:tcPr>
          <w:p w14:paraId="2D108136">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造成多于7人少于10人死亡；或者多于30人少于50人重伤；或者多于3000万元少于5000万元直接经济损失</w:t>
            </w:r>
          </w:p>
        </w:tc>
        <w:tc>
          <w:tcPr>
            <w:tcW w:w="873" w:type="pct"/>
            <w:noWrap w:val="0"/>
            <w:tcMar>
              <w:top w:w="0" w:type="dxa"/>
              <w:left w:w="0" w:type="dxa"/>
              <w:bottom w:w="0" w:type="dxa"/>
              <w:right w:w="0" w:type="dxa"/>
            </w:tcMar>
            <w:vAlign w:val="center"/>
          </w:tcPr>
          <w:p w14:paraId="1CA2C72D">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责令停业整顿120-180日；并处30万元的罚款；涉及危大工程的，对直接负责的主管人员和其他直接责任人员处5000元的罚款</w:t>
            </w:r>
          </w:p>
        </w:tc>
        <w:tc>
          <w:tcPr>
            <w:tcW w:w="158" w:type="pct"/>
            <w:vMerge w:val="continue"/>
            <w:noWrap w:val="0"/>
            <w:tcMar>
              <w:top w:w="0" w:type="dxa"/>
              <w:left w:w="0" w:type="dxa"/>
              <w:bottom w:w="0" w:type="dxa"/>
              <w:right w:w="0" w:type="dxa"/>
            </w:tcMar>
            <w:vAlign w:val="center"/>
          </w:tcPr>
          <w:p w14:paraId="5043FEBB">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7C97E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2D86551D">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466EF511">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7B194EB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1EE8182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vMerge w:val="restart"/>
            <w:noWrap w:val="0"/>
            <w:tcMar>
              <w:top w:w="0" w:type="dxa"/>
              <w:left w:w="0" w:type="dxa"/>
              <w:bottom w:w="0" w:type="dxa"/>
              <w:right w:w="0" w:type="dxa"/>
            </w:tcMar>
            <w:vAlign w:val="center"/>
          </w:tcPr>
          <w:p w14:paraId="394CB2D8">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严重</w:t>
            </w:r>
          </w:p>
        </w:tc>
        <w:tc>
          <w:tcPr>
            <w:tcW w:w="561" w:type="pct"/>
            <w:noWrap w:val="0"/>
            <w:tcMar>
              <w:top w:w="0" w:type="dxa"/>
              <w:left w:w="0" w:type="dxa"/>
              <w:bottom w:w="0" w:type="dxa"/>
              <w:right w:w="0" w:type="dxa"/>
            </w:tcMar>
            <w:vAlign w:val="center"/>
          </w:tcPr>
          <w:p w14:paraId="06A0784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sz w:val="18"/>
                <w:szCs w:val="18"/>
                <w:vertAlign w:val="baseline"/>
                <w:lang w:val="en-US" w:eastAsia="zh-CN"/>
              </w:rPr>
              <w:t>造成重大安全事故</w:t>
            </w:r>
          </w:p>
        </w:tc>
        <w:tc>
          <w:tcPr>
            <w:tcW w:w="873" w:type="pct"/>
            <w:noWrap w:val="0"/>
            <w:tcMar>
              <w:top w:w="0" w:type="dxa"/>
              <w:left w:w="0" w:type="dxa"/>
              <w:bottom w:w="0" w:type="dxa"/>
              <w:right w:w="0" w:type="dxa"/>
            </w:tcMar>
            <w:vAlign w:val="center"/>
          </w:tcPr>
          <w:p w14:paraId="3EA428B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降低资质等级，并处30万元的罚款；涉及危大工程的，对直接负责的主管人员和其他直接责任人员处5000元的罚款</w:t>
            </w:r>
          </w:p>
        </w:tc>
        <w:tc>
          <w:tcPr>
            <w:tcW w:w="158" w:type="pct"/>
            <w:vMerge w:val="continue"/>
            <w:noWrap w:val="0"/>
            <w:tcMar>
              <w:top w:w="0" w:type="dxa"/>
              <w:left w:w="0" w:type="dxa"/>
              <w:bottom w:w="0" w:type="dxa"/>
              <w:right w:w="0" w:type="dxa"/>
            </w:tcMar>
            <w:vAlign w:val="center"/>
          </w:tcPr>
          <w:p w14:paraId="67D0254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0A54D3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33BEFE09">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442365FB">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1FDAC80C">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73A287B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vMerge w:val="continue"/>
            <w:noWrap w:val="0"/>
            <w:tcMar>
              <w:top w:w="0" w:type="dxa"/>
              <w:left w:w="0" w:type="dxa"/>
              <w:bottom w:w="0" w:type="dxa"/>
              <w:right w:w="0" w:type="dxa"/>
            </w:tcMar>
            <w:vAlign w:val="center"/>
          </w:tcPr>
          <w:p w14:paraId="643EAD1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p>
        </w:tc>
        <w:tc>
          <w:tcPr>
            <w:tcW w:w="561" w:type="pct"/>
            <w:noWrap w:val="0"/>
            <w:tcMar>
              <w:top w:w="0" w:type="dxa"/>
              <w:left w:w="0" w:type="dxa"/>
              <w:bottom w:w="0" w:type="dxa"/>
              <w:right w:w="0" w:type="dxa"/>
            </w:tcMar>
            <w:vAlign w:val="center"/>
          </w:tcPr>
          <w:p w14:paraId="7FC14D1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sz w:val="18"/>
                <w:szCs w:val="18"/>
                <w:vertAlign w:val="baseline"/>
                <w:lang w:val="en-US" w:eastAsia="zh-CN"/>
              </w:rPr>
              <w:t>造成特别重大安全事故</w:t>
            </w:r>
          </w:p>
        </w:tc>
        <w:tc>
          <w:tcPr>
            <w:tcW w:w="873" w:type="pct"/>
            <w:noWrap w:val="0"/>
            <w:tcMar>
              <w:top w:w="0" w:type="dxa"/>
              <w:left w:w="0" w:type="dxa"/>
              <w:bottom w:w="0" w:type="dxa"/>
              <w:right w:w="0" w:type="dxa"/>
            </w:tcMar>
            <w:vAlign w:val="center"/>
          </w:tcPr>
          <w:p w14:paraId="31FB24FC">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吊销资质证书，并处30万元的罚款；涉及危大工程的，对直接负责的主管人员和其他直接责任人员处5000元的罚款</w:t>
            </w:r>
          </w:p>
        </w:tc>
        <w:tc>
          <w:tcPr>
            <w:tcW w:w="158" w:type="pct"/>
            <w:vMerge w:val="continue"/>
            <w:noWrap w:val="0"/>
            <w:tcMar>
              <w:top w:w="0" w:type="dxa"/>
              <w:left w:w="0" w:type="dxa"/>
              <w:bottom w:w="0" w:type="dxa"/>
              <w:right w:w="0" w:type="dxa"/>
            </w:tcMar>
            <w:vAlign w:val="center"/>
          </w:tcPr>
          <w:p w14:paraId="4EB68F51">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3186CB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4717945C">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0A5E50D5">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1F49877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restart"/>
            <w:noWrap w:val="0"/>
            <w:tcMar>
              <w:top w:w="0" w:type="dxa"/>
              <w:left w:w="0" w:type="dxa"/>
              <w:bottom w:w="0" w:type="dxa"/>
              <w:right w:w="0" w:type="dxa"/>
            </w:tcMar>
            <w:vAlign w:val="center"/>
          </w:tcPr>
          <w:p w14:paraId="0B797C3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工程监理单位对施工单位拒不整改或者不停止施工，未及时向有关主管部门报告的</w:t>
            </w:r>
          </w:p>
        </w:tc>
        <w:tc>
          <w:tcPr>
            <w:tcW w:w="174" w:type="pct"/>
            <w:noWrap w:val="0"/>
            <w:tcMar>
              <w:top w:w="0" w:type="dxa"/>
              <w:left w:w="0" w:type="dxa"/>
              <w:bottom w:w="0" w:type="dxa"/>
              <w:right w:w="0" w:type="dxa"/>
            </w:tcMar>
            <w:vAlign w:val="center"/>
          </w:tcPr>
          <w:p w14:paraId="59BA262A">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轻微</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4A29CA9A">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4818558F">
            <w:pPr>
              <w:spacing w:line="260" w:lineRule="exact"/>
              <w:rPr>
                <w:rFonts w:hint="eastAsia" w:ascii="宋体" w:hAnsi="宋体" w:eastAsia="宋体" w:cs="宋体"/>
                <w:color w:val="000000"/>
                <w:sz w:val="18"/>
                <w:szCs w:val="18"/>
                <w:vertAlign w:val="baseline"/>
                <w:lang w:val="en-US" w:eastAsia="zh-CN"/>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5D839D27">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2B2DBEB4">
            <w:pPr>
              <w:spacing w:line="260" w:lineRule="exact"/>
              <w:rPr>
                <w:rFonts w:hint="eastAsia" w:ascii="宋体" w:hAnsi="宋体" w:eastAsia="宋体" w:cs="宋体"/>
                <w:color w:val="000000"/>
                <w:kern w:val="2"/>
                <w:sz w:val="18"/>
                <w:szCs w:val="18"/>
                <w:vertAlign w:val="baseline"/>
                <w:lang w:val="en-US" w:eastAsia="zh-CN" w:bidi="ar-SA"/>
              </w:rPr>
            </w:pPr>
          </w:p>
        </w:tc>
        <w:tc>
          <w:tcPr>
            <w:tcW w:w="158" w:type="pct"/>
            <w:vMerge w:val="restart"/>
            <w:noWrap w:val="0"/>
            <w:tcMar>
              <w:top w:w="0" w:type="dxa"/>
              <w:left w:w="0" w:type="dxa"/>
              <w:bottom w:w="0" w:type="dxa"/>
              <w:right w:w="0" w:type="dxa"/>
            </w:tcMar>
            <w:vAlign w:val="center"/>
          </w:tcPr>
          <w:p w14:paraId="0E53882A">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5F4282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89" w:hRule="atLeast"/>
          <w:jc w:val="center"/>
        </w:trPr>
        <w:tc>
          <w:tcPr>
            <w:tcW w:w="156" w:type="pct"/>
            <w:vMerge w:val="continue"/>
            <w:noWrap w:val="0"/>
            <w:tcMar>
              <w:top w:w="0" w:type="dxa"/>
              <w:left w:w="0" w:type="dxa"/>
              <w:bottom w:w="0" w:type="dxa"/>
              <w:right w:w="0" w:type="dxa"/>
            </w:tcMar>
            <w:vAlign w:val="center"/>
          </w:tcPr>
          <w:p w14:paraId="665C17F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4C7F3FC0">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32997A9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541FC73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49532FBB">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较轻</w:t>
            </w:r>
          </w:p>
        </w:tc>
        <w:tc>
          <w:tcPr>
            <w:tcW w:w="561" w:type="pct"/>
            <w:noWrap w:val="0"/>
            <w:tcMar>
              <w:top w:w="0" w:type="dxa"/>
              <w:left w:w="0" w:type="dxa"/>
              <w:bottom w:w="0" w:type="dxa"/>
              <w:right w:w="0" w:type="dxa"/>
            </w:tcMar>
            <w:vAlign w:val="center"/>
          </w:tcPr>
          <w:p w14:paraId="2334986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不涉及危大工程的</w:t>
            </w:r>
          </w:p>
        </w:tc>
        <w:tc>
          <w:tcPr>
            <w:tcW w:w="873" w:type="pct"/>
            <w:noWrap w:val="0"/>
            <w:tcMar>
              <w:top w:w="0" w:type="dxa"/>
              <w:left w:w="0" w:type="dxa"/>
              <w:bottom w:w="0" w:type="dxa"/>
              <w:right w:w="0" w:type="dxa"/>
            </w:tcMar>
            <w:vAlign w:val="center"/>
          </w:tcPr>
          <w:p w14:paraId="263832B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责令停业整顿，直至改正违法行为；并处10万元以上20万元以下的罚款</w:t>
            </w:r>
          </w:p>
        </w:tc>
        <w:tc>
          <w:tcPr>
            <w:tcW w:w="158" w:type="pct"/>
            <w:vMerge w:val="continue"/>
            <w:noWrap w:val="0"/>
            <w:tcMar>
              <w:top w:w="0" w:type="dxa"/>
              <w:left w:w="0" w:type="dxa"/>
              <w:bottom w:w="0" w:type="dxa"/>
              <w:right w:w="0" w:type="dxa"/>
            </w:tcMar>
            <w:vAlign w:val="center"/>
          </w:tcPr>
          <w:p w14:paraId="5FF4D091">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2E9915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481" w:hRule="atLeast"/>
          <w:jc w:val="center"/>
        </w:trPr>
        <w:tc>
          <w:tcPr>
            <w:tcW w:w="156" w:type="pct"/>
            <w:vMerge w:val="continue"/>
            <w:noWrap w:val="0"/>
            <w:tcMar>
              <w:top w:w="0" w:type="dxa"/>
              <w:left w:w="0" w:type="dxa"/>
              <w:bottom w:w="0" w:type="dxa"/>
              <w:right w:w="0" w:type="dxa"/>
            </w:tcMar>
            <w:vAlign w:val="center"/>
          </w:tcPr>
          <w:p w14:paraId="2026EFC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076847F0">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16757A5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65A6BDA7">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336AFB0C">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一般</w:t>
            </w:r>
          </w:p>
        </w:tc>
        <w:tc>
          <w:tcPr>
            <w:tcW w:w="561" w:type="pct"/>
            <w:noWrap w:val="0"/>
            <w:tcMar>
              <w:top w:w="0" w:type="dxa"/>
              <w:left w:w="0" w:type="dxa"/>
              <w:bottom w:w="0" w:type="dxa"/>
              <w:right w:w="0" w:type="dxa"/>
            </w:tcMar>
            <w:vAlign w:val="center"/>
          </w:tcPr>
          <w:p w14:paraId="13445A0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涉及危大工程的</w:t>
            </w:r>
          </w:p>
        </w:tc>
        <w:tc>
          <w:tcPr>
            <w:tcW w:w="873" w:type="pct"/>
            <w:noWrap w:val="0"/>
            <w:tcMar>
              <w:top w:w="0" w:type="dxa"/>
              <w:left w:w="0" w:type="dxa"/>
              <w:bottom w:w="0" w:type="dxa"/>
              <w:right w:w="0" w:type="dxa"/>
            </w:tcMar>
            <w:vAlign w:val="center"/>
          </w:tcPr>
          <w:p w14:paraId="63ADAF3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责令停业整顿，直至改正违法行为；并处20万元以上30万元以下的罚款；对直接负责的主管人员和其他直接责任人员处1000元以上5000元以下的罚款</w:t>
            </w:r>
          </w:p>
        </w:tc>
        <w:tc>
          <w:tcPr>
            <w:tcW w:w="158" w:type="pct"/>
            <w:vMerge w:val="continue"/>
            <w:noWrap w:val="0"/>
            <w:tcMar>
              <w:top w:w="0" w:type="dxa"/>
              <w:left w:w="0" w:type="dxa"/>
              <w:bottom w:w="0" w:type="dxa"/>
              <w:right w:w="0" w:type="dxa"/>
            </w:tcMar>
            <w:vAlign w:val="center"/>
          </w:tcPr>
          <w:p w14:paraId="68B5F16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437EBD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800" w:hRule="atLeast"/>
          <w:jc w:val="center"/>
        </w:trPr>
        <w:tc>
          <w:tcPr>
            <w:tcW w:w="156" w:type="pct"/>
            <w:vMerge w:val="continue"/>
            <w:noWrap w:val="0"/>
            <w:tcMar>
              <w:top w:w="0" w:type="dxa"/>
              <w:left w:w="0" w:type="dxa"/>
              <w:bottom w:w="0" w:type="dxa"/>
              <w:right w:w="0" w:type="dxa"/>
            </w:tcMar>
            <w:vAlign w:val="center"/>
          </w:tcPr>
          <w:p w14:paraId="0C781B49">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1EDF3912">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4C64889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2FD230E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2AE2E8E5">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较重</w:t>
            </w:r>
          </w:p>
        </w:tc>
        <w:tc>
          <w:tcPr>
            <w:tcW w:w="561" w:type="pct"/>
            <w:noWrap w:val="0"/>
            <w:tcMar>
              <w:top w:w="0" w:type="dxa"/>
              <w:left w:w="0" w:type="dxa"/>
              <w:bottom w:w="0" w:type="dxa"/>
              <w:right w:w="0" w:type="dxa"/>
            </w:tcMar>
            <w:vAlign w:val="center"/>
          </w:tcPr>
          <w:p w14:paraId="3AB137C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造成多于3人少于5人死亡；或者多于10人少于20 人重伤；或者多于1000万元少于2000万元直接经济损失</w:t>
            </w:r>
          </w:p>
        </w:tc>
        <w:tc>
          <w:tcPr>
            <w:tcW w:w="873" w:type="pct"/>
            <w:noWrap w:val="0"/>
            <w:tcMar>
              <w:top w:w="0" w:type="dxa"/>
              <w:left w:w="0" w:type="dxa"/>
              <w:bottom w:w="0" w:type="dxa"/>
              <w:right w:w="0" w:type="dxa"/>
            </w:tcMar>
            <w:vAlign w:val="center"/>
          </w:tcPr>
          <w:p w14:paraId="7DEC95FC">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责令停业整顿60-90日；并处30万元的罚款；涉及危大工程的，对直接负责的主管人员和其他直接责任人员处5000元的罚款</w:t>
            </w:r>
          </w:p>
        </w:tc>
        <w:tc>
          <w:tcPr>
            <w:tcW w:w="158" w:type="pct"/>
            <w:vMerge w:val="continue"/>
            <w:noWrap w:val="0"/>
            <w:tcMar>
              <w:top w:w="0" w:type="dxa"/>
              <w:left w:w="0" w:type="dxa"/>
              <w:bottom w:w="0" w:type="dxa"/>
              <w:right w:w="0" w:type="dxa"/>
            </w:tcMar>
            <w:vAlign w:val="center"/>
          </w:tcPr>
          <w:p w14:paraId="7F2B7449">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59F200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37B6ABB5">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151DA898">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0CC16E4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0341883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vMerge w:val="restart"/>
            <w:noWrap w:val="0"/>
            <w:tcMar>
              <w:top w:w="0" w:type="dxa"/>
              <w:left w:w="0" w:type="dxa"/>
              <w:bottom w:w="0" w:type="dxa"/>
              <w:right w:w="0" w:type="dxa"/>
            </w:tcMar>
            <w:vAlign w:val="center"/>
          </w:tcPr>
          <w:p w14:paraId="60B99A0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r>
              <w:rPr>
                <w:rFonts w:hint="eastAsia" w:ascii="宋体" w:hAnsi="宋体" w:eastAsia="宋体" w:cs="宋体"/>
                <w:sz w:val="18"/>
                <w:szCs w:val="18"/>
                <w:vertAlign w:val="baseline"/>
                <w:lang w:val="en-US" w:eastAsia="zh-CN"/>
              </w:rPr>
              <w:t>较重</w:t>
            </w:r>
          </w:p>
        </w:tc>
        <w:tc>
          <w:tcPr>
            <w:tcW w:w="561" w:type="pct"/>
            <w:noWrap w:val="0"/>
            <w:tcMar>
              <w:top w:w="0" w:type="dxa"/>
              <w:left w:w="0" w:type="dxa"/>
              <w:bottom w:w="0" w:type="dxa"/>
              <w:right w:w="0" w:type="dxa"/>
            </w:tcMar>
            <w:vAlign w:val="center"/>
          </w:tcPr>
          <w:p w14:paraId="520BA3E5">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造成多于5人少于7人死亡；或者多于20人少于30 人重伤；或者多于2000万元少于3000万元直接经济损失</w:t>
            </w:r>
          </w:p>
        </w:tc>
        <w:tc>
          <w:tcPr>
            <w:tcW w:w="873" w:type="pct"/>
            <w:noWrap w:val="0"/>
            <w:tcMar>
              <w:top w:w="0" w:type="dxa"/>
              <w:left w:w="0" w:type="dxa"/>
              <w:bottom w:w="0" w:type="dxa"/>
              <w:right w:w="0" w:type="dxa"/>
            </w:tcMar>
            <w:vAlign w:val="center"/>
          </w:tcPr>
          <w:p w14:paraId="48846216">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责令停业整顿90-120日；并处30万元的罚款；涉及危大工程的，对直接负责的主管人员和其他直接责任人员处5000元的罚款</w:t>
            </w:r>
          </w:p>
        </w:tc>
        <w:tc>
          <w:tcPr>
            <w:tcW w:w="158" w:type="pct"/>
            <w:vMerge w:val="continue"/>
            <w:noWrap w:val="0"/>
            <w:tcMar>
              <w:top w:w="0" w:type="dxa"/>
              <w:left w:w="0" w:type="dxa"/>
              <w:bottom w:w="0" w:type="dxa"/>
              <w:right w:w="0" w:type="dxa"/>
            </w:tcMar>
            <w:vAlign w:val="center"/>
          </w:tcPr>
          <w:p w14:paraId="63A5DD2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112017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339946B0">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67DA3C22">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2E1A638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567930B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vMerge w:val="continue"/>
            <w:noWrap w:val="0"/>
            <w:tcMar>
              <w:top w:w="0" w:type="dxa"/>
              <w:left w:w="0" w:type="dxa"/>
              <w:bottom w:w="0" w:type="dxa"/>
              <w:right w:w="0" w:type="dxa"/>
            </w:tcMar>
            <w:vAlign w:val="center"/>
          </w:tcPr>
          <w:p w14:paraId="3A3E1CE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p>
        </w:tc>
        <w:tc>
          <w:tcPr>
            <w:tcW w:w="561" w:type="pct"/>
            <w:noWrap w:val="0"/>
            <w:tcMar>
              <w:top w:w="0" w:type="dxa"/>
              <w:left w:w="0" w:type="dxa"/>
              <w:bottom w:w="0" w:type="dxa"/>
              <w:right w:w="0" w:type="dxa"/>
            </w:tcMar>
            <w:vAlign w:val="center"/>
          </w:tcPr>
          <w:p w14:paraId="204661CA">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造成多于7人少于10人死亡；或者多于30人少于50 人重伤；或者多于3000万元少于5000万元直接经济损失</w:t>
            </w:r>
          </w:p>
        </w:tc>
        <w:tc>
          <w:tcPr>
            <w:tcW w:w="873" w:type="pct"/>
            <w:noWrap w:val="0"/>
            <w:tcMar>
              <w:top w:w="0" w:type="dxa"/>
              <w:left w:w="0" w:type="dxa"/>
              <w:bottom w:w="0" w:type="dxa"/>
              <w:right w:w="0" w:type="dxa"/>
            </w:tcMar>
            <w:vAlign w:val="center"/>
          </w:tcPr>
          <w:p w14:paraId="7C0764E0">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责令停业整顿120-180日；并处30万元的罚款；涉及危大工程的，对直接负责的主管人员和其他直接责任人员处5000元的罚款</w:t>
            </w:r>
          </w:p>
        </w:tc>
        <w:tc>
          <w:tcPr>
            <w:tcW w:w="158" w:type="pct"/>
            <w:vMerge w:val="continue"/>
            <w:noWrap w:val="0"/>
            <w:tcMar>
              <w:top w:w="0" w:type="dxa"/>
              <w:left w:w="0" w:type="dxa"/>
              <w:bottom w:w="0" w:type="dxa"/>
              <w:right w:w="0" w:type="dxa"/>
            </w:tcMar>
            <w:vAlign w:val="center"/>
          </w:tcPr>
          <w:p w14:paraId="1BE86BEC">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1DDE66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537A7D5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38C66319">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46B1985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5F3FB6E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vMerge w:val="restart"/>
            <w:noWrap w:val="0"/>
            <w:tcMar>
              <w:top w:w="0" w:type="dxa"/>
              <w:left w:w="0" w:type="dxa"/>
              <w:bottom w:w="0" w:type="dxa"/>
              <w:right w:w="0" w:type="dxa"/>
            </w:tcMar>
            <w:vAlign w:val="center"/>
          </w:tcPr>
          <w:p w14:paraId="45902F3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r>
              <w:rPr>
                <w:rFonts w:hint="eastAsia" w:ascii="宋体" w:hAnsi="宋体" w:eastAsia="宋体" w:cs="宋体"/>
                <w:sz w:val="18"/>
                <w:szCs w:val="18"/>
                <w:vertAlign w:val="baseline"/>
                <w:lang w:val="en-US" w:eastAsia="zh-CN"/>
              </w:rPr>
              <w:t>严重</w:t>
            </w:r>
          </w:p>
        </w:tc>
        <w:tc>
          <w:tcPr>
            <w:tcW w:w="561" w:type="pct"/>
            <w:noWrap w:val="0"/>
            <w:tcMar>
              <w:top w:w="0" w:type="dxa"/>
              <w:left w:w="0" w:type="dxa"/>
              <w:bottom w:w="0" w:type="dxa"/>
              <w:right w:w="0" w:type="dxa"/>
            </w:tcMar>
            <w:vAlign w:val="center"/>
          </w:tcPr>
          <w:p w14:paraId="11FFA3D0">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造成重大安全事故</w:t>
            </w:r>
          </w:p>
        </w:tc>
        <w:tc>
          <w:tcPr>
            <w:tcW w:w="873" w:type="pct"/>
            <w:noWrap w:val="0"/>
            <w:tcMar>
              <w:top w:w="0" w:type="dxa"/>
              <w:left w:w="0" w:type="dxa"/>
              <w:bottom w:w="0" w:type="dxa"/>
              <w:right w:w="0" w:type="dxa"/>
            </w:tcMar>
            <w:vAlign w:val="center"/>
          </w:tcPr>
          <w:p w14:paraId="167AE412">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降低资质等级，并处30万元的罚款；涉及危大工程的，对直接负责的主管</w:t>
            </w:r>
          </w:p>
          <w:p w14:paraId="17236E31">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人员和其他直接责任人员处5000元的罚款</w:t>
            </w:r>
          </w:p>
        </w:tc>
        <w:tc>
          <w:tcPr>
            <w:tcW w:w="158" w:type="pct"/>
            <w:vMerge w:val="continue"/>
            <w:noWrap w:val="0"/>
            <w:tcMar>
              <w:top w:w="0" w:type="dxa"/>
              <w:left w:w="0" w:type="dxa"/>
              <w:bottom w:w="0" w:type="dxa"/>
              <w:right w:w="0" w:type="dxa"/>
            </w:tcMar>
            <w:vAlign w:val="center"/>
          </w:tcPr>
          <w:p w14:paraId="040F2998">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5DCA46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30407AD0">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2FF99778">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53E4658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7FFF701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vMerge w:val="continue"/>
            <w:noWrap w:val="0"/>
            <w:tcMar>
              <w:top w:w="0" w:type="dxa"/>
              <w:left w:w="0" w:type="dxa"/>
              <w:bottom w:w="0" w:type="dxa"/>
              <w:right w:w="0" w:type="dxa"/>
            </w:tcMar>
            <w:vAlign w:val="center"/>
          </w:tcPr>
          <w:p w14:paraId="363A308D">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p>
        </w:tc>
        <w:tc>
          <w:tcPr>
            <w:tcW w:w="561" w:type="pct"/>
            <w:noWrap w:val="0"/>
            <w:tcMar>
              <w:top w:w="0" w:type="dxa"/>
              <w:left w:w="0" w:type="dxa"/>
              <w:bottom w:w="0" w:type="dxa"/>
              <w:right w:w="0" w:type="dxa"/>
            </w:tcMar>
            <w:vAlign w:val="center"/>
          </w:tcPr>
          <w:p w14:paraId="41F33F7C">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造成特别重大安全事故</w:t>
            </w:r>
          </w:p>
        </w:tc>
        <w:tc>
          <w:tcPr>
            <w:tcW w:w="873" w:type="pct"/>
            <w:noWrap w:val="0"/>
            <w:tcMar>
              <w:top w:w="0" w:type="dxa"/>
              <w:left w:w="0" w:type="dxa"/>
              <w:bottom w:w="0" w:type="dxa"/>
              <w:right w:w="0" w:type="dxa"/>
            </w:tcMar>
            <w:vAlign w:val="center"/>
          </w:tcPr>
          <w:p w14:paraId="5C858DAE">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吊销资质证书，并处30万元的罚款；涉及危大工程的，对直接负责的主管人员和其他直接责任人员处5000元的罚款</w:t>
            </w:r>
          </w:p>
        </w:tc>
        <w:tc>
          <w:tcPr>
            <w:tcW w:w="158" w:type="pct"/>
            <w:vMerge w:val="continue"/>
            <w:noWrap w:val="0"/>
            <w:tcMar>
              <w:top w:w="0" w:type="dxa"/>
              <w:left w:w="0" w:type="dxa"/>
              <w:bottom w:w="0" w:type="dxa"/>
              <w:right w:w="0" w:type="dxa"/>
            </w:tcMar>
            <w:vAlign w:val="center"/>
          </w:tcPr>
          <w:p w14:paraId="36BD9479">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4D5957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5C81227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1BBE0C72">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18B869E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restart"/>
            <w:noWrap w:val="0"/>
            <w:tcMar>
              <w:top w:w="0" w:type="dxa"/>
              <w:left w:w="0" w:type="dxa"/>
              <w:bottom w:w="0" w:type="dxa"/>
              <w:right w:w="0" w:type="dxa"/>
            </w:tcMar>
            <w:vAlign w:val="center"/>
          </w:tcPr>
          <w:p w14:paraId="6841F6F7">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工程监理单位未依照法律、法规和工程建设强制性标准实施监理的</w:t>
            </w:r>
          </w:p>
        </w:tc>
        <w:tc>
          <w:tcPr>
            <w:tcW w:w="174" w:type="pct"/>
            <w:noWrap w:val="0"/>
            <w:tcMar>
              <w:top w:w="0" w:type="dxa"/>
              <w:left w:w="0" w:type="dxa"/>
              <w:bottom w:w="0" w:type="dxa"/>
              <w:right w:w="0" w:type="dxa"/>
            </w:tcMar>
            <w:vAlign w:val="center"/>
          </w:tcPr>
          <w:p w14:paraId="6C3BFCFC">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轻微</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50DE3E71">
            <w:pPr>
              <w:snapToGrid/>
              <w:spacing w:line="24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32EE5A4F">
            <w:pPr>
              <w:spacing w:line="240" w:lineRule="exact"/>
              <w:rPr>
                <w:rFonts w:hint="eastAsia" w:ascii="宋体" w:hAnsi="宋体" w:eastAsia="宋体" w:cs="宋体"/>
                <w:color w:val="000000"/>
                <w:sz w:val="18"/>
                <w:szCs w:val="18"/>
                <w:vertAlign w:val="baseline"/>
                <w:lang w:val="en-US" w:eastAsia="zh-CN"/>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66435CD9">
            <w:pPr>
              <w:snapToGrid/>
              <w:spacing w:line="24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17D46AA7">
            <w:pPr>
              <w:spacing w:line="240" w:lineRule="exact"/>
              <w:rPr>
                <w:rFonts w:hint="eastAsia" w:ascii="宋体" w:hAnsi="宋体" w:eastAsia="宋体" w:cs="宋体"/>
                <w:color w:val="000000"/>
                <w:kern w:val="2"/>
                <w:sz w:val="18"/>
                <w:szCs w:val="18"/>
                <w:vertAlign w:val="baseline"/>
                <w:lang w:val="en-US" w:eastAsia="zh-CN" w:bidi="ar-SA"/>
              </w:rPr>
            </w:pPr>
          </w:p>
        </w:tc>
        <w:tc>
          <w:tcPr>
            <w:tcW w:w="158" w:type="pct"/>
            <w:vMerge w:val="restart"/>
            <w:noWrap w:val="0"/>
            <w:tcMar>
              <w:top w:w="0" w:type="dxa"/>
              <w:left w:w="0" w:type="dxa"/>
              <w:bottom w:w="0" w:type="dxa"/>
              <w:right w:w="0" w:type="dxa"/>
            </w:tcMar>
            <w:vAlign w:val="center"/>
          </w:tcPr>
          <w:p w14:paraId="0DEB33DA">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222332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2CF471B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3007C613">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2DC5C98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49B2DAB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03F82DF0">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较轻</w:t>
            </w:r>
          </w:p>
        </w:tc>
        <w:tc>
          <w:tcPr>
            <w:tcW w:w="561" w:type="pct"/>
            <w:noWrap w:val="0"/>
            <w:tcMar>
              <w:top w:w="0" w:type="dxa"/>
              <w:left w:w="0" w:type="dxa"/>
              <w:bottom w:w="0" w:type="dxa"/>
              <w:right w:w="0" w:type="dxa"/>
            </w:tcMar>
            <w:vAlign w:val="center"/>
          </w:tcPr>
          <w:p w14:paraId="08B0BDF8">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sz w:val="18"/>
                <w:szCs w:val="18"/>
                <w:vertAlign w:val="baseline"/>
                <w:lang w:val="en-US" w:eastAsia="zh-CN"/>
              </w:rPr>
              <w:t>不涉及危大工程的</w:t>
            </w:r>
          </w:p>
        </w:tc>
        <w:tc>
          <w:tcPr>
            <w:tcW w:w="873" w:type="pct"/>
            <w:noWrap w:val="0"/>
            <w:tcMar>
              <w:top w:w="0" w:type="dxa"/>
              <w:left w:w="0" w:type="dxa"/>
              <w:bottom w:w="0" w:type="dxa"/>
              <w:right w:w="0" w:type="dxa"/>
            </w:tcMar>
            <w:vAlign w:val="center"/>
          </w:tcPr>
          <w:p w14:paraId="45AC8A20">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责令停业整顿，直至改正违法行为；并处10万元以上20万元以下的罚款</w:t>
            </w:r>
          </w:p>
        </w:tc>
        <w:tc>
          <w:tcPr>
            <w:tcW w:w="158" w:type="pct"/>
            <w:vMerge w:val="continue"/>
            <w:noWrap w:val="0"/>
            <w:tcMar>
              <w:top w:w="0" w:type="dxa"/>
              <w:left w:w="0" w:type="dxa"/>
              <w:bottom w:w="0" w:type="dxa"/>
              <w:right w:w="0" w:type="dxa"/>
            </w:tcMar>
            <w:vAlign w:val="center"/>
          </w:tcPr>
          <w:p w14:paraId="46AC6581">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6C8F71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1750FB0A">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423FD94F">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66D0898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52B509B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5B76CE6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一般</w:t>
            </w:r>
          </w:p>
        </w:tc>
        <w:tc>
          <w:tcPr>
            <w:tcW w:w="561" w:type="pct"/>
            <w:noWrap w:val="0"/>
            <w:tcMar>
              <w:top w:w="0" w:type="dxa"/>
              <w:left w:w="0" w:type="dxa"/>
              <w:bottom w:w="0" w:type="dxa"/>
              <w:right w:w="0" w:type="dxa"/>
            </w:tcMar>
            <w:vAlign w:val="center"/>
          </w:tcPr>
          <w:p w14:paraId="184332FB">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sz w:val="18"/>
                <w:szCs w:val="18"/>
                <w:vertAlign w:val="baseline"/>
                <w:lang w:val="en-US" w:eastAsia="zh-CN"/>
              </w:rPr>
              <w:t>涉及危大工程的</w:t>
            </w:r>
          </w:p>
        </w:tc>
        <w:tc>
          <w:tcPr>
            <w:tcW w:w="873" w:type="pct"/>
            <w:noWrap w:val="0"/>
            <w:tcMar>
              <w:top w:w="0" w:type="dxa"/>
              <w:left w:w="0" w:type="dxa"/>
              <w:bottom w:w="0" w:type="dxa"/>
              <w:right w:w="0" w:type="dxa"/>
            </w:tcMar>
            <w:vAlign w:val="center"/>
          </w:tcPr>
          <w:p w14:paraId="63A5531E">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责令停业整顿，直至改正违法行为；并处20万元以上30万元以下的罚款</w:t>
            </w:r>
          </w:p>
        </w:tc>
        <w:tc>
          <w:tcPr>
            <w:tcW w:w="158" w:type="pct"/>
            <w:vMerge w:val="continue"/>
            <w:noWrap w:val="0"/>
            <w:tcMar>
              <w:top w:w="0" w:type="dxa"/>
              <w:left w:w="0" w:type="dxa"/>
              <w:bottom w:w="0" w:type="dxa"/>
              <w:right w:w="0" w:type="dxa"/>
            </w:tcMar>
            <w:vAlign w:val="center"/>
          </w:tcPr>
          <w:p w14:paraId="1D7F3838">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4F3F7F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740C981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13A836D7">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54C2B50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33ED37B7">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2640FA35">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较重</w:t>
            </w:r>
          </w:p>
        </w:tc>
        <w:tc>
          <w:tcPr>
            <w:tcW w:w="561" w:type="pct"/>
            <w:noWrap w:val="0"/>
            <w:tcMar>
              <w:top w:w="0" w:type="dxa"/>
              <w:left w:w="0" w:type="dxa"/>
              <w:bottom w:w="0" w:type="dxa"/>
              <w:right w:w="0" w:type="dxa"/>
            </w:tcMar>
            <w:vAlign w:val="center"/>
          </w:tcPr>
          <w:p w14:paraId="020457F2">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sz w:val="18"/>
                <w:szCs w:val="18"/>
                <w:vertAlign w:val="baseline"/>
                <w:lang w:val="en-US" w:eastAsia="zh-CN"/>
              </w:rPr>
              <w:t>造成多于3人少于5人死亡；或者多于10人少于20 人重伤；或者多于1000万元少于2000万元直接经济损失</w:t>
            </w:r>
          </w:p>
        </w:tc>
        <w:tc>
          <w:tcPr>
            <w:tcW w:w="873" w:type="pct"/>
            <w:noWrap w:val="0"/>
            <w:tcMar>
              <w:top w:w="0" w:type="dxa"/>
              <w:left w:w="0" w:type="dxa"/>
              <w:bottom w:w="0" w:type="dxa"/>
              <w:right w:w="0" w:type="dxa"/>
            </w:tcMar>
            <w:vAlign w:val="center"/>
          </w:tcPr>
          <w:p w14:paraId="21838F1C">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责令停业整顿60-90日；并处30万元的罚款</w:t>
            </w:r>
          </w:p>
        </w:tc>
        <w:tc>
          <w:tcPr>
            <w:tcW w:w="158" w:type="pct"/>
            <w:vMerge w:val="continue"/>
            <w:noWrap w:val="0"/>
            <w:tcMar>
              <w:top w:w="0" w:type="dxa"/>
              <w:left w:w="0" w:type="dxa"/>
              <w:bottom w:w="0" w:type="dxa"/>
              <w:right w:w="0" w:type="dxa"/>
            </w:tcMar>
            <w:vAlign w:val="center"/>
          </w:tcPr>
          <w:p w14:paraId="02B8601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42D3C0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2938040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2E43062F">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037BF9E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6090D2C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vMerge w:val="restart"/>
            <w:noWrap w:val="0"/>
            <w:tcMar>
              <w:top w:w="0" w:type="dxa"/>
              <w:left w:w="0" w:type="dxa"/>
              <w:bottom w:w="0" w:type="dxa"/>
              <w:right w:w="0" w:type="dxa"/>
            </w:tcMar>
            <w:vAlign w:val="center"/>
          </w:tcPr>
          <w:p w14:paraId="47F2AE4B">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r>
              <w:rPr>
                <w:rFonts w:hint="eastAsia" w:ascii="宋体" w:hAnsi="宋体" w:eastAsia="宋体" w:cs="宋体"/>
                <w:sz w:val="18"/>
                <w:szCs w:val="18"/>
                <w:vertAlign w:val="baseline"/>
                <w:lang w:val="en-US" w:eastAsia="zh-CN"/>
              </w:rPr>
              <w:t>较重</w:t>
            </w:r>
          </w:p>
        </w:tc>
        <w:tc>
          <w:tcPr>
            <w:tcW w:w="561" w:type="pct"/>
            <w:noWrap w:val="0"/>
            <w:tcMar>
              <w:top w:w="0" w:type="dxa"/>
              <w:left w:w="0" w:type="dxa"/>
              <w:bottom w:w="0" w:type="dxa"/>
              <w:right w:w="0" w:type="dxa"/>
            </w:tcMar>
            <w:vAlign w:val="center"/>
          </w:tcPr>
          <w:p w14:paraId="52313EC7">
            <w:pPr>
              <w:keepNext w:val="0"/>
              <w:keepLines w:val="0"/>
              <w:pageBreakBefore w:val="0"/>
              <w:widowControl w:val="0"/>
              <w:kinsoku/>
              <w:wordWrap/>
              <w:overflowPunct/>
              <w:topLinePunct w:val="0"/>
              <w:autoSpaceDE/>
              <w:autoSpaceDN/>
              <w:bidi w:val="0"/>
              <w:adjustRightInd/>
              <w:snapToGrid/>
              <w:spacing w:line="30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sz w:val="18"/>
                <w:szCs w:val="18"/>
                <w:vertAlign w:val="baseline"/>
                <w:lang w:val="en-US" w:eastAsia="zh-CN"/>
              </w:rPr>
              <w:t>造成多于5人少于7人死亡；或者多于20人少于30人重伤；或者多于2000万元少于3000万元直接经济损失</w:t>
            </w:r>
          </w:p>
        </w:tc>
        <w:tc>
          <w:tcPr>
            <w:tcW w:w="873" w:type="pct"/>
            <w:noWrap w:val="0"/>
            <w:tcMar>
              <w:top w:w="0" w:type="dxa"/>
              <w:left w:w="0" w:type="dxa"/>
              <w:bottom w:w="0" w:type="dxa"/>
              <w:right w:w="0" w:type="dxa"/>
            </w:tcMar>
            <w:vAlign w:val="center"/>
          </w:tcPr>
          <w:p w14:paraId="398B170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责令停业整顿90-120日；并处30万元的罚款</w:t>
            </w:r>
          </w:p>
        </w:tc>
        <w:tc>
          <w:tcPr>
            <w:tcW w:w="158" w:type="pct"/>
            <w:vMerge w:val="continue"/>
            <w:noWrap w:val="0"/>
            <w:tcMar>
              <w:top w:w="0" w:type="dxa"/>
              <w:left w:w="0" w:type="dxa"/>
              <w:bottom w:w="0" w:type="dxa"/>
              <w:right w:w="0" w:type="dxa"/>
            </w:tcMar>
            <w:vAlign w:val="center"/>
          </w:tcPr>
          <w:p w14:paraId="3C619AB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1D12D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78B6C969">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756F01F2">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5A3F962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0E5D952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vMerge w:val="continue"/>
            <w:noWrap w:val="0"/>
            <w:tcMar>
              <w:top w:w="0" w:type="dxa"/>
              <w:left w:w="0" w:type="dxa"/>
              <w:bottom w:w="0" w:type="dxa"/>
              <w:right w:w="0" w:type="dxa"/>
            </w:tcMar>
            <w:vAlign w:val="center"/>
          </w:tcPr>
          <w:p w14:paraId="409B4CD8">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p>
        </w:tc>
        <w:tc>
          <w:tcPr>
            <w:tcW w:w="561" w:type="pct"/>
            <w:noWrap w:val="0"/>
            <w:tcMar>
              <w:top w:w="0" w:type="dxa"/>
              <w:left w:w="0" w:type="dxa"/>
              <w:bottom w:w="0" w:type="dxa"/>
              <w:right w:w="0" w:type="dxa"/>
            </w:tcMar>
            <w:vAlign w:val="center"/>
          </w:tcPr>
          <w:p w14:paraId="3A2FCEFF">
            <w:pPr>
              <w:keepNext w:val="0"/>
              <w:keepLines w:val="0"/>
              <w:pageBreakBefore w:val="0"/>
              <w:widowControl w:val="0"/>
              <w:kinsoku/>
              <w:wordWrap/>
              <w:overflowPunct/>
              <w:topLinePunct w:val="0"/>
              <w:autoSpaceDE/>
              <w:autoSpaceDN/>
              <w:bidi w:val="0"/>
              <w:adjustRightInd/>
              <w:snapToGrid/>
              <w:spacing w:line="30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sz w:val="18"/>
                <w:szCs w:val="18"/>
                <w:vertAlign w:val="baseline"/>
                <w:lang w:val="en-US" w:eastAsia="zh-CN"/>
              </w:rPr>
              <w:t>造成多于7人少于10人死亡；或者多于30人少于50 人重伤；或者多于3000万元少于5000万元直接经济损失</w:t>
            </w:r>
          </w:p>
        </w:tc>
        <w:tc>
          <w:tcPr>
            <w:tcW w:w="873" w:type="pct"/>
            <w:noWrap w:val="0"/>
            <w:tcMar>
              <w:top w:w="0" w:type="dxa"/>
              <w:left w:w="0" w:type="dxa"/>
              <w:bottom w:w="0" w:type="dxa"/>
              <w:right w:w="0" w:type="dxa"/>
            </w:tcMar>
            <w:vAlign w:val="center"/>
          </w:tcPr>
          <w:p w14:paraId="3A857E9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责令停业整顿120-180日；并处30万元的罚款</w:t>
            </w:r>
          </w:p>
        </w:tc>
        <w:tc>
          <w:tcPr>
            <w:tcW w:w="158" w:type="pct"/>
            <w:vMerge w:val="continue"/>
            <w:noWrap w:val="0"/>
            <w:tcMar>
              <w:top w:w="0" w:type="dxa"/>
              <w:left w:w="0" w:type="dxa"/>
              <w:bottom w:w="0" w:type="dxa"/>
              <w:right w:w="0" w:type="dxa"/>
            </w:tcMar>
            <w:vAlign w:val="center"/>
          </w:tcPr>
          <w:p w14:paraId="3150A241">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1D5453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4CBDF0C0">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1FDBAAD7">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3CA4826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1E81411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vMerge w:val="restart"/>
            <w:noWrap w:val="0"/>
            <w:tcMar>
              <w:top w:w="0" w:type="dxa"/>
              <w:left w:w="0" w:type="dxa"/>
              <w:bottom w:w="0" w:type="dxa"/>
              <w:right w:w="0" w:type="dxa"/>
            </w:tcMar>
            <w:vAlign w:val="center"/>
          </w:tcPr>
          <w:p w14:paraId="18FDD711">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严重</w:t>
            </w:r>
          </w:p>
        </w:tc>
        <w:tc>
          <w:tcPr>
            <w:tcW w:w="561" w:type="pct"/>
            <w:noWrap w:val="0"/>
            <w:tcMar>
              <w:top w:w="0" w:type="dxa"/>
              <w:left w:w="0" w:type="dxa"/>
              <w:bottom w:w="0" w:type="dxa"/>
              <w:right w:w="0" w:type="dxa"/>
            </w:tcMar>
            <w:vAlign w:val="center"/>
          </w:tcPr>
          <w:p w14:paraId="026A9B1F">
            <w:pPr>
              <w:keepNext w:val="0"/>
              <w:keepLines w:val="0"/>
              <w:pageBreakBefore w:val="0"/>
              <w:widowControl w:val="0"/>
              <w:kinsoku/>
              <w:wordWrap/>
              <w:overflowPunct/>
              <w:topLinePunct w:val="0"/>
              <w:autoSpaceDE/>
              <w:autoSpaceDN/>
              <w:bidi w:val="0"/>
              <w:adjustRightInd/>
              <w:snapToGrid/>
              <w:spacing w:line="30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sz w:val="18"/>
                <w:szCs w:val="18"/>
                <w:vertAlign w:val="baseline"/>
                <w:lang w:val="en-US" w:eastAsia="zh-CN"/>
              </w:rPr>
              <w:t>造成重大安全事故</w:t>
            </w:r>
          </w:p>
        </w:tc>
        <w:tc>
          <w:tcPr>
            <w:tcW w:w="873" w:type="pct"/>
            <w:noWrap w:val="0"/>
            <w:tcMar>
              <w:top w:w="0" w:type="dxa"/>
              <w:left w:w="0" w:type="dxa"/>
              <w:bottom w:w="0" w:type="dxa"/>
              <w:right w:w="0" w:type="dxa"/>
            </w:tcMar>
            <w:vAlign w:val="center"/>
          </w:tcPr>
          <w:p w14:paraId="1D2A1B7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降低资质等级；并处30万元的罚款</w:t>
            </w:r>
          </w:p>
        </w:tc>
        <w:tc>
          <w:tcPr>
            <w:tcW w:w="158" w:type="pct"/>
            <w:vMerge w:val="continue"/>
            <w:noWrap w:val="0"/>
            <w:tcMar>
              <w:top w:w="0" w:type="dxa"/>
              <w:left w:w="0" w:type="dxa"/>
              <w:bottom w:w="0" w:type="dxa"/>
              <w:right w:w="0" w:type="dxa"/>
            </w:tcMar>
            <w:vAlign w:val="center"/>
          </w:tcPr>
          <w:p w14:paraId="3ABCED4D">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0370B0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6D96B18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21056D91">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2AF39A3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31B4C257">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vMerge w:val="continue"/>
            <w:noWrap w:val="0"/>
            <w:tcMar>
              <w:top w:w="0" w:type="dxa"/>
              <w:left w:w="0" w:type="dxa"/>
              <w:bottom w:w="0" w:type="dxa"/>
              <w:right w:w="0" w:type="dxa"/>
            </w:tcMar>
            <w:vAlign w:val="center"/>
          </w:tcPr>
          <w:p w14:paraId="69C8EA99">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p>
        </w:tc>
        <w:tc>
          <w:tcPr>
            <w:tcW w:w="561" w:type="pct"/>
            <w:noWrap w:val="0"/>
            <w:tcMar>
              <w:top w:w="0" w:type="dxa"/>
              <w:left w:w="0" w:type="dxa"/>
              <w:bottom w:w="0" w:type="dxa"/>
              <w:right w:w="0" w:type="dxa"/>
            </w:tcMar>
            <w:vAlign w:val="center"/>
          </w:tcPr>
          <w:p w14:paraId="6F737594">
            <w:pPr>
              <w:keepNext w:val="0"/>
              <w:keepLines w:val="0"/>
              <w:pageBreakBefore w:val="0"/>
              <w:widowControl w:val="0"/>
              <w:kinsoku/>
              <w:wordWrap/>
              <w:overflowPunct/>
              <w:topLinePunct w:val="0"/>
              <w:autoSpaceDE/>
              <w:autoSpaceDN/>
              <w:bidi w:val="0"/>
              <w:adjustRightInd/>
              <w:snapToGrid/>
              <w:spacing w:line="30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sz w:val="18"/>
                <w:szCs w:val="18"/>
                <w:vertAlign w:val="baseline"/>
                <w:lang w:val="en-US" w:eastAsia="zh-CN"/>
              </w:rPr>
              <w:t>造成特别重大安全事故</w:t>
            </w:r>
          </w:p>
        </w:tc>
        <w:tc>
          <w:tcPr>
            <w:tcW w:w="873" w:type="pct"/>
            <w:noWrap w:val="0"/>
            <w:tcMar>
              <w:top w:w="0" w:type="dxa"/>
              <w:left w:w="0" w:type="dxa"/>
              <w:bottom w:w="0" w:type="dxa"/>
              <w:right w:w="0" w:type="dxa"/>
            </w:tcMar>
            <w:vAlign w:val="center"/>
          </w:tcPr>
          <w:p w14:paraId="65F2541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吊销资质证书；并处30万元的罚款</w:t>
            </w:r>
          </w:p>
        </w:tc>
        <w:tc>
          <w:tcPr>
            <w:tcW w:w="158" w:type="pct"/>
            <w:vMerge w:val="continue"/>
            <w:noWrap w:val="0"/>
            <w:tcMar>
              <w:top w:w="0" w:type="dxa"/>
              <w:left w:w="0" w:type="dxa"/>
              <w:bottom w:w="0" w:type="dxa"/>
              <w:right w:w="0" w:type="dxa"/>
            </w:tcMar>
            <w:vAlign w:val="center"/>
          </w:tcPr>
          <w:p w14:paraId="5343E24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3096EF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restart"/>
            <w:noWrap w:val="0"/>
            <w:tcMar>
              <w:top w:w="0" w:type="dxa"/>
              <w:left w:w="0" w:type="dxa"/>
              <w:bottom w:w="0" w:type="dxa"/>
              <w:right w:w="0" w:type="dxa"/>
            </w:tcMar>
            <w:vAlign w:val="center"/>
          </w:tcPr>
          <w:p w14:paraId="38E6BF69">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r>
              <w:rPr>
                <w:rFonts w:hint="eastAsia" w:ascii="宋体" w:hAnsi="宋体" w:eastAsia="宋体" w:cs="宋体"/>
                <w:color w:val="000000"/>
                <w:sz w:val="18"/>
                <w:szCs w:val="18"/>
                <w:shd w:val="clear" w:color="auto" w:fill="auto"/>
                <w:vertAlign w:val="baseline"/>
                <w:lang w:val="en-US" w:eastAsia="zh-CN"/>
              </w:rPr>
              <w:t>112</w:t>
            </w:r>
          </w:p>
        </w:tc>
        <w:tc>
          <w:tcPr>
            <w:tcW w:w="415" w:type="pct"/>
            <w:vMerge w:val="restart"/>
            <w:noWrap w:val="0"/>
            <w:tcMar>
              <w:top w:w="0" w:type="dxa"/>
              <w:left w:w="0" w:type="dxa"/>
              <w:bottom w:w="0" w:type="dxa"/>
              <w:right w:w="0" w:type="dxa"/>
            </w:tcMar>
            <w:vAlign w:val="center"/>
          </w:tcPr>
          <w:p w14:paraId="6B46A50E">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对水利领域注册执业人员未执行法律、法规和工程建设强制性标准行为的行政处罚</w:t>
            </w:r>
          </w:p>
        </w:tc>
        <w:tc>
          <w:tcPr>
            <w:tcW w:w="2168" w:type="pct"/>
            <w:vMerge w:val="restart"/>
            <w:noWrap w:val="0"/>
            <w:tcMar>
              <w:top w:w="0" w:type="dxa"/>
              <w:left w:w="0" w:type="dxa"/>
              <w:bottom w:w="0" w:type="dxa"/>
              <w:right w:w="0" w:type="dxa"/>
            </w:tcMar>
            <w:vAlign w:val="center"/>
          </w:tcPr>
          <w:p w14:paraId="33E7DF3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《建设工程安全生产管理条例》第五十八条 注册执业人员未执行法律、法规和工程建设强制性标准的，责令停止执业3个月以上1年以下；情节严重的，吊销执业资格证书，5年内不予注册；造成重大安全事故的，终身不予注册；构成犯罪的，依照刑法有关规定追究刑事责任。</w:t>
            </w:r>
          </w:p>
        </w:tc>
        <w:tc>
          <w:tcPr>
            <w:tcW w:w="491" w:type="pct"/>
            <w:vMerge w:val="restart"/>
            <w:noWrap w:val="0"/>
            <w:tcMar>
              <w:top w:w="0" w:type="dxa"/>
              <w:left w:w="0" w:type="dxa"/>
              <w:bottom w:w="0" w:type="dxa"/>
              <w:right w:w="0" w:type="dxa"/>
            </w:tcMar>
            <w:vAlign w:val="center"/>
          </w:tcPr>
          <w:p w14:paraId="06DC22F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水利领域注册执业人员未执行法律、法规和工程建设强制性标准的</w:t>
            </w:r>
          </w:p>
        </w:tc>
        <w:tc>
          <w:tcPr>
            <w:tcW w:w="174" w:type="pct"/>
            <w:noWrap w:val="0"/>
            <w:tcMar>
              <w:top w:w="0" w:type="dxa"/>
              <w:left w:w="0" w:type="dxa"/>
              <w:bottom w:w="0" w:type="dxa"/>
              <w:right w:w="0" w:type="dxa"/>
            </w:tcMar>
            <w:vAlign w:val="center"/>
          </w:tcPr>
          <w:p w14:paraId="1613A14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轻微</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0E36CAE1">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0742DA82">
            <w:pPr>
              <w:spacing w:line="260" w:lineRule="exact"/>
              <w:rPr>
                <w:rFonts w:hint="eastAsia" w:ascii="宋体" w:hAnsi="宋体" w:eastAsia="宋体" w:cs="宋体"/>
                <w:color w:val="000000"/>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1806BBA6">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66E0E348">
            <w:pPr>
              <w:spacing w:line="260" w:lineRule="exact"/>
              <w:rPr>
                <w:rFonts w:hint="eastAsia" w:ascii="宋体" w:hAnsi="宋体" w:eastAsia="宋体" w:cs="宋体"/>
                <w:color w:val="000000"/>
                <w:kern w:val="2"/>
                <w:sz w:val="18"/>
                <w:szCs w:val="18"/>
                <w:vertAlign w:val="baseline"/>
                <w:lang w:val="en-US" w:eastAsia="zh-CN" w:bidi="ar-SA"/>
              </w:rPr>
            </w:pPr>
          </w:p>
        </w:tc>
        <w:tc>
          <w:tcPr>
            <w:tcW w:w="158" w:type="pct"/>
            <w:vMerge w:val="restart"/>
            <w:noWrap w:val="0"/>
            <w:tcMar>
              <w:top w:w="0" w:type="dxa"/>
              <w:left w:w="0" w:type="dxa"/>
              <w:bottom w:w="0" w:type="dxa"/>
              <w:right w:w="0" w:type="dxa"/>
            </w:tcMar>
            <w:vAlign w:val="center"/>
          </w:tcPr>
          <w:p w14:paraId="01AE5E9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43F3A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6E42C11D">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5C2C00D0">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2D61365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248D152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026327F9">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较轻</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503F4AD5">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19C3A068">
            <w:pPr>
              <w:spacing w:line="260" w:lineRule="exact"/>
              <w:rPr>
                <w:rFonts w:hint="eastAsia" w:ascii="宋体" w:hAnsi="宋体" w:eastAsia="宋体" w:cs="宋体"/>
                <w:color w:val="000000"/>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049B712C">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7050C913">
            <w:pPr>
              <w:spacing w:line="260" w:lineRule="exact"/>
              <w:rPr>
                <w:rFonts w:hint="eastAsia" w:ascii="宋体" w:hAnsi="宋体" w:eastAsia="宋体" w:cs="宋体"/>
                <w:color w:val="000000"/>
                <w:kern w:val="2"/>
                <w:sz w:val="18"/>
                <w:szCs w:val="18"/>
                <w:vertAlign w:val="baseline"/>
                <w:lang w:val="en-US" w:eastAsia="zh-CN" w:bidi="ar-SA"/>
              </w:rPr>
            </w:pPr>
          </w:p>
        </w:tc>
        <w:tc>
          <w:tcPr>
            <w:tcW w:w="158" w:type="pct"/>
            <w:vMerge w:val="continue"/>
            <w:noWrap w:val="0"/>
            <w:tcMar>
              <w:top w:w="0" w:type="dxa"/>
              <w:left w:w="0" w:type="dxa"/>
              <w:bottom w:w="0" w:type="dxa"/>
              <w:right w:w="0" w:type="dxa"/>
            </w:tcMar>
            <w:vAlign w:val="center"/>
          </w:tcPr>
          <w:p w14:paraId="7A0CC868">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06DD2C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762" w:hRule="atLeast"/>
          <w:jc w:val="center"/>
        </w:trPr>
        <w:tc>
          <w:tcPr>
            <w:tcW w:w="156" w:type="pct"/>
            <w:vMerge w:val="continue"/>
            <w:noWrap w:val="0"/>
            <w:tcMar>
              <w:top w:w="0" w:type="dxa"/>
              <w:left w:w="0" w:type="dxa"/>
              <w:bottom w:w="0" w:type="dxa"/>
              <w:right w:w="0" w:type="dxa"/>
            </w:tcMar>
            <w:vAlign w:val="center"/>
          </w:tcPr>
          <w:p w14:paraId="60C39091">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7310849E">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125FF357">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7EC26F1C">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0579520B">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一般</w:t>
            </w:r>
          </w:p>
        </w:tc>
        <w:tc>
          <w:tcPr>
            <w:tcW w:w="561" w:type="pct"/>
            <w:noWrap w:val="0"/>
            <w:tcMar>
              <w:top w:w="0" w:type="dxa"/>
              <w:left w:w="0" w:type="dxa"/>
              <w:bottom w:w="0" w:type="dxa"/>
              <w:right w:w="0" w:type="dxa"/>
            </w:tcMar>
            <w:vAlign w:val="center"/>
          </w:tcPr>
          <w:p w14:paraId="2CDE98E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sz w:val="18"/>
                <w:szCs w:val="18"/>
                <w:vertAlign w:val="baseline"/>
              </w:rPr>
              <w:t>造成一般安全事故或者其他较严重后果的</w:t>
            </w:r>
          </w:p>
        </w:tc>
        <w:tc>
          <w:tcPr>
            <w:tcW w:w="873" w:type="pct"/>
            <w:noWrap w:val="0"/>
            <w:tcMar>
              <w:top w:w="0" w:type="dxa"/>
              <w:left w:w="0" w:type="dxa"/>
              <w:bottom w:w="0" w:type="dxa"/>
              <w:right w:w="0" w:type="dxa"/>
            </w:tcMar>
            <w:vAlign w:val="center"/>
          </w:tcPr>
          <w:p w14:paraId="6CDCCEA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责令停止执业3个月以上1年以下（含1年）</w:t>
            </w:r>
          </w:p>
        </w:tc>
        <w:tc>
          <w:tcPr>
            <w:tcW w:w="158" w:type="pct"/>
            <w:vMerge w:val="continue"/>
            <w:noWrap w:val="0"/>
            <w:tcMar>
              <w:top w:w="0" w:type="dxa"/>
              <w:left w:w="0" w:type="dxa"/>
              <w:bottom w:w="0" w:type="dxa"/>
              <w:right w:w="0" w:type="dxa"/>
            </w:tcMar>
            <w:vAlign w:val="center"/>
          </w:tcPr>
          <w:p w14:paraId="3F82E8B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55CF49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66" w:hRule="atLeast"/>
          <w:jc w:val="center"/>
        </w:trPr>
        <w:tc>
          <w:tcPr>
            <w:tcW w:w="156" w:type="pct"/>
            <w:vMerge w:val="continue"/>
            <w:noWrap w:val="0"/>
            <w:tcMar>
              <w:top w:w="0" w:type="dxa"/>
              <w:left w:w="0" w:type="dxa"/>
              <w:bottom w:w="0" w:type="dxa"/>
              <w:right w:w="0" w:type="dxa"/>
            </w:tcMar>
            <w:vAlign w:val="center"/>
          </w:tcPr>
          <w:p w14:paraId="78A9ED1A">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5BF8BA1B">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4B787DB4">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036D222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676ACB1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较重</w:t>
            </w:r>
          </w:p>
        </w:tc>
        <w:tc>
          <w:tcPr>
            <w:tcW w:w="561" w:type="pct"/>
            <w:noWrap w:val="0"/>
            <w:tcMar>
              <w:top w:w="0" w:type="dxa"/>
              <w:left w:w="0" w:type="dxa"/>
              <w:bottom w:w="0" w:type="dxa"/>
              <w:right w:w="0" w:type="dxa"/>
            </w:tcMar>
            <w:vAlign w:val="center"/>
          </w:tcPr>
          <w:p w14:paraId="0405553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造成较大安全事故或者其他严重后果的</w:t>
            </w:r>
          </w:p>
        </w:tc>
        <w:tc>
          <w:tcPr>
            <w:tcW w:w="873" w:type="pct"/>
            <w:noWrap w:val="0"/>
            <w:tcMar>
              <w:top w:w="0" w:type="dxa"/>
              <w:left w:w="0" w:type="dxa"/>
              <w:bottom w:w="0" w:type="dxa"/>
              <w:right w:w="0" w:type="dxa"/>
            </w:tcMar>
            <w:vAlign w:val="center"/>
          </w:tcPr>
          <w:p w14:paraId="27D33B4C">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吊销执业资格证书，5年内不予注册</w:t>
            </w:r>
          </w:p>
        </w:tc>
        <w:tc>
          <w:tcPr>
            <w:tcW w:w="158" w:type="pct"/>
            <w:vMerge w:val="continue"/>
            <w:noWrap w:val="0"/>
            <w:tcMar>
              <w:top w:w="0" w:type="dxa"/>
              <w:left w:w="0" w:type="dxa"/>
              <w:bottom w:w="0" w:type="dxa"/>
              <w:right w:w="0" w:type="dxa"/>
            </w:tcMar>
            <w:vAlign w:val="center"/>
          </w:tcPr>
          <w:p w14:paraId="0D636E8B">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2AB11C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038" w:hRule="atLeast"/>
          <w:jc w:val="center"/>
        </w:trPr>
        <w:tc>
          <w:tcPr>
            <w:tcW w:w="156" w:type="pct"/>
            <w:vMerge w:val="continue"/>
            <w:noWrap w:val="0"/>
            <w:tcMar>
              <w:top w:w="0" w:type="dxa"/>
              <w:left w:w="0" w:type="dxa"/>
              <w:bottom w:w="0" w:type="dxa"/>
              <w:right w:w="0" w:type="dxa"/>
            </w:tcMar>
            <w:vAlign w:val="center"/>
          </w:tcPr>
          <w:p w14:paraId="275BA7FC">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3988332D">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4098B61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2324105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4F3C3AA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严重</w:t>
            </w:r>
          </w:p>
        </w:tc>
        <w:tc>
          <w:tcPr>
            <w:tcW w:w="561" w:type="pct"/>
            <w:noWrap w:val="0"/>
            <w:tcMar>
              <w:top w:w="0" w:type="dxa"/>
              <w:left w:w="0" w:type="dxa"/>
              <w:bottom w:w="0" w:type="dxa"/>
              <w:right w:w="0" w:type="dxa"/>
            </w:tcMar>
            <w:vAlign w:val="center"/>
          </w:tcPr>
          <w:p w14:paraId="569F093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造成重大、特别重大安全事故或者其他特别严重后果的</w:t>
            </w:r>
          </w:p>
        </w:tc>
        <w:tc>
          <w:tcPr>
            <w:tcW w:w="873" w:type="pct"/>
            <w:noWrap w:val="0"/>
            <w:tcMar>
              <w:top w:w="0" w:type="dxa"/>
              <w:left w:w="0" w:type="dxa"/>
              <w:bottom w:w="0" w:type="dxa"/>
              <w:right w:w="0" w:type="dxa"/>
            </w:tcMar>
            <w:vAlign w:val="center"/>
          </w:tcPr>
          <w:p w14:paraId="0E45F1A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吊销执业资格证书，终身不予注册</w:t>
            </w:r>
          </w:p>
        </w:tc>
        <w:tc>
          <w:tcPr>
            <w:tcW w:w="158" w:type="pct"/>
            <w:vMerge w:val="continue"/>
            <w:noWrap w:val="0"/>
            <w:tcMar>
              <w:top w:w="0" w:type="dxa"/>
              <w:left w:w="0" w:type="dxa"/>
              <w:bottom w:w="0" w:type="dxa"/>
              <w:right w:w="0" w:type="dxa"/>
            </w:tcMar>
            <w:vAlign w:val="center"/>
          </w:tcPr>
          <w:p w14:paraId="6C092E3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75813E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156" w:type="pct"/>
            <w:vMerge w:val="restart"/>
            <w:noWrap w:val="0"/>
            <w:tcMar>
              <w:top w:w="0" w:type="dxa"/>
              <w:left w:w="0" w:type="dxa"/>
              <w:bottom w:w="0" w:type="dxa"/>
              <w:right w:w="0" w:type="dxa"/>
            </w:tcMar>
            <w:vAlign w:val="center"/>
          </w:tcPr>
          <w:p w14:paraId="5740F508">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r>
              <w:rPr>
                <w:rFonts w:hint="eastAsia" w:ascii="宋体" w:hAnsi="宋体" w:eastAsia="宋体" w:cs="宋体"/>
                <w:color w:val="000000"/>
                <w:sz w:val="18"/>
                <w:szCs w:val="18"/>
                <w:shd w:val="clear" w:color="auto" w:fill="auto"/>
                <w:vertAlign w:val="baseline"/>
                <w:lang w:val="en-US" w:eastAsia="zh-CN"/>
              </w:rPr>
              <w:t>113</w:t>
            </w:r>
          </w:p>
        </w:tc>
        <w:tc>
          <w:tcPr>
            <w:tcW w:w="415" w:type="pct"/>
            <w:vMerge w:val="restart"/>
            <w:noWrap w:val="0"/>
            <w:tcMar>
              <w:top w:w="0" w:type="dxa"/>
              <w:left w:w="0" w:type="dxa"/>
              <w:bottom w:w="0" w:type="dxa"/>
              <w:right w:w="0" w:type="dxa"/>
            </w:tcMar>
            <w:vAlign w:val="center"/>
          </w:tcPr>
          <w:p w14:paraId="3BDA94B0">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对水利领域为建设工程提供机械设备和配件的单位违反规定未按照安全施工的要求配备齐全有效的保险、限位等安全设施和装置行为的行政处罚</w:t>
            </w:r>
          </w:p>
        </w:tc>
        <w:tc>
          <w:tcPr>
            <w:tcW w:w="2168" w:type="pct"/>
            <w:vMerge w:val="restart"/>
            <w:noWrap w:val="0"/>
            <w:tcMar>
              <w:top w:w="0" w:type="dxa"/>
              <w:left w:w="0" w:type="dxa"/>
              <w:bottom w:w="0" w:type="dxa"/>
              <w:right w:w="0" w:type="dxa"/>
            </w:tcMar>
            <w:vAlign w:val="center"/>
          </w:tcPr>
          <w:p w14:paraId="0C175E6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《建设工程安全生产管理条例》第五十九条 违反本条例的规定，为建设工程提供机械设备和配件的单位，未按照安全施工的要求配备齐全有效的保险、限位等安全设施和装置的，责令限期改正，处合同价款1倍以上3倍以下的罚款；造成损失的，依法承担赔偿责任。</w:t>
            </w:r>
          </w:p>
        </w:tc>
        <w:tc>
          <w:tcPr>
            <w:tcW w:w="491" w:type="pct"/>
            <w:vMerge w:val="restart"/>
            <w:noWrap w:val="0"/>
            <w:tcMar>
              <w:top w:w="0" w:type="dxa"/>
              <w:left w:w="0" w:type="dxa"/>
              <w:bottom w:w="0" w:type="dxa"/>
              <w:right w:w="0" w:type="dxa"/>
            </w:tcMar>
            <w:vAlign w:val="center"/>
          </w:tcPr>
          <w:p w14:paraId="00A2782C">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水利领域为建设工程提供机械设备和配件的单位违反规定未按照安全施工的要求配备齐全有效的保险、限位等安全设施和装置的</w:t>
            </w:r>
          </w:p>
        </w:tc>
        <w:tc>
          <w:tcPr>
            <w:tcW w:w="174" w:type="pct"/>
            <w:noWrap w:val="0"/>
            <w:tcMar>
              <w:top w:w="0" w:type="dxa"/>
              <w:left w:w="0" w:type="dxa"/>
              <w:bottom w:w="0" w:type="dxa"/>
              <w:right w:w="0" w:type="dxa"/>
            </w:tcMar>
            <w:vAlign w:val="center"/>
          </w:tcPr>
          <w:p w14:paraId="0158EE9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轻微</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713BE95E">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285EAF3B">
            <w:pPr>
              <w:spacing w:line="260" w:lineRule="exact"/>
              <w:rPr>
                <w:rFonts w:hint="eastAsia" w:ascii="宋体" w:hAnsi="宋体" w:eastAsia="宋体" w:cs="宋体"/>
                <w:color w:val="000000"/>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2D7453B9">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6E3CF60B">
            <w:pPr>
              <w:spacing w:line="260" w:lineRule="exact"/>
              <w:rPr>
                <w:rFonts w:hint="eastAsia" w:ascii="宋体" w:hAnsi="宋体" w:eastAsia="宋体" w:cs="宋体"/>
                <w:color w:val="000000"/>
                <w:kern w:val="2"/>
                <w:sz w:val="18"/>
                <w:szCs w:val="18"/>
                <w:vertAlign w:val="baseline"/>
                <w:lang w:val="en-US" w:eastAsia="zh-CN" w:bidi="ar-SA"/>
              </w:rPr>
            </w:pPr>
          </w:p>
        </w:tc>
        <w:tc>
          <w:tcPr>
            <w:tcW w:w="158" w:type="pct"/>
            <w:vMerge w:val="restart"/>
            <w:noWrap w:val="0"/>
            <w:tcMar>
              <w:top w:w="0" w:type="dxa"/>
              <w:left w:w="0" w:type="dxa"/>
              <w:bottom w:w="0" w:type="dxa"/>
              <w:right w:w="0" w:type="dxa"/>
            </w:tcMar>
            <w:vAlign w:val="center"/>
          </w:tcPr>
          <w:p w14:paraId="6333887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60C456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156" w:type="pct"/>
            <w:vMerge w:val="continue"/>
            <w:noWrap w:val="0"/>
            <w:tcMar>
              <w:top w:w="0" w:type="dxa"/>
              <w:left w:w="0" w:type="dxa"/>
              <w:bottom w:w="0" w:type="dxa"/>
              <w:right w:w="0" w:type="dxa"/>
            </w:tcMar>
            <w:vAlign w:val="center"/>
          </w:tcPr>
          <w:p w14:paraId="3A1DF469">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4CBD4169">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6D51486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7C0D4DC4">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0D7D98CD">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较轻</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72ADFC47">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3BC08519">
            <w:pPr>
              <w:spacing w:line="260" w:lineRule="exact"/>
              <w:rPr>
                <w:rFonts w:hint="eastAsia" w:ascii="宋体" w:hAnsi="宋体" w:eastAsia="宋体" w:cs="宋体"/>
                <w:color w:val="000000"/>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0D60DF14">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6A3E8894">
            <w:pPr>
              <w:spacing w:line="260" w:lineRule="exact"/>
              <w:rPr>
                <w:rFonts w:hint="eastAsia" w:ascii="宋体" w:hAnsi="宋体" w:eastAsia="宋体" w:cs="宋体"/>
                <w:color w:val="000000"/>
                <w:kern w:val="2"/>
                <w:sz w:val="18"/>
                <w:szCs w:val="18"/>
                <w:vertAlign w:val="baseline"/>
                <w:lang w:val="en-US" w:eastAsia="zh-CN" w:bidi="ar-SA"/>
              </w:rPr>
            </w:pPr>
          </w:p>
        </w:tc>
        <w:tc>
          <w:tcPr>
            <w:tcW w:w="158" w:type="pct"/>
            <w:vMerge w:val="continue"/>
            <w:noWrap w:val="0"/>
            <w:tcMar>
              <w:top w:w="0" w:type="dxa"/>
              <w:left w:w="0" w:type="dxa"/>
              <w:bottom w:w="0" w:type="dxa"/>
              <w:right w:w="0" w:type="dxa"/>
            </w:tcMar>
            <w:vAlign w:val="center"/>
          </w:tcPr>
          <w:p w14:paraId="1C4BE72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78F5DF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192" w:hRule="atLeast"/>
          <w:jc w:val="center"/>
        </w:trPr>
        <w:tc>
          <w:tcPr>
            <w:tcW w:w="156" w:type="pct"/>
            <w:vMerge w:val="continue"/>
            <w:noWrap w:val="0"/>
            <w:tcMar>
              <w:top w:w="0" w:type="dxa"/>
              <w:left w:w="0" w:type="dxa"/>
              <w:bottom w:w="0" w:type="dxa"/>
              <w:right w:w="0" w:type="dxa"/>
            </w:tcMar>
            <w:vAlign w:val="center"/>
          </w:tcPr>
          <w:p w14:paraId="0BFFD34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0778246F">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4572D6B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20AB05D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166DC93A">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一般</w:t>
            </w:r>
          </w:p>
        </w:tc>
        <w:tc>
          <w:tcPr>
            <w:tcW w:w="561" w:type="pct"/>
            <w:noWrap w:val="0"/>
            <w:tcMar>
              <w:top w:w="0" w:type="dxa"/>
              <w:left w:w="0" w:type="dxa"/>
              <w:bottom w:w="0" w:type="dxa"/>
              <w:right w:w="0" w:type="dxa"/>
            </w:tcMar>
            <w:vAlign w:val="center"/>
          </w:tcPr>
          <w:p w14:paraId="1A08842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sz w:val="18"/>
                <w:szCs w:val="18"/>
                <w:vertAlign w:val="baseline"/>
              </w:rPr>
              <w:t>未按照安全施工的要求配备齐全有效的保险、限位等安全设施和装置，涉及1项的</w:t>
            </w:r>
          </w:p>
        </w:tc>
        <w:tc>
          <w:tcPr>
            <w:tcW w:w="873" w:type="pct"/>
            <w:noWrap w:val="0"/>
            <w:tcMar>
              <w:top w:w="0" w:type="dxa"/>
              <w:left w:w="0" w:type="dxa"/>
              <w:bottom w:w="0" w:type="dxa"/>
              <w:right w:w="0" w:type="dxa"/>
            </w:tcMar>
            <w:vAlign w:val="center"/>
          </w:tcPr>
          <w:p w14:paraId="1763EC8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处合同价款1倍以上2倍以下罚款</w:t>
            </w:r>
          </w:p>
        </w:tc>
        <w:tc>
          <w:tcPr>
            <w:tcW w:w="158" w:type="pct"/>
            <w:vMerge w:val="continue"/>
            <w:noWrap w:val="0"/>
            <w:tcMar>
              <w:top w:w="0" w:type="dxa"/>
              <w:left w:w="0" w:type="dxa"/>
              <w:bottom w:w="0" w:type="dxa"/>
              <w:right w:w="0" w:type="dxa"/>
            </w:tcMar>
            <w:vAlign w:val="center"/>
          </w:tcPr>
          <w:p w14:paraId="6C27C5F0">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613739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221" w:hRule="atLeast"/>
          <w:jc w:val="center"/>
        </w:trPr>
        <w:tc>
          <w:tcPr>
            <w:tcW w:w="156" w:type="pct"/>
            <w:vMerge w:val="continue"/>
            <w:noWrap w:val="0"/>
            <w:tcMar>
              <w:top w:w="0" w:type="dxa"/>
              <w:left w:w="0" w:type="dxa"/>
              <w:bottom w:w="0" w:type="dxa"/>
              <w:right w:w="0" w:type="dxa"/>
            </w:tcMar>
            <w:vAlign w:val="center"/>
          </w:tcPr>
          <w:p w14:paraId="6D5B0E2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2F4E222D">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3B6500E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1EB8E28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71634225">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较重</w:t>
            </w:r>
          </w:p>
        </w:tc>
        <w:tc>
          <w:tcPr>
            <w:tcW w:w="561" w:type="pct"/>
            <w:noWrap w:val="0"/>
            <w:tcMar>
              <w:top w:w="0" w:type="dxa"/>
              <w:left w:w="0" w:type="dxa"/>
              <w:bottom w:w="0" w:type="dxa"/>
              <w:right w:w="0" w:type="dxa"/>
            </w:tcMar>
            <w:vAlign w:val="center"/>
          </w:tcPr>
          <w:p w14:paraId="26DFFF0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未按照安全施工的要求配备齐全有效的保险、限位等安全设施和装置，涉及2项的</w:t>
            </w:r>
          </w:p>
        </w:tc>
        <w:tc>
          <w:tcPr>
            <w:tcW w:w="873" w:type="pct"/>
            <w:noWrap w:val="0"/>
            <w:tcMar>
              <w:top w:w="0" w:type="dxa"/>
              <w:left w:w="0" w:type="dxa"/>
              <w:bottom w:w="0" w:type="dxa"/>
              <w:right w:w="0" w:type="dxa"/>
            </w:tcMar>
            <w:vAlign w:val="center"/>
          </w:tcPr>
          <w:p w14:paraId="7A002D3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处合同价款2倍以上3倍以下罚款</w:t>
            </w:r>
          </w:p>
        </w:tc>
        <w:tc>
          <w:tcPr>
            <w:tcW w:w="158" w:type="pct"/>
            <w:vMerge w:val="continue"/>
            <w:noWrap w:val="0"/>
            <w:tcMar>
              <w:top w:w="0" w:type="dxa"/>
              <w:left w:w="0" w:type="dxa"/>
              <w:bottom w:w="0" w:type="dxa"/>
              <w:right w:w="0" w:type="dxa"/>
            </w:tcMar>
            <w:vAlign w:val="center"/>
          </w:tcPr>
          <w:p w14:paraId="4BB824BA">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50819B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467" w:hRule="atLeast"/>
          <w:jc w:val="center"/>
        </w:trPr>
        <w:tc>
          <w:tcPr>
            <w:tcW w:w="156" w:type="pct"/>
            <w:vMerge w:val="continue"/>
            <w:noWrap w:val="0"/>
            <w:tcMar>
              <w:top w:w="0" w:type="dxa"/>
              <w:left w:w="0" w:type="dxa"/>
              <w:bottom w:w="0" w:type="dxa"/>
              <w:right w:w="0" w:type="dxa"/>
            </w:tcMar>
            <w:vAlign w:val="center"/>
          </w:tcPr>
          <w:p w14:paraId="7828FB2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1A201AB8">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474BA03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1F8F055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12CA1E11">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严重</w:t>
            </w:r>
          </w:p>
        </w:tc>
        <w:tc>
          <w:tcPr>
            <w:tcW w:w="561" w:type="pct"/>
            <w:noWrap w:val="0"/>
            <w:tcMar>
              <w:top w:w="0" w:type="dxa"/>
              <w:left w:w="0" w:type="dxa"/>
              <w:bottom w:w="0" w:type="dxa"/>
              <w:right w:w="0" w:type="dxa"/>
            </w:tcMar>
            <w:vAlign w:val="center"/>
          </w:tcPr>
          <w:p w14:paraId="6BEFDB7C">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未按照安全施工的要求配备齐全有效的保险、限位等安全设施和装置，涉及3项及以上的</w:t>
            </w:r>
          </w:p>
        </w:tc>
        <w:tc>
          <w:tcPr>
            <w:tcW w:w="873" w:type="pct"/>
            <w:noWrap w:val="0"/>
            <w:tcMar>
              <w:top w:w="0" w:type="dxa"/>
              <w:left w:w="0" w:type="dxa"/>
              <w:bottom w:w="0" w:type="dxa"/>
              <w:right w:w="0" w:type="dxa"/>
            </w:tcMar>
            <w:vAlign w:val="center"/>
          </w:tcPr>
          <w:p w14:paraId="7091B10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处合同价款3倍罚款</w:t>
            </w:r>
          </w:p>
        </w:tc>
        <w:tc>
          <w:tcPr>
            <w:tcW w:w="158" w:type="pct"/>
            <w:vMerge w:val="continue"/>
            <w:noWrap w:val="0"/>
            <w:tcMar>
              <w:top w:w="0" w:type="dxa"/>
              <w:left w:w="0" w:type="dxa"/>
              <w:bottom w:w="0" w:type="dxa"/>
              <w:right w:w="0" w:type="dxa"/>
            </w:tcMar>
            <w:vAlign w:val="center"/>
          </w:tcPr>
          <w:p w14:paraId="5B7271FD">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078D90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156" w:type="pct"/>
            <w:vMerge w:val="restart"/>
            <w:noWrap w:val="0"/>
            <w:tcMar>
              <w:top w:w="0" w:type="dxa"/>
              <w:left w:w="0" w:type="dxa"/>
              <w:bottom w:w="0" w:type="dxa"/>
              <w:right w:w="0" w:type="dxa"/>
            </w:tcMar>
            <w:vAlign w:val="center"/>
          </w:tcPr>
          <w:p w14:paraId="129B8CDA">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r>
              <w:rPr>
                <w:rFonts w:hint="eastAsia" w:ascii="宋体" w:hAnsi="宋体" w:eastAsia="宋体" w:cs="宋体"/>
                <w:color w:val="000000"/>
                <w:sz w:val="18"/>
                <w:szCs w:val="18"/>
                <w:shd w:val="clear" w:color="auto" w:fill="auto"/>
                <w:vertAlign w:val="baseline"/>
                <w:lang w:val="en-US" w:eastAsia="zh-CN"/>
              </w:rPr>
              <w:t>114</w:t>
            </w:r>
          </w:p>
        </w:tc>
        <w:tc>
          <w:tcPr>
            <w:tcW w:w="415" w:type="pct"/>
            <w:vMerge w:val="restart"/>
            <w:noWrap w:val="0"/>
            <w:tcMar>
              <w:top w:w="0" w:type="dxa"/>
              <w:left w:w="0" w:type="dxa"/>
              <w:bottom w:w="0" w:type="dxa"/>
              <w:right w:w="0" w:type="dxa"/>
            </w:tcMar>
            <w:vAlign w:val="center"/>
          </w:tcPr>
          <w:p w14:paraId="4801B81C">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对水利领域出租单位出租未经安全性能检测或者经检测不合格的机械设备和施工机具及配件行为的行政处罚</w:t>
            </w:r>
          </w:p>
        </w:tc>
        <w:tc>
          <w:tcPr>
            <w:tcW w:w="2168" w:type="pct"/>
            <w:vMerge w:val="restart"/>
            <w:noWrap w:val="0"/>
            <w:tcMar>
              <w:top w:w="0" w:type="dxa"/>
              <w:left w:w="0" w:type="dxa"/>
              <w:bottom w:w="0" w:type="dxa"/>
              <w:right w:w="0" w:type="dxa"/>
            </w:tcMar>
            <w:vAlign w:val="center"/>
          </w:tcPr>
          <w:p w14:paraId="72BF0FEC">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《建设工程安全生产管理条例》第六十条 违反本条例的规定，出租单位出租未经安全性能检测或者经检测不合格的机械设备和施工机具及配件的，责令停业整顿，并处5万元以上10万元以下的罚款；造成损失的，依法承担赔偿责任。</w:t>
            </w:r>
          </w:p>
        </w:tc>
        <w:tc>
          <w:tcPr>
            <w:tcW w:w="491" w:type="pct"/>
            <w:vMerge w:val="restart"/>
            <w:noWrap w:val="0"/>
            <w:tcMar>
              <w:top w:w="0" w:type="dxa"/>
              <w:left w:w="0" w:type="dxa"/>
              <w:bottom w:w="0" w:type="dxa"/>
              <w:right w:w="0" w:type="dxa"/>
            </w:tcMar>
            <w:vAlign w:val="center"/>
          </w:tcPr>
          <w:p w14:paraId="308562F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水利领域出租单位出租未经安全性能检测或者经检测不合格的机械设备和施工机具及配件的</w:t>
            </w:r>
          </w:p>
        </w:tc>
        <w:tc>
          <w:tcPr>
            <w:tcW w:w="174" w:type="pct"/>
            <w:noWrap w:val="0"/>
            <w:tcMar>
              <w:top w:w="0" w:type="dxa"/>
              <w:left w:w="0" w:type="dxa"/>
              <w:bottom w:w="0" w:type="dxa"/>
              <w:right w:w="0" w:type="dxa"/>
            </w:tcMar>
            <w:vAlign w:val="center"/>
          </w:tcPr>
          <w:p w14:paraId="155EDACB">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轻微</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02B4D2C4">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7CE5684C">
            <w:pPr>
              <w:spacing w:line="260" w:lineRule="exact"/>
              <w:rPr>
                <w:rFonts w:hint="eastAsia" w:ascii="宋体" w:hAnsi="宋体" w:eastAsia="宋体" w:cs="宋体"/>
                <w:color w:val="000000"/>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190920D8">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6ADCEBEE">
            <w:pPr>
              <w:spacing w:line="260" w:lineRule="exact"/>
              <w:rPr>
                <w:rFonts w:hint="eastAsia" w:ascii="宋体" w:hAnsi="宋体" w:eastAsia="宋体" w:cs="宋体"/>
                <w:color w:val="000000"/>
                <w:kern w:val="2"/>
                <w:sz w:val="18"/>
                <w:szCs w:val="18"/>
                <w:vertAlign w:val="baseline"/>
                <w:lang w:val="en-US" w:eastAsia="zh-CN" w:bidi="ar-SA"/>
              </w:rPr>
            </w:pPr>
          </w:p>
        </w:tc>
        <w:tc>
          <w:tcPr>
            <w:tcW w:w="158" w:type="pct"/>
            <w:vMerge w:val="restart"/>
            <w:noWrap w:val="0"/>
            <w:tcMar>
              <w:top w:w="0" w:type="dxa"/>
              <w:left w:w="0" w:type="dxa"/>
              <w:bottom w:w="0" w:type="dxa"/>
              <w:right w:w="0" w:type="dxa"/>
            </w:tcMar>
            <w:vAlign w:val="center"/>
          </w:tcPr>
          <w:p w14:paraId="46CB03F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4A3033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156" w:type="pct"/>
            <w:vMerge w:val="continue"/>
            <w:noWrap w:val="0"/>
            <w:tcMar>
              <w:top w:w="0" w:type="dxa"/>
              <w:left w:w="0" w:type="dxa"/>
              <w:bottom w:w="0" w:type="dxa"/>
              <w:right w:w="0" w:type="dxa"/>
            </w:tcMar>
            <w:vAlign w:val="center"/>
          </w:tcPr>
          <w:p w14:paraId="243B64CC">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43406E02">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66E636B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6A5D57B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29E16E7C">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较轻</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42A165FB">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32ABBD75">
            <w:pPr>
              <w:spacing w:line="260" w:lineRule="exact"/>
              <w:rPr>
                <w:rFonts w:hint="eastAsia" w:ascii="宋体" w:hAnsi="宋体" w:eastAsia="宋体" w:cs="宋体"/>
                <w:color w:val="000000"/>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170CC912">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508C526E">
            <w:pPr>
              <w:spacing w:line="260" w:lineRule="exact"/>
              <w:rPr>
                <w:rFonts w:hint="eastAsia" w:ascii="宋体" w:hAnsi="宋体" w:eastAsia="宋体" w:cs="宋体"/>
                <w:color w:val="000000"/>
                <w:kern w:val="2"/>
                <w:sz w:val="18"/>
                <w:szCs w:val="18"/>
                <w:vertAlign w:val="baseline"/>
                <w:lang w:val="en-US" w:eastAsia="zh-CN" w:bidi="ar-SA"/>
              </w:rPr>
            </w:pPr>
          </w:p>
        </w:tc>
        <w:tc>
          <w:tcPr>
            <w:tcW w:w="158" w:type="pct"/>
            <w:vMerge w:val="continue"/>
            <w:noWrap w:val="0"/>
            <w:tcMar>
              <w:top w:w="0" w:type="dxa"/>
              <w:left w:w="0" w:type="dxa"/>
              <w:bottom w:w="0" w:type="dxa"/>
              <w:right w:w="0" w:type="dxa"/>
            </w:tcMar>
            <w:vAlign w:val="center"/>
          </w:tcPr>
          <w:p w14:paraId="7229B575">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6B20E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0B3DA52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0AFF4A30">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49B52AC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673605F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21A48111">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一般</w:t>
            </w:r>
          </w:p>
        </w:tc>
        <w:tc>
          <w:tcPr>
            <w:tcW w:w="561" w:type="pct"/>
            <w:noWrap w:val="0"/>
            <w:tcMar>
              <w:top w:w="0" w:type="dxa"/>
              <w:left w:w="0" w:type="dxa"/>
              <w:bottom w:w="0" w:type="dxa"/>
              <w:right w:w="0" w:type="dxa"/>
            </w:tcMar>
            <w:vAlign w:val="center"/>
          </w:tcPr>
          <w:p w14:paraId="04C027FB">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sz w:val="18"/>
                <w:szCs w:val="18"/>
                <w:vertAlign w:val="baseline"/>
              </w:rPr>
              <w:t>尚未投入使用的</w:t>
            </w:r>
          </w:p>
        </w:tc>
        <w:tc>
          <w:tcPr>
            <w:tcW w:w="873" w:type="pct"/>
            <w:noWrap w:val="0"/>
            <w:tcMar>
              <w:top w:w="0" w:type="dxa"/>
              <w:left w:w="0" w:type="dxa"/>
              <w:bottom w:w="0" w:type="dxa"/>
              <w:right w:w="0" w:type="dxa"/>
            </w:tcMar>
            <w:vAlign w:val="center"/>
          </w:tcPr>
          <w:p w14:paraId="0B9BA857">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责令停业整顿，直至改正违法行为，并处5万以上6.5万元以下罚款</w:t>
            </w:r>
          </w:p>
        </w:tc>
        <w:tc>
          <w:tcPr>
            <w:tcW w:w="158" w:type="pct"/>
            <w:vMerge w:val="continue"/>
            <w:noWrap w:val="0"/>
            <w:tcMar>
              <w:top w:w="0" w:type="dxa"/>
              <w:left w:w="0" w:type="dxa"/>
              <w:bottom w:w="0" w:type="dxa"/>
              <w:right w:w="0" w:type="dxa"/>
            </w:tcMar>
            <w:vAlign w:val="center"/>
          </w:tcPr>
          <w:p w14:paraId="66AD30B9">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489C3B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792" w:hRule="atLeast"/>
          <w:jc w:val="center"/>
        </w:trPr>
        <w:tc>
          <w:tcPr>
            <w:tcW w:w="156" w:type="pct"/>
            <w:vMerge w:val="continue"/>
            <w:noWrap w:val="0"/>
            <w:tcMar>
              <w:top w:w="0" w:type="dxa"/>
              <w:left w:w="0" w:type="dxa"/>
              <w:bottom w:w="0" w:type="dxa"/>
              <w:right w:w="0" w:type="dxa"/>
            </w:tcMar>
            <w:vAlign w:val="center"/>
          </w:tcPr>
          <w:p w14:paraId="44A1CD70">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00A9B470">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5BEFA65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020180A4">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38AE0698">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较重</w:t>
            </w:r>
          </w:p>
        </w:tc>
        <w:tc>
          <w:tcPr>
            <w:tcW w:w="561" w:type="pct"/>
            <w:noWrap w:val="0"/>
            <w:tcMar>
              <w:top w:w="0" w:type="dxa"/>
              <w:left w:w="0" w:type="dxa"/>
              <w:bottom w:w="0" w:type="dxa"/>
              <w:right w:w="0" w:type="dxa"/>
            </w:tcMar>
            <w:vAlign w:val="center"/>
          </w:tcPr>
          <w:p w14:paraId="5BFAD616">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投入使用后经检测合格的</w:t>
            </w:r>
          </w:p>
        </w:tc>
        <w:tc>
          <w:tcPr>
            <w:tcW w:w="873" w:type="pct"/>
            <w:noWrap w:val="0"/>
            <w:tcMar>
              <w:top w:w="0" w:type="dxa"/>
              <w:left w:w="0" w:type="dxa"/>
              <w:bottom w:w="0" w:type="dxa"/>
              <w:right w:w="0" w:type="dxa"/>
            </w:tcMar>
            <w:vAlign w:val="center"/>
          </w:tcPr>
          <w:p w14:paraId="0FC55A73">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责令停业整顿，直至改正违法行为，并处6.5万以上8.5万元以下罚款</w:t>
            </w:r>
          </w:p>
        </w:tc>
        <w:tc>
          <w:tcPr>
            <w:tcW w:w="158" w:type="pct"/>
            <w:vMerge w:val="continue"/>
            <w:noWrap w:val="0"/>
            <w:tcMar>
              <w:top w:w="0" w:type="dxa"/>
              <w:left w:w="0" w:type="dxa"/>
              <w:bottom w:w="0" w:type="dxa"/>
              <w:right w:w="0" w:type="dxa"/>
            </w:tcMar>
            <w:vAlign w:val="center"/>
          </w:tcPr>
          <w:p w14:paraId="077B95B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000D73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219" w:hRule="atLeast"/>
          <w:jc w:val="center"/>
        </w:trPr>
        <w:tc>
          <w:tcPr>
            <w:tcW w:w="156" w:type="pct"/>
            <w:vMerge w:val="continue"/>
            <w:noWrap w:val="0"/>
            <w:tcMar>
              <w:top w:w="0" w:type="dxa"/>
              <w:left w:w="0" w:type="dxa"/>
              <w:bottom w:w="0" w:type="dxa"/>
              <w:right w:w="0" w:type="dxa"/>
            </w:tcMar>
            <w:vAlign w:val="center"/>
          </w:tcPr>
          <w:p w14:paraId="1C3B556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412B1926">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7077060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391E5F7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7BC3847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严重</w:t>
            </w:r>
          </w:p>
        </w:tc>
        <w:tc>
          <w:tcPr>
            <w:tcW w:w="561" w:type="pct"/>
            <w:noWrap w:val="0"/>
            <w:tcMar>
              <w:top w:w="0" w:type="dxa"/>
              <w:left w:w="0" w:type="dxa"/>
              <w:bottom w:w="0" w:type="dxa"/>
              <w:right w:w="0" w:type="dxa"/>
            </w:tcMar>
            <w:vAlign w:val="center"/>
          </w:tcPr>
          <w:p w14:paraId="21175991">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检测不合格后投入使用或者投入使用后经检测不合格的</w:t>
            </w:r>
          </w:p>
        </w:tc>
        <w:tc>
          <w:tcPr>
            <w:tcW w:w="873" w:type="pct"/>
            <w:noWrap w:val="0"/>
            <w:tcMar>
              <w:top w:w="0" w:type="dxa"/>
              <w:left w:w="0" w:type="dxa"/>
              <w:bottom w:w="0" w:type="dxa"/>
              <w:right w:w="0" w:type="dxa"/>
            </w:tcMar>
            <w:vAlign w:val="center"/>
          </w:tcPr>
          <w:p w14:paraId="69759C4A">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责令停业整顿，直至改正违法行为，并处8.5万元以上10万元以下罚款</w:t>
            </w:r>
          </w:p>
        </w:tc>
        <w:tc>
          <w:tcPr>
            <w:tcW w:w="158" w:type="pct"/>
            <w:vMerge w:val="continue"/>
            <w:noWrap w:val="0"/>
            <w:tcMar>
              <w:top w:w="0" w:type="dxa"/>
              <w:left w:w="0" w:type="dxa"/>
              <w:bottom w:w="0" w:type="dxa"/>
              <w:right w:w="0" w:type="dxa"/>
            </w:tcMar>
            <w:vAlign w:val="center"/>
          </w:tcPr>
          <w:p w14:paraId="4AD73DD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7B9C3D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restart"/>
            <w:noWrap w:val="0"/>
            <w:tcMar>
              <w:top w:w="0" w:type="dxa"/>
              <w:left w:w="0" w:type="dxa"/>
              <w:bottom w:w="0" w:type="dxa"/>
              <w:right w:w="0" w:type="dxa"/>
            </w:tcMar>
            <w:vAlign w:val="center"/>
          </w:tcPr>
          <w:p w14:paraId="68649E9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r>
              <w:rPr>
                <w:rFonts w:hint="eastAsia" w:ascii="宋体" w:hAnsi="宋体" w:eastAsia="宋体" w:cs="宋体"/>
                <w:color w:val="000000"/>
                <w:sz w:val="18"/>
                <w:szCs w:val="18"/>
                <w:shd w:val="clear" w:color="auto" w:fill="auto"/>
                <w:vertAlign w:val="baseline"/>
                <w:lang w:val="en-US" w:eastAsia="zh-CN"/>
              </w:rPr>
              <w:t>115</w:t>
            </w:r>
          </w:p>
        </w:tc>
        <w:tc>
          <w:tcPr>
            <w:tcW w:w="415" w:type="pct"/>
            <w:vMerge w:val="restart"/>
            <w:noWrap w:val="0"/>
            <w:tcMar>
              <w:top w:w="0" w:type="dxa"/>
              <w:left w:w="0" w:type="dxa"/>
              <w:bottom w:w="0" w:type="dxa"/>
              <w:right w:w="0" w:type="dxa"/>
            </w:tcMar>
            <w:vAlign w:val="center"/>
          </w:tcPr>
          <w:p w14:paraId="13754274">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对水利领域施工起重机械和整体提升脚手架、模板等自升式架设设施安装、拆卸单位未编制拆装方案，未由专业技术人员现场监督等行为的行政处罚</w:t>
            </w:r>
          </w:p>
        </w:tc>
        <w:tc>
          <w:tcPr>
            <w:tcW w:w="2168" w:type="pct"/>
            <w:vMerge w:val="restart"/>
            <w:noWrap w:val="0"/>
            <w:tcMar>
              <w:top w:w="0" w:type="dxa"/>
              <w:left w:w="0" w:type="dxa"/>
              <w:bottom w:w="0" w:type="dxa"/>
              <w:right w:w="0" w:type="dxa"/>
            </w:tcMar>
            <w:vAlign w:val="center"/>
          </w:tcPr>
          <w:p w14:paraId="2A5D92B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《建设工程安全生产管理条例》第六十一条第一款 违反本条例的规定，施工起重机械和整体提升脚手架、模板等自升式架设设施安装、拆卸单位有下列行为之一的，责令限期改正，处5万元以上10万元以下的罚款；情节严重的，责令停业整顿，降低资质等级，直至吊销资质证书；造成损失的，依法承担赔偿责任：</w:t>
            </w:r>
          </w:p>
          <w:p w14:paraId="3EE07EE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（一）未编制拆装方案、制定安全施工措施的；</w:t>
            </w:r>
          </w:p>
          <w:p w14:paraId="5AFAC8E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（二）未由专业技术人员现场监督的；</w:t>
            </w:r>
          </w:p>
          <w:p w14:paraId="080DC89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（三）未出具自检合格证明或者出具虚假证明的；</w:t>
            </w:r>
          </w:p>
          <w:p w14:paraId="56E10E9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（四）未向施工单位进行安全使用说明，办理移交手续的。</w:t>
            </w:r>
          </w:p>
        </w:tc>
        <w:tc>
          <w:tcPr>
            <w:tcW w:w="491" w:type="pct"/>
            <w:vMerge w:val="restart"/>
            <w:noWrap w:val="0"/>
            <w:tcMar>
              <w:top w:w="0" w:type="dxa"/>
              <w:left w:w="0" w:type="dxa"/>
              <w:bottom w:w="0" w:type="dxa"/>
              <w:right w:w="0" w:type="dxa"/>
            </w:tcMar>
            <w:vAlign w:val="center"/>
          </w:tcPr>
          <w:p w14:paraId="1D449CE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水利领域施工起重机械和整体提升脚手架、模板等自升式架设设施安装、拆卸单位未编制拆装方案、制定安全施工措施的</w:t>
            </w:r>
          </w:p>
        </w:tc>
        <w:tc>
          <w:tcPr>
            <w:tcW w:w="174" w:type="pct"/>
            <w:noWrap w:val="0"/>
            <w:tcMar>
              <w:top w:w="0" w:type="dxa"/>
              <w:left w:w="0" w:type="dxa"/>
              <w:bottom w:w="0" w:type="dxa"/>
              <w:right w:w="0" w:type="dxa"/>
            </w:tcMar>
            <w:vAlign w:val="center"/>
          </w:tcPr>
          <w:p w14:paraId="556FC4F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轻微</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71C98A19">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04F0573C">
            <w:pPr>
              <w:spacing w:line="260" w:lineRule="exact"/>
              <w:rPr>
                <w:rFonts w:hint="eastAsia" w:ascii="宋体" w:hAnsi="宋体" w:eastAsia="宋体" w:cs="宋体"/>
                <w:color w:val="000000"/>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2AD04CD9">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38FCF1F6">
            <w:pPr>
              <w:spacing w:line="260" w:lineRule="exact"/>
              <w:rPr>
                <w:rFonts w:hint="eastAsia" w:ascii="宋体" w:hAnsi="宋体" w:eastAsia="宋体" w:cs="宋体"/>
                <w:color w:val="000000"/>
                <w:kern w:val="2"/>
                <w:sz w:val="18"/>
                <w:szCs w:val="18"/>
                <w:vertAlign w:val="baseline"/>
                <w:lang w:val="en-US" w:eastAsia="zh-CN" w:bidi="ar-SA"/>
              </w:rPr>
            </w:pPr>
          </w:p>
        </w:tc>
        <w:tc>
          <w:tcPr>
            <w:tcW w:w="158" w:type="pct"/>
            <w:vMerge w:val="restart"/>
            <w:noWrap w:val="0"/>
            <w:tcMar>
              <w:top w:w="0" w:type="dxa"/>
              <w:left w:w="0" w:type="dxa"/>
              <w:bottom w:w="0" w:type="dxa"/>
              <w:right w:w="0" w:type="dxa"/>
            </w:tcMar>
            <w:vAlign w:val="center"/>
          </w:tcPr>
          <w:p w14:paraId="21535D0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5C387F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5689F5E0">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3A5F08A6">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68D6F0C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4244AB3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6EBA0D7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较轻</w:t>
            </w:r>
          </w:p>
        </w:tc>
        <w:tc>
          <w:tcPr>
            <w:tcW w:w="561" w:type="pct"/>
            <w:noWrap w:val="0"/>
            <w:tcMar>
              <w:top w:w="0" w:type="dxa"/>
              <w:left w:w="0" w:type="dxa"/>
              <w:bottom w:w="0" w:type="dxa"/>
              <w:right w:w="0" w:type="dxa"/>
            </w:tcMar>
            <w:vAlign w:val="center"/>
          </w:tcPr>
          <w:p w14:paraId="6A348BE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及时改正的</w:t>
            </w:r>
          </w:p>
        </w:tc>
        <w:tc>
          <w:tcPr>
            <w:tcW w:w="873" w:type="pct"/>
            <w:noWrap w:val="0"/>
            <w:tcMar>
              <w:top w:w="0" w:type="dxa"/>
              <w:left w:w="0" w:type="dxa"/>
              <w:bottom w:w="0" w:type="dxa"/>
              <w:right w:w="0" w:type="dxa"/>
            </w:tcMar>
            <w:vAlign w:val="center"/>
          </w:tcPr>
          <w:p w14:paraId="189BF27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处5万元以上7万元以下的罚款</w:t>
            </w:r>
          </w:p>
        </w:tc>
        <w:tc>
          <w:tcPr>
            <w:tcW w:w="158" w:type="pct"/>
            <w:vMerge w:val="continue"/>
            <w:noWrap w:val="0"/>
            <w:tcMar>
              <w:top w:w="0" w:type="dxa"/>
              <w:left w:w="0" w:type="dxa"/>
              <w:bottom w:w="0" w:type="dxa"/>
              <w:right w:w="0" w:type="dxa"/>
            </w:tcMar>
            <w:vAlign w:val="center"/>
          </w:tcPr>
          <w:p w14:paraId="365F1A40">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65FC54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17" w:hRule="atLeast"/>
          <w:jc w:val="center"/>
        </w:trPr>
        <w:tc>
          <w:tcPr>
            <w:tcW w:w="156" w:type="pct"/>
            <w:vMerge w:val="continue"/>
            <w:noWrap w:val="0"/>
            <w:tcMar>
              <w:top w:w="0" w:type="dxa"/>
              <w:left w:w="0" w:type="dxa"/>
              <w:bottom w:w="0" w:type="dxa"/>
              <w:right w:w="0" w:type="dxa"/>
            </w:tcMar>
            <w:vAlign w:val="center"/>
          </w:tcPr>
          <w:p w14:paraId="6A71963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30CD5698">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0E47492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19D0E3D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0A089FF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一般</w:t>
            </w:r>
          </w:p>
        </w:tc>
        <w:tc>
          <w:tcPr>
            <w:tcW w:w="561" w:type="pct"/>
            <w:noWrap w:val="0"/>
            <w:tcMar>
              <w:top w:w="0" w:type="dxa"/>
              <w:left w:w="0" w:type="dxa"/>
              <w:bottom w:w="0" w:type="dxa"/>
              <w:right w:w="0" w:type="dxa"/>
            </w:tcMar>
            <w:vAlign w:val="center"/>
          </w:tcPr>
          <w:p w14:paraId="5F24ABC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未在规定期限内改正的；造成一般事故或其他危害后果的</w:t>
            </w:r>
          </w:p>
        </w:tc>
        <w:tc>
          <w:tcPr>
            <w:tcW w:w="873" w:type="pct"/>
            <w:noWrap w:val="0"/>
            <w:tcMar>
              <w:top w:w="0" w:type="dxa"/>
              <w:left w:w="0" w:type="dxa"/>
              <w:bottom w:w="0" w:type="dxa"/>
              <w:right w:w="0" w:type="dxa"/>
            </w:tcMar>
            <w:vAlign w:val="center"/>
          </w:tcPr>
          <w:p w14:paraId="25D9097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处7万元以上10万元以下的罚款</w:t>
            </w:r>
          </w:p>
        </w:tc>
        <w:tc>
          <w:tcPr>
            <w:tcW w:w="158" w:type="pct"/>
            <w:vMerge w:val="continue"/>
            <w:noWrap w:val="0"/>
            <w:tcMar>
              <w:top w:w="0" w:type="dxa"/>
              <w:left w:w="0" w:type="dxa"/>
              <w:bottom w:w="0" w:type="dxa"/>
              <w:right w:w="0" w:type="dxa"/>
            </w:tcMar>
            <w:vAlign w:val="center"/>
          </w:tcPr>
          <w:p w14:paraId="5E3A22F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4488C2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733" w:hRule="atLeast"/>
          <w:jc w:val="center"/>
        </w:trPr>
        <w:tc>
          <w:tcPr>
            <w:tcW w:w="156" w:type="pct"/>
            <w:vMerge w:val="continue"/>
            <w:noWrap w:val="0"/>
            <w:tcMar>
              <w:top w:w="0" w:type="dxa"/>
              <w:left w:w="0" w:type="dxa"/>
              <w:bottom w:w="0" w:type="dxa"/>
              <w:right w:w="0" w:type="dxa"/>
            </w:tcMar>
            <w:vAlign w:val="center"/>
          </w:tcPr>
          <w:p w14:paraId="35602E8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002C0DBA">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27E8946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64D0EC2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vMerge w:val="restart"/>
            <w:noWrap w:val="0"/>
            <w:tcMar>
              <w:top w:w="0" w:type="dxa"/>
              <w:left w:w="0" w:type="dxa"/>
              <w:bottom w:w="0" w:type="dxa"/>
              <w:right w:w="0" w:type="dxa"/>
            </w:tcMar>
            <w:vAlign w:val="center"/>
          </w:tcPr>
          <w:p w14:paraId="2880C4F0">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较重</w:t>
            </w:r>
          </w:p>
        </w:tc>
        <w:tc>
          <w:tcPr>
            <w:tcW w:w="561" w:type="pct"/>
            <w:noWrap w:val="0"/>
            <w:tcMar>
              <w:top w:w="0" w:type="dxa"/>
              <w:left w:w="0" w:type="dxa"/>
              <w:bottom w:w="0" w:type="dxa"/>
              <w:right w:w="0" w:type="dxa"/>
            </w:tcMar>
            <w:vAlign w:val="center"/>
          </w:tcPr>
          <w:p w14:paraId="41E6685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造成多于3人少于5人死亡；或者多于10人少于20人重伤；或者多于1000万元少于2000万元直接经济损失</w:t>
            </w:r>
          </w:p>
        </w:tc>
        <w:tc>
          <w:tcPr>
            <w:tcW w:w="873" w:type="pct"/>
            <w:noWrap w:val="0"/>
            <w:tcMar>
              <w:top w:w="0" w:type="dxa"/>
              <w:left w:w="0" w:type="dxa"/>
              <w:bottom w:w="0" w:type="dxa"/>
              <w:right w:w="0" w:type="dxa"/>
            </w:tcMar>
            <w:vAlign w:val="center"/>
          </w:tcPr>
          <w:p w14:paraId="28AB6437">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处10万元的罚款；责令停业整顿60-90日</w:t>
            </w:r>
          </w:p>
        </w:tc>
        <w:tc>
          <w:tcPr>
            <w:tcW w:w="158" w:type="pct"/>
            <w:vMerge w:val="continue"/>
            <w:noWrap w:val="0"/>
            <w:tcMar>
              <w:top w:w="0" w:type="dxa"/>
              <w:left w:w="0" w:type="dxa"/>
              <w:bottom w:w="0" w:type="dxa"/>
              <w:right w:w="0" w:type="dxa"/>
            </w:tcMar>
            <w:vAlign w:val="center"/>
          </w:tcPr>
          <w:p w14:paraId="68AC589C">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07C569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730" w:hRule="atLeast"/>
          <w:jc w:val="center"/>
        </w:trPr>
        <w:tc>
          <w:tcPr>
            <w:tcW w:w="156" w:type="pct"/>
            <w:vMerge w:val="continue"/>
            <w:noWrap w:val="0"/>
            <w:tcMar>
              <w:top w:w="0" w:type="dxa"/>
              <w:left w:w="0" w:type="dxa"/>
              <w:bottom w:w="0" w:type="dxa"/>
              <w:right w:w="0" w:type="dxa"/>
            </w:tcMar>
            <w:vAlign w:val="center"/>
          </w:tcPr>
          <w:p w14:paraId="5E3D101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64B2BA08">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61DD8C7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0852B29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vMerge w:val="continue"/>
            <w:noWrap w:val="0"/>
            <w:tcMar>
              <w:top w:w="0" w:type="dxa"/>
              <w:left w:w="0" w:type="dxa"/>
              <w:bottom w:w="0" w:type="dxa"/>
              <w:right w:w="0" w:type="dxa"/>
            </w:tcMar>
            <w:vAlign w:val="center"/>
          </w:tcPr>
          <w:p w14:paraId="7F5051A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p>
        </w:tc>
        <w:tc>
          <w:tcPr>
            <w:tcW w:w="561" w:type="pct"/>
            <w:noWrap w:val="0"/>
            <w:tcMar>
              <w:top w:w="0" w:type="dxa"/>
              <w:left w:w="0" w:type="dxa"/>
              <w:bottom w:w="0" w:type="dxa"/>
              <w:right w:w="0" w:type="dxa"/>
            </w:tcMar>
            <w:vAlign w:val="center"/>
          </w:tcPr>
          <w:p w14:paraId="5D53E2D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造成多于5人少于7人死亡；或者多于20人少于30人重伤；或者多于2000万元少于3000万元直接经济损失</w:t>
            </w:r>
          </w:p>
        </w:tc>
        <w:tc>
          <w:tcPr>
            <w:tcW w:w="873" w:type="pct"/>
            <w:noWrap w:val="0"/>
            <w:tcMar>
              <w:top w:w="0" w:type="dxa"/>
              <w:left w:w="0" w:type="dxa"/>
              <w:bottom w:w="0" w:type="dxa"/>
              <w:right w:w="0" w:type="dxa"/>
            </w:tcMar>
            <w:vAlign w:val="center"/>
          </w:tcPr>
          <w:p w14:paraId="2F551A7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处10万元的罚款；责令停业整顿90-120日</w:t>
            </w:r>
          </w:p>
        </w:tc>
        <w:tc>
          <w:tcPr>
            <w:tcW w:w="158" w:type="pct"/>
            <w:vMerge w:val="continue"/>
            <w:noWrap w:val="0"/>
            <w:tcMar>
              <w:top w:w="0" w:type="dxa"/>
              <w:left w:w="0" w:type="dxa"/>
              <w:bottom w:w="0" w:type="dxa"/>
              <w:right w:w="0" w:type="dxa"/>
            </w:tcMar>
            <w:vAlign w:val="center"/>
          </w:tcPr>
          <w:p w14:paraId="7B571FA8">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5A1B80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730" w:hRule="atLeast"/>
          <w:jc w:val="center"/>
        </w:trPr>
        <w:tc>
          <w:tcPr>
            <w:tcW w:w="156" w:type="pct"/>
            <w:vMerge w:val="continue"/>
            <w:noWrap w:val="0"/>
            <w:tcMar>
              <w:top w:w="0" w:type="dxa"/>
              <w:left w:w="0" w:type="dxa"/>
              <w:bottom w:w="0" w:type="dxa"/>
              <w:right w:w="0" w:type="dxa"/>
            </w:tcMar>
            <w:vAlign w:val="center"/>
          </w:tcPr>
          <w:p w14:paraId="1D59221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5A13335D">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1EB7AFFC">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205C4E8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vMerge w:val="continue"/>
            <w:noWrap w:val="0"/>
            <w:tcMar>
              <w:top w:w="0" w:type="dxa"/>
              <w:left w:w="0" w:type="dxa"/>
              <w:bottom w:w="0" w:type="dxa"/>
              <w:right w:w="0" w:type="dxa"/>
            </w:tcMar>
            <w:vAlign w:val="center"/>
          </w:tcPr>
          <w:p w14:paraId="2F3DE0C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p>
        </w:tc>
        <w:tc>
          <w:tcPr>
            <w:tcW w:w="561" w:type="pct"/>
            <w:noWrap w:val="0"/>
            <w:tcMar>
              <w:top w:w="0" w:type="dxa"/>
              <w:left w:w="0" w:type="dxa"/>
              <w:bottom w:w="0" w:type="dxa"/>
              <w:right w:w="0" w:type="dxa"/>
            </w:tcMar>
            <w:vAlign w:val="center"/>
          </w:tcPr>
          <w:p w14:paraId="112D5C7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造成多于7人少于10人死亡；或者多于30人少于50人重伤；或者多于3000万元少于5000万元直接经济损失</w:t>
            </w:r>
          </w:p>
        </w:tc>
        <w:tc>
          <w:tcPr>
            <w:tcW w:w="873" w:type="pct"/>
            <w:noWrap w:val="0"/>
            <w:tcMar>
              <w:top w:w="0" w:type="dxa"/>
              <w:left w:w="0" w:type="dxa"/>
              <w:bottom w:w="0" w:type="dxa"/>
              <w:right w:w="0" w:type="dxa"/>
            </w:tcMar>
            <w:vAlign w:val="center"/>
          </w:tcPr>
          <w:p w14:paraId="41FD873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处10万元的罚款；责令停业整顿120-180日</w:t>
            </w:r>
          </w:p>
        </w:tc>
        <w:tc>
          <w:tcPr>
            <w:tcW w:w="158" w:type="pct"/>
            <w:vMerge w:val="continue"/>
            <w:noWrap w:val="0"/>
            <w:tcMar>
              <w:top w:w="0" w:type="dxa"/>
              <w:left w:w="0" w:type="dxa"/>
              <w:bottom w:w="0" w:type="dxa"/>
              <w:right w:w="0" w:type="dxa"/>
            </w:tcMar>
            <w:vAlign w:val="center"/>
          </w:tcPr>
          <w:p w14:paraId="4108E0D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5DE66D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7956E3E9">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4EF6B41A">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0FE958D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4DF3076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vMerge w:val="restart"/>
            <w:noWrap w:val="0"/>
            <w:tcMar>
              <w:top w:w="0" w:type="dxa"/>
              <w:left w:w="0" w:type="dxa"/>
              <w:bottom w:w="0" w:type="dxa"/>
              <w:right w:w="0" w:type="dxa"/>
            </w:tcMar>
            <w:vAlign w:val="center"/>
          </w:tcPr>
          <w:p w14:paraId="5FDE437C">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严重</w:t>
            </w:r>
          </w:p>
        </w:tc>
        <w:tc>
          <w:tcPr>
            <w:tcW w:w="561" w:type="pct"/>
            <w:noWrap w:val="0"/>
            <w:tcMar>
              <w:top w:w="0" w:type="dxa"/>
              <w:left w:w="0" w:type="dxa"/>
              <w:bottom w:w="0" w:type="dxa"/>
              <w:right w:w="0" w:type="dxa"/>
            </w:tcMar>
            <w:vAlign w:val="center"/>
          </w:tcPr>
          <w:p w14:paraId="316B7ED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造成重大安全事故</w:t>
            </w:r>
          </w:p>
        </w:tc>
        <w:tc>
          <w:tcPr>
            <w:tcW w:w="873" w:type="pct"/>
            <w:noWrap w:val="0"/>
            <w:tcMar>
              <w:top w:w="0" w:type="dxa"/>
              <w:left w:w="0" w:type="dxa"/>
              <w:bottom w:w="0" w:type="dxa"/>
              <w:right w:w="0" w:type="dxa"/>
            </w:tcMar>
            <w:vAlign w:val="center"/>
          </w:tcPr>
          <w:p w14:paraId="6B534A6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处10万元的罚款；降低资质等级</w:t>
            </w:r>
          </w:p>
        </w:tc>
        <w:tc>
          <w:tcPr>
            <w:tcW w:w="158" w:type="pct"/>
            <w:vMerge w:val="continue"/>
            <w:noWrap w:val="0"/>
            <w:tcMar>
              <w:top w:w="0" w:type="dxa"/>
              <w:left w:w="0" w:type="dxa"/>
              <w:bottom w:w="0" w:type="dxa"/>
              <w:right w:w="0" w:type="dxa"/>
            </w:tcMar>
            <w:vAlign w:val="center"/>
          </w:tcPr>
          <w:p w14:paraId="00679E2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0186ED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62" w:hRule="atLeast"/>
          <w:jc w:val="center"/>
        </w:trPr>
        <w:tc>
          <w:tcPr>
            <w:tcW w:w="156" w:type="pct"/>
            <w:vMerge w:val="continue"/>
            <w:noWrap w:val="0"/>
            <w:tcMar>
              <w:top w:w="0" w:type="dxa"/>
              <w:left w:w="0" w:type="dxa"/>
              <w:bottom w:w="0" w:type="dxa"/>
              <w:right w:w="0" w:type="dxa"/>
            </w:tcMar>
            <w:vAlign w:val="center"/>
          </w:tcPr>
          <w:p w14:paraId="5D86913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251803E2">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5090C79C">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566EA2B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vMerge w:val="continue"/>
            <w:noWrap w:val="0"/>
            <w:tcMar>
              <w:top w:w="0" w:type="dxa"/>
              <w:left w:w="0" w:type="dxa"/>
              <w:bottom w:w="0" w:type="dxa"/>
              <w:right w:w="0" w:type="dxa"/>
            </w:tcMar>
            <w:vAlign w:val="center"/>
          </w:tcPr>
          <w:p w14:paraId="75384EC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p>
        </w:tc>
        <w:tc>
          <w:tcPr>
            <w:tcW w:w="561" w:type="pct"/>
            <w:noWrap w:val="0"/>
            <w:tcMar>
              <w:top w:w="0" w:type="dxa"/>
              <w:left w:w="0" w:type="dxa"/>
              <w:bottom w:w="0" w:type="dxa"/>
              <w:right w:w="0" w:type="dxa"/>
            </w:tcMar>
            <w:vAlign w:val="center"/>
          </w:tcPr>
          <w:p w14:paraId="6080ED3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造成特别重大安全事故</w:t>
            </w:r>
          </w:p>
        </w:tc>
        <w:tc>
          <w:tcPr>
            <w:tcW w:w="873" w:type="pct"/>
            <w:noWrap w:val="0"/>
            <w:tcMar>
              <w:top w:w="0" w:type="dxa"/>
              <w:left w:w="0" w:type="dxa"/>
              <w:bottom w:w="0" w:type="dxa"/>
              <w:right w:w="0" w:type="dxa"/>
            </w:tcMar>
            <w:vAlign w:val="center"/>
          </w:tcPr>
          <w:p w14:paraId="169AA9B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处10万元的罚款；吊销资质证书</w:t>
            </w:r>
          </w:p>
        </w:tc>
        <w:tc>
          <w:tcPr>
            <w:tcW w:w="158" w:type="pct"/>
            <w:vMerge w:val="continue"/>
            <w:noWrap w:val="0"/>
            <w:tcMar>
              <w:top w:w="0" w:type="dxa"/>
              <w:left w:w="0" w:type="dxa"/>
              <w:bottom w:w="0" w:type="dxa"/>
              <w:right w:w="0" w:type="dxa"/>
            </w:tcMar>
            <w:vAlign w:val="center"/>
          </w:tcPr>
          <w:p w14:paraId="157D509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3DF1A5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63B4604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2A0019CD">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66C7518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restart"/>
            <w:noWrap w:val="0"/>
            <w:tcMar>
              <w:top w:w="0" w:type="dxa"/>
              <w:left w:w="0" w:type="dxa"/>
              <w:bottom w:w="0" w:type="dxa"/>
              <w:right w:w="0" w:type="dxa"/>
            </w:tcMar>
            <w:vAlign w:val="center"/>
          </w:tcPr>
          <w:p w14:paraId="03F9C19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施工起重机械和整体提升脚手架、模板等自升式架设设施安装、拆卸单位未由专业技术人员现场监督的</w:t>
            </w:r>
          </w:p>
        </w:tc>
        <w:tc>
          <w:tcPr>
            <w:tcW w:w="174" w:type="pct"/>
            <w:noWrap w:val="0"/>
            <w:tcMar>
              <w:top w:w="0" w:type="dxa"/>
              <w:left w:w="0" w:type="dxa"/>
              <w:bottom w:w="0" w:type="dxa"/>
              <w:right w:w="0" w:type="dxa"/>
            </w:tcMar>
            <w:vAlign w:val="center"/>
          </w:tcPr>
          <w:p w14:paraId="3F076F0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轻微</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6930A052">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4D1DCDE4">
            <w:pPr>
              <w:spacing w:line="260" w:lineRule="exact"/>
              <w:rPr>
                <w:rFonts w:hint="eastAsia" w:ascii="宋体" w:hAnsi="宋体" w:eastAsia="宋体" w:cs="宋体"/>
                <w:color w:val="000000"/>
                <w:sz w:val="18"/>
                <w:szCs w:val="18"/>
                <w:vertAlign w:val="baseline"/>
                <w:lang w:val="en-US" w:eastAsia="zh-CN"/>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54161DD9">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4F3C6070">
            <w:pPr>
              <w:spacing w:line="260" w:lineRule="exact"/>
              <w:rPr>
                <w:rFonts w:hint="eastAsia" w:ascii="宋体" w:hAnsi="宋体" w:eastAsia="宋体" w:cs="宋体"/>
                <w:color w:val="000000"/>
                <w:kern w:val="2"/>
                <w:sz w:val="18"/>
                <w:szCs w:val="18"/>
                <w:vertAlign w:val="baseline"/>
                <w:lang w:val="en-US" w:eastAsia="zh-CN" w:bidi="ar-SA"/>
              </w:rPr>
            </w:pPr>
          </w:p>
        </w:tc>
        <w:tc>
          <w:tcPr>
            <w:tcW w:w="158" w:type="pct"/>
            <w:vMerge w:val="restart"/>
            <w:noWrap w:val="0"/>
            <w:tcMar>
              <w:top w:w="0" w:type="dxa"/>
              <w:left w:w="0" w:type="dxa"/>
              <w:bottom w:w="0" w:type="dxa"/>
              <w:right w:w="0" w:type="dxa"/>
            </w:tcMar>
            <w:vAlign w:val="center"/>
          </w:tcPr>
          <w:p w14:paraId="73D7CC8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3F046C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085739A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0D49D09D">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275C3394">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7F32D9D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14D9F2D5">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较轻</w:t>
            </w:r>
          </w:p>
        </w:tc>
        <w:tc>
          <w:tcPr>
            <w:tcW w:w="561" w:type="pct"/>
            <w:noWrap w:val="0"/>
            <w:tcMar>
              <w:top w:w="0" w:type="dxa"/>
              <w:left w:w="0" w:type="dxa"/>
              <w:bottom w:w="0" w:type="dxa"/>
              <w:right w:w="0" w:type="dxa"/>
            </w:tcMar>
            <w:vAlign w:val="center"/>
          </w:tcPr>
          <w:p w14:paraId="09D3818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及时改正的</w:t>
            </w:r>
          </w:p>
        </w:tc>
        <w:tc>
          <w:tcPr>
            <w:tcW w:w="873" w:type="pct"/>
            <w:noWrap w:val="0"/>
            <w:tcMar>
              <w:top w:w="0" w:type="dxa"/>
              <w:left w:w="0" w:type="dxa"/>
              <w:bottom w:w="0" w:type="dxa"/>
              <w:right w:w="0" w:type="dxa"/>
            </w:tcMar>
            <w:vAlign w:val="center"/>
          </w:tcPr>
          <w:p w14:paraId="5C49296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处5万元以上7万元以下的罚款</w:t>
            </w:r>
          </w:p>
        </w:tc>
        <w:tc>
          <w:tcPr>
            <w:tcW w:w="158" w:type="pct"/>
            <w:vMerge w:val="continue"/>
            <w:noWrap w:val="0"/>
            <w:tcMar>
              <w:top w:w="0" w:type="dxa"/>
              <w:left w:w="0" w:type="dxa"/>
              <w:bottom w:w="0" w:type="dxa"/>
              <w:right w:w="0" w:type="dxa"/>
            </w:tcMar>
            <w:vAlign w:val="center"/>
          </w:tcPr>
          <w:p w14:paraId="251C80E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6D89B4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55" w:hRule="atLeast"/>
          <w:jc w:val="center"/>
        </w:trPr>
        <w:tc>
          <w:tcPr>
            <w:tcW w:w="156" w:type="pct"/>
            <w:vMerge w:val="continue"/>
            <w:noWrap w:val="0"/>
            <w:tcMar>
              <w:top w:w="0" w:type="dxa"/>
              <w:left w:w="0" w:type="dxa"/>
              <w:bottom w:w="0" w:type="dxa"/>
              <w:right w:w="0" w:type="dxa"/>
            </w:tcMar>
            <w:vAlign w:val="center"/>
          </w:tcPr>
          <w:p w14:paraId="360B470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63670205">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0319880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4A0F808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51BF376C">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一般</w:t>
            </w:r>
          </w:p>
        </w:tc>
        <w:tc>
          <w:tcPr>
            <w:tcW w:w="561" w:type="pct"/>
            <w:noWrap w:val="0"/>
            <w:tcMar>
              <w:top w:w="0" w:type="dxa"/>
              <w:left w:w="0" w:type="dxa"/>
              <w:bottom w:w="0" w:type="dxa"/>
              <w:right w:w="0" w:type="dxa"/>
            </w:tcMar>
            <w:vAlign w:val="center"/>
          </w:tcPr>
          <w:p w14:paraId="3B2BC18C">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未在规定期限内改正的；造成一般事故或其他危害后果的</w:t>
            </w:r>
          </w:p>
        </w:tc>
        <w:tc>
          <w:tcPr>
            <w:tcW w:w="873" w:type="pct"/>
            <w:noWrap w:val="0"/>
            <w:tcMar>
              <w:top w:w="0" w:type="dxa"/>
              <w:left w:w="0" w:type="dxa"/>
              <w:bottom w:w="0" w:type="dxa"/>
              <w:right w:w="0" w:type="dxa"/>
            </w:tcMar>
            <w:vAlign w:val="center"/>
          </w:tcPr>
          <w:p w14:paraId="3B4D3734">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处7万元以上10万元以下的罚款</w:t>
            </w:r>
          </w:p>
        </w:tc>
        <w:tc>
          <w:tcPr>
            <w:tcW w:w="158" w:type="pct"/>
            <w:vMerge w:val="continue"/>
            <w:noWrap w:val="0"/>
            <w:tcMar>
              <w:top w:w="0" w:type="dxa"/>
              <w:left w:w="0" w:type="dxa"/>
              <w:bottom w:w="0" w:type="dxa"/>
              <w:right w:w="0" w:type="dxa"/>
            </w:tcMar>
            <w:vAlign w:val="center"/>
          </w:tcPr>
          <w:p w14:paraId="46354108">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09F09E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761" w:hRule="atLeast"/>
          <w:jc w:val="center"/>
        </w:trPr>
        <w:tc>
          <w:tcPr>
            <w:tcW w:w="156" w:type="pct"/>
            <w:vMerge w:val="continue"/>
            <w:noWrap w:val="0"/>
            <w:tcMar>
              <w:top w:w="0" w:type="dxa"/>
              <w:left w:w="0" w:type="dxa"/>
              <w:bottom w:w="0" w:type="dxa"/>
              <w:right w:w="0" w:type="dxa"/>
            </w:tcMar>
            <w:vAlign w:val="center"/>
          </w:tcPr>
          <w:p w14:paraId="08AE953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516C3407">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6BF8E8D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1F19C0B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vMerge w:val="restart"/>
            <w:noWrap w:val="0"/>
            <w:tcMar>
              <w:top w:w="0" w:type="dxa"/>
              <w:left w:w="0" w:type="dxa"/>
              <w:bottom w:w="0" w:type="dxa"/>
              <w:right w:w="0" w:type="dxa"/>
            </w:tcMar>
            <w:vAlign w:val="center"/>
          </w:tcPr>
          <w:p w14:paraId="48E02459">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较重</w:t>
            </w:r>
          </w:p>
        </w:tc>
        <w:tc>
          <w:tcPr>
            <w:tcW w:w="561" w:type="pct"/>
            <w:noWrap w:val="0"/>
            <w:tcMar>
              <w:top w:w="0" w:type="dxa"/>
              <w:left w:w="0" w:type="dxa"/>
              <w:bottom w:w="0" w:type="dxa"/>
              <w:right w:w="0" w:type="dxa"/>
            </w:tcMar>
            <w:vAlign w:val="center"/>
          </w:tcPr>
          <w:p w14:paraId="43DB7506">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造成多于3人少于5人死亡；或者多于10人少于20 人重伤；或者多于1000万元少于2000万元直接经济损失</w:t>
            </w:r>
          </w:p>
        </w:tc>
        <w:tc>
          <w:tcPr>
            <w:tcW w:w="873" w:type="pct"/>
            <w:noWrap w:val="0"/>
            <w:tcMar>
              <w:top w:w="0" w:type="dxa"/>
              <w:left w:w="0" w:type="dxa"/>
              <w:bottom w:w="0" w:type="dxa"/>
              <w:right w:w="0" w:type="dxa"/>
            </w:tcMar>
            <w:vAlign w:val="center"/>
          </w:tcPr>
          <w:p w14:paraId="2AEEE72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处10万元的罚款；责令停业整顿60-90日</w:t>
            </w:r>
          </w:p>
        </w:tc>
        <w:tc>
          <w:tcPr>
            <w:tcW w:w="158" w:type="pct"/>
            <w:vMerge w:val="continue"/>
            <w:noWrap w:val="0"/>
            <w:tcMar>
              <w:top w:w="0" w:type="dxa"/>
              <w:left w:w="0" w:type="dxa"/>
              <w:bottom w:w="0" w:type="dxa"/>
              <w:right w:w="0" w:type="dxa"/>
            </w:tcMar>
            <w:vAlign w:val="center"/>
          </w:tcPr>
          <w:p w14:paraId="66B5E25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1C04E2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818" w:hRule="atLeast"/>
          <w:jc w:val="center"/>
        </w:trPr>
        <w:tc>
          <w:tcPr>
            <w:tcW w:w="156" w:type="pct"/>
            <w:vMerge w:val="continue"/>
            <w:noWrap w:val="0"/>
            <w:tcMar>
              <w:top w:w="0" w:type="dxa"/>
              <w:left w:w="0" w:type="dxa"/>
              <w:bottom w:w="0" w:type="dxa"/>
              <w:right w:w="0" w:type="dxa"/>
            </w:tcMar>
            <w:vAlign w:val="center"/>
          </w:tcPr>
          <w:p w14:paraId="0A626A81">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293755BA">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1D6B1DA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7DE14537">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vMerge w:val="continue"/>
            <w:noWrap w:val="0"/>
            <w:tcMar>
              <w:top w:w="0" w:type="dxa"/>
              <w:left w:w="0" w:type="dxa"/>
              <w:bottom w:w="0" w:type="dxa"/>
              <w:right w:w="0" w:type="dxa"/>
            </w:tcMar>
            <w:vAlign w:val="center"/>
          </w:tcPr>
          <w:p w14:paraId="00AAA52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p>
        </w:tc>
        <w:tc>
          <w:tcPr>
            <w:tcW w:w="561" w:type="pct"/>
            <w:noWrap w:val="0"/>
            <w:tcMar>
              <w:top w:w="0" w:type="dxa"/>
              <w:left w:w="0" w:type="dxa"/>
              <w:bottom w:w="0" w:type="dxa"/>
              <w:right w:w="0" w:type="dxa"/>
            </w:tcMar>
            <w:vAlign w:val="center"/>
          </w:tcPr>
          <w:p w14:paraId="42D03048">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造成多于5人少于7人死亡；或者多于20人少于30人重伤；或者多于2000万元少于3000万元直接经济损失</w:t>
            </w:r>
          </w:p>
        </w:tc>
        <w:tc>
          <w:tcPr>
            <w:tcW w:w="873" w:type="pct"/>
            <w:noWrap w:val="0"/>
            <w:tcMar>
              <w:top w:w="0" w:type="dxa"/>
              <w:left w:w="0" w:type="dxa"/>
              <w:bottom w:w="0" w:type="dxa"/>
              <w:right w:w="0" w:type="dxa"/>
            </w:tcMar>
            <w:vAlign w:val="center"/>
          </w:tcPr>
          <w:p w14:paraId="5049D15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处10万元的罚款；责令停业整顿90-120日</w:t>
            </w:r>
          </w:p>
        </w:tc>
        <w:tc>
          <w:tcPr>
            <w:tcW w:w="158" w:type="pct"/>
            <w:vMerge w:val="continue"/>
            <w:noWrap w:val="0"/>
            <w:tcMar>
              <w:top w:w="0" w:type="dxa"/>
              <w:left w:w="0" w:type="dxa"/>
              <w:bottom w:w="0" w:type="dxa"/>
              <w:right w:w="0" w:type="dxa"/>
            </w:tcMar>
            <w:vAlign w:val="center"/>
          </w:tcPr>
          <w:p w14:paraId="4F6A15E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6BCF6E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43DED851">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4777D6F3">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73C05D4C">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0FDA991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vMerge w:val="continue"/>
            <w:noWrap w:val="0"/>
            <w:tcMar>
              <w:top w:w="0" w:type="dxa"/>
              <w:left w:w="0" w:type="dxa"/>
              <w:bottom w:w="0" w:type="dxa"/>
              <w:right w:w="0" w:type="dxa"/>
            </w:tcMar>
            <w:vAlign w:val="center"/>
          </w:tcPr>
          <w:p w14:paraId="1C5730C9">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p>
        </w:tc>
        <w:tc>
          <w:tcPr>
            <w:tcW w:w="561" w:type="pct"/>
            <w:noWrap w:val="0"/>
            <w:tcMar>
              <w:top w:w="0" w:type="dxa"/>
              <w:left w:w="0" w:type="dxa"/>
              <w:bottom w:w="0" w:type="dxa"/>
              <w:right w:w="0" w:type="dxa"/>
            </w:tcMar>
            <w:vAlign w:val="center"/>
          </w:tcPr>
          <w:p w14:paraId="005AB905">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造成多于7人少于10人死亡；或者多于30人少于50</w:t>
            </w:r>
          </w:p>
          <w:p w14:paraId="2175D67F">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人重伤；或者多于3000万元少于5000万元直接经济损失</w:t>
            </w:r>
          </w:p>
        </w:tc>
        <w:tc>
          <w:tcPr>
            <w:tcW w:w="873" w:type="pct"/>
            <w:noWrap w:val="0"/>
            <w:tcMar>
              <w:top w:w="0" w:type="dxa"/>
              <w:left w:w="0" w:type="dxa"/>
              <w:bottom w:w="0" w:type="dxa"/>
              <w:right w:w="0" w:type="dxa"/>
            </w:tcMar>
            <w:vAlign w:val="center"/>
          </w:tcPr>
          <w:p w14:paraId="5472573C">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处10万元的罚款；责令停业整顿120-180日</w:t>
            </w:r>
          </w:p>
        </w:tc>
        <w:tc>
          <w:tcPr>
            <w:tcW w:w="158" w:type="pct"/>
            <w:vMerge w:val="continue"/>
            <w:noWrap w:val="0"/>
            <w:tcMar>
              <w:top w:w="0" w:type="dxa"/>
              <w:left w:w="0" w:type="dxa"/>
              <w:bottom w:w="0" w:type="dxa"/>
              <w:right w:w="0" w:type="dxa"/>
            </w:tcMar>
            <w:vAlign w:val="center"/>
          </w:tcPr>
          <w:p w14:paraId="446EF6AA">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5D71B2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67" w:hRule="atLeast"/>
          <w:jc w:val="center"/>
        </w:trPr>
        <w:tc>
          <w:tcPr>
            <w:tcW w:w="156" w:type="pct"/>
            <w:vMerge w:val="continue"/>
            <w:noWrap w:val="0"/>
            <w:tcMar>
              <w:top w:w="0" w:type="dxa"/>
              <w:left w:w="0" w:type="dxa"/>
              <w:bottom w:w="0" w:type="dxa"/>
              <w:right w:w="0" w:type="dxa"/>
            </w:tcMar>
            <w:vAlign w:val="center"/>
          </w:tcPr>
          <w:p w14:paraId="329B23CB">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5CB8C5E8">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2DAAD47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07A0D73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vMerge w:val="restart"/>
            <w:noWrap w:val="0"/>
            <w:tcMar>
              <w:top w:w="0" w:type="dxa"/>
              <w:left w:w="0" w:type="dxa"/>
              <w:bottom w:w="0" w:type="dxa"/>
              <w:right w:w="0" w:type="dxa"/>
            </w:tcMar>
            <w:vAlign w:val="center"/>
          </w:tcPr>
          <w:p w14:paraId="7B60732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r>
              <w:rPr>
                <w:rFonts w:hint="eastAsia" w:ascii="宋体" w:hAnsi="宋体" w:eastAsia="宋体" w:cs="宋体"/>
                <w:sz w:val="18"/>
                <w:szCs w:val="18"/>
                <w:vertAlign w:val="baseline"/>
                <w:lang w:val="en-US" w:eastAsia="zh-CN"/>
              </w:rPr>
              <w:t>严重</w:t>
            </w:r>
          </w:p>
        </w:tc>
        <w:tc>
          <w:tcPr>
            <w:tcW w:w="561" w:type="pct"/>
            <w:noWrap w:val="0"/>
            <w:tcMar>
              <w:top w:w="0" w:type="dxa"/>
              <w:left w:w="0" w:type="dxa"/>
              <w:bottom w:w="0" w:type="dxa"/>
              <w:right w:w="0" w:type="dxa"/>
            </w:tcMar>
            <w:vAlign w:val="center"/>
          </w:tcPr>
          <w:p w14:paraId="1FE2CF6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造成重大安全事故</w:t>
            </w:r>
          </w:p>
        </w:tc>
        <w:tc>
          <w:tcPr>
            <w:tcW w:w="873" w:type="pct"/>
            <w:noWrap w:val="0"/>
            <w:tcMar>
              <w:top w:w="0" w:type="dxa"/>
              <w:left w:w="0" w:type="dxa"/>
              <w:bottom w:w="0" w:type="dxa"/>
              <w:right w:w="0" w:type="dxa"/>
            </w:tcMar>
            <w:vAlign w:val="center"/>
          </w:tcPr>
          <w:p w14:paraId="70DB909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处10万元的罚款；降低资质等级</w:t>
            </w:r>
          </w:p>
        </w:tc>
        <w:tc>
          <w:tcPr>
            <w:tcW w:w="158" w:type="pct"/>
            <w:vMerge w:val="continue"/>
            <w:noWrap w:val="0"/>
            <w:tcMar>
              <w:top w:w="0" w:type="dxa"/>
              <w:left w:w="0" w:type="dxa"/>
              <w:bottom w:w="0" w:type="dxa"/>
              <w:right w:w="0" w:type="dxa"/>
            </w:tcMar>
            <w:vAlign w:val="center"/>
          </w:tcPr>
          <w:p w14:paraId="7DEF1CD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426F7A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399E30AD">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2BEFC641">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60A0207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06AA414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vMerge w:val="continue"/>
            <w:noWrap w:val="0"/>
            <w:tcMar>
              <w:top w:w="0" w:type="dxa"/>
              <w:left w:w="0" w:type="dxa"/>
              <w:bottom w:w="0" w:type="dxa"/>
              <w:right w:w="0" w:type="dxa"/>
            </w:tcMar>
            <w:vAlign w:val="center"/>
          </w:tcPr>
          <w:p w14:paraId="41D8E221">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p>
        </w:tc>
        <w:tc>
          <w:tcPr>
            <w:tcW w:w="561" w:type="pct"/>
            <w:noWrap w:val="0"/>
            <w:tcMar>
              <w:top w:w="0" w:type="dxa"/>
              <w:left w:w="0" w:type="dxa"/>
              <w:bottom w:w="0" w:type="dxa"/>
              <w:right w:w="0" w:type="dxa"/>
            </w:tcMar>
            <w:vAlign w:val="center"/>
          </w:tcPr>
          <w:p w14:paraId="230B300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造成特别重大安全事故</w:t>
            </w:r>
          </w:p>
        </w:tc>
        <w:tc>
          <w:tcPr>
            <w:tcW w:w="873" w:type="pct"/>
            <w:noWrap w:val="0"/>
            <w:tcMar>
              <w:top w:w="0" w:type="dxa"/>
              <w:left w:w="0" w:type="dxa"/>
              <w:bottom w:w="0" w:type="dxa"/>
              <w:right w:w="0" w:type="dxa"/>
            </w:tcMar>
            <w:vAlign w:val="center"/>
          </w:tcPr>
          <w:p w14:paraId="14FCE83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处10万元的罚款；吊销资质证书</w:t>
            </w:r>
          </w:p>
        </w:tc>
        <w:tc>
          <w:tcPr>
            <w:tcW w:w="158" w:type="pct"/>
            <w:vMerge w:val="continue"/>
            <w:noWrap w:val="0"/>
            <w:tcMar>
              <w:top w:w="0" w:type="dxa"/>
              <w:left w:w="0" w:type="dxa"/>
              <w:bottom w:w="0" w:type="dxa"/>
              <w:right w:w="0" w:type="dxa"/>
            </w:tcMar>
            <w:vAlign w:val="center"/>
          </w:tcPr>
          <w:p w14:paraId="3B308D6A">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6EC857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68239B91">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01B3022C">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295BBAF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restart"/>
            <w:noWrap w:val="0"/>
            <w:tcMar>
              <w:top w:w="0" w:type="dxa"/>
              <w:left w:w="0" w:type="dxa"/>
              <w:bottom w:w="0" w:type="dxa"/>
              <w:right w:w="0" w:type="dxa"/>
            </w:tcMar>
            <w:vAlign w:val="center"/>
          </w:tcPr>
          <w:p w14:paraId="5846E4B4">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施工起重机械和整体提升脚手架、模板等自升式架设设施安装、拆卸单位未出具自检合格证明或者出具虚假证明的</w:t>
            </w:r>
          </w:p>
        </w:tc>
        <w:tc>
          <w:tcPr>
            <w:tcW w:w="174" w:type="pct"/>
            <w:noWrap w:val="0"/>
            <w:tcMar>
              <w:top w:w="0" w:type="dxa"/>
              <w:left w:w="0" w:type="dxa"/>
              <w:bottom w:w="0" w:type="dxa"/>
              <w:right w:w="0" w:type="dxa"/>
            </w:tcMar>
            <w:vAlign w:val="center"/>
          </w:tcPr>
          <w:p w14:paraId="70CF6B45">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轻微</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44B85B51">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711E487C">
            <w:pPr>
              <w:spacing w:line="260" w:lineRule="exact"/>
              <w:rPr>
                <w:rFonts w:hint="eastAsia" w:ascii="宋体" w:hAnsi="宋体" w:eastAsia="宋体" w:cs="宋体"/>
                <w:color w:val="000000"/>
                <w:sz w:val="18"/>
                <w:szCs w:val="18"/>
                <w:vertAlign w:val="baseline"/>
                <w:lang w:val="en-US" w:eastAsia="zh-CN"/>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724BBD27">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560726C0">
            <w:pPr>
              <w:spacing w:line="260" w:lineRule="exact"/>
              <w:rPr>
                <w:rFonts w:hint="eastAsia" w:ascii="宋体" w:hAnsi="宋体" w:eastAsia="宋体" w:cs="宋体"/>
                <w:color w:val="000000"/>
                <w:kern w:val="2"/>
                <w:sz w:val="18"/>
                <w:szCs w:val="18"/>
                <w:vertAlign w:val="baseline"/>
                <w:lang w:val="en-US" w:eastAsia="zh-CN" w:bidi="ar-SA"/>
              </w:rPr>
            </w:pPr>
          </w:p>
        </w:tc>
        <w:tc>
          <w:tcPr>
            <w:tcW w:w="158" w:type="pct"/>
            <w:vMerge w:val="restart"/>
            <w:noWrap w:val="0"/>
            <w:tcMar>
              <w:top w:w="0" w:type="dxa"/>
              <w:left w:w="0" w:type="dxa"/>
              <w:bottom w:w="0" w:type="dxa"/>
              <w:right w:w="0" w:type="dxa"/>
            </w:tcMar>
            <w:vAlign w:val="center"/>
          </w:tcPr>
          <w:p w14:paraId="314EAC8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659639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5B1070F5">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741D4289">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72BF4A2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517F0B7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35E56B90">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较轻</w:t>
            </w:r>
          </w:p>
        </w:tc>
        <w:tc>
          <w:tcPr>
            <w:tcW w:w="561" w:type="pct"/>
            <w:noWrap w:val="0"/>
            <w:tcMar>
              <w:top w:w="0" w:type="dxa"/>
              <w:left w:w="0" w:type="dxa"/>
              <w:bottom w:w="0" w:type="dxa"/>
              <w:right w:w="0" w:type="dxa"/>
            </w:tcMar>
            <w:vAlign w:val="center"/>
          </w:tcPr>
          <w:p w14:paraId="6A1C04C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及时改正的</w:t>
            </w:r>
          </w:p>
        </w:tc>
        <w:tc>
          <w:tcPr>
            <w:tcW w:w="873" w:type="pct"/>
            <w:noWrap w:val="0"/>
            <w:tcMar>
              <w:top w:w="0" w:type="dxa"/>
              <w:left w:w="0" w:type="dxa"/>
              <w:bottom w:w="0" w:type="dxa"/>
              <w:right w:w="0" w:type="dxa"/>
            </w:tcMar>
            <w:vAlign w:val="center"/>
          </w:tcPr>
          <w:p w14:paraId="28EB8BE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处5万元以上7万元以下的罚款</w:t>
            </w:r>
          </w:p>
        </w:tc>
        <w:tc>
          <w:tcPr>
            <w:tcW w:w="158" w:type="pct"/>
            <w:vMerge w:val="continue"/>
            <w:noWrap w:val="0"/>
            <w:tcMar>
              <w:top w:w="0" w:type="dxa"/>
              <w:left w:w="0" w:type="dxa"/>
              <w:bottom w:w="0" w:type="dxa"/>
              <w:right w:w="0" w:type="dxa"/>
            </w:tcMar>
            <w:vAlign w:val="center"/>
          </w:tcPr>
          <w:p w14:paraId="1347FBB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2E4459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59BE5A8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7D12F68E">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5679A08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3AB6018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2D0D840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一般</w:t>
            </w:r>
          </w:p>
        </w:tc>
        <w:tc>
          <w:tcPr>
            <w:tcW w:w="561" w:type="pct"/>
            <w:noWrap w:val="0"/>
            <w:tcMar>
              <w:top w:w="0" w:type="dxa"/>
              <w:left w:w="0" w:type="dxa"/>
              <w:bottom w:w="0" w:type="dxa"/>
              <w:right w:w="0" w:type="dxa"/>
            </w:tcMar>
            <w:vAlign w:val="center"/>
          </w:tcPr>
          <w:p w14:paraId="18226E47">
            <w:pPr>
              <w:keepNext w:val="0"/>
              <w:keepLines w:val="0"/>
              <w:pageBreakBefore w:val="0"/>
              <w:widowControl w:val="0"/>
              <w:kinsoku/>
              <w:wordWrap/>
              <w:overflowPunct/>
              <w:topLinePunct w:val="0"/>
              <w:autoSpaceDE/>
              <w:autoSpaceDN/>
              <w:bidi w:val="0"/>
              <w:adjustRightInd/>
              <w:snapToGrid/>
              <w:spacing w:line="30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sz w:val="18"/>
                <w:szCs w:val="18"/>
                <w:vertAlign w:val="baseline"/>
                <w:lang w:val="en-US" w:eastAsia="zh-CN"/>
              </w:rPr>
              <w:t>未在规定期限内改正的；造成一般事故或其他危害后果的</w:t>
            </w:r>
          </w:p>
        </w:tc>
        <w:tc>
          <w:tcPr>
            <w:tcW w:w="873" w:type="pct"/>
            <w:noWrap w:val="0"/>
            <w:tcMar>
              <w:top w:w="0" w:type="dxa"/>
              <w:left w:w="0" w:type="dxa"/>
              <w:bottom w:w="0" w:type="dxa"/>
              <w:right w:w="0" w:type="dxa"/>
            </w:tcMar>
            <w:vAlign w:val="center"/>
          </w:tcPr>
          <w:p w14:paraId="63E5C84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处7万元以上10万元以下的罚款</w:t>
            </w:r>
          </w:p>
        </w:tc>
        <w:tc>
          <w:tcPr>
            <w:tcW w:w="158" w:type="pct"/>
            <w:vMerge w:val="continue"/>
            <w:noWrap w:val="0"/>
            <w:tcMar>
              <w:top w:w="0" w:type="dxa"/>
              <w:left w:w="0" w:type="dxa"/>
              <w:bottom w:w="0" w:type="dxa"/>
              <w:right w:w="0" w:type="dxa"/>
            </w:tcMar>
            <w:vAlign w:val="center"/>
          </w:tcPr>
          <w:p w14:paraId="3F5AA77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6EF23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07FA86BB">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5F406405">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312611E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77A920B7">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vMerge w:val="restart"/>
            <w:noWrap w:val="0"/>
            <w:tcMar>
              <w:top w:w="0" w:type="dxa"/>
              <w:left w:w="0" w:type="dxa"/>
              <w:bottom w:w="0" w:type="dxa"/>
              <w:right w:w="0" w:type="dxa"/>
            </w:tcMar>
            <w:vAlign w:val="center"/>
          </w:tcPr>
          <w:p w14:paraId="6896A19B">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较重</w:t>
            </w:r>
          </w:p>
        </w:tc>
        <w:tc>
          <w:tcPr>
            <w:tcW w:w="561" w:type="pct"/>
            <w:noWrap w:val="0"/>
            <w:tcMar>
              <w:top w:w="0" w:type="dxa"/>
              <w:left w:w="0" w:type="dxa"/>
              <w:bottom w:w="0" w:type="dxa"/>
              <w:right w:w="0" w:type="dxa"/>
            </w:tcMar>
            <w:vAlign w:val="center"/>
          </w:tcPr>
          <w:p w14:paraId="1BB86B20">
            <w:pPr>
              <w:keepNext w:val="0"/>
              <w:keepLines w:val="0"/>
              <w:pageBreakBefore w:val="0"/>
              <w:widowControl w:val="0"/>
              <w:kinsoku/>
              <w:wordWrap/>
              <w:overflowPunct/>
              <w:topLinePunct w:val="0"/>
              <w:autoSpaceDE/>
              <w:autoSpaceDN/>
              <w:bidi w:val="0"/>
              <w:adjustRightInd/>
              <w:snapToGrid/>
              <w:spacing w:line="30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sz w:val="18"/>
                <w:szCs w:val="18"/>
                <w:vertAlign w:val="baseline"/>
                <w:lang w:val="en-US" w:eastAsia="zh-CN"/>
              </w:rPr>
              <w:t>造成多于3人少于5人死亡；或者多于10人少于20人重伤；或者多于1000万元少于2000万元直接经济损失</w:t>
            </w:r>
          </w:p>
        </w:tc>
        <w:tc>
          <w:tcPr>
            <w:tcW w:w="873" w:type="pct"/>
            <w:noWrap w:val="0"/>
            <w:tcMar>
              <w:top w:w="0" w:type="dxa"/>
              <w:left w:w="0" w:type="dxa"/>
              <w:bottom w:w="0" w:type="dxa"/>
              <w:right w:w="0" w:type="dxa"/>
            </w:tcMar>
            <w:vAlign w:val="center"/>
          </w:tcPr>
          <w:p w14:paraId="4E1BE39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处10万元的罚款；责令停业整顿60-90日</w:t>
            </w:r>
          </w:p>
        </w:tc>
        <w:tc>
          <w:tcPr>
            <w:tcW w:w="158" w:type="pct"/>
            <w:vMerge w:val="continue"/>
            <w:noWrap w:val="0"/>
            <w:tcMar>
              <w:top w:w="0" w:type="dxa"/>
              <w:left w:w="0" w:type="dxa"/>
              <w:bottom w:w="0" w:type="dxa"/>
              <w:right w:w="0" w:type="dxa"/>
            </w:tcMar>
            <w:vAlign w:val="center"/>
          </w:tcPr>
          <w:p w14:paraId="4D6395C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1335CF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26D1A679">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12E13C98">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1783CD2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75EF7137">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vMerge w:val="continue"/>
            <w:noWrap w:val="0"/>
            <w:tcMar>
              <w:top w:w="0" w:type="dxa"/>
              <w:left w:w="0" w:type="dxa"/>
              <w:bottom w:w="0" w:type="dxa"/>
              <w:right w:w="0" w:type="dxa"/>
            </w:tcMar>
            <w:vAlign w:val="center"/>
          </w:tcPr>
          <w:p w14:paraId="62A0667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p>
        </w:tc>
        <w:tc>
          <w:tcPr>
            <w:tcW w:w="561" w:type="pct"/>
            <w:noWrap w:val="0"/>
            <w:tcMar>
              <w:top w:w="0" w:type="dxa"/>
              <w:left w:w="0" w:type="dxa"/>
              <w:bottom w:w="0" w:type="dxa"/>
              <w:right w:w="0" w:type="dxa"/>
            </w:tcMar>
            <w:vAlign w:val="center"/>
          </w:tcPr>
          <w:p w14:paraId="6CE898AC">
            <w:pPr>
              <w:keepNext w:val="0"/>
              <w:keepLines w:val="0"/>
              <w:pageBreakBefore w:val="0"/>
              <w:widowControl w:val="0"/>
              <w:kinsoku/>
              <w:wordWrap/>
              <w:overflowPunct/>
              <w:topLinePunct w:val="0"/>
              <w:autoSpaceDE/>
              <w:autoSpaceDN/>
              <w:bidi w:val="0"/>
              <w:adjustRightInd/>
              <w:snapToGrid/>
              <w:spacing w:line="30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sz w:val="18"/>
                <w:szCs w:val="18"/>
                <w:vertAlign w:val="baseline"/>
                <w:lang w:val="en-US" w:eastAsia="zh-CN"/>
              </w:rPr>
              <w:t>造成多于5人少于7人死亡；或者多于20人少于30人重伤；或者多于2000万元少于3000万元直接经济损失</w:t>
            </w:r>
          </w:p>
        </w:tc>
        <w:tc>
          <w:tcPr>
            <w:tcW w:w="873" w:type="pct"/>
            <w:noWrap w:val="0"/>
            <w:tcMar>
              <w:top w:w="0" w:type="dxa"/>
              <w:left w:w="0" w:type="dxa"/>
              <w:bottom w:w="0" w:type="dxa"/>
              <w:right w:w="0" w:type="dxa"/>
            </w:tcMar>
            <w:vAlign w:val="center"/>
          </w:tcPr>
          <w:p w14:paraId="0FCA11B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处10万元的罚款；责令停业整顿90-120日</w:t>
            </w:r>
          </w:p>
        </w:tc>
        <w:tc>
          <w:tcPr>
            <w:tcW w:w="158" w:type="pct"/>
            <w:vMerge w:val="continue"/>
            <w:noWrap w:val="0"/>
            <w:tcMar>
              <w:top w:w="0" w:type="dxa"/>
              <w:left w:w="0" w:type="dxa"/>
              <w:bottom w:w="0" w:type="dxa"/>
              <w:right w:w="0" w:type="dxa"/>
            </w:tcMar>
            <w:vAlign w:val="center"/>
          </w:tcPr>
          <w:p w14:paraId="47E1A3CC">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15BA3F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36DA6DBA">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1593EEEF">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6E10367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3BC8099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vMerge w:val="continue"/>
            <w:noWrap w:val="0"/>
            <w:tcMar>
              <w:top w:w="0" w:type="dxa"/>
              <w:left w:w="0" w:type="dxa"/>
              <w:bottom w:w="0" w:type="dxa"/>
              <w:right w:w="0" w:type="dxa"/>
            </w:tcMar>
            <w:vAlign w:val="center"/>
          </w:tcPr>
          <w:p w14:paraId="46268FF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p>
        </w:tc>
        <w:tc>
          <w:tcPr>
            <w:tcW w:w="561" w:type="pct"/>
            <w:noWrap w:val="0"/>
            <w:tcMar>
              <w:top w:w="0" w:type="dxa"/>
              <w:left w:w="0" w:type="dxa"/>
              <w:bottom w:w="0" w:type="dxa"/>
              <w:right w:w="0" w:type="dxa"/>
            </w:tcMar>
            <w:vAlign w:val="center"/>
          </w:tcPr>
          <w:p w14:paraId="6C756C90">
            <w:pPr>
              <w:keepNext w:val="0"/>
              <w:keepLines w:val="0"/>
              <w:pageBreakBefore w:val="0"/>
              <w:widowControl w:val="0"/>
              <w:kinsoku/>
              <w:wordWrap/>
              <w:overflowPunct/>
              <w:topLinePunct w:val="0"/>
              <w:autoSpaceDE/>
              <w:autoSpaceDN/>
              <w:bidi w:val="0"/>
              <w:adjustRightInd/>
              <w:snapToGrid/>
              <w:spacing w:line="30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造成多于7人少于10人死亡；或者多于30人少于50</w:t>
            </w:r>
          </w:p>
          <w:p w14:paraId="138F6A6E">
            <w:pPr>
              <w:keepNext w:val="0"/>
              <w:keepLines w:val="0"/>
              <w:pageBreakBefore w:val="0"/>
              <w:widowControl w:val="0"/>
              <w:kinsoku/>
              <w:wordWrap/>
              <w:overflowPunct/>
              <w:topLinePunct w:val="0"/>
              <w:autoSpaceDE/>
              <w:autoSpaceDN/>
              <w:bidi w:val="0"/>
              <w:adjustRightInd/>
              <w:snapToGrid/>
              <w:spacing w:line="30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sz w:val="18"/>
                <w:szCs w:val="18"/>
                <w:vertAlign w:val="baseline"/>
                <w:lang w:val="en-US" w:eastAsia="zh-CN"/>
              </w:rPr>
              <w:t>人重伤；或者多于3000万元少于5000万元直接经济损失</w:t>
            </w:r>
          </w:p>
        </w:tc>
        <w:tc>
          <w:tcPr>
            <w:tcW w:w="873" w:type="pct"/>
            <w:noWrap w:val="0"/>
            <w:tcMar>
              <w:top w:w="0" w:type="dxa"/>
              <w:left w:w="0" w:type="dxa"/>
              <w:bottom w:w="0" w:type="dxa"/>
              <w:right w:w="0" w:type="dxa"/>
            </w:tcMar>
            <w:vAlign w:val="center"/>
          </w:tcPr>
          <w:p w14:paraId="152A3CC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处10万元的罚款；责令停业整顿120-180日</w:t>
            </w:r>
          </w:p>
        </w:tc>
        <w:tc>
          <w:tcPr>
            <w:tcW w:w="158" w:type="pct"/>
            <w:vMerge w:val="continue"/>
            <w:noWrap w:val="0"/>
            <w:tcMar>
              <w:top w:w="0" w:type="dxa"/>
              <w:left w:w="0" w:type="dxa"/>
              <w:bottom w:w="0" w:type="dxa"/>
              <w:right w:w="0" w:type="dxa"/>
            </w:tcMar>
            <w:vAlign w:val="center"/>
          </w:tcPr>
          <w:p w14:paraId="2B43033D">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18A205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19E98C59">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10A575CA">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30FE1B9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4C0831D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vMerge w:val="restart"/>
            <w:noWrap w:val="0"/>
            <w:tcMar>
              <w:top w:w="0" w:type="dxa"/>
              <w:left w:w="0" w:type="dxa"/>
              <w:bottom w:w="0" w:type="dxa"/>
              <w:right w:w="0" w:type="dxa"/>
            </w:tcMar>
            <w:vAlign w:val="center"/>
          </w:tcPr>
          <w:p w14:paraId="1A41ED85">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严重</w:t>
            </w:r>
          </w:p>
        </w:tc>
        <w:tc>
          <w:tcPr>
            <w:tcW w:w="561" w:type="pct"/>
            <w:noWrap w:val="0"/>
            <w:tcMar>
              <w:top w:w="0" w:type="dxa"/>
              <w:left w:w="0" w:type="dxa"/>
              <w:bottom w:w="0" w:type="dxa"/>
              <w:right w:w="0" w:type="dxa"/>
            </w:tcMar>
            <w:vAlign w:val="center"/>
          </w:tcPr>
          <w:p w14:paraId="4E8CF977">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sz w:val="18"/>
                <w:szCs w:val="18"/>
                <w:vertAlign w:val="baseline"/>
                <w:lang w:val="en-US" w:eastAsia="zh-CN"/>
              </w:rPr>
              <w:t>造成重大安全事故</w:t>
            </w:r>
          </w:p>
        </w:tc>
        <w:tc>
          <w:tcPr>
            <w:tcW w:w="873" w:type="pct"/>
            <w:noWrap w:val="0"/>
            <w:tcMar>
              <w:top w:w="0" w:type="dxa"/>
              <w:left w:w="0" w:type="dxa"/>
              <w:bottom w:w="0" w:type="dxa"/>
              <w:right w:w="0" w:type="dxa"/>
            </w:tcMar>
            <w:vAlign w:val="center"/>
          </w:tcPr>
          <w:p w14:paraId="66EABD4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处10万元的罚款；降低资质等级</w:t>
            </w:r>
          </w:p>
        </w:tc>
        <w:tc>
          <w:tcPr>
            <w:tcW w:w="158" w:type="pct"/>
            <w:vMerge w:val="continue"/>
            <w:noWrap w:val="0"/>
            <w:tcMar>
              <w:top w:w="0" w:type="dxa"/>
              <w:left w:w="0" w:type="dxa"/>
              <w:bottom w:w="0" w:type="dxa"/>
              <w:right w:w="0" w:type="dxa"/>
            </w:tcMar>
            <w:vAlign w:val="center"/>
          </w:tcPr>
          <w:p w14:paraId="37A8ECEB">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2E3E74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78C2177B">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560E4224">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23267EE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01BC5D9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vMerge w:val="continue"/>
            <w:noWrap w:val="0"/>
            <w:tcMar>
              <w:top w:w="0" w:type="dxa"/>
              <w:left w:w="0" w:type="dxa"/>
              <w:bottom w:w="0" w:type="dxa"/>
              <w:right w:w="0" w:type="dxa"/>
            </w:tcMar>
            <w:vAlign w:val="center"/>
          </w:tcPr>
          <w:p w14:paraId="1DDA5819">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p>
        </w:tc>
        <w:tc>
          <w:tcPr>
            <w:tcW w:w="561" w:type="pct"/>
            <w:noWrap w:val="0"/>
            <w:tcMar>
              <w:top w:w="0" w:type="dxa"/>
              <w:left w:w="0" w:type="dxa"/>
              <w:bottom w:w="0" w:type="dxa"/>
              <w:right w:w="0" w:type="dxa"/>
            </w:tcMar>
            <w:vAlign w:val="center"/>
          </w:tcPr>
          <w:p w14:paraId="0205D17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sz w:val="18"/>
                <w:szCs w:val="18"/>
                <w:vertAlign w:val="baseline"/>
                <w:lang w:val="en-US" w:eastAsia="zh-CN"/>
              </w:rPr>
              <w:t>造成特别重大安全事故</w:t>
            </w:r>
          </w:p>
        </w:tc>
        <w:tc>
          <w:tcPr>
            <w:tcW w:w="873" w:type="pct"/>
            <w:noWrap w:val="0"/>
            <w:tcMar>
              <w:top w:w="0" w:type="dxa"/>
              <w:left w:w="0" w:type="dxa"/>
              <w:bottom w:w="0" w:type="dxa"/>
              <w:right w:w="0" w:type="dxa"/>
            </w:tcMar>
            <w:vAlign w:val="center"/>
          </w:tcPr>
          <w:p w14:paraId="71104BF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处10万元的罚款；吊销资质证书</w:t>
            </w:r>
          </w:p>
        </w:tc>
        <w:tc>
          <w:tcPr>
            <w:tcW w:w="158" w:type="pct"/>
            <w:vMerge w:val="continue"/>
            <w:noWrap w:val="0"/>
            <w:tcMar>
              <w:top w:w="0" w:type="dxa"/>
              <w:left w:w="0" w:type="dxa"/>
              <w:bottom w:w="0" w:type="dxa"/>
              <w:right w:w="0" w:type="dxa"/>
            </w:tcMar>
            <w:vAlign w:val="center"/>
          </w:tcPr>
          <w:p w14:paraId="518E88DA">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024B75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7FA14DAA">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7D517003">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179BFE4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restart"/>
            <w:noWrap w:val="0"/>
            <w:tcMar>
              <w:top w:w="0" w:type="dxa"/>
              <w:left w:w="0" w:type="dxa"/>
              <w:bottom w:w="0" w:type="dxa"/>
              <w:right w:w="0" w:type="dxa"/>
            </w:tcMar>
            <w:vAlign w:val="center"/>
          </w:tcPr>
          <w:p w14:paraId="5F7A87A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施工起重机械和整体提升脚手架、模板等自升式架设设施安装、拆卸单位未向施工单位进行安全使用说明，办理移交手续的</w:t>
            </w:r>
          </w:p>
        </w:tc>
        <w:tc>
          <w:tcPr>
            <w:tcW w:w="174" w:type="pct"/>
            <w:noWrap w:val="0"/>
            <w:tcMar>
              <w:top w:w="0" w:type="dxa"/>
              <w:left w:w="0" w:type="dxa"/>
              <w:bottom w:w="0" w:type="dxa"/>
              <w:right w:w="0" w:type="dxa"/>
            </w:tcMar>
            <w:vAlign w:val="center"/>
          </w:tcPr>
          <w:p w14:paraId="2E3DC79B">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轻微</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590A8A3E">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49F6D3FA">
            <w:pPr>
              <w:spacing w:line="260" w:lineRule="exact"/>
              <w:rPr>
                <w:rFonts w:hint="eastAsia" w:ascii="宋体" w:hAnsi="宋体" w:eastAsia="宋体" w:cs="宋体"/>
                <w:color w:val="000000"/>
                <w:sz w:val="18"/>
                <w:szCs w:val="18"/>
                <w:vertAlign w:val="baseline"/>
                <w:lang w:val="en-US" w:eastAsia="zh-CN"/>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50E961D0">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45FF424A">
            <w:pPr>
              <w:spacing w:line="260" w:lineRule="exact"/>
              <w:rPr>
                <w:rFonts w:hint="eastAsia" w:ascii="宋体" w:hAnsi="宋体" w:eastAsia="宋体" w:cs="宋体"/>
                <w:color w:val="000000"/>
                <w:kern w:val="2"/>
                <w:sz w:val="18"/>
                <w:szCs w:val="18"/>
                <w:vertAlign w:val="baseline"/>
                <w:lang w:val="en-US" w:eastAsia="zh-CN" w:bidi="ar-SA"/>
              </w:rPr>
            </w:pPr>
          </w:p>
        </w:tc>
        <w:tc>
          <w:tcPr>
            <w:tcW w:w="158" w:type="pct"/>
            <w:vMerge w:val="restart"/>
            <w:noWrap w:val="0"/>
            <w:tcMar>
              <w:top w:w="0" w:type="dxa"/>
              <w:left w:w="0" w:type="dxa"/>
              <w:bottom w:w="0" w:type="dxa"/>
              <w:right w:w="0" w:type="dxa"/>
            </w:tcMar>
            <w:vAlign w:val="center"/>
          </w:tcPr>
          <w:p w14:paraId="3C07FA15">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79470A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550F7649">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7387E984">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17BC0ED7">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7CB2ABE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62BAA0B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较轻</w:t>
            </w:r>
          </w:p>
        </w:tc>
        <w:tc>
          <w:tcPr>
            <w:tcW w:w="561" w:type="pct"/>
            <w:noWrap w:val="0"/>
            <w:tcMar>
              <w:top w:w="0" w:type="dxa"/>
              <w:left w:w="0" w:type="dxa"/>
              <w:bottom w:w="0" w:type="dxa"/>
              <w:right w:w="0" w:type="dxa"/>
            </w:tcMar>
            <w:vAlign w:val="center"/>
          </w:tcPr>
          <w:p w14:paraId="6385612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sz w:val="18"/>
                <w:szCs w:val="18"/>
                <w:vertAlign w:val="baseline"/>
                <w:lang w:val="en-US" w:eastAsia="zh-CN"/>
              </w:rPr>
              <w:t>及时改正的</w:t>
            </w:r>
          </w:p>
        </w:tc>
        <w:tc>
          <w:tcPr>
            <w:tcW w:w="873" w:type="pct"/>
            <w:noWrap w:val="0"/>
            <w:tcMar>
              <w:top w:w="0" w:type="dxa"/>
              <w:left w:w="0" w:type="dxa"/>
              <w:bottom w:w="0" w:type="dxa"/>
              <w:right w:w="0" w:type="dxa"/>
            </w:tcMar>
            <w:vAlign w:val="center"/>
          </w:tcPr>
          <w:p w14:paraId="6EA5AC8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处5万元以上7万元以下的罚款</w:t>
            </w:r>
          </w:p>
        </w:tc>
        <w:tc>
          <w:tcPr>
            <w:tcW w:w="158" w:type="pct"/>
            <w:vMerge w:val="continue"/>
            <w:noWrap w:val="0"/>
            <w:tcMar>
              <w:top w:w="0" w:type="dxa"/>
              <w:left w:w="0" w:type="dxa"/>
              <w:bottom w:w="0" w:type="dxa"/>
              <w:right w:w="0" w:type="dxa"/>
            </w:tcMar>
            <w:vAlign w:val="center"/>
          </w:tcPr>
          <w:p w14:paraId="57F15E3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375DF0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631D1C38">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6E4A898A">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4BA803B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056C47A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1221527A">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一般</w:t>
            </w:r>
          </w:p>
        </w:tc>
        <w:tc>
          <w:tcPr>
            <w:tcW w:w="561" w:type="pct"/>
            <w:noWrap w:val="0"/>
            <w:tcMar>
              <w:top w:w="0" w:type="dxa"/>
              <w:left w:w="0" w:type="dxa"/>
              <w:bottom w:w="0" w:type="dxa"/>
              <w:right w:w="0" w:type="dxa"/>
            </w:tcMar>
            <w:vAlign w:val="center"/>
          </w:tcPr>
          <w:p w14:paraId="57672D7A">
            <w:pPr>
              <w:keepNext w:val="0"/>
              <w:keepLines w:val="0"/>
              <w:pageBreakBefore w:val="0"/>
              <w:widowControl w:val="0"/>
              <w:kinsoku/>
              <w:wordWrap/>
              <w:overflowPunct/>
              <w:topLinePunct w:val="0"/>
              <w:autoSpaceDE/>
              <w:autoSpaceDN/>
              <w:bidi w:val="0"/>
              <w:adjustRightInd/>
              <w:snapToGrid/>
              <w:spacing w:line="30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sz w:val="18"/>
                <w:szCs w:val="18"/>
                <w:vertAlign w:val="baseline"/>
                <w:lang w:val="en-US" w:eastAsia="zh-CN"/>
              </w:rPr>
              <w:t>未在规定期限内改正的；造成一般事故或其他危害后果的</w:t>
            </w:r>
          </w:p>
        </w:tc>
        <w:tc>
          <w:tcPr>
            <w:tcW w:w="873" w:type="pct"/>
            <w:noWrap w:val="0"/>
            <w:tcMar>
              <w:top w:w="0" w:type="dxa"/>
              <w:left w:w="0" w:type="dxa"/>
              <w:bottom w:w="0" w:type="dxa"/>
              <w:right w:w="0" w:type="dxa"/>
            </w:tcMar>
            <w:vAlign w:val="center"/>
          </w:tcPr>
          <w:p w14:paraId="74569D1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处7万元以上10万元以下的罚款</w:t>
            </w:r>
          </w:p>
        </w:tc>
        <w:tc>
          <w:tcPr>
            <w:tcW w:w="158" w:type="pct"/>
            <w:vMerge w:val="continue"/>
            <w:noWrap w:val="0"/>
            <w:tcMar>
              <w:top w:w="0" w:type="dxa"/>
              <w:left w:w="0" w:type="dxa"/>
              <w:bottom w:w="0" w:type="dxa"/>
              <w:right w:w="0" w:type="dxa"/>
            </w:tcMar>
            <w:vAlign w:val="center"/>
          </w:tcPr>
          <w:p w14:paraId="793BFBC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3B02D4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781A727D">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7110CC0C">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1FC3994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3C90B90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vMerge w:val="restart"/>
            <w:noWrap w:val="0"/>
            <w:tcMar>
              <w:top w:w="0" w:type="dxa"/>
              <w:left w:w="0" w:type="dxa"/>
              <w:bottom w:w="0" w:type="dxa"/>
              <w:right w:w="0" w:type="dxa"/>
            </w:tcMar>
            <w:vAlign w:val="center"/>
          </w:tcPr>
          <w:p w14:paraId="146AD645">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较重</w:t>
            </w:r>
          </w:p>
        </w:tc>
        <w:tc>
          <w:tcPr>
            <w:tcW w:w="561" w:type="pct"/>
            <w:noWrap w:val="0"/>
            <w:tcMar>
              <w:top w:w="0" w:type="dxa"/>
              <w:left w:w="0" w:type="dxa"/>
              <w:bottom w:w="0" w:type="dxa"/>
              <w:right w:w="0" w:type="dxa"/>
            </w:tcMar>
            <w:vAlign w:val="center"/>
          </w:tcPr>
          <w:p w14:paraId="00119FAC">
            <w:pPr>
              <w:keepNext w:val="0"/>
              <w:keepLines w:val="0"/>
              <w:pageBreakBefore w:val="0"/>
              <w:widowControl w:val="0"/>
              <w:kinsoku/>
              <w:wordWrap/>
              <w:overflowPunct/>
              <w:topLinePunct w:val="0"/>
              <w:autoSpaceDE/>
              <w:autoSpaceDN/>
              <w:bidi w:val="0"/>
              <w:adjustRightInd/>
              <w:snapToGrid/>
              <w:spacing w:line="30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sz w:val="18"/>
                <w:szCs w:val="18"/>
                <w:vertAlign w:val="baseline"/>
                <w:lang w:val="en-US" w:eastAsia="zh-CN"/>
              </w:rPr>
              <w:t>造成多于3人少于5人死亡；或者多于10人少于20 人重伤；或者多于1000万元少于2000万元直接经济损失</w:t>
            </w:r>
          </w:p>
        </w:tc>
        <w:tc>
          <w:tcPr>
            <w:tcW w:w="873" w:type="pct"/>
            <w:noWrap w:val="0"/>
            <w:tcMar>
              <w:top w:w="0" w:type="dxa"/>
              <w:left w:w="0" w:type="dxa"/>
              <w:bottom w:w="0" w:type="dxa"/>
              <w:right w:w="0" w:type="dxa"/>
            </w:tcMar>
            <w:vAlign w:val="center"/>
          </w:tcPr>
          <w:p w14:paraId="5C33000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处10万元的罚款；责令停业整顿60-90日</w:t>
            </w:r>
          </w:p>
        </w:tc>
        <w:tc>
          <w:tcPr>
            <w:tcW w:w="158" w:type="pct"/>
            <w:vMerge w:val="continue"/>
            <w:noWrap w:val="0"/>
            <w:tcMar>
              <w:top w:w="0" w:type="dxa"/>
              <w:left w:w="0" w:type="dxa"/>
              <w:bottom w:w="0" w:type="dxa"/>
              <w:right w:w="0" w:type="dxa"/>
            </w:tcMar>
            <w:vAlign w:val="center"/>
          </w:tcPr>
          <w:p w14:paraId="4C1D7F18">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14DB48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054CAFD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21A5C2DD">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5F72609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0F44C20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vMerge w:val="continue"/>
            <w:noWrap w:val="0"/>
            <w:tcMar>
              <w:top w:w="0" w:type="dxa"/>
              <w:left w:w="0" w:type="dxa"/>
              <w:bottom w:w="0" w:type="dxa"/>
              <w:right w:w="0" w:type="dxa"/>
            </w:tcMar>
            <w:vAlign w:val="center"/>
          </w:tcPr>
          <w:p w14:paraId="74E81EFD">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p>
        </w:tc>
        <w:tc>
          <w:tcPr>
            <w:tcW w:w="561" w:type="pct"/>
            <w:noWrap w:val="0"/>
            <w:tcMar>
              <w:top w:w="0" w:type="dxa"/>
              <w:left w:w="0" w:type="dxa"/>
              <w:bottom w:w="0" w:type="dxa"/>
              <w:right w:w="0" w:type="dxa"/>
            </w:tcMar>
            <w:vAlign w:val="center"/>
          </w:tcPr>
          <w:p w14:paraId="2B2B6730">
            <w:pPr>
              <w:keepNext w:val="0"/>
              <w:keepLines w:val="0"/>
              <w:pageBreakBefore w:val="0"/>
              <w:widowControl w:val="0"/>
              <w:kinsoku/>
              <w:wordWrap/>
              <w:overflowPunct/>
              <w:topLinePunct w:val="0"/>
              <w:autoSpaceDE/>
              <w:autoSpaceDN/>
              <w:bidi w:val="0"/>
              <w:adjustRightInd/>
              <w:snapToGrid/>
              <w:spacing w:line="30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sz w:val="18"/>
                <w:szCs w:val="18"/>
                <w:vertAlign w:val="baseline"/>
                <w:lang w:val="en-US" w:eastAsia="zh-CN"/>
              </w:rPr>
              <w:t>造成多于5人少于7人死亡；或者多于20人少于30 人重伤；或者多于2000万元少于3000万元直接经济损失</w:t>
            </w:r>
          </w:p>
        </w:tc>
        <w:tc>
          <w:tcPr>
            <w:tcW w:w="873" w:type="pct"/>
            <w:noWrap w:val="0"/>
            <w:tcMar>
              <w:top w:w="0" w:type="dxa"/>
              <w:left w:w="0" w:type="dxa"/>
              <w:bottom w:w="0" w:type="dxa"/>
              <w:right w:w="0" w:type="dxa"/>
            </w:tcMar>
            <w:vAlign w:val="center"/>
          </w:tcPr>
          <w:p w14:paraId="55407C6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处10万元的罚款；责令停业整顿90-120日</w:t>
            </w:r>
          </w:p>
        </w:tc>
        <w:tc>
          <w:tcPr>
            <w:tcW w:w="158" w:type="pct"/>
            <w:vMerge w:val="continue"/>
            <w:noWrap w:val="0"/>
            <w:tcMar>
              <w:top w:w="0" w:type="dxa"/>
              <w:left w:w="0" w:type="dxa"/>
              <w:bottom w:w="0" w:type="dxa"/>
              <w:right w:w="0" w:type="dxa"/>
            </w:tcMar>
            <w:vAlign w:val="center"/>
          </w:tcPr>
          <w:p w14:paraId="0762487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54609F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61B4559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738E8768">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75F9C2D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57D7DB1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vMerge w:val="continue"/>
            <w:noWrap w:val="0"/>
            <w:tcMar>
              <w:top w:w="0" w:type="dxa"/>
              <w:left w:w="0" w:type="dxa"/>
              <w:bottom w:w="0" w:type="dxa"/>
              <w:right w:w="0" w:type="dxa"/>
            </w:tcMar>
            <w:vAlign w:val="center"/>
          </w:tcPr>
          <w:p w14:paraId="63CD5C5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p>
        </w:tc>
        <w:tc>
          <w:tcPr>
            <w:tcW w:w="561" w:type="pct"/>
            <w:noWrap w:val="0"/>
            <w:tcMar>
              <w:top w:w="0" w:type="dxa"/>
              <w:left w:w="0" w:type="dxa"/>
              <w:bottom w:w="0" w:type="dxa"/>
              <w:right w:w="0" w:type="dxa"/>
            </w:tcMar>
            <w:vAlign w:val="center"/>
          </w:tcPr>
          <w:p w14:paraId="72680B2A">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造成多于7人少于10人死亡；或者多于30人少于50</w:t>
            </w:r>
          </w:p>
          <w:p w14:paraId="31C53F03">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sz w:val="18"/>
                <w:szCs w:val="18"/>
                <w:vertAlign w:val="baseline"/>
                <w:lang w:val="en-US" w:eastAsia="zh-CN"/>
              </w:rPr>
              <w:t>人重伤；或者多于3000万元少于5000万元直接经济损失</w:t>
            </w:r>
          </w:p>
        </w:tc>
        <w:tc>
          <w:tcPr>
            <w:tcW w:w="873" w:type="pct"/>
            <w:noWrap w:val="0"/>
            <w:tcMar>
              <w:top w:w="0" w:type="dxa"/>
              <w:left w:w="0" w:type="dxa"/>
              <w:bottom w:w="0" w:type="dxa"/>
              <w:right w:w="0" w:type="dxa"/>
            </w:tcMar>
            <w:vAlign w:val="center"/>
          </w:tcPr>
          <w:p w14:paraId="04908CFC">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处10万元的罚款；责令停业整顿120-180日</w:t>
            </w:r>
          </w:p>
        </w:tc>
        <w:tc>
          <w:tcPr>
            <w:tcW w:w="158" w:type="pct"/>
            <w:vMerge w:val="continue"/>
            <w:noWrap w:val="0"/>
            <w:tcMar>
              <w:top w:w="0" w:type="dxa"/>
              <w:left w:w="0" w:type="dxa"/>
              <w:bottom w:w="0" w:type="dxa"/>
              <w:right w:w="0" w:type="dxa"/>
            </w:tcMar>
            <w:vAlign w:val="center"/>
          </w:tcPr>
          <w:p w14:paraId="0D7A5B6B">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6FAB8D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5737CC5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117FA600">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30EB5FE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6B452C2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vMerge w:val="restart"/>
            <w:noWrap w:val="0"/>
            <w:tcMar>
              <w:top w:w="0" w:type="dxa"/>
              <w:left w:w="0" w:type="dxa"/>
              <w:bottom w:w="0" w:type="dxa"/>
              <w:right w:w="0" w:type="dxa"/>
            </w:tcMar>
            <w:vAlign w:val="center"/>
          </w:tcPr>
          <w:p w14:paraId="5CAC0D0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严重</w:t>
            </w:r>
          </w:p>
        </w:tc>
        <w:tc>
          <w:tcPr>
            <w:tcW w:w="561" w:type="pct"/>
            <w:noWrap w:val="0"/>
            <w:tcMar>
              <w:top w:w="0" w:type="dxa"/>
              <w:left w:w="0" w:type="dxa"/>
              <w:bottom w:w="0" w:type="dxa"/>
              <w:right w:w="0" w:type="dxa"/>
            </w:tcMar>
            <w:vAlign w:val="center"/>
          </w:tcPr>
          <w:p w14:paraId="212B48CC">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sz w:val="18"/>
                <w:szCs w:val="18"/>
                <w:vertAlign w:val="baseline"/>
                <w:lang w:val="en-US" w:eastAsia="zh-CN"/>
              </w:rPr>
              <w:t>造成重大安全事故</w:t>
            </w:r>
          </w:p>
        </w:tc>
        <w:tc>
          <w:tcPr>
            <w:tcW w:w="873" w:type="pct"/>
            <w:noWrap w:val="0"/>
            <w:tcMar>
              <w:top w:w="0" w:type="dxa"/>
              <w:left w:w="0" w:type="dxa"/>
              <w:bottom w:w="0" w:type="dxa"/>
              <w:right w:w="0" w:type="dxa"/>
            </w:tcMar>
            <w:vAlign w:val="center"/>
          </w:tcPr>
          <w:p w14:paraId="085F8AE0">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处10万元的罚款；降低资质等级</w:t>
            </w:r>
          </w:p>
        </w:tc>
        <w:tc>
          <w:tcPr>
            <w:tcW w:w="158" w:type="pct"/>
            <w:vMerge w:val="continue"/>
            <w:noWrap w:val="0"/>
            <w:tcMar>
              <w:top w:w="0" w:type="dxa"/>
              <w:left w:w="0" w:type="dxa"/>
              <w:bottom w:w="0" w:type="dxa"/>
              <w:right w:w="0" w:type="dxa"/>
            </w:tcMar>
            <w:vAlign w:val="center"/>
          </w:tcPr>
          <w:p w14:paraId="1A31B728">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378526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08BDB6CC">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3FE4B29A">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137776AC">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6EEA7444">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vMerge w:val="continue"/>
            <w:noWrap w:val="0"/>
            <w:tcMar>
              <w:top w:w="0" w:type="dxa"/>
              <w:left w:w="0" w:type="dxa"/>
              <w:bottom w:w="0" w:type="dxa"/>
              <w:right w:w="0" w:type="dxa"/>
            </w:tcMar>
            <w:vAlign w:val="center"/>
          </w:tcPr>
          <w:p w14:paraId="6FA6813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p>
        </w:tc>
        <w:tc>
          <w:tcPr>
            <w:tcW w:w="561" w:type="pct"/>
            <w:noWrap w:val="0"/>
            <w:tcMar>
              <w:top w:w="0" w:type="dxa"/>
              <w:left w:w="0" w:type="dxa"/>
              <w:bottom w:w="0" w:type="dxa"/>
              <w:right w:w="0" w:type="dxa"/>
            </w:tcMar>
            <w:vAlign w:val="center"/>
          </w:tcPr>
          <w:p w14:paraId="06CBE001">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sz w:val="18"/>
                <w:szCs w:val="18"/>
                <w:vertAlign w:val="baseline"/>
                <w:lang w:val="en-US" w:eastAsia="zh-CN"/>
              </w:rPr>
              <w:t>造成特别重大安全事故</w:t>
            </w:r>
          </w:p>
        </w:tc>
        <w:tc>
          <w:tcPr>
            <w:tcW w:w="873" w:type="pct"/>
            <w:noWrap w:val="0"/>
            <w:tcMar>
              <w:top w:w="0" w:type="dxa"/>
              <w:left w:w="0" w:type="dxa"/>
              <w:bottom w:w="0" w:type="dxa"/>
              <w:right w:w="0" w:type="dxa"/>
            </w:tcMar>
            <w:vAlign w:val="center"/>
          </w:tcPr>
          <w:p w14:paraId="72150C82">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处10万元的罚款；吊销资质证书</w:t>
            </w:r>
          </w:p>
        </w:tc>
        <w:tc>
          <w:tcPr>
            <w:tcW w:w="158" w:type="pct"/>
            <w:vMerge w:val="continue"/>
            <w:noWrap w:val="0"/>
            <w:tcMar>
              <w:top w:w="0" w:type="dxa"/>
              <w:left w:w="0" w:type="dxa"/>
              <w:bottom w:w="0" w:type="dxa"/>
              <w:right w:w="0" w:type="dxa"/>
            </w:tcMar>
            <w:vAlign w:val="center"/>
          </w:tcPr>
          <w:p w14:paraId="2E5DF0D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1D9D27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restart"/>
            <w:noWrap w:val="0"/>
            <w:tcMar>
              <w:top w:w="0" w:type="dxa"/>
              <w:left w:w="0" w:type="dxa"/>
              <w:bottom w:w="0" w:type="dxa"/>
              <w:right w:w="0" w:type="dxa"/>
            </w:tcMar>
            <w:vAlign w:val="center"/>
          </w:tcPr>
          <w:p w14:paraId="614F5475">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r>
              <w:rPr>
                <w:rFonts w:hint="eastAsia" w:ascii="宋体" w:hAnsi="宋体" w:eastAsia="宋体" w:cs="宋体"/>
                <w:color w:val="000000"/>
                <w:sz w:val="18"/>
                <w:szCs w:val="18"/>
                <w:shd w:val="clear" w:color="auto" w:fill="auto"/>
                <w:vertAlign w:val="baseline"/>
                <w:lang w:val="en-US" w:eastAsia="zh-CN"/>
              </w:rPr>
              <w:t>116</w:t>
            </w:r>
          </w:p>
        </w:tc>
        <w:tc>
          <w:tcPr>
            <w:tcW w:w="415" w:type="pct"/>
            <w:vMerge w:val="restart"/>
            <w:noWrap w:val="0"/>
            <w:tcMar>
              <w:top w:w="0" w:type="dxa"/>
              <w:left w:w="0" w:type="dxa"/>
              <w:bottom w:w="0" w:type="dxa"/>
              <w:right w:w="0" w:type="dxa"/>
            </w:tcMar>
            <w:vAlign w:val="center"/>
          </w:tcPr>
          <w:p w14:paraId="1966EE04">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对水利领域施工单位施工前未对有关安全施工的技术要求作出详细说明等行为的行政处罚</w:t>
            </w:r>
          </w:p>
        </w:tc>
        <w:tc>
          <w:tcPr>
            <w:tcW w:w="2168" w:type="pct"/>
            <w:vMerge w:val="restart"/>
            <w:noWrap w:val="0"/>
            <w:tcMar>
              <w:top w:w="0" w:type="dxa"/>
              <w:left w:w="0" w:type="dxa"/>
              <w:bottom w:w="0" w:type="dxa"/>
              <w:right w:w="0" w:type="dxa"/>
            </w:tcMar>
            <w:vAlign w:val="center"/>
          </w:tcPr>
          <w:p w14:paraId="315256F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《建设工程安全生产管理条例》第六十四条 违反本条例的规定，施工单位有下列行为之一的，责令限期改正；逾期未改正的，责令停业整顿，并处5万元以上10万元以下的罚款；造成重大安全事故，构成犯罪的，对直接责任人员，依照刑法有关规定追究刑事责任：</w:t>
            </w:r>
          </w:p>
          <w:p w14:paraId="355BCF8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（一）施工前未对有关安全施工的技术要求作出详细说明的；</w:t>
            </w:r>
          </w:p>
          <w:p w14:paraId="107003B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（二）未根据不同施工阶段和周围环境及季节、气候的变化，在施工现场采取相应的安全施工措施，或者在城市市区内的建设工程的施工现场未实行封闭围挡的；</w:t>
            </w:r>
          </w:p>
          <w:p w14:paraId="3520FA8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（三）在尚未竣工的建筑物内设置员工集体宿舍的；</w:t>
            </w:r>
          </w:p>
          <w:p w14:paraId="2B0CFC3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（四）施工现场临时搭建的建筑物不符合安全使用要求的；</w:t>
            </w:r>
          </w:p>
          <w:p w14:paraId="11C565A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（五）未对因建设工程施工可能造成损害的毗邻建筑物、构筑物和地下管线等采取专项防护措施的。</w:t>
            </w:r>
          </w:p>
          <w:p w14:paraId="7EF46027">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施工单位有前款规定第（四）项、第（五）项行为，造成损失的，依法承担赔偿责任。</w:t>
            </w:r>
          </w:p>
        </w:tc>
        <w:tc>
          <w:tcPr>
            <w:tcW w:w="491" w:type="pct"/>
            <w:vMerge w:val="restart"/>
            <w:noWrap w:val="0"/>
            <w:tcMar>
              <w:top w:w="0" w:type="dxa"/>
              <w:left w:w="0" w:type="dxa"/>
              <w:bottom w:w="0" w:type="dxa"/>
              <w:right w:w="0" w:type="dxa"/>
            </w:tcMar>
            <w:vAlign w:val="center"/>
          </w:tcPr>
          <w:p w14:paraId="6AC0D4D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水利领域施工单位施工前未对有关安全施工的技术要求作出详细说明的</w:t>
            </w:r>
          </w:p>
        </w:tc>
        <w:tc>
          <w:tcPr>
            <w:tcW w:w="174" w:type="pct"/>
            <w:noWrap w:val="0"/>
            <w:tcMar>
              <w:top w:w="0" w:type="dxa"/>
              <w:left w:w="0" w:type="dxa"/>
              <w:bottom w:w="0" w:type="dxa"/>
              <w:right w:w="0" w:type="dxa"/>
            </w:tcMar>
            <w:vAlign w:val="center"/>
          </w:tcPr>
          <w:p w14:paraId="20F20FD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轻微</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25D94375">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5671C81B">
            <w:pPr>
              <w:spacing w:line="260" w:lineRule="exact"/>
              <w:rPr>
                <w:rFonts w:hint="eastAsia" w:ascii="宋体" w:hAnsi="宋体" w:eastAsia="宋体" w:cs="宋体"/>
                <w:color w:val="000000"/>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125B184F">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5169A1AF">
            <w:pPr>
              <w:spacing w:line="260" w:lineRule="exact"/>
              <w:rPr>
                <w:rFonts w:hint="eastAsia" w:ascii="宋体" w:hAnsi="宋体" w:eastAsia="宋体" w:cs="宋体"/>
                <w:color w:val="000000"/>
                <w:kern w:val="2"/>
                <w:sz w:val="18"/>
                <w:szCs w:val="18"/>
                <w:vertAlign w:val="baseline"/>
                <w:lang w:val="en-US" w:eastAsia="zh-CN" w:bidi="ar-SA"/>
              </w:rPr>
            </w:pPr>
          </w:p>
        </w:tc>
        <w:tc>
          <w:tcPr>
            <w:tcW w:w="158" w:type="pct"/>
            <w:vMerge w:val="restart"/>
            <w:noWrap w:val="0"/>
            <w:tcMar>
              <w:top w:w="0" w:type="dxa"/>
              <w:left w:w="0" w:type="dxa"/>
              <w:bottom w:w="0" w:type="dxa"/>
              <w:right w:w="0" w:type="dxa"/>
            </w:tcMar>
            <w:vAlign w:val="center"/>
          </w:tcPr>
          <w:p w14:paraId="5D8A004C">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color w:val="000000"/>
                <w:sz w:val="18"/>
                <w:szCs w:val="18"/>
                <w:vertAlign w:val="baseline"/>
              </w:rPr>
            </w:pPr>
          </w:p>
        </w:tc>
      </w:tr>
      <w:tr w14:paraId="6E5511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502C5709">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0466E1EA">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7FFE68E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61EA555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34EDBC1B">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较轻</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74D851B2">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5BCD34DE">
            <w:pPr>
              <w:spacing w:line="260" w:lineRule="exact"/>
              <w:rPr>
                <w:rFonts w:hint="eastAsia" w:ascii="宋体" w:hAnsi="宋体" w:eastAsia="宋体" w:cs="宋体"/>
                <w:color w:val="000000"/>
                <w:sz w:val="18"/>
                <w:szCs w:val="18"/>
                <w:vertAlign w:val="baseline"/>
                <w:lang w:val="en-US" w:eastAsia="zh-CN"/>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46E4F8FF">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527B9D6A">
            <w:pPr>
              <w:spacing w:line="260" w:lineRule="exact"/>
              <w:rPr>
                <w:rFonts w:hint="eastAsia" w:ascii="宋体" w:hAnsi="宋体" w:eastAsia="宋体" w:cs="宋体"/>
                <w:color w:val="000000"/>
                <w:kern w:val="2"/>
                <w:sz w:val="18"/>
                <w:szCs w:val="18"/>
                <w:vertAlign w:val="baseline"/>
                <w:lang w:val="en-US" w:eastAsia="zh-CN" w:bidi="ar-SA"/>
              </w:rPr>
            </w:pPr>
          </w:p>
        </w:tc>
        <w:tc>
          <w:tcPr>
            <w:tcW w:w="158" w:type="pct"/>
            <w:vMerge w:val="continue"/>
            <w:noWrap w:val="0"/>
            <w:tcMar>
              <w:top w:w="0" w:type="dxa"/>
              <w:left w:w="0" w:type="dxa"/>
              <w:bottom w:w="0" w:type="dxa"/>
              <w:right w:w="0" w:type="dxa"/>
            </w:tcMar>
            <w:vAlign w:val="center"/>
          </w:tcPr>
          <w:p w14:paraId="7CB252CB">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color w:val="000000"/>
                <w:sz w:val="18"/>
                <w:szCs w:val="18"/>
                <w:vertAlign w:val="baseline"/>
              </w:rPr>
            </w:pPr>
          </w:p>
        </w:tc>
      </w:tr>
      <w:tr w14:paraId="2F2EE8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019" w:hRule="atLeast"/>
          <w:jc w:val="center"/>
        </w:trPr>
        <w:tc>
          <w:tcPr>
            <w:tcW w:w="156" w:type="pct"/>
            <w:vMerge w:val="continue"/>
            <w:noWrap w:val="0"/>
            <w:tcMar>
              <w:top w:w="0" w:type="dxa"/>
              <w:left w:w="0" w:type="dxa"/>
              <w:bottom w:w="0" w:type="dxa"/>
              <w:right w:w="0" w:type="dxa"/>
            </w:tcMar>
            <w:vAlign w:val="center"/>
          </w:tcPr>
          <w:p w14:paraId="12379225">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302A63B2">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43D98B1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0D4A3C6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25C5E980">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一般</w:t>
            </w:r>
          </w:p>
        </w:tc>
        <w:tc>
          <w:tcPr>
            <w:tcW w:w="561" w:type="pct"/>
            <w:noWrap w:val="0"/>
            <w:tcMar>
              <w:top w:w="0" w:type="dxa"/>
              <w:left w:w="0" w:type="dxa"/>
              <w:bottom w:w="0" w:type="dxa"/>
              <w:right w:w="0" w:type="dxa"/>
            </w:tcMar>
            <w:vAlign w:val="center"/>
          </w:tcPr>
          <w:p w14:paraId="25481F3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sz w:val="18"/>
                <w:szCs w:val="18"/>
                <w:vertAlign w:val="baseline"/>
                <w:lang w:val="en-US" w:eastAsia="zh-CN"/>
              </w:rPr>
              <w:t>未造成事故的</w:t>
            </w:r>
          </w:p>
        </w:tc>
        <w:tc>
          <w:tcPr>
            <w:tcW w:w="873" w:type="pct"/>
            <w:noWrap w:val="0"/>
            <w:tcMar>
              <w:top w:w="0" w:type="dxa"/>
              <w:left w:w="0" w:type="dxa"/>
              <w:bottom w:w="0" w:type="dxa"/>
              <w:right w:w="0" w:type="dxa"/>
            </w:tcMar>
            <w:vAlign w:val="center"/>
          </w:tcPr>
          <w:p w14:paraId="60B0D44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责令停业整顿，直至改正违法行为，并处5万元以上7万元以下的罚款</w:t>
            </w:r>
          </w:p>
        </w:tc>
        <w:tc>
          <w:tcPr>
            <w:tcW w:w="158" w:type="pct"/>
            <w:vMerge w:val="continue"/>
            <w:noWrap w:val="0"/>
            <w:tcMar>
              <w:top w:w="0" w:type="dxa"/>
              <w:left w:w="0" w:type="dxa"/>
              <w:bottom w:w="0" w:type="dxa"/>
              <w:right w:w="0" w:type="dxa"/>
            </w:tcMar>
            <w:vAlign w:val="center"/>
          </w:tcPr>
          <w:p w14:paraId="258B85A6">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color w:val="000000"/>
                <w:sz w:val="18"/>
                <w:szCs w:val="18"/>
                <w:vertAlign w:val="baseline"/>
              </w:rPr>
            </w:pPr>
          </w:p>
        </w:tc>
      </w:tr>
      <w:tr w14:paraId="07781D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132" w:hRule="atLeast"/>
          <w:jc w:val="center"/>
        </w:trPr>
        <w:tc>
          <w:tcPr>
            <w:tcW w:w="156" w:type="pct"/>
            <w:vMerge w:val="continue"/>
            <w:noWrap w:val="0"/>
            <w:tcMar>
              <w:top w:w="0" w:type="dxa"/>
              <w:left w:w="0" w:type="dxa"/>
              <w:bottom w:w="0" w:type="dxa"/>
              <w:right w:w="0" w:type="dxa"/>
            </w:tcMar>
            <w:vAlign w:val="center"/>
          </w:tcPr>
          <w:p w14:paraId="1E71C728">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1909BA18">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4AC0A43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3328BC4C">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79FA77B5">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较重</w:t>
            </w:r>
          </w:p>
        </w:tc>
        <w:tc>
          <w:tcPr>
            <w:tcW w:w="561" w:type="pct"/>
            <w:noWrap w:val="0"/>
            <w:tcMar>
              <w:top w:w="0" w:type="dxa"/>
              <w:left w:w="0" w:type="dxa"/>
              <w:bottom w:w="0" w:type="dxa"/>
              <w:right w:w="0" w:type="dxa"/>
            </w:tcMar>
            <w:vAlign w:val="center"/>
          </w:tcPr>
          <w:p w14:paraId="4F9C2B0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造成一般事故的</w:t>
            </w:r>
          </w:p>
        </w:tc>
        <w:tc>
          <w:tcPr>
            <w:tcW w:w="873" w:type="pct"/>
            <w:noWrap w:val="0"/>
            <w:tcMar>
              <w:top w:w="0" w:type="dxa"/>
              <w:left w:w="0" w:type="dxa"/>
              <w:bottom w:w="0" w:type="dxa"/>
              <w:right w:w="0" w:type="dxa"/>
            </w:tcMar>
            <w:vAlign w:val="center"/>
          </w:tcPr>
          <w:p w14:paraId="47472CA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责令停业整顿，直至改正违法行为，并处7万元以上10万元以下的罚款</w:t>
            </w:r>
          </w:p>
        </w:tc>
        <w:tc>
          <w:tcPr>
            <w:tcW w:w="158" w:type="pct"/>
            <w:vMerge w:val="continue"/>
            <w:noWrap w:val="0"/>
            <w:tcMar>
              <w:top w:w="0" w:type="dxa"/>
              <w:left w:w="0" w:type="dxa"/>
              <w:bottom w:w="0" w:type="dxa"/>
              <w:right w:w="0" w:type="dxa"/>
            </w:tcMar>
            <w:vAlign w:val="center"/>
          </w:tcPr>
          <w:p w14:paraId="0287EC64">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color w:val="000000"/>
                <w:sz w:val="18"/>
                <w:szCs w:val="18"/>
                <w:vertAlign w:val="baseline"/>
              </w:rPr>
            </w:pPr>
          </w:p>
        </w:tc>
      </w:tr>
      <w:tr w14:paraId="72D894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734" w:hRule="atLeast"/>
          <w:jc w:val="center"/>
        </w:trPr>
        <w:tc>
          <w:tcPr>
            <w:tcW w:w="156" w:type="pct"/>
            <w:vMerge w:val="continue"/>
            <w:noWrap w:val="0"/>
            <w:tcMar>
              <w:top w:w="0" w:type="dxa"/>
              <w:left w:w="0" w:type="dxa"/>
              <w:bottom w:w="0" w:type="dxa"/>
              <w:right w:w="0" w:type="dxa"/>
            </w:tcMar>
            <w:vAlign w:val="center"/>
          </w:tcPr>
          <w:p w14:paraId="17CF90F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25498754">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4644E047">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4D19DD4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4175A50A">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严重</w:t>
            </w:r>
          </w:p>
        </w:tc>
        <w:tc>
          <w:tcPr>
            <w:tcW w:w="561" w:type="pct"/>
            <w:noWrap w:val="0"/>
            <w:tcMar>
              <w:top w:w="0" w:type="dxa"/>
              <w:left w:w="0" w:type="dxa"/>
              <w:bottom w:w="0" w:type="dxa"/>
              <w:right w:w="0" w:type="dxa"/>
            </w:tcMar>
            <w:vAlign w:val="center"/>
          </w:tcPr>
          <w:p w14:paraId="5A8EFAC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造成较大及以上事故的</w:t>
            </w:r>
          </w:p>
        </w:tc>
        <w:tc>
          <w:tcPr>
            <w:tcW w:w="873" w:type="pct"/>
            <w:noWrap w:val="0"/>
            <w:tcMar>
              <w:top w:w="0" w:type="dxa"/>
              <w:left w:w="0" w:type="dxa"/>
              <w:bottom w:w="0" w:type="dxa"/>
              <w:right w:w="0" w:type="dxa"/>
            </w:tcMar>
            <w:vAlign w:val="center"/>
          </w:tcPr>
          <w:p w14:paraId="542FC9B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责令停业整顿，直至改正违法行为，并处10万元的罚款</w:t>
            </w:r>
          </w:p>
        </w:tc>
        <w:tc>
          <w:tcPr>
            <w:tcW w:w="158" w:type="pct"/>
            <w:vMerge w:val="continue"/>
            <w:noWrap w:val="0"/>
            <w:tcMar>
              <w:top w:w="0" w:type="dxa"/>
              <w:left w:w="0" w:type="dxa"/>
              <w:bottom w:w="0" w:type="dxa"/>
              <w:right w:w="0" w:type="dxa"/>
            </w:tcMar>
            <w:vAlign w:val="center"/>
          </w:tcPr>
          <w:p w14:paraId="6FFA73A6">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color w:val="000000"/>
                <w:sz w:val="18"/>
                <w:szCs w:val="18"/>
                <w:vertAlign w:val="baseline"/>
              </w:rPr>
            </w:pPr>
          </w:p>
        </w:tc>
      </w:tr>
      <w:tr w14:paraId="70AB8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407EECA1">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6CC8C7F6">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69AD38C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restart"/>
            <w:noWrap w:val="0"/>
            <w:tcMar>
              <w:top w:w="0" w:type="dxa"/>
              <w:left w:w="0" w:type="dxa"/>
              <w:bottom w:w="0" w:type="dxa"/>
              <w:right w:w="0" w:type="dxa"/>
            </w:tcMar>
            <w:vAlign w:val="center"/>
          </w:tcPr>
          <w:p w14:paraId="7838068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施工单位未根据不同施工阶段和周围环境及季节、气候的变化，在施工现场采取相应的安全施工措施，或者在城市市区内的建设工程的</w:t>
            </w:r>
          </w:p>
        </w:tc>
        <w:tc>
          <w:tcPr>
            <w:tcW w:w="174" w:type="pct"/>
            <w:noWrap w:val="0"/>
            <w:tcMar>
              <w:top w:w="0" w:type="dxa"/>
              <w:left w:w="0" w:type="dxa"/>
              <w:bottom w:w="0" w:type="dxa"/>
              <w:right w:w="0" w:type="dxa"/>
            </w:tcMar>
            <w:vAlign w:val="center"/>
          </w:tcPr>
          <w:p w14:paraId="18A5F88C">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轻微</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4C28B2E8">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48521489">
            <w:pPr>
              <w:spacing w:line="260" w:lineRule="exact"/>
              <w:rPr>
                <w:rFonts w:hint="eastAsia" w:ascii="宋体" w:hAnsi="宋体" w:eastAsia="宋体" w:cs="宋体"/>
                <w:color w:val="000000"/>
                <w:sz w:val="18"/>
                <w:szCs w:val="18"/>
                <w:vertAlign w:val="baseline"/>
                <w:lang w:val="en-US" w:eastAsia="zh-CN"/>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504725AB">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7AD75212">
            <w:pPr>
              <w:spacing w:line="260" w:lineRule="exact"/>
              <w:rPr>
                <w:rFonts w:hint="eastAsia" w:ascii="宋体" w:hAnsi="宋体" w:eastAsia="宋体" w:cs="宋体"/>
                <w:color w:val="000000"/>
                <w:kern w:val="2"/>
                <w:sz w:val="18"/>
                <w:szCs w:val="18"/>
                <w:vertAlign w:val="baseline"/>
                <w:lang w:val="en-US" w:eastAsia="zh-CN" w:bidi="ar-SA"/>
              </w:rPr>
            </w:pPr>
          </w:p>
        </w:tc>
        <w:tc>
          <w:tcPr>
            <w:tcW w:w="158" w:type="pct"/>
            <w:vMerge w:val="restart"/>
            <w:noWrap w:val="0"/>
            <w:tcMar>
              <w:top w:w="0" w:type="dxa"/>
              <w:left w:w="0" w:type="dxa"/>
              <w:bottom w:w="0" w:type="dxa"/>
              <w:right w:w="0" w:type="dxa"/>
            </w:tcMar>
            <w:vAlign w:val="center"/>
          </w:tcPr>
          <w:p w14:paraId="4AF58AD6">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color w:val="000000"/>
                <w:sz w:val="18"/>
                <w:szCs w:val="18"/>
                <w:vertAlign w:val="baseline"/>
              </w:rPr>
            </w:pPr>
          </w:p>
        </w:tc>
      </w:tr>
      <w:tr w14:paraId="54560B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098" w:hRule="atLeast"/>
          <w:jc w:val="center"/>
        </w:trPr>
        <w:tc>
          <w:tcPr>
            <w:tcW w:w="156" w:type="pct"/>
            <w:vMerge w:val="continue"/>
            <w:noWrap w:val="0"/>
            <w:tcMar>
              <w:top w:w="0" w:type="dxa"/>
              <w:left w:w="0" w:type="dxa"/>
              <w:bottom w:w="0" w:type="dxa"/>
              <w:right w:w="0" w:type="dxa"/>
            </w:tcMar>
            <w:vAlign w:val="center"/>
          </w:tcPr>
          <w:p w14:paraId="0DDC7765">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1A83D243">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1F26D6B7">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5BB104F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2FA6B498">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较轻</w:t>
            </w:r>
          </w:p>
        </w:tc>
        <w:tc>
          <w:tcPr>
            <w:tcW w:w="561" w:type="pct"/>
            <w:noWrap w:val="0"/>
            <w:tcMar>
              <w:top w:w="0" w:type="dxa"/>
              <w:left w:w="0" w:type="dxa"/>
              <w:bottom w:w="0" w:type="dxa"/>
              <w:right w:w="0" w:type="dxa"/>
            </w:tcMar>
            <w:vAlign w:val="center"/>
          </w:tcPr>
          <w:p w14:paraId="5CFB118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未造成事故的</w:t>
            </w:r>
          </w:p>
        </w:tc>
        <w:tc>
          <w:tcPr>
            <w:tcW w:w="873" w:type="pct"/>
            <w:noWrap w:val="0"/>
            <w:tcMar>
              <w:top w:w="0" w:type="dxa"/>
              <w:left w:w="0" w:type="dxa"/>
              <w:bottom w:w="0" w:type="dxa"/>
              <w:right w:w="0" w:type="dxa"/>
            </w:tcMar>
            <w:vAlign w:val="center"/>
          </w:tcPr>
          <w:p w14:paraId="4B706B1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责令停业整顿，直至改正违法行为，并处5万元以上7万元以下的罚款</w:t>
            </w:r>
          </w:p>
        </w:tc>
        <w:tc>
          <w:tcPr>
            <w:tcW w:w="158" w:type="pct"/>
            <w:vMerge w:val="continue"/>
            <w:noWrap w:val="0"/>
            <w:tcMar>
              <w:top w:w="0" w:type="dxa"/>
              <w:left w:w="0" w:type="dxa"/>
              <w:bottom w:w="0" w:type="dxa"/>
              <w:right w:w="0" w:type="dxa"/>
            </w:tcMar>
            <w:vAlign w:val="center"/>
          </w:tcPr>
          <w:p w14:paraId="0C4AA8D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646A79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46585298">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463E546B">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5CCADA1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7440723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3172B76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一般</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0EFCB95B">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475FBBFE">
            <w:pPr>
              <w:spacing w:line="260" w:lineRule="exact"/>
              <w:rPr>
                <w:rFonts w:hint="eastAsia" w:ascii="宋体" w:hAnsi="宋体" w:eastAsia="宋体" w:cs="宋体"/>
                <w:color w:val="000000"/>
                <w:sz w:val="18"/>
                <w:szCs w:val="18"/>
                <w:vertAlign w:val="baseline"/>
                <w:lang w:val="en-US" w:eastAsia="zh-CN"/>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46EEAE83">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24B5962F">
            <w:pPr>
              <w:spacing w:line="260" w:lineRule="exact"/>
              <w:rPr>
                <w:rFonts w:hint="eastAsia" w:ascii="宋体" w:hAnsi="宋体" w:eastAsia="宋体" w:cs="宋体"/>
                <w:color w:val="000000"/>
                <w:kern w:val="2"/>
                <w:sz w:val="18"/>
                <w:szCs w:val="18"/>
                <w:vertAlign w:val="baseline"/>
                <w:lang w:val="en-US" w:eastAsia="zh-CN" w:bidi="ar-SA"/>
              </w:rPr>
            </w:pPr>
          </w:p>
        </w:tc>
        <w:tc>
          <w:tcPr>
            <w:tcW w:w="158" w:type="pct"/>
            <w:vMerge w:val="continue"/>
            <w:noWrap w:val="0"/>
            <w:tcMar>
              <w:top w:w="0" w:type="dxa"/>
              <w:left w:w="0" w:type="dxa"/>
              <w:bottom w:w="0" w:type="dxa"/>
              <w:right w:w="0" w:type="dxa"/>
            </w:tcMar>
            <w:vAlign w:val="center"/>
          </w:tcPr>
          <w:p w14:paraId="3633C80D">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5913B6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170" w:hRule="atLeast"/>
          <w:jc w:val="center"/>
        </w:trPr>
        <w:tc>
          <w:tcPr>
            <w:tcW w:w="156" w:type="pct"/>
            <w:vMerge w:val="continue"/>
            <w:noWrap w:val="0"/>
            <w:tcMar>
              <w:top w:w="0" w:type="dxa"/>
              <w:left w:w="0" w:type="dxa"/>
              <w:bottom w:w="0" w:type="dxa"/>
              <w:right w:w="0" w:type="dxa"/>
            </w:tcMar>
            <w:vAlign w:val="center"/>
          </w:tcPr>
          <w:p w14:paraId="17ADDA5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25A20990">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0B57FAC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4BB323FC">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00472D3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较重</w:t>
            </w:r>
          </w:p>
        </w:tc>
        <w:tc>
          <w:tcPr>
            <w:tcW w:w="561" w:type="pct"/>
            <w:noWrap w:val="0"/>
            <w:tcMar>
              <w:top w:w="0" w:type="dxa"/>
              <w:left w:w="0" w:type="dxa"/>
              <w:bottom w:w="0" w:type="dxa"/>
              <w:right w:w="0" w:type="dxa"/>
            </w:tcMar>
            <w:vAlign w:val="center"/>
          </w:tcPr>
          <w:p w14:paraId="5B3ECC0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造成一般事故的</w:t>
            </w:r>
          </w:p>
        </w:tc>
        <w:tc>
          <w:tcPr>
            <w:tcW w:w="873" w:type="pct"/>
            <w:noWrap w:val="0"/>
            <w:tcMar>
              <w:top w:w="0" w:type="dxa"/>
              <w:left w:w="0" w:type="dxa"/>
              <w:bottom w:w="0" w:type="dxa"/>
              <w:right w:w="0" w:type="dxa"/>
            </w:tcMar>
            <w:vAlign w:val="center"/>
          </w:tcPr>
          <w:p w14:paraId="0536279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责令停业整顿，直至改正违法行为，并处7万元以上10万元以下的罚款</w:t>
            </w:r>
          </w:p>
        </w:tc>
        <w:tc>
          <w:tcPr>
            <w:tcW w:w="158" w:type="pct"/>
            <w:vMerge w:val="continue"/>
            <w:noWrap w:val="0"/>
            <w:tcMar>
              <w:top w:w="0" w:type="dxa"/>
              <w:left w:w="0" w:type="dxa"/>
              <w:bottom w:w="0" w:type="dxa"/>
              <w:right w:w="0" w:type="dxa"/>
            </w:tcMar>
            <w:vAlign w:val="center"/>
          </w:tcPr>
          <w:p w14:paraId="39A3BBC8">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3619E5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51" w:hRule="atLeast"/>
          <w:jc w:val="center"/>
        </w:trPr>
        <w:tc>
          <w:tcPr>
            <w:tcW w:w="156" w:type="pct"/>
            <w:vMerge w:val="continue"/>
            <w:noWrap w:val="0"/>
            <w:tcMar>
              <w:top w:w="0" w:type="dxa"/>
              <w:left w:w="0" w:type="dxa"/>
              <w:bottom w:w="0" w:type="dxa"/>
              <w:right w:w="0" w:type="dxa"/>
            </w:tcMar>
            <w:vAlign w:val="center"/>
          </w:tcPr>
          <w:p w14:paraId="44A9044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38E25067">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13C2DFE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206A235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7138014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严重</w:t>
            </w:r>
          </w:p>
        </w:tc>
        <w:tc>
          <w:tcPr>
            <w:tcW w:w="561" w:type="pct"/>
            <w:noWrap w:val="0"/>
            <w:tcMar>
              <w:top w:w="0" w:type="dxa"/>
              <w:left w:w="0" w:type="dxa"/>
              <w:bottom w:w="0" w:type="dxa"/>
              <w:right w:w="0" w:type="dxa"/>
            </w:tcMar>
            <w:vAlign w:val="center"/>
          </w:tcPr>
          <w:p w14:paraId="5E3A82B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sz w:val="18"/>
                <w:szCs w:val="18"/>
                <w:vertAlign w:val="baseline"/>
                <w:lang w:val="en-US" w:eastAsia="zh-CN"/>
              </w:rPr>
              <w:t>造成较大及以上事故的</w:t>
            </w:r>
          </w:p>
        </w:tc>
        <w:tc>
          <w:tcPr>
            <w:tcW w:w="873" w:type="pct"/>
            <w:noWrap w:val="0"/>
            <w:tcMar>
              <w:top w:w="0" w:type="dxa"/>
              <w:left w:w="0" w:type="dxa"/>
              <w:bottom w:w="0" w:type="dxa"/>
              <w:right w:w="0" w:type="dxa"/>
            </w:tcMar>
            <w:vAlign w:val="center"/>
          </w:tcPr>
          <w:p w14:paraId="43138C9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责令停业整顿，直至改正违法行为，并处10万元的罚款</w:t>
            </w:r>
          </w:p>
        </w:tc>
        <w:tc>
          <w:tcPr>
            <w:tcW w:w="158" w:type="pct"/>
            <w:vMerge w:val="continue"/>
            <w:noWrap w:val="0"/>
            <w:tcMar>
              <w:top w:w="0" w:type="dxa"/>
              <w:left w:w="0" w:type="dxa"/>
              <w:bottom w:w="0" w:type="dxa"/>
              <w:right w:w="0" w:type="dxa"/>
            </w:tcMar>
            <w:vAlign w:val="center"/>
          </w:tcPr>
          <w:p w14:paraId="303F780A">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6BAB1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156" w:type="pct"/>
            <w:vMerge w:val="continue"/>
            <w:noWrap w:val="0"/>
            <w:tcMar>
              <w:top w:w="0" w:type="dxa"/>
              <w:left w:w="0" w:type="dxa"/>
              <w:bottom w:w="0" w:type="dxa"/>
              <w:right w:w="0" w:type="dxa"/>
            </w:tcMar>
            <w:vAlign w:val="center"/>
          </w:tcPr>
          <w:p w14:paraId="67AD7F7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4CCB284C">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39F2DA7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restart"/>
            <w:noWrap w:val="0"/>
            <w:tcMar>
              <w:top w:w="0" w:type="dxa"/>
              <w:left w:w="0" w:type="dxa"/>
              <w:bottom w:w="0" w:type="dxa"/>
              <w:right w:w="0" w:type="dxa"/>
            </w:tcMar>
            <w:vAlign w:val="center"/>
          </w:tcPr>
          <w:p w14:paraId="7335895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施工单位在尚未竣工的建筑物内设置员工集体宿舍的</w:t>
            </w:r>
          </w:p>
        </w:tc>
        <w:tc>
          <w:tcPr>
            <w:tcW w:w="174" w:type="pct"/>
            <w:noWrap w:val="0"/>
            <w:tcMar>
              <w:top w:w="0" w:type="dxa"/>
              <w:left w:w="0" w:type="dxa"/>
              <w:bottom w:w="0" w:type="dxa"/>
              <w:right w:w="0" w:type="dxa"/>
            </w:tcMar>
            <w:vAlign w:val="center"/>
          </w:tcPr>
          <w:p w14:paraId="4161950B">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轻微</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75FF6301">
            <w:pPr>
              <w:snapToGrid w:val="0"/>
              <w:spacing w:line="24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6E092E42">
            <w:pPr>
              <w:spacing w:line="240" w:lineRule="exact"/>
              <w:rPr>
                <w:rFonts w:hint="eastAsia" w:ascii="宋体" w:hAnsi="宋体" w:eastAsia="宋体" w:cs="宋体"/>
                <w:color w:val="000000"/>
                <w:sz w:val="18"/>
                <w:szCs w:val="18"/>
                <w:vertAlign w:val="baseline"/>
                <w:lang w:val="en-US" w:eastAsia="zh-CN"/>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4905B476">
            <w:pPr>
              <w:snapToGrid w:val="0"/>
              <w:spacing w:line="24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6744C2C0">
            <w:pPr>
              <w:spacing w:line="240" w:lineRule="exact"/>
              <w:rPr>
                <w:rFonts w:hint="eastAsia" w:ascii="宋体" w:hAnsi="宋体" w:eastAsia="宋体" w:cs="宋体"/>
                <w:color w:val="000000"/>
                <w:kern w:val="2"/>
                <w:sz w:val="18"/>
                <w:szCs w:val="18"/>
                <w:vertAlign w:val="baseline"/>
                <w:lang w:val="en-US" w:eastAsia="zh-CN" w:bidi="ar-SA"/>
              </w:rPr>
            </w:pPr>
          </w:p>
        </w:tc>
        <w:tc>
          <w:tcPr>
            <w:tcW w:w="158" w:type="pct"/>
            <w:vMerge w:val="restart"/>
            <w:noWrap w:val="0"/>
            <w:tcMar>
              <w:top w:w="0" w:type="dxa"/>
              <w:left w:w="0" w:type="dxa"/>
              <w:bottom w:w="0" w:type="dxa"/>
              <w:right w:w="0" w:type="dxa"/>
            </w:tcMar>
            <w:vAlign w:val="center"/>
          </w:tcPr>
          <w:p w14:paraId="69DBE9FB">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color w:val="000000"/>
                <w:sz w:val="18"/>
                <w:szCs w:val="18"/>
                <w:vertAlign w:val="baseline"/>
              </w:rPr>
            </w:pPr>
          </w:p>
        </w:tc>
      </w:tr>
      <w:tr w14:paraId="0932E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79ED5C5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1D41ECD9">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3F758E3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62CFD97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1C74ECC1">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较轻</w:t>
            </w:r>
          </w:p>
        </w:tc>
        <w:tc>
          <w:tcPr>
            <w:tcW w:w="561" w:type="pct"/>
            <w:noWrap w:val="0"/>
            <w:tcMar>
              <w:top w:w="0" w:type="dxa"/>
              <w:left w:w="0" w:type="dxa"/>
              <w:bottom w:w="0" w:type="dxa"/>
              <w:right w:w="0" w:type="dxa"/>
            </w:tcMar>
            <w:vAlign w:val="center"/>
          </w:tcPr>
          <w:p w14:paraId="619FB529">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sz w:val="18"/>
                <w:szCs w:val="18"/>
                <w:vertAlign w:val="baseline"/>
                <w:lang w:val="en-US" w:eastAsia="zh-CN"/>
              </w:rPr>
              <w:t>未造成事故的</w:t>
            </w:r>
          </w:p>
        </w:tc>
        <w:tc>
          <w:tcPr>
            <w:tcW w:w="873" w:type="pct"/>
            <w:noWrap w:val="0"/>
            <w:tcMar>
              <w:top w:w="0" w:type="dxa"/>
              <w:left w:w="0" w:type="dxa"/>
              <w:bottom w:w="0" w:type="dxa"/>
              <w:right w:w="0" w:type="dxa"/>
            </w:tcMar>
            <w:vAlign w:val="center"/>
          </w:tcPr>
          <w:p w14:paraId="3EF2DEE0">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责令停业整顿，直至改正违法行为，并处5万元以上7万元以下的罚款</w:t>
            </w:r>
          </w:p>
        </w:tc>
        <w:tc>
          <w:tcPr>
            <w:tcW w:w="158" w:type="pct"/>
            <w:vMerge w:val="continue"/>
            <w:noWrap w:val="0"/>
            <w:tcMar>
              <w:top w:w="0" w:type="dxa"/>
              <w:left w:w="0" w:type="dxa"/>
              <w:bottom w:w="0" w:type="dxa"/>
              <w:right w:w="0" w:type="dxa"/>
            </w:tcMar>
            <w:vAlign w:val="center"/>
          </w:tcPr>
          <w:p w14:paraId="514C2C1E">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color w:val="000000"/>
                <w:sz w:val="18"/>
                <w:szCs w:val="18"/>
                <w:vertAlign w:val="baseline"/>
              </w:rPr>
            </w:pPr>
          </w:p>
        </w:tc>
      </w:tr>
      <w:tr w14:paraId="13B213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156" w:type="pct"/>
            <w:vMerge w:val="continue"/>
            <w:noWrap w:val="0"/>
            <w:tcMar>
              <w:top w:w="0" w:type="dxa"/>
              <w:left w:w="0" w:type="dxa"/>
              <w:bottom w:w="0" w:type="dxa"/>
              <w:right w:w="0" w:type="dxa"/>
            </w:tcMar>
            <w:vAlign w:val="center"/>
          </w:tcPr>
          <w:p w14:paraId="515A13B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36259575">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5C64F31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01C5EDA4">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28618641">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一般</w:t>
            </w:r>
          </w:p>
        </w:tc>
        <w:tc>
          <w:tcPr>
            <w:tcW w:w="561" w:type="pct"/>
            <w:noWrap w:val="0"/>
            <w:tcMar>
              <w:top w:w="0" w:type="dxa"/>
              <w:left w:w="0" w:type="dxa"/>
              <w:bottom w:w="0" w:type="dxa"/>
              <w:right w:w="0" w:type="dxa"/>
            </w:tcMar>
            <w:vAlign w:val="center"/>
          </w:tcPr>
          <w:p w14:paraId="19477D0D">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kern w:val="2"/>
                <w:sz w:val="18"/>
                <w:szCs w:val="18"/>
                <w:vertAlign w:val="baseline"/>
                <w:lang w:val="en-US" w:eastAsia="zh-CN" w:bidi="ar-SA"/>
              </w:rPr>
            </w:pPr>
          </w:p>
        </w:tc>
        <w:tc>
          <w:tcPr>
            <w:tcW w:w="873" w:type="pct"/>
            <w:noWrap w:val="0"/>
            <w:tcMar>
              <w:top w:w="0" w:type="dxa"/>
              <w:left w:w="0" w:type="dxa"/>
              <w:bottom w:w="0" w:type="dxa"/>
              <w:right w:w="0" w:type="dxa"/>
            </w:tcMar>
            <w:vAlign w:val="center"/>
          </w:tcPr>
          <w:p w14:paraId="5860AC1B">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kern w:val="2"/>
                <w:sz w:val="18"/>
                <w:szCs w:val="18"/>
                <w:vertAlign w:val="baseline"/>
                <w:lang w:val="en-US" w:eastAsia="zh-CN" w:bidi="ar-SA"/>
              </w:rPr>
            </w:pPr>
          </w:p>
        </w:tc>
        <w:tc>
          <w:tcPr>
            <w:tcW w:w="158" w:type="pct"/>
            <w:vMerge w:val="continue"/>
            <w:noWrap w:val="0"/>
            <w:tcMar>
              <w:top w:w="0" w:type="dxa"/>
              <w:left w:w="0" w:type="dxa"/>
              <w:bottom w:w="0" w:type="dxa"/>
              <w:right w:w="0" w:type="dxa"/>
            </w:tcMar>
            <w:vAlign w:val="center"/>
          </w:tcPr>
          <w:p w14:paraId="2295E638">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color w:val="000000"/>
                <w:sz w:val="18"/>
                <w:szCs w:val="18"/>
                <w:vertAlign w:val="baseline"/>
              </w:rPr>
            </w:pPr>
          </w:p>
        </w:tc>
      </w:tr>
      <w:tr w14:paraId="32285D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104967C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6E3202BB">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3F3DDF6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465C3D94">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7009E6D5">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较重</w:t>
            </w:r>
          </w:p>
        </w:tc>
        <w:tc>
          <w:tcPr>
            <w:tcW w:w="561" w:type="pct"/>
            <w:noWrap w:val="0"/>
            <w:tcMar>
              <w:top w:w="0" w:type="dxa"/>
              <w:left w:w="0" w:type="dxa"/>
              <w:bottom w:w="0" w:type="dxa"/>
              <w:right w:w="0" w:type="dxa"/>
            </w:tcMar>
            <w:vAlign w:val="center"/>
          </w:tcPr>
          <w:p w14:paraId="1147EAA4">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sz w:val="18"/>
                <w:szCs w:val="18"/>
                <w:vertAlign w:val="baseline"/>
                <w:lang w:val="en-US" w:eastAsia="zh-CN"/>
              </w:rPr>
              <w:t>造成一般事故的</w:t>
            </w:r>
          </w:p>
        </w:tc>
        <w:tc>
          <w:tcPr>
            <w:tcW w:w="873" w:type="pct"/>
            <w:noWrap w:val="0"/>
            <w:tcMar>
              <w:top w:w="0" w:type="dxa"/>
              <w:left w:w="0" w:type="dxa"/>
              <w:bottom w:w="0" w:type="dxa"/>
              <w:right w:w="0" w:type="dxa"/>
            </w:tcMar>
            <w:vAlign w:val="center"/>
          </w:tcPr>
          <w:p w14:paraId="654F6E1B">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责令停业整顿，直至改正违法行为，并处7万元以上10万元以下的罚款</w:t>
            </w:r>
          </w:p>
        </w:tc>
        <w:tc>
          <w:tcPr>
            <w:tcW w:w="158" w:type="pct"/>
            <w:vMerge w:val="continue"/>
            <w:noWrap w:val="0"/>
            <w:tcMar>
              <w:top w:w="0" w:type="dxa"/>
              <w:left w:w="0" w:type="dxa"/>
              <w:bottom w:w="0" w:type="dxa"/>
              <w:right w:w="0" w:type="dxa"/>
            </w:tcMar>
            <w:vAlign w:val="center"/>
          </w:tcPr>
          <w:p w14:paraId="6DB52BE5">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color w:val="000000"/>
                <w:sz w:val="18"/>
                <w:szCs w:val="18"/>
                <w:vertAlign w:val="baseline"/>
              </w:rPr>
            </w:pPr>
          </w:p>
        </w:tc>
      </w:tr>
      <w:tr w14:paraId="7B7C60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5EAE786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0BC3A09A">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067DE4B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4DA0A927">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50E44ABA">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严重</w:t>
            </w:r>
          </w:p>
        </w:tc>
        <w:tc>
          <w:tcPr>
            <w:tcW w:w="561" w:type="pct"/>
            <w:noWrap w:val="0"/>
            <w:tcMar>
              <w:top w:w="0" w:type="dxa"/>
              <w:left w:w="0" w:type="dxa"/>
              <w:bottom w:w="0" w:type="dxa"/>
              <w:right w:w="0" w:type="dxa"/>
            </w:tcMar>
            <w:vAlign w:val="center"/>
          </w:tcPr>
          <w:p w14:paraId="756CED34">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sz w:val="18"/>
                <w:szCs w:val="18"/>
                <w:vertAlign w:val="baseline"/>
                <w:lang w:val="en-US" w:eastAsia="zh-CN"/>
              </w:rPr>
              <w:t>造成较大及以上事故的</w:t>
            </w:r>
          </w:p>
        </w:tc>
        <w:tc>
          <w:tcPr>
            <w:tcW w:w="873" w:type="pct"/>
            <w:noWrap w:val="0"/>
            <w:tcMar>
              <w:top w:w="0" w:type="dxa"/>
              <w:left w:w="0" w:type="dxa"/>
              <w:bottom w:w="0" w:type="dxa"/>
              <w:right w:w="0" w:type="dxa"/>
            </w:tcMar>
            <w:vAlign w:val="center"/>
          </w:tcPr>
          <w:p w14:paraId="47FF407B">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责令停业整顿，直至改正违法行为，并处10万元的罚款</w:t>
            </w:r>
          </w:p>
        </w:tc>
        <w:tc>
          <w:tcPr>
            <w:tcW w:w="158" w:type="pct"/>
            <w:vMerge w:val="continue"/>
            <w:noWrap w:val="0"/>
            <w:tcMar>
              <w:top w:w="0" w:type="dxa"/>
              <w:left w:w="0" w:type="dxa"/>
              <w:bottom w:w="0" w:type="dxa"/>
              <w:right w:w="0" w:type="dxa"/>
            </w:tcMar>
            <w:vAlign w:val="center"/>
          </w:tcPr>
          <w:p w14:paraId="6C290DF0">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color w:val="000000"/>
                <w:sz w:val="18"/>
                <w:szCs w:val="18"/>
                <w:vertAlign w:val="baseline"/>
              </w:rPr>
            </w:pPr>
          </w:p>
        </w:tc>
      </w:tr>
      <w:tr w14:paraId="0C6EF7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156" w:type="pct"/>
            <w:vMerge w:val="continue"/>
            <w:noWrap w:val="0"/>
            <w:tcMar>
              <w:top w:w="0" w:type="dxa"/>
              <w:left w:w="0" w:type="dxa"/>
              <w:bottom w:w="0" w:type="dxa"/>
              <w:right w:w="0" w:type="dxa"/>
            </w:tcMar>
            <w:vAlign w:val="center"/>
          </w:tcPr>
          <w:p w14:paraId="5F1E0158">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245115E0">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70976D8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restart"/>
            <w:noWrap w:val="0"/>
            <w:tcMar>
              <w:top w:w="0" w:type="dxa"/>
              <w:left w:w="0" w:type="dxa"/>
              <w:bottom w:w="0" w:type="dxa"/>
              <w:right w:w="0" w:type="dxa"/>
            </w:tcMar>
            <w:vAlign w:val="center"/>
          </w:tcPr>
          <w:p w14:paraId="75F91A5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施工现场临时搭建的建筑物不符合安全使用要求的</w:t>
            </w:r>
          </w:p>
        </w:tc>
        <w:tc>
          <w:tcPr>
            <w:tcW w:w="174" w:type="pct"/>
            <w:noWrap w:val="0"/>
            <w:tcMar>
              <w:top w:w="0" w:type="dxa"/>
              <w:left w:w="0" w:type="dxa"/>
              <w:bottom w:w="0" w:type="dxa"/>
              <w:right w:w="0" w:type="dxa"/>
            </w:tcMar>
            <w:vAlign w:val="center"/>
          </w:tcPr>
          <w:p w14:paraId="5930BF2D">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轻微</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5C6E221A">
            <w:pPr>
              <w:snapToGrid w:val="0"/>
              <w:spacing w:line="24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0F7E3394">
            <w:pPr>
              <w:spacing w:line="240" w:lineRule="exact"/>
              <w:rPr>
                <w:rFonts w:hint="eastAsia" w:ascii="宋体" w:hAnsi="宋体" w:eastAsia="宋体" w:cs="宋体"/>
                <w:color w:val="000000"/>
                <w:sz w:val="18"/>
                <w:szCs w:val="18"/>
                <w:vertAlign w:val="baseline"/>
                <w:lang w:val="en-US" w:eastAsia="zh-CN"/>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732C5F7E">
            <w:pPr>
              <w:snapToGrid w:val="0"/>
              <w:spacing w:line="24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7EFCC30A">
            <w:pPr>
              <w:spacing w:line="240" w:lineRule="exact"/>
              <w:rPr>
                <w:rFonts w:hint="eastAsia" w:ascii="宋体" w:hAnsi="宋体" w:eastAsia="宋体" w:cs="宋体"/>
                <w:color w:val="000000"/>
                <w:kern w:val="2"/>
                <w:sz w:val="18"/>
                <w:szCs w:val="18"/>
                <w:vertAlign w:val="baseline"/>
                <w:lang w:val="en-US" w:eastAsia="zh-CN" w:bidi="ar-SA"/>
              </w:rPr>
            </w:pPr>
          </w:p>
        </w:tc>
        <w:tc>
          <w:tcPr>
            <w:tcW w:w="158" w:type="pct"/>
            <w:vMerge w:val="restart"/>
            <w:noWrap w:val="0"/>
            <w:tcMar>
              <w:top w:w="0" w:type="dxa"/>
              <w:left w:w="0" w:type="dxa"/>
              <w:bottom w:w="0" w:type="dxa"/>
              <w:right w:w="0" w:type="dxa"/>
            </w:tcMar>
            <w:vAlign w:val="center"/>
          </w:tcPr>
          <w:p w14:paraId="0446AB38">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color w:val="000000"/>
                <w:sz w:val="18"/>
                <w:szCs w:val="18"/>
                <w:vertAlign w:val="baseline"/>
              </w:rPr>
            </w:pPr>
          </w:p>
        </w:tc>
      </w:tr>
      <w:tr w14:paraId="0E335D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156" w:type="pct"/>
            <w:vMerge w:val="continue"/>
            <w:noWrap w:val="0"/>
            <w:tcMar>
              <w:top w:w="0" w:type="dxa"/>
              <w:left w:w="0" w:type="dxa"/>
              <w:bottom w:w="0" w:type="dxa"/>
              <w:right w:w="0" w:type="dxa"/>
            </w:tcMar>
            <w:vAlign w:val="center"/>
          </w:tcPr>
          <w:p w14:paraId="3DF53BA9">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71D0990E">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1EBD26B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6358D13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48167261">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较轻</w:t>
            </w:r>
          </w:p>
        </w:tc>
        <w:tc>
          <w:tcPr>
            <w:tcW w:w="561" w:type="pct"/>
            <w:noWrap w:val="0"/>
            <w:tcMar>
              <w:top w:w="0" w:type="dxa"/>
              <w:left w:w="0" w:type="dxa"/>
              <w:bottom w:w="0" w:type="dxa"/>
              <w:right w:w="0" w:type="dxa"/>
            </w:tcMar>
            <w:vAlign w:val="center"/>
          </w:tcPr>
          <w:p w14:paraId="4D20746F">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sz w:val="18"/>
                <w:szCs w:val="18"/>
                <w:vertAlign w:val="baseline"/>
                <w:lang w:val="en-US" w:eastAsia="zh-CN"/>
              </w:rPr>
              <w:t>未造成事故的</w:t>
            </w:r>
          </w:p>
        </w:tc>
        <w:tc>
          <w:tcPr>
            <w:tcW w:w="873" w:type="pct"/>
            <w:noWrap w:val="0"/>
            <w:tcMar>
              <w:top w:w="0" w:type="dxa"/>
              <w:left w:w="0" w:type="dxa"/>
              <w:bottom w:w="0" w:type="dxa"/>
              <w:right w:w="0" w:type="dxa"/>
            </w:tcMar>
            <w:vAlign w:val="center"/>
          </w:tcPr>
          <w:p w14:paraId="5A37177A">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责令停业整顿，直至改正违法行为，并处5万元以上7万元以下的罚款</w:t>
            </w:r>
          </w:p>
        </w:tc>
        <w:tc>
          <w:tcPr>
            <w:tcW w:w="158" w:type="pct"/>
            <w:vMerge w:val="continue"/>
            <w:noWrap w:val="0"/>
            <w:tcMar>
              <w:top w:w="0" w:type="dxa"/>
              <w:left w:w="0" w:type="dxa"/>
              <w:bottom w:w="0" w:type="dxa"/>
              <w:right w:w="0" w:type="dxa"/>
            </w:tcMar>
            <w:vAlign w:val="center"/>
          </w:tcPr>
          <w:p w14:paraId="7B729B89">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color w:val="000000"/>
                <w:sz w:val="18"/>
                <w:szCs w:val="18"/>
                <w:vertAlign w:val="baseline"/>
              </w:rPr>
            </w:pPr>
          </w:p>
        </w:tc>
      </w:tr>
      <w:tr w14:paraId="5639CF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156" w:type="pct"/>
            <w:vMerge w:val="continue"/>
            <w:noWrap w:val="0"/>
            <w:tcMar>
              <w:top w:w="0" w:type="dxa"/>
              <w:left w:w="0" w:type="dxa"/>
              <w:bottom w:w="0" w:type="dxa"/>
              <w:right w:w="0" w:type="dxa"/>
            </w:tcMar>
            <w:vAlign w:val="center"/>
          </w:tcPr>
          <w:p w14:paraId="32EC439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56AB8C0D">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63BE03D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3EFB3FB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41177D12">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一般</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3BB3AF97">
            <w:pPr>
              <w:snapToGrid/>
              <w:spacing w:line="24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25484504">
            <w:pPr>
              <w:spacing w:line="240" w:lineRule="exact"/>
              <w:rPr>
                <w:rFonts w:hint="eastAsia" w:ascii="宋体" w:hAnsi="宋体" w:eastAsia="宋体" w:cs="宋体"/>
                <w:color w:val="000000"/>
                <w:kern w:val="2"/>
                <w:sz w:val="18"/>
                <w:szCs w:val="18"/>
                <w:vertAlign w:val="baseline"/>
                <w:lang w:val="en-US" w:eastAsia="zh-CN" w:bidi="ar-SA"/>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466E716E">
            <w:pPr>
              <w:snapToGrid/>
              <w:spacing w:line="24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584A0A32">
            <w:pPr>
              <w:spacing w:line="240" w:lineRule="exact"/>
              <w:rPr>
                <w:rFonts w:hint="eastAsia" w:ascii="宋体" w:hAnsi="宋体" w:eastAsia="宋体" w:cs="宋体"/>
                <w:color w:val="000000"/>
                <w:kern w:val="2"/>
                <w:sz w:val="18"/>
                <w:szCs w:val="18"/>
                <w:vertAlign w:val="baseline"/>
                <w:lang w:val="en-US" w:eastAsia="zh-CN" w:bidi="ar-SA"/>
              </w:rPr>
            </w:pPr>
          </w:p>
        </w:tc>
        <w:tc>
          <w:tcPr>
            <w:tcW w:w="158" w:type="pct"/>
            <w:vMerge w:val="continue"/>
            <w:noWrap w:val="0"/>
            <w:tcMar>
              <w:top w:w="0" w:type="dxa"/>
              <w:left w:w="0" w:type="dxa"/>
              <w:bottom w:w="0" w:type="dxa"/>
              <w:right w:w="0" w:type="dxa"/>
            </w:tcMar>
            <w:vAlign w:val="center"/>
          </w:tcPr>
          <w:p w14:paraId="2E71D6E7">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color w:val="000000"/>
                <w:sz w:val="18"/>
                <w:szCs w:val="18"/>
                <w:vertAlign w:val="baseline"/>
              </w:rPr>
            </w:pPr>
          </w:p>
        </w:tc>
      </w:tr>
      <w:tr w14:paraId="5DD9E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5631489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5810205F">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748C496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6157826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3CE24104">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较重</w:t>
            </w:r>
          </w:p>
        </w:tc>
        <w:tc>
          <w:tcPr>
            <w:tcW w:w="561" w:type="pct"/>
            <w:noWrap w:val="0"/>
            <w:tcMar>
              <w:top w:w="0" w:type="dxa"/>
              <w:left w:w="0" w:type="dxa"/>
              <w:bottom w:w="0" w:type="dxa"/>
              <w:right w:w="0" w:type="dxa"/>
            </w:tcMar>
            <w:vAlign w:val="center"/>
          </w:tcPr>
          <w:p w14:paraId="0635F62F">
            <w:pPr>
              <w:keepNext w:val="0"/>
              <w:keepLines w:val="0"/>
              <w:pageBreakBefore w:val="0"/>
              <w:widowControl w:val="0"/>
              <w:kinsoku/>
              <w:wordWrap/>
              <w:overflowPunct/>
              <w:topLinePunct w:val="0"/>
              <w:autoSpaceDE/>
              <w:autoSpaceDN/>
              <w:bidi w:val="0"/>
              <w:adjustRightInd/>
              <w:snapToGrid/>
              <w:spacing w:line="22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sz w:val="18"/>
                <w:szCs w:val="18"/>
                <w:vertAlign w:val="baseline"/>
                <w:lang w:val="en-US" w:eastAsia="zh-CN"/>
              </w:rPr>
              <w:t>造成一般事故的</w:t>
            </w:r>
          </w:p>
        </w:tc>
        <w:tc>
          <w:tcPr>
            <w:tcW w:w="873" w:type="pct"/>
            <w:noWrap w:val="0"/>
            <w:tcMar>
              <w:top w:w="0" w:type="dxa"/>
              <w:left w:w="0" w:type="dxa"/>
              <w:bottom w:w="0" w:type="dxa"/>
              <w:right w:w="0" w:type="dxa"/>
            </w:tcMar>
            <w:vAlign w:val="center"/>
          </w:tcPr>
          <w:p w14:paraId="2519D594">
            <w:pPr>
              <w:keepNext w:val="0"/>
              <w:keepLines w:val="0"/>
              <w:pageBreakBefore w:val="0"/>
              <w:widowControl w:val="0"/>
              <w:kinsoku/>
              <w:wordWrap/>
              <w:overflowPunct/>
              <w:topLinePunct w:val="0"/>
              <w:autoSpaceDE/>
              <w:autoSpaceDN/>
              <w:bidi w:val="0"/>
              <w:adjustRightInd/>
              <w:snapToGrid/>
              <w:spacing w:line="22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责令停业整顿，直至改正违法行为，并处7万元以上10万元以下的罚款</w:t>
            </w:r>
          </w:p>
        </w:tc>
        <w:tc>
          <w:tcPr>
            <w:tcW w:w="158" w:type="pct"/>
            <w:vMerge w:val="continue"/>
            <w:noWrap w:val="0"/>
            <w:tcMar>
              <w:top w:w="0" w:type="dxa"/>
              <w:left w:w="0" w:type="dxa"/>
              <w:bottom w:w="0" w:type="dxa"/>
              <w:right w:w="0" w:type="dxa"/>
            </w:tcMar>
            <w:vAlign w:val="center"/>
          </w:tcPr>
          <w:p w14:paraId="575AAA74">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color w:val="000000"/>
                <w:sz w:val="18"/>
                <w:szCs w:val="18"/>
                <w:vertAlign w:val="baseline"/>
              </w:rPr>
            </w:pPr>
          </w:p>
        </w:tc>
      </w:tr>
      <w:tr w14:paraId="6CCFC1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7D1AD06B">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5D2F5BA8">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632BA1C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630C3B2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352353E1">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严重</w:t>
            </w:r>
          </w:p>
        </w:tc>
        <w:tc>
          <w:tcPr>
            <w:tcW w:w="561" w:type="pct"/>
            <w:noWrap w:val="0"/>
            <w:tcMar>
              <w:top w:w="0" w:type="dxa"/>
              <w:left w:w="0" w:type="dxa"/>
              <w:bottom w:w="0" w:type="dxa"/>
              <w:right w:w="0" w:type="dxa"/>
            </w:tcMar>
            <w:vAlign w:val="center"/>
          </w:tcPr>
          <w:p w14:paraId="4B2AB5BD">
            <w:pPr>
              <w:keepNext w:val="0"/>
              <w:keepLines w:val="0"/>
              <w:pageBreakBefore w:val="0"/>
              <w:widowControl w:val="0"/>
              <w:kinsoku/>
              <w:wordWrap/>
              <w:overflowPunct/>
              <w:topLinePunct w:val="0"/>
              <w:autoSpaceDE/>
              <w:autoSpaceDN/>
              <w:bidi w:val="0"/>
              <w:adjustRightInd/>
              <w:snapToGrid/>
              <w:spacing w:line="22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sz w:val="18"/>
                <w:szCs w:val="18"/>
                <w:vertAlign w:val="baseline"/>
                <w:lang w:val="en-US" w:eastAsia="zh-CN"/>
              </w:rPr>
              <w:t>造成较大及以上事故的</w:t>
            </w:r>
          </w:p>
        </w:tc>
        <w:tc>
          <w:tcPr>
            <w:tcW w:w="873" w:type="pct"/>
            <w:noWrap w:val="0"/>
            <w:tcMar>
              <w:top w:w="0" w:type="dxa"/>
              <w:left w:w="0" w:type="dxa"/>
              <w:bottom w:w="0" w:type="dxa"/>
              <w:right w:w="0" w:type="dxa"/>
            </w:tcMar>
            <w:vAlign w:val="center"/>
          </w:tcPr>
          <w:p w14:paraId="7210FD6C">
            <w:pPr>
              <w:keepNext w:val="0"/>
              <w:keepLines w:val="0"/>
              <w:pageBreakBefore w:val="0"/>
              <w:widowControl w:val="0"/>
              <w:kinsoku/>
              <w:wordWrap/>
              <w:overflowPunct/>
              <w:topLinePunct w:val="0"/>
              <w:autoSpaceDE/>
              <w:autoSpaceDN/>
              <w:bidi w:val="0"/>
              <w:adjustRightInd/>
              <w:snapToGrid/>
              <w:spacing w:line="22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责令停业整顿，直至改正违法行为，并处10万元的罚款</w:t>
            </w:r>
          </w:p>
        </w:tc>
        <w:tc>
          <w:tcPr>
            <w:tcW w:w="158" w:type="pct"/>
            <w:vMerge w:val="continue"/>
            <w:noWrap w:val="0"/>
            <w:tcMar>
              <w:top w:w="0" w:type="dxa"/>
              <w:left w:w="0" w:type="dxa"/>
              <w:bottom w:w="0" w:type="dxa"/>
              <w:right w:w="0" w:type="dxa"/>
            </w:tcMar>
            <w:vAlign w:val="center"/>
          </w:tcPr>
          <w:p w14:paraId="00745AA5">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color w:val="000000"/>
                <w:sz w:val="18"/>
                <w:szCs w:val="18"/>
                <w:vertAlign w:val="baseline"/>
              </w:rPr>
            </w:pPr>
          </w:p>
        </w:tc>
      </w:tr>
      <w:tr w14:paraId="4D3918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156" w:type="pct"/>
            <w:vMerge w:val="continue"/>
            <w:noWrap w:val="0"/>
            <w:tcMar>
              <w:top w:w="0" w:type="dxa"/>
              <w:left w:w="0" w:type="dxa"/>
              <w:bottom w:w="0" w:type="dxa"/>
              <w:right w:w="0" w:type="dxa"/>
            </w:tcMar>
            <w:vAlign w:val="center"/>
          </w:tcPr>
          <w:p w14:paraId="6EE39999">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37126060">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4EF61D5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restart"/>
            <w:noWrap w:val="0"/>
            <w:tcMar>
              <w:top w:w="0" w:type="dxa"/>
              <w:left w:w="0" w:type="dxa"/>
              <w:bottom w:w="0" w:type="dxa"/>
              <w:right w:w="0" w:type="dxa"/>
            </w:tcMar>
            <w:vAlign w:val="center"/>
          </w:tcPr>
          <w:p w14:paraId="54383A6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施工单位未对因建设工程施工可能造成损害的毗邻建筑物、构筑物 和地下管线等采取专项防护措施的</w:t>
            </w:r>
          </w:p>
        </w:tc>
        <w:tc>
          <w:tcPr>
            <w:tcW w:w="174" w:type="pct"/>
            <w:noWrap w:val="0"/>
            <w:tcMar>
              <w:top w:w="0" w:type="dxa"/>
              <w:left w:w="0" w:type="dxa"/>
              <w:bottom w:w="0" w:type="dxa"/>
              <w:right w:w="0" w:type="dxa"/>
            </w:tcMar>
            <w:vAlign w:val="center"/>
          </w:tcPr>
          <w:p w14:paraId="2C5E1C1C">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轻微</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0CB9A971">
            <w:pPr>
              <w:snapToGrid/>
              <w:spacing w:line="22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1EB4F5C7">
            <w:pPr>
              <w:spacing w:line="220" w:lineRule="exact"/>
              <w:rPr>
                <w:rFonts w:hint="eastAsia" w:ascii="宋体" w:hAnsi="宋体" w:eastAsia="宋体" w:cs="宋体"/>
                <w:color w:val="000000"/>
                <w:sz w:val="18"/>
                <w:szCs w:val="18"/>
                <w:vertAlign w:val="baseline"/>
                <w:lang w:val="en-US" w:eastAsia="zh-CN"/>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42A0A1FB">
            <w:pPr>
              <w:snapToGrid/>
              <w:spacing w:line="22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546147D6">
            <w:pPr>
              <w:spacing w:line="220" w:lineRule="exact"/>
              <w:rPr>
                <w:rFonts w:hint="eastAsia" w:ascii="宋体" w:hAnsi="宋体" w:eastAsia="宋体" w:cs="宋体"/>
                <w:color w:val="000000"/>
                <w:kern w:val="2"/>
                <w:sz w:val="18"/>
                <w:szCs w:val="18"/>
                <w:vertAlign w:val="baseline"/>
                <w:lang w:val="en-US" w:eastAsia="zh-CN" w:bidi="ar-SA"/>
              </w:rPr>
            </w:pPr>
          </w:p>
        </w:tc>
        <w:tc>
          <w:tcPr>
            <w:tcW w:w="158" w:type="pct"/>
            <w:vMerge w:val="restart"/>
            <w:noWrap w:val="0"/>
            <w:tcMar>
              <w:top w:w="0" w:type="dxa"/>
              <w:left w:w="0" w:type="dxa"/>
              <w:bottom w:w="0" w:type="dxa"/>
              <w:right w:w="0" w:type="dxa"/>
            </w:tcMar>
            <w:vAlign w:val="center"/>
          </w:tcPr>
          <w:p w14:paraId="37EFF615">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color w:val="000000"/>
                <w:sz w:val="18"/>
                <w:szCs w:val="18"/>
                <w:vertAlign w:val="baseline"/>
              </w:rPr>
            </w:pPr>
          </w:p>
        </w:tc>
      </w:tr>
      <w:tr w14:paraId="66AC3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156" w:type="pct"/>
            <w:vMerge w:val="continue"/>
            <w:noWrap w:val="0"/>
            <w:tcMar>
              <w:top w:w="0" w:type="dxa"/>
              <w:left w:w="0" w:type="dxa"/>
              <w:bottom w:w="0" w:type="dxa"/>
              <w:right w:w="0" w:type="dxa"/>
            </w:tcMar>
            <w:vAlign w:val="center"/>
          </w:tcPr>
          <w:p w14:paraId="6378186D">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1AA8BEFC">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3998BF5C">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7B175F2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211B4E7D">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较轻</w:t>
            </w:r>
          </w:p>
        </w:tc>
        <w:tc>
          <w:tcPr>
            <w:tcW w:w="561" w:type="pct"/>
            <w:noWrap w:val="0"/>
            <w:tcMar>
              <w:top w:w="0" w:type="dxa"/>
              <w:left w:w="0" w:type="dxa"/>
              <w:bottom w:w="0" w:type="dxa"/>
              <w:right w:w="0" w:type="dxa"/>
            </w:tcMar>
            <w:vAlign w:val="center"/>
          </w:tcPr>
          <w:p w14:paraId="1FDAA5E9">
            <w:pPr>
              <w:keepNext w:val="0"/>
              <w:keepLines w:val="0"/>
              <w:pageBreakBefore w:val="0"/>
              <w:widowControl w:val="0"/>
              <w:kinsoku/>
              <w:wordWrap/>
              <w:overflowPunct/>
              <w:topLinePunct w:val="0"/>
              <w:autoSpaceDE/>
              <w:autoSpaceDN/>
              <w:bidi w:val="0"/>
              <w:adjustRightInd/>
              <w:snapToGrid/>
              <w:spacing w:line="22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sz w:val="18"/>
                <w:szCs w:val="18"/>
                <w:vertAlign w:val="baseline"/>
                <w:lang w:val="en-US" w:eastAsia="zh-CN"/>
              </w:rPr>
              <w:t>未造成事故的</w:t>
            </w:r>
          </w:p>
        </w:tc>
        <w:tc>
          <w:tcPr>
            <w:tcW w:w="873" w:type="pct"/>
            <w:noWrap w:val="0"/>
            <w:tcMar>
              <w:top w:w="0" w:type="dxa"/>
              <w:left w:w="0" w:type="dxa"/>
              <w:bottom w:w="0" w:type="dxa"/>
              <w:right w:w="0" w:type="dxa"/>
            </w:tcMar>
            <w:vAlign w:val="center"/>
          </w:tcPr>
          <w:p w14:paraId="1295B1BE">
            <w:pPr>
              <w:keepNext w:val="0"/>
              <w:keepLines w:val="0"/>
              <w:pageBreakBefore w:val="0"/>
              <w:widowControl w:val="0"/>
              <w:kinsoku/>
              <w:wordWrap/>
              <w:overflowPunct/>
              <w:topLinePunct w:val="0"/>
              <w:autoSpaceDE/>
              <w:autoSpaceDN/>
              <w:bidi w:val="0"/>
              <w:adjustRightInd/>
              <w:snapToGrid/>
              <w:spacing w:line="22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责令停业整顿，直至改正违法行为，并处5万元以上7万元以下的罚款</w:t>
            </w:r>
          </w:p>
        </w:tc>
        <w:tc>
          <w:tcPr>
            <w:tcW w:w="158" w:type="pct"/>
            <w:vMerge w:val="continue"/>
            <w:noWrap w:val="0"/>
            <w:tcMar>
              <w:top w:w="0" w:type="dxa"/>
              <w:left w:w="0" w:type="dxa"/>
              <w:bottom w:w="0" w:type="dxa"/>
              <w:right w:w="0" w:type="dxa"/>
            </w:tcMar>
            <w:vAlign w:val="center"/>
          </w:tcPr>
          <w:p w14:paraId="10FE94E1">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color w:val="000000"/>
                <w:sz w:val="18"/>
                <w:szCs w:val="18"/>
                <w:vertAlign w:val="baseline"/>
              </w:rPr>
            </w:pPr>
          </w:p>
        </w:tc>
      </w:tr>
      <w:tr w14:paraId="457199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156" w:type="pct"/>
            <w:vMerge w:val="continue"/>
            <w:noWrap w:val="0"/>
            <w:tcMar>
              <w:top w:w="0" w:type="dxa"/>
              <w:left w:w="0" w:type="dxa"/>
              <w:bottom w:w="0" w:type="dxa"/>
              <w:right w:w="0" w:type="dxa"/>
            </w:tcMar>
            <w:vAlign w:val="center"/>
          </w:tcPr>
          <w:p w14:paraId="31D19D7D">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1605FC31">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5675A3D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2FC45664">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2CBC9BBF">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一般</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2B408103">
            <w:pPr>
              <w:snapToGrid/>
              <w:spacing w:line="22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3B5B145F">
            <w:pPr>
              <w:spacing w:line="220" w:lineRule="exact"/>
              <w:rPr>
                <w:rFonts w:hint="eastAsia" w:ascii="宋体" w:hAnsi="宋体" w:eastAsia="宋体" w:cs="宋体"/>
                <w:color w:val="000000"/>
                <w:kern w:val="2"/>
                <w:sz w:val="18"/>
                <w:szCs w:val="18"/>
                <w:vertAlign w:val="baseline"/>
                <w:lang w:val="en-US" w:eastAsia="zh-CN" w:bidi="ar-SA"/>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01B52C3B">
            <w:pPr>
              <w:snapToGrid/>
              <w:spacing w:line="22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5644FED2">
            <w:pPr>
              <w:spacing w:line="220" w:lineRule="exact"/>
              <w:rPr>
                <w:rFonts w:hint="eastAsia" w:ascii="宋体" w:hAnsi="宋体" w:eastAsia="宋体" w:cs="宋体"/>
                <w:color w:val="000000"/>
                <w:kern w:val="2"/>
                <w:sz w:val="18"/>
                <w:szCs w:val="18"/>
                <w:vertAlign w:val="baseline"/>
                <w:lang w:val="en-US" w:eastAsia="zh-CN" w:bidi="ar-SA"/>
              </w:rPr>
            </w:pPr>
          </w:p>
        </w:tc>
        <w:tc>
          <w:tcPr>
            <w:tcW w:w="158" w:type="pct"/>
            <w:vMerge w:val="continue"/>
            <w:noWrap w:val="0"/>
            <w:tcMar>
              <w:top w:w="0" w:type="dxa"/>
              <w:left w:w="0" w:type="dxa"/>
              <w:bottom w:w="0" w:type="dxa"/>
              <w:right w:w="0" w:type="dxa"/>
            </w:tcMar>
            <w:vAlign w:val="center"/>
          </w:tcPr>
          <w:p w14:paraId="7B37A34F">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color w:val="000000"/>
                <w:sz w:val="18"/>
                <w:szCs w:val="18"/>
                <w:vertAlign w:val="baseline"/>
              </w:rPr>
            </w:pPr>
          </w:p>
        </w:tc>
      </w:tr>
      <w:tr w14:paraId="10087B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2DA07685">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37DFACF0">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4FA769A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63F1DA3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455552A7">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较重</w:t>
            </w:r>
          </w:p>
        </w:tc>
        <w:tc>
          <w:tcPr>
            <w:tcW w:w="561" w:type="pct"/>
            <w:noWrap w:val="0"/>
            <w:tcMar>
              <w:top w:w="0" w:type="dxa"/>
              <w:left w:w="0" w:type="dxa"/>
              <w:bottom w:w="0" w:type="dxa"/>
              <w:right w:w="0" w:type="dxa"/>
            </w:tcMar>
            <w:vAlign w:val="center"/>
          </w:tcPr>
          <w:p w14:paraId="148AC4A8">
            <w:pPr>
              <w:keepNext w:val="0"/>
              <w:keepLines w:val="0"/>
              <w:pageBreakBefore w:val="0"/>
              <w:widowControl w:val="0"/>
              <w:kinsoku/>
              <w:wordWrap/>
              <w:overflowPunct/>
              <w:topLinePunct w:val="0"/>
              <w:autoSpaceDE/>
              <w:autoSpaceDN/>
              <w:bidi w:val="0"/>
              <w:adjustRightInd/>
              <w:snapToGrid/>
              <w:spacing w:line="22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sz w:val="18"/>
                <w:szCs w:val="18"/>
                <w:vertAlign w:val="baseline"/>
                <w:lang w:val="en-US" w:eastAsia="zh-CN"/>
              </w:rPr>
              <w:t>造成一般事故的</w:t>
            </w:r>
          </w:p>
        </w:tc>
        <w:tc>
          <w:tcPr>
            <w:tcW w:w="873" w:type="pct"/>
            <w:noWrap w:val="0"/>
            <w:tcMar>
              <w:top w:w="0" w:type="dxa"/>
              <w:left w:w="0" w:type="dxa"/>
              <w:bottom w:w="0" w:type="dxa"/>
              <w:right w:w="0" w:type="dxa"/>
            </w:tcMar>
            <w:vAlign w:val="center"/>
          </w:tcPr>
          <w:p w14:paraId="5A429BFD">
            <w:pPr>
              <w:keepNext w:val="0"/>
              <w:keepLines w:val="0"/>
              <w:pageBreakBefore w:val="0"/>
              <w:widowControl w:val="0"/>
              <w:kinsoku/>
              <w:wordWrap/>
              <w:overflowPunct/>
              <w:topLinePunct w:val="0"/>
              <w:autoSpaceDE/>
              <w:autoSpaceDN/>
              <w:bidi w:val="0"/>
              <w:adjustRightInd/>
              <w:snapToGrid/>
              <w:spacing w:line="22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责令停业整顿，直至改正违法行为，并处7万元以上10万元以下的罚款</w:t>
            </w:r>
          </w:p>
        </w:tc>
        <w:tc>
          <w:tcPr>
            <w:tcW w:w="158" w:type="pct"/>
            <w:vMerge w:val="continue"/>
            <w:noWrap w:val="0"/>
            <w:tcMar>
              <w:top w:w="0" w:type="dxa"/>
              <w:left w:w="0" w:type="dxa"/>
              <w:bottom w:w="0" w:type="dxa"/>
              <w:right w:w="0" w:type="dxa"/>
            </w:tcMar>
            <w:vAlign w:val="center"/>
          </w:tcPr>
          <w:p w14:paraId="14312842">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color w:val="000000"/>
                <w:sz w:val="18"/>
                <w:szCs w:val="18"/>
                <w:vertAlign w:val="baseline"/>
              </w:rPr>
            </w:pPr>
          </w:p>
        </w:tc>
      </w:tr>
      <w:tr w14:paraId="4770D9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42F07BF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2A752C48">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1C255A1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5A0FE96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260BABDC">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严重</w:t>
            </w:r>
          </w:p>
        </w:tc>
        <w:tc>
          <w:tcPr>
            <w:tcW w:w="561" w:type="pct"/>
            <w:noWrap w:val="0"/>
            <w:tcMar>
              <w:top w:w="0" w:type="dxa"/>
              <w:left w:w="0" w:type="dxa"/>
              <w:bottom w:w="0" w:type="dxa"/>
              <w:right w:w="0" w:type="dxa"/>
            </w:tcMar>
            <w:vAlign w:val="center"/>
          </w:tcPr>
          <w:p w14:paraId="2A83E078">
            <w:pPr>
              <w:keepNext w:val="0"/>
              <w:keepLines w:val="0"/>
              <w:pageBreakBefore w:val="0"/>
              <w:widowControl w:val="0"/>
              <w:kinsoku/>
              <w:wordWrap/>
              <w:overflowPunct/>
              <w:topLinePunct w:val="0"/>
              <w:autoSpaceDE/>
              <w:autoSpaceDN/>
              <w:bidi w:val="0"/>
              <w:adjustRightInd/>
              <w:snapToGrid/>
              <w:spacing w:line="22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sz w:val="18"/>
                <w:szCs w:val="18"/>
                <w:vertAlign w:val="baseline"/>
                <w:lang w:val="en-US" w:eastAsia="zh-CN"/>
              </w:rPr>
              <w:t>造成较大及以上事故的</w:t>
            </w:r>
          </w:p>
        </w:tc>
        <w:tc>
          <w:tcPr>
            <w:tcW w:w="873" w:type="pct"/>
            <w:noWrap w:val="0"/>
            <w:tcMar>
              <w:top w:w="0" w:type="dxa"/>
              <w:left w:w="0" w:type="dxa"/>
              <w:bottom w:w="0" w:type="dxa"/>
              <w:right w:w="0" w:type="dxa"/>
            </w:tcMar>
            <w:vAlign w:val="center"/>
          </w:tcPr>
          <w:p w14:paraId="6D52F6A8">
            <w:pPr>
              <w:keepNext w:val="0"/>
              <w:keepLines w:val="0"/>
              <w:pageBreakBefore w:val="0"/>
              <w:widowControl w:val="0"/>
              <w:kinsoku/>
              <w:wordWrap/>
              <w:overflowPunct/>
              <w:topLinePunct w:val="0"/>
              <w:autoSpaceDE/>
              <w:autoSpaceDN/>
              <w:bidi w:val="0"/>
              <w:adjustRightInd/>
              <w:snapToGrid/>
              <w:spacing w:line="22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责令停业整顿，直至改正违法行为，并处10万元的罚款</w:t>
            </w:r>
          </w:p>
        </w:tc>
        <w:tc>
          <w:tcPr>
            <w:tcW w:w="158" w:type="pct"/>
            <w:vMerge w:val="continue"/>
            <w:noWrap w:val="0"/>
            <w:tcMar>
              <w:top w:w="0" w:type="dxa"/>
              <w:left w:w="0" w:type="dxa"/>
              <w:bottom w:w="0" w:type="dxa"/>
              <w:right w:w="0" w:type="dxa"/>
            </w:tcMar>
            <w:vAlign w:val="center"/>
          </w:tcPr>
          <w:p w14:paraId="52341BC1">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color w:val="000000"/>
                <w:sz w:val="18"/>
                <w:szCs w:val="18"/>
                <w:vertAlign w:val="baseline"/>
              </w:rPr>
            </w:pPr>
          </w:p>
        </w:tc>
      </w:tr>
      <w:tr w14:paraId="6C560D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156" w:type="pct"/>
            <w:vMerge w:val="restart"/>
            <w:noWrap w:val="0"/>
            <w:tcMar>
              <w:top w:w="0" w:type="dxa"/>
              <w:left w:w="0" w:type="dxa"/>
              <w:bottom w:w="0" w:type="dxa"/>
              <w:right w:w="0" w:type="dxa"/>
            </w:tcMar>
            <w:vAlign w:val="center"/>
          </w:tcPr>
          <w:p w14:paraId="78ACA528">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default" w:ascii="宋体" w:hAnsi="宋体" w:eastAsia="宋体" w:cs="宋体"/>
                <w:color w:val="000000"/>
                <w:sz w:val="18"/>
                <w:szCs w:val="18"/>
                <w:shd w:val="clear" w:color="auto" w:fill="auto"/>
                <w:vertAlign w:val="baseline"/>
                <w:lang w:val="en-US" w:eastAsia="zh-CN"/>
              </w:rPr>
            </w:pPr>
            <w:r>
              <w:rPr>
                <w:rFonts w:hint="eastAsia" w:ascii="宋体" w:hAnsi="宋体" w:eastAsia="宋体" w:cs="宋体"/>
                <w:color w:val="000000"/>
                <w:sz w:val="18"/>
                <w:szCs w:val="18"/>
                <w:shd w:val="clear" w:color="auto" w:fill="auto"/>
                <w:vertAlign w:val="baseline"/>
                <w:lang w:val="en-US" w:eastAsia="zh-CN"/>
              </w:rPr>
              <w:t>117</w:t>
            </w:r>
          </w:p>
        </w:tc>
        <w:tc>
          <w:tcPr>
            <w:tcW w:w="415" w:type="pct"/>
            <w:vMerge w:val="restart"/>
            <w:noWrap w:val="0"/>
            <w:tcMar>
              <w:top w:w="0" w:type="dxa"/>
              <w:left w:w="0" w:type="dxa"/>
              <w:bottom w:w="0" w:type="dxa"/>
              <w:right w:w="0" w:type="dxa"/>
            </w:tcMar>
            <w:vAlign w:val="center"/>
          </w:tcPr>
          <w:p w14:paraId="733C788E">
            <w:pPr>
              <w:keepNext w:val="0"/>
              <w:keepLines w:val="0"/>
              <w:pageBreakBefore w:val="0"/>
              <w:widowControl w:val="0"/>
              <w:shd w:val="clear" w:color="auto" w:fill="auto"/>
              <w:kinsoku/>
              <w:wordWrap/>
              <w:overflowPunct/>
              <w:topLinePunct w:val="0"/>
              <w:autoSpaceDE/>
              <w:autoSpaceDN/>
              <w:bidi w:val="0"/>
              <w:adjustRightInd/>
              <w:snapToGrid/>
              <w:spacing w:line="22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对水利领域施工单位安全防护用具、机械设备、施工机具及配件在进入施工现场前未经查验或者查验不合格即投入使用等行为的行政处罚</w:t>
            </w:r>
          </w:p>
        </w:tc>
        <w:tc>
          <w:tcPr>
            <w:tcW w:w="2168" w:type="pct"/>
            <w:vMerge w:val="restart"/>
            <w:noWrap w:val="0"/>
            <w:tcMar>
              <w:top w:w="0" w:type="dxa"/>
              <w:left w:w="0" w:type="dxa"/>
              <w:bottom w:w="0" w:type="dxa"/>
              <w:right w:w="0" w:type="dxa"/>
            </w:tcMar>
            <w:vAlign w:val="center"/>
          </w:tcPr>
          <w:p w14:paraId="2FFA44F3">
            <w:pPr>
              <w:keepNext w:val="0"/>
              <w:keepLines w:val="0"/>
              <w:pageBreakBefore w:val="0"/>
              <w:widowControl w:val="0"/>
              <w:kinsoku/>
              <w:wordWrap/>
              <w:overflowPunct/>
              <w:topLinePunct w:val="0"/>
              <w:autoSpaceDE/>
              <w:autoSpaceDN/>
              <w:bidi w:val="0"/>
              <w:adjustRightInd/>
              <w:snapToGrid/>
              <w:spacing w:line="22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《建设工程安全生产管理条例》第六十五条 违反本条例的规定，施工单位有下列行为之一的，责令限期改正；逾期未改正的，责令停业整顿，并处10万元以上30万元以下的罚款；情节严重的，降低资质等级，直至吊销资质证书；造成重大安全事故，构成犯罪的，对直接责任人员，依照刑法有关规定追究刑事责任；造成损失的，依法承担赔偿责任：</w:t>
            </w:r>
          </w:p>
          <w:p w14:paraId="7A360214">
            <w:pPr>
              <w:keepNext w:val="0"/>
              <w:keepLines w:val="0"/>
              <w:pageBreakBefore w:val="0"/>
              <w:widowControl w:val="0"/>
              <w:kinsoku/>
              <w:wordWrap/>
              <w:overflowPunct/>
              <w:topLinePunct w:val="0"/>
              <w:autoSpaceDE/>
              <w:autoSpaceDN/>
              <w:bidi w:val="0"/>
              <w:adjustRightInd/>
              <w:snapToGrid/>
              <w:spacing w:line="22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（一）安全防护用具、机械设备、施工机具及配件在进入施工现场前未经查验或者查验不合格即投入使用的；</w:t>
            </w:r>
          </w:p>
          <w:p w14:paraId="63A4A0E8">
            <w:pPr>
              <w:keepNext w:val="0"/>
              <w:keepLines w:val="0"/>
              <w:pageBreakBefore w:val="0"/>
              <w:widowControl w:val="0"/>
              <w:kinsoku/>
              <w:wordWrap/>
              <w:overflowPunct/>
              <w:topLinePunct w:val="0"/>
              <w:autoSpaceDE/>
              <w:autoSpaceDN/>
              <w:bidi w:val="0"/>
              <w:adjustRightInd/>
              <w:snapToGrid/>
              <w:spacing w:line="22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（二）使用未经验收或者验收不合格的施工起重机械和整体提升脚手架、模板等自升式架设设施的；</w:t>
            </w:r>
          </w:p>
          <w:p w14:paraId="7398BEFB">
            <w:pPr>
              <w:keepNext w:val="0"/>
              <w:keepLines w:val="0"/>
              <w:pageBreakBefore w:val="0"/>
              <w:widowControl w:val="0"/>
              <w:kinsoku/>
              <w:wordWrap/>
              <w:overflowPunct/>
              <w:topLinePunct w:val="0"/>
              <w:autoSpaceDE/>
              <w:autoSpaceDN/>
              <w:bidi w:val="0"/>
              <w:adjustRightInd/>
              <w:snapToGrid/>
              <w:spacing w:line="22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（三）委托不具有相应资质的单位承担施工现场安装、拆卸施工起重机械和整体提升脚手架、模板等自升式架设设施的；</w:t>
            </w:r>
          </w:p>
          <w:p w14:paraId="3F28B8BE">
            <w:pPr>
              <w:keepNext w:val="0"/>
              <w:keepLines w:val="0"/>
              <w:pageBreakBefore w:val="0"/>
              <w:widowControl w:val="0"/>
              <w:kinsoku/>
              <w:wordWrap/>
              <w:overflowPunct/>
              <w:topLinePunct w:val="0"/>
              <w:autoSpaceDE/>
              <w:autoSpaceDN/>
              <w:bidi w:val="0"/>
              <w:adjustRightInd/>
              <w:snapToGrid/>
              <w:spacing w:line="22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（四）在施工组织设计中未编制安全技术措施、施工现场临时用电方案或者专项施工方案的。</w:t>
            </w:r>
          </w:p>
        </w:tc>
        <w:tc>
          <w:tcPr>
            <w:tcW w:w="491" w:type="pct"/>
            <w:vMerge w:val="restart"/>
            <w:noWrap w:val="0"/>
            <w:tcMar>
              <w:top w:w="0" w:type="dxa"/>
              <w:left w:w="0" w:type="dxa"/>
              <w:bottom w:w="0" w:type="dxa"/>
              <w:right w:w="0" w:type="dxa"/>
            </w:tcMar>
            <w:vAlign w:val="center"/>
          </w:tcPr>
          <w:p w14:paraId="3166961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水利领域施工单位安全防护用具、机械设备、施工机具及配件在进入施工现场前未经查验或者查验不合格即投入使用的</w:t>
            </w:r>
          </w:p>
        </w:tc>
        <w:tc>
          <w:tcPr>
            <w:tcW w:w="174" w:type="pct"/>
            <w:noWrap w:val="0"/>
            <w:tcMar>
              <w:top w:w="0" w:type="dxa"/>
              <w:left w:w="0" w:type="dxa"/>
              <w:bottom w:w="0" w:type="dxa"/>
              <w:right w:w="0" w:type="dxa"/>
            </w:tcMar>
            <w:vAlign w:val="center"/>
          </w:tcPr>
          <w:p w14:paraId="35454F1D">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轻微</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23FCC87D">
            <w:pPr>
              <w:snapToGrid/>
              <w:spacing w:line="24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01E4B6F2">
            <w:pPr>
              <w:spacing w:line="240" w:lineRule="exact"/>
              <w:rPr>
                <w:rFonts w:hint="eastAsia" w:ascii="宋体" w:hAnsi="宋体" w:eastAsia="宋体" w:cs="宋体"/>
                <w:color w:val="000000"/>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308C9A07">
            <w:pPr>
              <w:snapToGrid/>
              <w:spacing w:line="24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2ECC4023">
            <w:pPr>
              <w:spacing w:line="240" w:lineRule="exact"/>
              <w:rPr>
                <w:rFonts w:hint="eastAsia" w:ascii="宋体" w:hAnsi="宋体" w:eastAsia="宋体" w:cs="宋体"/>
                <w:color w:val="000000"/>
                <w:kern w:val="2"/>
                <w:sz w:val="18"/>
                <w:szCs w:val="18"/>
                <w:vertAlign w:val="baseline"/>
                <w:lang w:val="en-US" w:eastAsia="zh-CN" w:bidi="ar-SA"/>
              </w:rPr>
            </w:pPr>
          </w:p>
        </w:tc>
        <w:tc>
          <w:tcPr>
            <w:tcW w:w="158" w:type="pct"/>
            <w:vMerge w:val="restart"/>
            <w:noWrap w:val="0"/>
            <w:tcMar>
              <w:top w:w="0" w:type="dxa"/>
              <w:left w:w="0" w:type="dxa"/>
              <w:bottom w:w="0" w:type="dxa"/>
              <w:right w:w="0" w:type="dxa"/>
            </w:tcMar>
            <w:vAlign w:val="center"/>
          </w:tcPr>
          <w:p w14:paraId="29F4BDEE">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color w:val="000000"/>
                <w:sz w:val="18"/>
                <w:szCs w:val="18"/>
                <w:vertAlign w:val="baseline"/>
              </w:rPr>
            </w:pPr>
          </w:p>
        </w:tc>
      </w:tr>
      <w:tr w14:paraId="101AA4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847" w:hRule="atLeast"/>
          <w:jc w:val="center"/>
        </w:trPr>
        <w:tc>
          <w:tcPr>
            <w:tcW w:w="156" w:type="pct"/>
            <w:vMerge w:val="continue"/>
            <w:noWrap w:val="0"/>
            <w:tcMar>
              <w:top w:w="0" w:type="dxa"/>
              <w:left w:w="0" w:type="dxa"/>
              <w:bottom w:w="0" w:type="dxa"/>
              <w:right w:w="0" w:type="dxa"/>
            </w:tcMar>
            <w:vAlign w:val="center"/>
          </w:tcPr>
          <w:p w14:paraId="17960FA1">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3425608A">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4AF66AEC">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4FD4E38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4B9CE93A">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较轻</w:t>
            </w:r>
          </w:p>
        </w:tc>
        <w:tc>
          <w:tcPr>
            <w:tcW w:w="561" w:type="pct"/>
            <w:noWrap w:val="0"/>
            <w:tcMar>
              <w:top w:w="0" w:type="dxa"/>
              <w:left w:w="0" w:type="dxa"/>
              <w:bottom w:w="0" w:type="dxa"/>
              <w:right w:w="0" w:type="dxa"/>
            </w:tcMar>
            <w:vAlign w:val="center"/>
          </w:tcPr>
          <w:p w14:paraId="5D18E98C">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未经查验，但后经查验属于合格的</w:t>
            </w:r>
          </w:p>
        </w:tc>
        <w:tc>
          <w:tcPr>
            <w:tcW w:w="873" w:type="pct"/>
            <w:noWrap w:val="0"/>
            <w:tcMar>
              <w:top w:w="0" w:type="dxa"/>
              <w:left w:w="0" w:type="dxa"/>
              <w:bottom w:w="0" w:type="dxa"/>
              <w:right w:w="0" w:type="dxa"/>
            </w:tcMar>
            <w:vAlign w:val="center"/>
          </w:tcPr>
          <w:p w14:paraId="060B3C18">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责令停业整顿，直至改正违法行为；并处10万元以上20万元以下的罚款</w:t>
            </w:r>
          </w:p>
        </w:tc>
        <w:tc>
          <w:tcPr>
            <w:tcW w:w="158" w:type="pct"/>
            <w:vMerge w:val="continue"/>
            <w:noWrap w:val="0"/>
            <w:tcMar>
              <w:top w:w="0" w:type="dxa"/>
              <w:left w:w="0" w:type="dxa"/>
              <w:bottom w:w="0" w:type="dxa"/>
              <w:right w:w="0" w:type="dxa"/>
            </w:tcMar>
            <w:vAlign w:val="center"/>
          </w:tcPr>
          <w:p w14:paraId="39E377E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6AA1D6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887" w:hRule="atLeast"/>
          <w:jc w:val="center"/>
        </w:trPr>
        <w:tc>
          <w:tcPr>
            <w:tcW w:w="156" w:type="pct"/>
            <w:vMerge w:val="continue"/>
            <w:noWrap w:val="0"/>
            <w:tcMar>
              <w:top w:w="0" w:type="dxa"/>
              <w:left w:w="0" w:type="dxa"/>
              <w:bottom w:w="0" w:type="dxa"/>
              <w:right w:w="0" w:type="dxa"/>
            </w:tcMar>
            <w:vAlign w:val="center"/>
          </w:tcPr>
          <w:p w14:paraId="2E6F328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416ED3CB">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7BD1015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3103292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792E3C12">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一般</w:t>
            </w:r>
          </w:p>
        </w:tc>
        <w:tc>
          <w:tcPr>
            <w:tcW w:w="561" w:type="pct"/>
            <w:noWrap w:val="0"/>
            <w:tcMar>
              <w:top w:w="0" w:type="dxa"/>
              <w:left w:w="0" w:type="dxa"/>
              <w:bottom w:w="0" w:type="dxa"/>
              <w:right w:w="0" w:type="dxa"/>
            </w:tcMar>
            <w:vAlign w:val="center"/>
          </w:tcPr>
          <w:p w14:paraId="27B5A461">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经查验不合格的</w:t>
            </w:r>
          </w:p>
        </w:tc>
        <w:tc>
          <w:tcPr>
            <w:tcW w:w="873" w:type="pct"/>
            <w:noWrap w:val="0"/>
            <w:tcMar>
              <w:top w:w="0" w:type="dxa"/>
              <w:left w:w="0" w:type="dxa"/>
              <w:bottom w:w="0" w:type="dxa"/>
              <w:right w:w="0" w:type="dxa"/>
            </w:tcMar>
            <w:vAlign w:val="center"/>
          </w:tcPr>
          <w:p w14:paraId="3E19D1B7">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责令停业整顿，直至改正违法行为；并处20万元以上30万元以下的罚款</w:t>
            </w:r>
          </w:p>
        </w:tc>
        <w:tc>
          <w:tcPr>
            <w:tcW w:w="158" w:type="pct"/>
            <w:vMerge w:val="continue"/>
            <w:noWrap w:val="0"/>
            <w:tcMar>
              <w:top w:w="0" w:type="dxa"/>
              <w:left w:w="0" w:type="dxa"/>
              <w:bottom w:w="0" w:type="dxa"/>
              <w:right w:w="0" w:type="dxa"/>
            </w:tcMar>
            <w:vAlign w:val="center"/>
          </w:tcPr>
          <w:p w14:paraId="760F501C">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5C5C5B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3AEB6A4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79628F25">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4C39E58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0FE627D7">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1F5C59AD">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较重</w:t>
            </w:r>
          </w:p>
        </w:tc>
        <w:tc>
          <w:tcPr>
            <w:tcW w:w="561" w:type="pct"/>
            <w:noWrap w:val="0"/>
            <w:tcMar>
              <w:top w:w="0" w:type="dxa"/>
              <w:left w:w="0" w:type="dxa"/>
              <w:bottom w:w="0" w:type="dxa"/>
              <w:right w:w="0" w:type="dxa"/>
            </w:tcMar>
            <w:vAlign w:val="center"/>
          </w:tcPr>
          <w:p w14:paraId="064C0748">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造成多于3人少于5人死亡；或者多于10人少于20人重伤；或者多于1000万元少于2000万元直接经济损失</w:t>
            </w:r>
          </w:p>
        </w:tc>
        <w:tc>
          <w:tcPr>
            <w:tcW w:w="873" w:type="pct"/>
            <w:noWrap w:val="0"/>
            <w:tcMar>
              <w:top w:w="0" w:type="dxa"/>
              <w:left w:w="0" w:type="dxa"/>
              <w:bottom w:w="0" w:type="dxa"/>
              <w:right w:w="0" w:type="dxa"/>
            </w:tcMar>
            <w:vAlign w:val="center"/>
          </w:tcPr>
          <w:p w14:paraId="7A3B0119">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责令停业整顿60-90日，并处30万元的罚款</w:t>
            </w:r>
          </w:p>
        </w:tc>
        <w:tc>
          <w:tcPr>
            <w:tcW w:w="158" w:type="pct"/>
            <w:vMerge w:val="continue"/>
            <w:noWrap w:val="0"/>
            <w:tcMar>
              <w:top w:w="0" w:type="dxa"/>
              <w:left w:w="0" w:type="dxa"/>
              <w:bottom w:w="0" w:type="dxa"/>
              <w:right w:w="0" w:type="dxa"/>
            </w:tcMar>
            <w:vAlign w:val="center"/>
          </w:tcPr>
          <w:p w14:paraId="22DFB438">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726741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788" w:hRule="atLeast"/>
          <w:jc w:val="center"/>
        </w:trPr>
        <w:tc>
          <w:tcPr>
            <w:tcW w:w="156" w:type="pct"/>
            <w:vMerge w:val="continue"/>
            <w:noWrap w:val="0"/>
            <w:tcMar>
              <w:top w:w="0" w:type="dxa"/>
              <w:left w:w="0" w:type="dxa"/>
              <w:bottom w:w="0" w:type="dxa"/>
              <w:right w:w="0" w:type="dxa"/>
            </w:tcMar>
            <w:vAlign w:val="center"/>
          </w:tcPr>
          <w:p w14:paraId="2041869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7100FAA9">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42EF9687">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36AC085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vMerge w:val="restart"/>
            <w:noWrap w:val="0"/>
            <w:tcMar>
              <w:top w:w="0" w:type="dxa"/>
              <w:left w:w="0" w:type="dxa"/>
              <w:bottom w:w="0" w:type="dxa"/>
              <w:right w:w="0" w:type="dxa"/>
            </w:tcMar>
            <w:vAlign w:val="center"/>
          </w:tcPr>
          <w:p w14:paraId="13ACA4F9">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r>
              <w:rPr>
                <w:rFonts w:hint="eastAsia" w:ascii="宋体" w:hAnsi="宋体" w:eastAsia="宋体" w:cs="宋体"/>
                <w:sz w:val="18"/>
                <w:szCs w:val="18"/>
                <w:vertAlign w:val="baseline"/>
                <w:lang w:val="en-US" w:eastAsia="zh-CN"/>
              </w:rPr>
              <w:t>较重</w:t>
            </w:r>
          </w:p>
        </w:tc>
        <w:tc>
          <w:tcPr>
            <w:tcW w:w="561" w:type="pct"/>
            <w:noWrap w:val="0"/>
            <w:tcMar>
              <w:top w:w="0" w:type="dxa"/>
              <w:left w:w="0" w:type="dxa"/>
              <w:bottom w:w="0" w:type="dxa"/>
              <w:right w:w="0" w:type="dxa"/>
            </w:tcMar>
            <w:vAlign w:val="center"/>
          </w:tcPr>
          <w:p w14:paraId="2534408A">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造成多于5人少于7人死亡；或者多于20人少于30人重伤；或者多于2000万元少于3000万元直接经济损失</w:t>
            </w:r>
          </w:p>
        </w:tc>
        <w:tc>
          <w:tcPr>
            <w:tcW w:w="873" w:type="pct"/>
            <w:noWrap w:val="0"/>
            <w:tcMar>
              <w:top w:w="0" w:type="dxa"/>
              <w:left w:w="0" w:type="dxa"/>
              <w:bottom w:w="0" w:type="dxa"/>
              <w:right w:w="0" w:type="dxa"/>
            </w:tcMar>
            <w:vAlign w:val="center"/>
          </w:tcPr>
          <w:p w14:paraId="15CEB7CD">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责令停业整顿90-120日，并处30万元的罚款</w:t>
            </w:r>
          </w:p>
        </w:tc>
        <w:tc>
          <w:tcPr>
            <w:tcW w:w="158" w:type="pct"/>
            <w:vMerge w:val="continue"/>
            <w:noWrap w:val="0"/>
            <w:tcMar>
              <w:top w:w="0" w:type="dxa"/>
              <w:left w:w="0" w:type="dxa"/>
              <w:bottom w:w="0" w:type="dxa"/>
              <w:right w:w="0" w:type="dxa"/>
            </w:tcMar>
            <w:vAlign w:val="center"/>
          </w:tcPr>
          <w:p w14:paraId="267531DA">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067084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817" w:hRule="atLeast"/>
          <w:jc w:val="center"/>
        </w:trPr>
        <w:tc>
          <w:tcPr>
            <w:tcW w:w="156" w:type="pct"/>
            <w:vMerge w:val="continue"/>
            <w:noWrap w:val="0"/>
            <w:tcMar>
              <w:top w:w="0" w:type="dxa"/>
              <w:left w:w="0" w:type="dxa"/>
              <w:bottom w:w="0" w:type="dxa"/>
              <w:right w:w="0" w:type="dxa"/>
            </w:tcMar>
            <w:vAlign w:val="center"/>
          </w:tcPr>
          <w:p w14:paraId="414B64F0">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09C76145">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65F25CA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4895569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vMerge w:val="continue"/>
            <w:noWrap w:val="0"/>
            <w:tcMar>
              <w:top w:w="0" w:type="dxa"/>
              <w:left w:w="0" w:type="dxa"/>
              <w:bottom w:w="0" w:type="dxa"/>
              <w:right w:w="0" w:type="dxa"/>
            </w:tcMar>
            <w:vAlign w:val="center"/>
          </w:tcPr>
          <w:p w14:paraId="15C1A035">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p>
        </w:tc>
        <w:tc>
          <w:tcPr>
            <w:tcW w:w="561" w:type="pct"/>
            <w:noWrap w:val="0"/>
            <w:tcMar>
              <w:top w:w="0" w:type="dxa"/>
              <w:left w:w="0" w:type="dxa"/>
              <w:bottom w:w="0" w:type="dxa"/>
              <w:right w:w="0" w:type="dxa"/>
            </w:tcMar>
            <w:vAlign w:val="center"/>
          </w:tcPr>
          <w:p w14:paraId="581E3412">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造成多于7人少于10人死亡；或者多于30人少于50人重伤；或者多于3000万元少于5000万元直接经济损失</w:t>
            </w:r>
          </w:p>
        </w:tc>
        <w:tc>
          <w:tcPr>
            <w:tcW w:w="873" w:type="pct"/>
            <w:noWrap w:val="0"/>
            <w:tcMar>
              <w:top w:w="0" w:type="dxa"/>
              <w:left w:w="0" w:type="dxa"/>
              <w:bottom w:w="0" w:type="dxa"/>
              <w:right w:w="0" w:type="dxa"/>
            </w:tcMar>
            <w:vAlign w:val="center"/>
          </w:tcPr>
          <w:p w14:paraId="6A3F6B50">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责令停业整顿120-180日，并处30万元的罚款</w:t>
            </w:r>
          </w:p>
        </w:tc>
        <w:tc>
          <w:tcPr>
            <w:tcW w:w="158" w:type="pct"/>
            <w:vMerge w:val="continue"/>
            <w:noWrap w:val="0"/>
            <w:tcMar>
              <w:top w:w="0" w:type="dxa"/>
              <w:left w:w="0" w:type="dxa"/>
              <w:bottom w:w="0" w:type="dxa"/>
              <w:right w:w="0" w:type="dxa"/>
            </w:tcMar>
            <w:vAlign w:val="center"/>
          </w:tcPr>
          <w:p w14:paraId="0DBEC2CA">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36DD0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5FB3D87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0A850C50">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2AA7D6EC">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52B5E6F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vMerge w:val="restart"/>
            <w:noWrap w:val="0"/>
            <w:tcMar>
              <w:top w:w="0" w:type="dxa"/>
              <w:left w:w="0" w:type="dxa"/>
              <w:bottom w:w="0" w:type="dxa"/>
              <w:right w:w="0" w:type="dxa"/>
            </w:tcMar>
            <w:vAlign w:val="center"/>
          </w:tcPr>
          <w:p w14:paraId="03DD863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严重</w:t>
            </w:r>
          </w:p>
        </w:tc>
        <w:tc>
          <w:tcPr>
            <w:tcW w:w="561" w:type="pct"/>
            <w:noWrap w:val="0"/>
            <w:tcMar>
              <w:top w:w="0" w:type="dxa"/>
              <w:left w:w="0" w:type="dxa"/>
              <w:bottom w:w="0" w:type="dxa"/>
              <w:right w:w="0" w:type="dxa"/>
            </w:tcMar>
            <w:vAlign w:val="center"/>
          </w:tcPr>
          <w:p w14:paraId="206E5E26">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造成重大安全事故</w:t>
            </w:r>
          </w:p>
        </w:tc>
        <w:tc>
          <w:tcPr>
            <w:tcW w:w="873" w:type="pct"/>
            <w:noWrap w:val="0"/>
            <w:tcMar>
              <w:top w:w="0" w:type="dxa"/>
              <w:left w:w="0" w:type="dxa"/>
              <w:bottom w:w="0" w:type="dxa"/>
              <w:right w:w="0" w:type="dxa"/>
            </w:tcMar>
            <w:vAlign w:val="center"/>
          </w:tcPr>
          <w:p w14:paraId="4F587AA5">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降低资质等级，并处30万元的罚款</w:t>
            </w:r>
          </w:p>
        </w:tc>
        <w:tc>
          <w:tcPr>
            <w:tcW w:w="158" w:type="pct"/>
            <w:vMerge w:val="continue"/>
            <w:noWrap w:val="0"/>
            <w:tcMar>
              <w:top w:w="0" w:type="dxa"/>
              <w:left w:w="0" w:type="dxa"/>
              <w:bottom w:w="0" w:type="dxa"/>
              <w:right w:w="0" w:type="dxa"/>
            </w:tcMar>
            <w:vAlign w:val="center"/>
          </w:tcPr>
          <w:p w14:paraId="2BD3C29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17EF47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1845AEF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05D45F27">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2120AE2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6A250FC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vMerge w:val="continue"/>
            <w:noWrap w:val="0"/>
            <w:tcMar>
              <w:top w:w="0" w:type="dxa"/>
              <w:left w:w="0" w:type="dxa"/>
              <w:bottom w:w="0" w:type="dxa"/>
              <w:right w:w="0" w:type="dxa"/>
            </w:tcMar>
            <w:vAlign w:val="center"/>
          </w:tcPr>
          <w:p w14:paraId="460A8020">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p>
        </w:tc>
        <w:tc>
          <w:tcPr>
            <w:tcW w:w="561" w:type="pct"/>
            <w:noWrap w:val="0"/>
            <w:tcMar>
              <w:top w:w="0" w:type="dxa"/>
              <w:left w:w="0" w:type="dxa"/>
              <w:bottom w:w="0" w:type="dxa"/>
              <w:right w:w="0" w:type="dxa"/>
            </w:tcMar>
            <w:vAlign w:val="center"/>
          </w:tcPr>
          <w:p w14:paraId="2FC53E34">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造成特别重大安全事故</w:t>
            </w:r>
          </w:p>
        </w:tc>
        <w:tc>
          <w:tcPr>
            <w:tcW w:w="873" w:type="pct"/>
            <w:noWrap w:val="0"/>
            <w:tcMar>
              <w:top w:w="0" w:type="dxa"/>
              <w:left w:w="0" w:type="dxa"/>
              <w:bottom w:w="0" w:type="dxa"/>
              <w:right w:w="0" w:type="dxa"/>
            </w:tcMar>
            <w:vAlign w:val="center"/>
          </w:tcPr>
          <w:p w14:paraId="1CE8C71A">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吊销资质证书，并处30万元的罚款</w:t>
            </w:r>
          </w:p>
        </w:tc>
        <w:tc>
          <w:tcPr>
            <w:tcW w:w="158" w:type="pct"/>
            <w:vMerge w:val="continue"/>
            <w:noWrap w:val="0"/>
            <w:tcMar>
              <w:top w:w="0" w:type="dxa"/>
              <w:left w:w="0" w:type="dxa"/>
              <w:bottom w:w="0" w:type="dxa"/>
              <w:right w:w="0" w:type="dxa"/>
            </w:tcMar>
            <w:vAlign w:val="center"/>
          </w:tcPr>
          <w:p w14:paraId="2B0C61A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06EF75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0EFF9D3C">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2E4EE24C">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76F90FFC">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restart"/>
            <w:noWrap w:val="0"/>
            <w:tcMar>
              <w:top w:w="0" w:type="dxa"/>
              <w:left w:w="0" w:type="dxa"/>
              <w:bottom w:w="0" w:type="dxa"/>
              <w:right w:w="0" w:type="dxa"/>
            </w:tcMar>
            <w:vAlign w:val="center"/>
          </w:tcPr>
          <w:p w14:paraId="61B04D27">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施工单位使用未经验收或者验收不合格的施工起重机械和整体提升脚手架、模板等自升式架设设施的</w:t>
            </w:r>
          </w:p>
        </w:tc>
        <w:tc>
          <w:tcPr>
            <w:tcW w:w="174" w:type="pct"/>
            <w:noWrap w:val="0"/>
            <w:tcMar>
              <w:top w:w="0" w:type="dxa"/>
              <w:left w:w="0" w:type="dxa"/>
              <w:bottom w:w="0" w:type="dxa"/>
              <w:right w:w="0" w:type="dxa"/>
            </w:tcMar>
            <w:vAlign w:val="center"/>
          </w:tcPr>
          <w:p w14:paraId="7E01B2D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轻微</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791112CF">
            <w:pPr>
              <w:snapToGrid/>
              <w:spacing w:line="28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7FA0D3AD">
            <w:pPr>
              <w:spacing w:line="280" w:lineRule="exact"/>
              <w:rPr>
                <w:rFonts w:hint="eastAsia" w:ascii="宋体" w:hAnsi="宋体" w:eastAsia="宋体" w:cs="宋体"/>
                <w:color w:val="000000"/>
                <w:sz w:val="18"/>
                <w:szCs w:val="18"/>
                <w:vertAlign w:val="baseline"/>
                <w:lang w:val="en-US" w:eastAsia="zh-CN"/>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4E8BDE1E">
            <w:pPr>
              <w:snapToGrid/>
              <w:spacing w:line="28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24A20CD6">
            <w:pPr>
              <w:spacing w:line="280" w:lineRule="exact"/>
              <w:rPr>
                <w:rFonts w:hint="eastAsia" w:ascii="宋体" w:hAnsi="宋体" w:eastAsia="宋体" w:cs="宋体"/>
                <w:color w:val="000000"/>
                <w:kern w:val="2"/>
                <w:sz w:val="18"/>
                <w:szCs w:val="18"/>
                <w:vertAlign w:val="baseline"/>
                <w:lang w:val="en-US" w:eastAsia="zh-CN" w:bidi="ar-SA"/>
              </w:rPr>
            </w:pPr>
          </w:p>
        </w:tc>
        <w:tc>
          <w:tcPr>
            <w:tcW w:w="158" w:type="pct"/>
            <w:vMerge w:val="restart"/>
            <w:noWrap w:val="0"/>
            <w:tcMar>
              <w:top w:w="0" w:type="dxa"/>
              <w:left w:w="0" w:type="dxa"/>
              <w:bottom w:w="0" w:type="dxa"/>
              <w:right w:w="0" w:type="dxa"/>
            </w:tcMar>
            <w:vAlign w:val="center"/>
          </w:tcPr>
          <w:p w14:paraId="7A08F7D9">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7298D2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80" w:hRule="atLeast"/>
          <w:jc w:val="center"/>
        </w:trPr>
        <w:tc>
          <w:tcPr>
            <w:tcW w:w="156" w:type="pct"/>
            <w:vMerge w:val="continue"/>
            <w:noWrap w:val="0"/>
            <w:tcMar>
              <w:top w:w="0" w:type="dxa"/>
              <w:left w:w="0" w:type="dxa"/>
              <w:bottom w:w="0" w:type="dxa"/>
              <w:right w:w="0" w:type="dxa"/>
            </w:tcMar>
            <w:vAlign w:val="center"/>
          </w:tcPr>
          <w:p w14:paraId="4CC3B84B">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5680F689">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49C2C97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363961A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53132C7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较轻</w:t>
            </w:r>
          </w:p>
        </w:tc>
        <w:tc>
          <w:tcPr>
            <w:tcW w:w="561" w:type="pct"/>
            <w:noWrap w:val="0"/>
            <w:tcMar>
              <w:top w:w="0" w:type="dxa"/>
              <w:left w:w="0" w:type="dxa"/>
              <w:bottom w:w="0" w:type="dxa"/>
              <w:right w:w="0" w:type="dxa"/>
            </w:tcMar>
            <w:vAlign w:val="center"/>
          </w:tcPr>
          <w:p w14:paraId="1B0F9EA9">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sz w:val="18"/>
                <w:szCs w:val="18"/>
                <w:vertAlign w:val="baseline"/>
                <w:lang w:val="en-US" w:eastAsia="zh-CN"/>
              </w:rPr>
              <w:t>未经查验，但后经查验属于合格的</w:t>
            </w:r>
          </w:p>
        </w:tc>
        <w:tc>
          <w:tcPr>
            <w:tcW w:w="873" w:type="pct"/>
            <w:noWrap w:val="0"/>
            <w:tcMar>
              <w:top w:w="0" w:type="dxa"/>
              <w:left w:w="0" w:type="dxa"/>
              <w:bottom w:w="0" w:type="dxa"/>
              <w:right w:w="0" w:type="dxa"/>
            </w:tcMar>
            <w:vAlign w:val="center"/>
          </w:tcPr>
          <w:p w14:paraId="4567B49B">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责令停业整顿，直至改正违法行为；并处10万元以上20万元以下的罚款</w:t>
            </w:r>
          </w:p>
        </w:tc>
        <w:tc>
          <w:tcPr>
            <w:tcW w:w="158" w:type="pct"/>
            <w:vMerge w:val="continue"/>
            <w:noWrap w:val="0"/>
            <w:tcMar>
              <w:top w:w="0" w:type="dxa"/>
              <w:left w:w="0" w:type="dxa"/>
              <w:bottom w:w="0" w:type="dxa"/>
              <w:right w:w="0" w:type="dxa"/>
            </w:tcMar>
            <w:vAlign w:val="center"/>
          </w:tcPr>
          <w:p w14:paraId="11F9F4E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5D9B89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90" w:hRule="atLeast"/>
          <w:jc w:val="center"/>
        </w:trPr>
        <w:tc>
          <w:tcPr>
            <w:tcW w:w="156" w:type="pct"/>
            <w:vMerge w:val="continue"/>
            <w:noWrap w:val="0"/>
            <w:tcMar>
              <w:top w:w="0" w:type="dxa"/>
              <w:left w:w="0" w:type="dxa"/>
              <w:bottom w:w="0" w:type="dxa"/>
              <w:right w:w="0" w:type="dxa"/>
            </w:tcMar>
            <w:vAlign w:val="center"/>
          </w:tcPr>
          <w:p w14:paraId="13E1D3BA">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56BAFC4A">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723D170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7857C78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58F2E225">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一般</w:t>
            </w:r>
          </w:p>
        </w:tc>
        <w:tc>
          <w:tcPr>
            <w:tcW w:w="561" w:type="pct"/>
            <w:noWrap w:val="0"/>
            <w:tcMar>
              <w:top w:w="0" w:type="dxa"/>
              <w:left w:w="0" w:type="dxa"/>
              <w:bottom w:w="0" w:type="dxa"/>
              <w:right w:w="0" w:type="dxa"/>
            </w:tcMar>
            <w:vAlign w:val="center"/>
          </w:tcPr>
          <w:p w14:paraId="44D386E3">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sz w:val="18"/>
                <w:szCs w:val="18"/>
                <w:vertAlign w:val="baseline"/>
                <w:lang w:val="en-US" w:eastAsia="zh-CN"/>
              </w:rPr>
              <w:t>经查验不合格的</w:t>
            </w:r>
          </w:p>
        </w:tc>
        <w:tc>
          <w:tcPr>
            <w:tcW w:w="873" w:type="pct"/>
            <w:noWrap w:val="0"/>
            <w:tcMar>
              <w:top w:w="0" w:type="dxa"/>
              <w:left w:w="0" w:type="dxa"/>
              <w:bottom w:w="0" w:type="dxa"/>
              <w:right w:w="0" w:type="dxa"/>
            </w:tcMar>
            <w:vAlign w:val="center"/>
          </w:tcPr>
          <w:p w14:paraId="78A2DA32">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责令停业整顿，直至改正违法行为；并处20万元以上30万元以下的罚款</w:t>
            </w:r>
          </w:p>
        </w:tc>
        <w:tc>
          <w:tcPr>
            <w:tcW w:w="158" w:type="pct"/>
            <w:vMerge w:val="continue"/>
            <w:noWrap w:val="0"/>
            <w:tcMar>
              <w:top w:w="0" w:type="dxa"/>
              <w:left w:w="0" w:type="dxa"/>
              <w:bottom w:w="0" w:type="dxa"/>
              <w:right w:w="0" w:type="dxa"/>
            </w:tcMar>
            <w:vAlign w:val="center"/>
          </w:tcPr>
          <w:p w14:paraId="2B180E6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0CCC0B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297E8B5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32350CCD">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2A48649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625F7A57">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3B52703B">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较重</w:t>
            </w:r>
          </w:p>
        </w:tc>
        <w:tc>
          <w:tcPr>
            <w:tcW w:w="561" w:type="pct"/>
            <w:noWrap w:val="0"/>
            <w:tcMar>
              <w:top w:w="0" w:type="dxa"/>
              <w:left w:w="0" w:type="dxa"/>
              <w:bottom w:w="0" w:type="dxa"/>
              <w:right w:w="0" w:type="dxa"/>
            </w:tcMar>
            <w:vAlign w:val="center"/>
          </w:tcPr>
          <w:p w14:paraId="6C879C41">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sz w:val="18"/>
                <w:szCs w:val="18"/>
                <w:vertAlign w:val="baseline"/>
              </w:rPr>
              <w:t>造成多于3人少于5人死亡；或者多于10人少于20人重伤；或者多于1000万元少于2000万元直接经济损失</w:t>
            </w:r>
          </w:p>
        </w:tc>
        <w:tc>
          <w:tcPr>
            <w:tcW w:w="873" w:type="pct"/>
            <w:noWrap w:val="0"/>
            <w:tcMar>
              <w:top w:w="0" w:type="dxa"/>
              <w:left w:w="0" w:type="dxa"/>
              <w:bottom w:w="0" w:type="dxa"/>
              <w:right w:w="0" w:type="dxa"/>
            </w:tcMar>
            <w:vAlign w:val="center"/>
          </w:tcPr>
          <w:p w14:paraId="30EBB9D2">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责令停业整顿60-90日，并处30万元的罚款</w:t>
            </w:r>
          </w:p>
        </w:tc>
        <w:tc>
          <w:tcPr>
            <w:tcW w:w="158" w:type="pct"/>
            <w:vMerge w:val="continue"/>
            <w:noWrap w:val="0"/>
            <w:tcMar>
              <w:top w:w="0" w:type="dxa"/>
              <w:left w:w="0" w:type="dxa"/>
              <w:bottom w:w="0" w:type="dxa"/>
              <w:right w:w="0" w:type="dxa"/>
            </w:tcMar>
            <w:vAlign w:val="center"/>
          </w:tcPr>
          <w:p w14:paraId="7CD5BD5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49A53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594" w:hRule="atLeast"/>
          <w:jc w:val="center"/>
        </w:trPr>
        <w:tc>
          <w:tcPr>
            <w:tcW w:w="156" w:type="pct"/>
            <w:vMerge w:val="continue"/>
            <w:noWrap w:val="0"/>
            <w:tcMar>
              <w:top w:w="0" w:type="dxa"/>
              <w:left w:w="0" w:type="dxa"/>
              <w:bottom w:w="0" w:type="dxa"/>
              <w:right w:w="0" w:type="dxa"/>
            </w:tcMar>
            <w:vAlign w:val="center"/>
          </w:tcPr>
          <w:p w14:paraId="448330A1">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1B1B27B6">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1CD8918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176DBBD7">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vMerge w:val="restart"/>
            <w:noWrap w:val="0"/>
            <w:tcMar>
              <w:top w:w="0" w:type="dxa"/>
              <w:left w:w="0" w:type="dxa"/>
              <w:bottom w:w="0" w:type="dxa"/>
              <w:right w:w="0" w:type="dxa"/>
            </w:tcMar>
            <w:vAlign w:val="center"/>
          </w:tcPr>
          <w:p w14:paraId="5B68B9B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r>
              <w:rPr>
                <w:rFonts w:hint="eastAsia" w:ascii="宋体" w:hAnsi="宋体" w:eastAsia="宋体" w:cs="宋体"/>
                <w:sz w:val="18"/>
                <w:szCs w:val="18"/>
                <w:vertAlign w:val="baseline"/>
                <w:lang w:val="en-US" w:eastAsia="zh-CN"/>
              </w:rPr>
              <w:t>较重</w:t>
            </w:r>
          </w:p>
        </w:tc>
        <w:tc>
          <w:tcPr>
            <w:tcW w:w="561" w:type="pct"/>
            <w:noWrap w:val="0"/>
            <w:tcMar>
              <w:top w:w="0" w:type="dxa"/>
              <w:left w:w="0" w:type="dxa"/>
              <w:bottom w:w="0" w:type="dxa"/>
              <w:right w:w="0" w:type="dxa"/>
            </w:tcMar>
            <w:vAlign w:val="center"/>
          </w:tcPr>
          <w:p w14:paraId="17942EEE">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sz w:val="18"/>
                <w:szCs w:val="18"/>
                <w:vertAlign w:val="baseline"/>
              </w:rPr>
              <w:t>造成多于5人少于7人死亡；或者多于20人少于30人重伤；或者多于2000万元少于3000万元直接经济损失</w:t>
            </w:r>
          </w:p>
        </w:tc>
        <w:tc>
          <w:tcPr>
            <w:tcW w:w="873" w:type="pct"/>
            <w:noWrap w:val="0"/>
            <w:tcMar>
              <w:top w:w="0" w:type="dxa"/>
              <w:left w:w="0" w:type="dxa"/>
              <w:bottom w:w="0" w:type="dxa"/>
              <w:right w:w="0" w:type="dxa"/>
            </w:tcMar>
            <w:vAlign w:val="center"/>
          </w:tcPr>
          <w:p w14:paraId="258890F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责令停业整顿90-120日，并处30万元的罚款</w:t>
            </w:r>
          </w:p>
        </w:tc>
        <w:tc>
          <w:tcPr>
            <w:tcW w:w="158" w:type="pct"/>
            <w:vMerge w:val="continue"/>
            <w:noWrap w:val="0"/>
            <w:tcMar>
              <w:top w:w="0" w:type="dxa"/>
              <w:left w:w="0" w:type="dxa"/>
              <w:bottom w:w="0" w:type="dxa"/>
              <w:right w:w="0" w:type="dxa"/>
            </w:tcMar>
            <w:vAlign w:val="center"/>
          </w:tcPr>
          <w:p w14:paraId="2B63B10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4EE336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567" w:hRule="atLeast"/>
          <w:jc w:val="center"/>
        </w:trPr>
        <w:tc>
          <w:tcPr>
            <w:tcW w:w="156" w:type="pct"/>
            <w:vMerge w:val="continue"/>
            <w:noWrap w:val="0"/>
            <w:tcMar>
              <w:top w:w="0" w:type="dxa"/>
              <w:left w:w="0" w:type="dxa"/>
              <w:bottom w:w="0" w:type="dxa"/>
              <w:right w:w="0" w:type="dxa"/>
            </w:tcMar>
            <w:vAlign w:val="center"/>
          </w:tcPr>
          <w:p w14:paraId="3D7477F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059D8E84">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0156AE7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03095CA4">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vMerge w:val="continue"/>
            <w:noWrap w:val="0"/>
            <w:tcMar>
              <w:top w:w="0" w:type="dxa"/>
              <w:left w:w="0" w:type="dxa"/>
              <w:bottom w:w="0" w:type="dxa"/>
              <w:right w:w="0" w:type="dxa"/>
            </w:tcMar>
            <w:vAlign w:val="center"/>
          </w:tcPr>
          <w:p w14:paraId="5F4D911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p>
        </w:tc>
        <w:tc>
          <w:tcPr>
            <w:tcW w:w="561" w:type="pct"/>
            <w:noWrap w:val="0"/>
            <w:tcMar>
              <w:top w:w="0" w:type="dxa"/>
              <w:left w:w="0" w:type="dxa"/>
              <w:bottom w:w="0" w:type="dxa"/>
              <w:right w:w="0" w:type="dxa"/>
            </w:tcMar>
            <w:vAlign w:val="center"/>
          </w:tcPr>
          <w:p w14:paraId="5AF30BE9">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sz w:val="18"/>
                <w:szCs w:val="18"/>
                <w:vertAlign w:val="baseline"/>
              </w:rPr>
              <w:t>造成多于7人少于10人死亡；或者多于30人少于50人重伤；或者多于3000万元少于5000万元直接经济损失</w:t>
            </w:r>
          </w:p>
        </w:tc>
        <w:tc>
          <w:tcPr>
            <w:tcW w:w="873" w:type="pct"/>
            <w:noWrap w:val="0"/>
            <w:tcMar>
              <w:top w:w="0" w:type="dxa"/>
              <w:left w:w="0" w:type="dxa"/>
              <w:bottom w:w="0" w:type="dxa"/>
              <w:right w:w="0" w:type="dxa"/>
            </w:tcMar>
            <w:vAlign w:val="center"/>
          </w:tcPr>
          <w:p w14:paraId="06DAE70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责令停业整顿120-180日，并处30万元的罚款</w:t>
            </w:r>
          </w:p>
        </w:tc>
        <w:tc>
          <w:tcPr>
            <w:tcW w:w="158" w:type="pct"/>
            <w:vMerge w:val="continue"/>
            <w:noWrap w:val="0"/>
            <w:tcMar>
              <w:top w:w="0" w:type="dxa"/>
              <w:left w:w="0" w:type="dxa"/>
              <w:bottom w:w="0" w:type="dxa"/>
              <w:right w:w="0" w:type="dxa"/>
            </w:tcMar>
            <w:vAlign w:val="center"/>
          </w:tcPr>
          <w:p w14:paraId="4CADE980">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0BFA8B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5918B5D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5293E5ED">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370D1E2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4DFBC37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vMerge w:val="restart"/>
            <w:noWrap w:val="0"/>
            <w:tcMar>
              <w:top w:w="0" w:type="dxa"/>
              <w:left w:w="0" w:type="dxa"/>
              <w:bottom w:w="0" w:type="dxa"/>
              <w:right w:w="0" w:type="dxa"/>
            </w:tcMar>
            <w:vAlign w:val="center"/>
          </w:tcPr>
          <w:p w14:paraId="7DDC835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r>
              <w:rPr>
                <w:rFonts w:hint="eastAsia" w:ascii="宋体" w:hAnsi="宋体" w:eastAsia="宋体" w:cs="宋体"/>
                <w:sz w:val="18"/>
                <w:szCs w:val="18"/>
                <w:vertAlign w:val="baseline"/>
                <w:lang w:val="en-US" w:eastAsia="zh-CN"/>
              </w:rPr>
              <w:t>严重</w:t>
            </w:r>
          </w:p>
        </w:tc>
        <w:tc>
          <w:tcPr>
            <w:tcW w:w="561" w:type="pct"/>
            <w:noWrap w:val="0"/>
            <w:tcMar>
              <w:top w:w="0" w:type="dxa"/>
              <w:left w:w="0" w:type="dxa"/>
              <w:bottom w:w="0" w:type="dxa"/>
              <w:right w:w="0" w:type="dxa"/>
            </w:tcMar>
            <w:vAlign w:val="center"/>
          </w:tcPr>
          <w:p w14:paraId="46E94720">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sz w:val="18"/>
                <w:szCs w:val="18"/>
                <w:vertAlign w:val="baseline"/>
                <w:lang w:val="en-US" w:eastAsia="zh-CN"/>
              </w:rPr>
              <w:t>造成重大安全事故</w:t>
            </w:r>
          </w:p>
        </w:tc>
        <w:tc>
          <w:tcPr>
            <w:tcW w:w="873" w:type="pct"/>
            <w:noWrap w:val="0"/>
            <w:tcMar>
              <w:top w:w="0" w:type="dxa"/>
              <w:left w:w="0" w:type="dxa"/>
              <w:bottom w:w="0" w:type="dxa"/>
              <w:right w:w="0" w:type="dxa"/>
            </w:tcMar>
            <w:vAlign w:val="center"/>
          </w:tcPr>
          <w:p w14:paraId="1261297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降低资质等级，并处30万元的罚款</w:t>
            </w:r>
          </w:p>
        </w:tc>
        <w:tc>
          <w:tcPr>
            <w:tcW w:w="158" w:type="pct"/>
            <w:vMerge w:val="continue"/>
            <w:noWrap w:val="0"/>
            <w:tcMar>
              <w:top w:w="0" w:type="dxa"/>
              <w:left w:w="0" w:type="dxa"/>
              <w:bottom w:w="0" w:type="dxa"/>
              <w:right w:w="0" w:type="dxa"/>
            </w:tcMar>
            <w:vAlign w:val="center"/>
          </w:tcPr>
          <w:p w14:paraId="2B2D1C40">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37887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80" w:hRule="atLeast"/>
          <w:jc w:val="center"/>
        </w:trPr>
        <w:tc>
          <w:tcPr>
            <w:tcW w:w="156" w:type="pct"/>
            <w:vMerge w:val="continue"/>
            <w:noWrap w:val="0"/>
            <w:tcMar>
              <w:top w:w="0" w:type="dxa"/>
              <w:left w:w="0" w:type="dxa"/>
              <w:bottom w:w="0" w:type="dxa"/>
              <w:right w:w="0" w:type="dxa"/>
            </w:tcMar>
            <w:vAlign w:val="center"/>
          </w:tcPr>
          <w:p w14:paraId="4C628CA8">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374E1DB8">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4D0BB75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153D5DB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vMerge w:val="continue"/>
            <w:noWrap w:val="0"/>
            <w:tcMar>
              <w:top w:w="0" w:type="dxa"/>
              <w:left w:w="0" w:type="dxa"/>
              <w:bottom w:w="0" w:type="dxa"/>
              <w:right w:w="0" w:type="dxa"/>
            </w:tcMar>
            <w:vAlign w:val="center"/>
          </w:tcPr>
          <w:p w14:paraId="3BA273E9">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p>
        </w:tc>
        <w:tc>
          <w:tcPr>
            <w:tcW w:w="561" w:type="pct"/>
            <w:noWrap w:val="0"/>
            <w:tcMar>
              <w:top w:w="0" w:type="dxa"/>
              <w:left w:w="0" w:type="dxa"/>
              <w:bottom w:w="0" w:type="dxa"/>
              <w:right w:w="0" w:type="dxa"/>
            </w:tcMar>
            <w:vAlign w:val="center"/>
          </w:tcPr>
          <w:p w14:paraId="614DD15F">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sz w:val="18"/>
                <w:szCs w:val="18"/>
                <w:vertAlign w:val="baseline"/>
                <w:lang w:val="en-US" w:eastAsia="zh-CN"/>
              </w:rPr>
              <w:t>造成特别重大安全事故</w:t>
            </w:r>
          </w:p>
        </w:tc>
        <w:tc>
          <w:tcPr>
            <w:tcW w:w="873" w:type="pct"/>
            <w:noWrap w:val="0"/>
            <w:tcMar>
              <w:top w:w="0" w:type="dxa"/>
              <w:left w:w="0" w:type="dxa"/>
              <w:bottom w:w="0" w:type="dxa"/>
              <w:right w:w="0" w:type="dxa"/>
            </w:tcMar>
            <w:vAlign w:val="center"/>
          </w:tcPr>
          <w:p w14:paraId="0F62AAC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吊销资质证书，并处30万元的罚款</w:t>
            </w:r>
          </w:p>
        </w:tc>
        <w:tc>
          <w:tcPr>
            <w:tcW w:w="158" w:type="pct"/>
            <w:vMerge w:val="continue"/>
            <w:noWrap w:val="0"/>
            <w:tcMar>
              <w:top w:w="0" w:type="dxa"/>
              <w:left w:w="0" w:type="dxa"/>
              <w:bottom w:w="0" w:type="dxa"/>
              <w:right w:w="0" w:type="dxa"/>
            </w:tcMar>
            <w:vAlign w:val="center"/>
          </w:tcPr>
          <w:p w14:paraId="6E08D0EA">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17F157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156" w:type="pct"/>
            <w:vMerge w:val="continue"/>
            <w:noWrap w:val="0"/>
            <w:tcMar>
              <w:top w:w="0" w:type="dxa"/>
              <w:left w:w="0" w:type="dxa"/>
              <w:bottom w:w="0" w:type="dxa"/>
              <w:right w:w="0" w:type="dxa"/>
            </w:tcMar>
            <w:vAlign w:val="center"/>
          </w:tcPr>
          <w:p w14:paraId="36395AF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62EFFD89">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11F0CCB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restart"/>
            <w:noWrap w:val="0"/>
            <w:tcMar>
              <w:top w:w="0" w:type="dxa"/>
              <w:left w:w="0" w:type="dxa"/>
              <w:bottom w:w="0" w:type="dxa"/>
              <w:right w:w="0" w:type="dxa"/>
            </w:tcMar>
            <w:vAlign w:val="center"/>
          </w:tcPr>
          <w:p w14:paraId="4731192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施工单位委托不具有相应资质的单位承担施工现场安装、拆卸施工起重机械和整体提升脚手架、模板等自升式架设设施的</w:t>
            </w:r>
          </w:p>
        </w:tc>
        <w:tc>
          <w:tcPr>
            <w:tcW w:w="174" w:type="pct"/>
            <w:noWrap w:val="0"/>
            <w:tcMar>
              <w:top w:w="0" w:type="dxa"/>
              <w:left w:w="0" w:type="dxa"/>
              <w:bottom w:w="0" w:type="dxa"/>
              <w:right w:w="0" w:type="dxa"/>
            </w:tcMar>
            <w:vAlign w:val="center"/>
          </w:tcPr>
          <w:p w14:paraId="7ED735D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轻微</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40294200">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6DA1360D">
            <w:pPr>
              <w:spacing w:line="260" w:lineRule="exact"/>
              <w:rPr>
                <w:rFonts w:hint="eastAsia" w:ascii="宋体" w:hAnsi="宋体" w:eastAsia="宋体" w:cs="宋体"/>
                <w:color w:val="000000"/>
                <w:sz w:val="18"/>
                <w:szCs w:val="18"/>
                <w:vertAlign w:val="baseline"/>
                <w:lang w:val="en-US" w:eastAsia="zh-CN"/>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77605389">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34C26A47">
            <w:pPr>
              <w:spacing w:line="260" w:lineRule="exact"/>
              <w:rPr>
                <w:rFonts w:hint="eastAsia" w:ascii="宋体" w:hAnsi="宋体" w:eastAsia="宋体" w:cs="宋体"/>
                <w:color w:val="000000"/>
                <w:kern w:val="2"/>
                <w:sz w:val="18"/>
                <w:szCs w:val="18"/>
                <w:vertAlign w:val="baseline"/>
                <w:lang w:val="en-US" w:eastAsia="zh-CN" w:bidi="ar-SA"/>
              </w:rPr>
            </w:pPr>
          </w:p>
        </w:tc>
        <w:tc>
          <w:tcPr>
            <w:tcW w:w="158" w:type="pct"/>
            <w:vMerge w:val="restart"/>
            <w:noWrap w:val="0"/>
            <w:tcMar>
              <w:top w:w="0" w:type="dxa"/>
              <w:left w:w="0" w:type="dxa"/>
              <w:bottom w:w="0" w:type="dxa"/>
              <w:right w:w="0" w:type="dxa"/>
            </w:tcMar>
            <w:vAlign w:val="center"/>
          </w:tcPr>
          <w:p w14:paraId="3B8B56AC">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5B4A57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191EBD5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4E333EB9">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4F3D05BC">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3EF06FC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28D948F0">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较轻</w:t>
            </w:r>
          </w:p>
        </w:tc>
        <w:tc>
          <w:tcPr>
            <w:tcW w:w="561" w:type="pct"/>
            <w:noWrap w:val="0"/>
            <w:tcMar>
              <w:top w:w="0" w:type="dxa"/>
              <w:left w:w="0" w:type="dxa"/>
              <w:bottom w:w="0" w:type="dxa"/>
              <w:right w:w="0" w:type="dxa"/>
            </w:tcMar>
            <w:vAlign w:val="center"/>
          </w:tcPr>
          <w:p w14:paraId="3A3CF958">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涉及1台施工现场安装、拆卸施工起重机械和整体提升脚手架、模板等自升式架设设施的</w:t>
            </w:r>
          </w:p>
        </w:tc>
        <w:tc>
          <w:tcPr>
            <w:tcW w:w="873" w:type="pct"/>
            <w:noWrap w:val="0"/>
            <w:tcMar>
              <w:top w:w="0" w:type="dxa"/>
              <w:left w:w="0" w:type="dxa"/>
              <w:bottom w:w="0" w:type="dxa"/>
              <w:right w:w="0" w:type="dxa"/>
            </w:tcMar>
            <w:vAlign w:val="center"/>
          </w:tcPr>
          <w:p w14:paraId="6ED87FA4">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责令停业整顿，直至改正违法行为；并处10万元以上20万元以下的罚款</w:t>
            </w:r>
          </w:p>
        </w:tc>
        <w:tc>
          <w:tcPr>
            <w:tcW w:w="158" w:type="pct"/>
            <w:vMerge w:val="continue"/>
            <w:noWrap w:val="0"/>
            <w:tcMar>
              <w:top w:w="0" w:type="dxa"/>
              <w:left w:w="0" w:type="dxa"/>
              <w:bottom w:w="0" w:type="dxa"/>
              <w:right w:w="0" w:type="dxa"/>
            </w:tcMar>
            <w:vAlign w:val="center"/>
          </w:tcPr>
          <w:p w14:paraId="009D458B">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3EAC5A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6850345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2C07B180">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05A4B18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0911266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3DD33C9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一般</w:t>
            </w:r>
          </w:p>
        </w:tc>
        <w:tc>
          <w:tcPr>
            <w:tcW w:w="561" w:type="pct"/>
            <w:noWrap w:val="0"/>
            <w:tcMar>
              <w:top w:w="0" w:type="dxa"/>
              <w:left w:w="0" w:type="dxa"/>
              <w:bottom w:w="0" w:type="dxa"/>
              <w:right w:w="0" w:type="dxa"/>
            </w:tcMar>
            <w:vAlign w:val="center"/>
          </w:tcPr>
          <w:p w14:paraId="4A88AA4A">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涉及2台以上施工现场安装、拆卸施工起重机械和整体提升脚手架、模板等自升式架设设施的</w:t>
            </w:r>
          </w:p>
        </w:tc>
        <w:tc>
          <w:tcPr>
            <w:tcW w:w="873" w:type="pct"/>
            <w:noWrap w:val="0"/>
            <w:tcMar>
              <w:top w:w="0" w:type="dxa"/>
              <w:left w:w="0" w:type="dxa"/>
              <w:bottom w:w="0" w:type="dxa"/>
              <w:right w:w="0" w:type="dxa"/>
            </w:tcMar>
            <w:vAlign w:val="center"/>
          </w:tcPr>
          <w:p w14:paraId="7786D5E7">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责令停业整顿，直至改正违法行为；并处20万元以上30万元以下的罚款</w:t>
            </w:r>
          </w:p>
        </w:tc>
        <w:tc>
          <w:tcPr>
            <w:tcW w:w="158" w:type="pct"/>
            <w:vMerge w:val="continue"/>
            <w:noWrap w:val="0"/>
            <w:tcMar>
              <w:top w:w="0" w:type="dxa"/>
              <w:left w:w="0" w:type="dxa"/>
              <w:bottom w:w="0" w:type="dxa"/>
              <w:right w:w="0" w:type="dxa"/>
            </w:tcMar>
            <w:vAlign w:val="center"/>
          </w:tcPr>
          <w:p w14:paraId="6C040D20">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5AA689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0EE69181">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7A8AFA29">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3AEEF5A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7EFD47F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3FEF151C">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较重</w:t>
            </w:r>
          </w:p>
        </w:tc>
        <w:tc>
          <w:tcPr>
            <w:tcW w:w="561" w:type="pct"/>
            <w:noWrap w:val="0"/>
            <w:tcMar>
              <w:top w:w="0" w:type="dxa"/>
              <w:left w:w="0" w:type="dxa"/>
              <w:bottom w:w="0" w:type="dxa"/>
              <w:right w:w="0" w:type="dxa"/>
            </w:tcMar>
            <w:vAlign w:val="center"/>
          </w:tcPr>
          <w:p w14:paraId="1BAAF194">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sz w:val="18"/>
                <w:szCs w:val="18"/>
                <w:vertAlign w:val="baseline"/>
              </w:rPr>
              <w:t>造成多于3人少于5人死亡；或者多于10人少于20人重伤；或者多于1000万元少于2000万元直接经济损失</w:t>
            </w:r>
          </w:p>
        </w:tc>
        <w:tc>
          <w:tcPr>
            <w:tcW w:w="873" w:type="pct"/>
            <w:noWrap w:val="0"/>
            <w:tcMar>
              <w:top w:w="0" w:type="dxa"/>
              <w:left w:w="0" w:type="dxa"/>
              <w:bottom w:w="0" w:type="dxa"/>
              <w:right w:w="0" w:type="dxa"/>
            </w:tcMar>
            <w:vAlign w:val="center"/>
          </w:tcPr>
          <w:p w14:paraId="1DBB614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责令停业整顿60-90日，并处30万元的罚款</w:t>
            </w:r>
          </w:p>
        </w:tc>
        <w:tc>
          <w:tcPr>
            <w:tcW w:w="158" w:type="pct"/>
            <w:vMerge w:val="continue"/>
            <w:noWrap w:val="0"/>
            <w:tcMar>
              <w:top w:w="0" w:type="dxa"/>
              <w:left w:w="0" w:type="dxa"/>
              <w:bottom w:w="0" w:type="dxa"/>
              <w:right w:w="0" w:type="dxa"/>
            </w:tcMar>
            <w:vAlign w:val="center"/>
          </w:tcPr>
          <w:p w14:paraId="004A149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5EF6AA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14D6525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2D396635">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09FDF95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3BAD8D3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vMerge w:val="restart"/>
            <w:noWrap w:val="0"/>
            <w:tcMar>
              <w:top w:w="0" w:type="dxa"/>
              <w:left w:w="0" w:type="dxa"/>
              <w:bottom w:w="0" w:type="dxa"/>
              <w:right w:w="0" w:type="dxa"/>
            </w:tcMar>
            <w:vAlign w:val="center"/>
          </w:tcPr>
          <w:p w14:paraId="5C9669E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r>
              <w:rPr>
                <w:rFonts w:hint="eastAsia" w:ascii="宋体" w:hAnsi="宋体" w:eastAsia="宋体" w:cs="宋体"/>
                <w:sz w:val="18"/>
                <w:szCs w:val="18"/>
                <w:vertAlign w:val="baseline"/>
                <w:lang w:val="en-US" w:eastAsia="zh-CN"/>
              </w:rPr>
              <w:t>较重</w:t>
            </w:r>
          </w:p>
        </w:tc>
        <w:tc>
          <w:tcPr>
            <w:tcW w:w="561" w:type="pct"/>
            <w:noWrap w:val="0"/>
            <w:tcMar>
              <w:top w:w="0" w:type="dxa"/>
              <w:left w:w="0" w:type="dxa"/>
              <w:bottom w:w="0" w:type="dxa"/>
              <w:right w:w="0" w:type="dxa"/>
            </w:tcMar>
            <w:vAlign w:val="center"/>
          </w:tcPr>
          <w:p w14:paraId="08AEE7AF">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sz w:val="18"/>
                <w:szCs w:val="18"/>
                <w:vertAlign w:val="baseline"/>
              </w:rPr>
              <w:t>造成多于5人少于7人死亡；或者多于20人少于30人重伤；或者多于2000万元少于3000万元直接经济损失</w:t>
            </w:r>
          </w:p>
        </w:tc>
        <w:tc>
          <w:tcPr>
            <w:tcW w:w="873" w:type="pct"/>
            <w:noWrap w:val="0"/>
            <w:tcMar>
              <w:top w:w="0" w:type="dxa"/>
              <w:left w:w="0" w:type="dxa"/>
              <w:bottom w:w="0" w:type="dxa"/>
              <w:right w:w="0" w:type="dxa"/>
            </w:tcMar>
            <w:vAlign w:val="center"/>
          </w:tcPr>
          <w:p w14:paraId="1C8D27C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责令停业整顿90-120日，并处30万元的罚款</w:t>
            </w:r>
          </w:p>
        </w:tc>
        <w:tc>
          <w:tcPr>
            <w:tcW w:w="158" w:type="pct"/>
            <w:vMerge w:val="continue"/>
            <w:noWrap w:val="0"/>
            <w:tcMar>
              <w:top w:w="0" w:type="dxa"/>
              <w:left w:w="0" w:type="dxa"/>
              <w:bottom w:w="0" w:type="dxa"/>
              <w:right w:w="0" w:type="dxa"/>
            </w:tcMar>
            <w:vAlign w:val="center"/>
          </w:tcPr>
          <w:p w14:paraId="49C75C0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573122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539" w:hRule="atLeast"/>
          <w:jc w:val="center"/>
        </w:trPr>
        <w:tc>
          <w:tcPr>
            <w:tcW w:w="156" w:type="pct"/>
            <w:vMerge w:val="continue"/>
            <w:noWrap w:val="0"/>
            <w:tcMar>
              <w:top w:w="0" w:type="dxa"/>
              <w:left w:w="0" w:type="dxa"/>
              <w:bottom w:w="0" w:type="dxa"/>
              <w:right w:w="0" w:type="dxa"/>
            </w:tcMar>
            <w:vAlign w:val="center"/>
          </w:tcPr>
          <w:p w14:paraId="7EF98110">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1FC66F25">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45CE5BD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2380036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vMerge w:val="continue"/>
            <w:noWrap w:val="0"/>
            <w:tcMar>
              <w:top w:w="0" w:type="dxa"/>
              <w:left w:w="0" w:type="dxa"/>
              <w:bottom w:w="0" w:type="dxa"/>
              <w:right w:w="0" w:type="dxa"/>
            </w:tcMar>
            <w:vAlign w:val="center"/>
          </w:tcPr>
          <w:p w14:paraId="745E23AB">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p>
        </w:tc>
        <w:tc>
          <w:tcPr>
            <w:tcW w:w="561" w:type="pct"/>
            <w:noWrap w:val="0"/>
            <w:tcMar>
              <w:top w:w="0" w:type="dxa"/>
              <w:left w:w="0" w:type="dxa"/>
              <w:bottom w:w="0" w:type="dxa"/>
              <w:right w:w="0" w:type="dxa"/>
            </w:tcMar>
            <w:vAlign w:val="center"/>
          </w:tcPr>
          <w:p w14:paraId="04FD77F7">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sz w:val="18"/>
                <w:szCs w:val="18"/>
                <w:vertAlign w:val="baseline"/>
              </w:rPr>
              <w:t>造成多于7人少于10人死亡；或者多于30人少于50人重伤；或者多于3000万元少于5000万元直接经济损失</w:t>
            </w:r>
          </w:p>
        </w:tc>
        <w:tc>
          <w:tcPr>
            <w:tcW w:w="873" w:type="pct"/>
            <w:noWrap w:val="0"/>
            <w:tcMar>
              <w:top w:w="0" w:type="dxa"/>
              <w:left w:w="0" w:type="dxa"/>
              <w:bottom w:w="0" w:type="dxa"/>
              <w:right w:w="0" w:type="dxa"/>
            </w:tcMar>
            <w:vAlign w:val="center"/>
          </w:tcPr>
          <w:p w14:paraId="429D2B1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责令停业整顿120-180日，并处30万元的罚款</w:t>
            </w:r>
          </w:p>
        </w:tc>
        <w:tc>
          <w:tcPr>
            <w:tcW w:w="158" w:type="pct"/>
            <w:vMerge w:val="continue"/>
            <w:noWrap w:val="0"/>
            <w:tcMar>
              <w:top w:w="0" w:type="dxa"/>
              <w:left w:w="0" w:type="dxa"/>
              <w:bottom w:w="0" w:type="dxa"/>
              <w:right w:w="0" w:type="dxa"/>
            </w:tcMar>
            <w:vAlign w:val="center"/>
          </w:tcPr>
          <w:p w14:paraId="1DABA2BA">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59922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0084611C">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1158B593">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509C406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1308D694">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vMerge w:val="restart"/>
            <w:noWrap w:val="0"/>
            <w:tcMar>
              <w:top w:w="0" w:type="dxa"/>
              <w:left w:w="0" w:type="dxa"/>
              <w:bottom w:w="0" w:type="dxa"/>
              <w:right w:w="0" w:type="dxa"/>
            </w:tcMar>
            <w:vAlign w:val="center"/>
          </w:tcPr>
          <w:p w14:paraId="2AA33E18">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严重</w:t>
            </w:r>
          </w:p>
        </w:tc>
        <w:tc>
          <w:tcPr>
            <w:tcW w:w="561" w:type="pct"/>
            <w:noWrap w:val="0"/>
            <w:tcMar>
              <w:top w:w="0" w:type="dxa"/>
              <w:left w:w="0" w:type="dxa"/>
              <w:bottom w:w="0" w:type="dxa"/>
              <w:right w:w="0" w:type="dxa"/>
            </w:tcMar>
            <w:vAlign w:val="center"/>
          </w:tcPr>
          <w:p w14:paraId="48AC344C">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sz w:val="18"/>
                <w:szCs w:val="18"/>
                <w:vertAlign w:val="baseline"/>
                <w:lang w:val="en-US" w:eastAsia="zh-CN"/>
              </w:rPr>
              <w:t>造成重大安全事故</w:t>
            </w:r>
          </w:p>
        </w:tc>
        <w:tc>
          <w:tcPr>
            <w:tcW w:w="873" w:type="pct"/>
            <w:noWrap w:val="0"/>
            <w:tcMar>
              <w:top w:w="0" w:type="dxa"/>
              <w:left w:w="0" w:type="dxa"/>
              <w:bottom w:w="0" w:type="dxa"/>
              <w:right w:w="0" w:type="dxa"/>
            </w:tcMar>
            <w:vAlign w:val="center"/>
          </w:tcPr>
          <w:p w14:paraId="7F20BF1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降低资质等级，并处30万元的罚款</w:t>
            </w:r>
          </w:p>
        </w:tc>
        <w:tc>
          <w:tcPr>
            <w:tcW w:w="158" w:type="pct"/>
            <w:vMerge w:val="continue"/>
            <w:noWrap w:val="0"/>
            <w:tcMar>
              <w:top w:w="0" w:type="dxa"/>
              <w:left w:w="0" w:type="dxa"/>
              <w:bottom w:w="0" w:type="dxa"/>
              <w:right w:w="0" w:type="dxa"/>
            </w:tcMar>
            <w:vAlign w:val="center"/>
          </w:tcPr>
          <w:p w14:paraId="18F121E0">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4C4458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76722C99">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63E90F1E">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27A4C49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579E134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vMerge w:val="continue"/>
            <w:noWrap w:val="0"/>
            <w:tcMar>
              <w:top w:w="0" w:type="dxa"/>
              <w:left w:w="0" w:type="dxa"/>
              <w:bottom w:w="0" w:type="dxa"/>
              <w:right w:w="0" w:type="dxa"/>
            </w:tcMar>
            <w:vAlign w:val="center"/>
          </w:tcPr>
          <w:p w14:paraId="309E1421">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p>
        </w:tc>
        <w:tc>
          <w:tcPr>
            <w:tcW w:w="561" w:type="pct"/>
            <w:noWrap w:val="0"/>
            <w:tcMar>
              <w:top w:w="0" w:type="dxa"/>
              <w:left w:w="0" w:type="dxa"/>
              <w:bottom w:w="0" w:type="dxa"/>
              <w:right w:w="0" w:type="dxa"/>
            </w:tcMar>
            <w:vAlign w:val="center"/>
          </w:tcPr>
          <w:p w14:paraId="30E7040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sz w:val="18"/>
                <w:szCs w:val="18"/>
                <w:vertAlign w:val="baseline"/>
                <w:lang w:val="en-US" w:eastAsia="zh-CN"/>
              </w:rPr>
              <w:t>造成特别重大安全事故</w:t>
            </w:r>
          </w:p>
        </w:tc>
        <w:tc>
          <w:tcPr>
            <w:tcW w:w="873" w:type="pct"/>
            <w:noWrap w:val="0"/>
            <w:tcMar>
              <w:top w:w="0" w:type="dxa"/>
              <w:left w:w="0" w:type="dxa"/>
              <w:bottom w:w="0" w:type="dxa"/>
              <w:right w:w="0" w:type="dxa"/>
            </w:tcMar>
            <w:vAlign w:val="center"/>
          </w:tcPr>
          <w:p w14:paraId="223FDAE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吊销资质证书，并处30万元的罚款</w:t>
            </w:r>
          </w:p>
        </w:tc>
        <w:tc>
          <w:tcPr>
            <w:tcW w:w="158" w:type="pct"/>
            <w:vMerge w:val="continue"/>
            <w:noWrap w:val="0"/>
            <w:tcMar>
              <w:top w:w="0" w:type="dxa"/>
              <w:left w:w="0" w:type="dxa"/>
              <w:bottom w:w="0" w:type="dxa"/>
              <w:right w:w="0" w:type="dxa"/>
            </w:tcMar>
            <w:vAlign w:val="center"/>
          </w:tcPr>
          <w:p w14:paraId="035E6B9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28DED4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156" w:type="pct"/>
            <w:vMerge w:val="continue"/>
            <w:noWrap w:val="0"/>
            <w:tcMar>
              <w:top w:w="0" w:type="dxa"/>
              <w:left w:w="0" w:type="dxa"/>
              <w:bottom w:w="0" w:type="dxa"/>
              <w:right w:w="0" w:type="dxa"/>
            </w:tcMar>
            <w:vAlign w:val="center"/>
          </w:tcPr>
          <w:p w14:paraId="673D9F4A">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68B9FB63">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12BDD64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restart"/>
            <w:noWrap w:val="0"/>
            <w:tcMar>
              <w:top w:w="0" w:type="dxa"/>
              <w:left w:w="0" w:type="dxa"/>
              <w:bottom w:w="0" w:type="dxa"/>
              <w:right w:w="0" w:type="dxa"/>
            </w:tcMar>
            <w:vAlign w:val="center"/>
          </w:tcPr>
          <w:p w14:paraId="35648F8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施工单位在施工组织设计中未编制安全技术措施、施工现场临时用电方案或者专项施工方案的</w:t>
            </w:r>
          </w:p>
        </w:tc>
        <w:tc>
          <w:tcPr>
            <w:tcW w:w="174" w:type="pct"/>
            <w:noWrap w:val="0"/>
            <w:tcMar>
              <w:top w:w="0" w:type="dxa"/>
              <w:left w:w="0" w:type="dxa"/>
              <w:bottom w:w="0" w:type="dxa"/>
              <w:right w:w="0" w:type="dxa"/>
            </w:tcMar>
            <w:vAlign w:val="center"/>
          </w:tcPr>
          <w:p w14:paraId="232775C3">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轻微</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446471D0">
            <w:pPr>
              <w:snapToGrid w:val="0"/>
              <w:spacing w:line="22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383B157A">
            <w:pPr>
              <w:spacing w:line="220" w:lineRule="exact"/>
              <w:rPr>
                <w:rFonts w:hint="eastAsia" w:ascii="宋体" w:hAnsi="宋体" w:eastAsia="宋体" w:cs="宋体"/>
                <w:color w:val="000000"/>
                <w:sz w:val="18"/>
                <w:szCs w:val="18"/>
                <w:vertAlign w:val="baseline"/>
                <w:lang w:val="en-US" w:eastAsia="zh-CN"/>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565C7A58">
            <w:pPr>
              <w:snapToGrid w:val="0"/>
              <w:spacing w:line="22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27F15A22">
            <w:pPr>
              <w:spacing w:line="220" w:lineRule="exact"/>
              <w:rPr>
                <w:rFonts w:hint="eastAsia" w:ascii="宋体" w:hAnsi="宋体" w:eastAsia="宋体" w:cs="宋体"/>
                <w:color w:val="000000"/>
                <w:kern w:val="2"/>
                <w:sz w:val="18"/>
                <w:szCs w:val="18"/>
                <w:vertAlign w:val="baseline"/>
                <w:lang w:val="en-US" w:eastAsia="zh-CN" w:bidi="ar-SA"/>
              </w:rPr>
            </w:pPr>
          </w:p>
        </w:tc>
        <w:tc>
          <w:tcPr>
            <w:tcW w:w="158" w:type="pct"/>
            <w:vMerge w:val="restart"/>
            <w:noWrap w:val="0"/>
            <w:tcMar>
              <w:top w:w="0" w:type="dxa"/>
              <w:left w:w="0" w:type="dxa"/>
              <w:bottom w:w="0" w:type="dxa"/>
              <w:right w:w="0" w:type="dxa"/>
            </w:tcMar>
            <w:vAlign w:val="center"/>
          </w:tcPr>
          <w:p w14:paraId="49E41551">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006FD4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793" w:hRule="atLeast"/>
          <w:jc w:val="center"/>
        </w:trPr>
        <w:tc>
          <w:tcPr>
            <w:tcW w:w="156" w:type="pct"/>
            <w:vMerge w:val="continue"/>
            <w:noWrap w:val="0"/>
            <w:tcMar>
              <w:top w:w="0" w:type="dxa"/>
              <w:left w:w="0" w:type="dxa"/>
              <w:bottom w:w="0" w:type="dxa"/>
              <w:right w:w="0" w:type="dxa"/>
            </w:tcMar>
            <w:vAlign w:val="center"/>
          </w:tcPr>
          <w:p w14:paraId="46823B7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7BDE6F21">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4D463C5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2A4D5A8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57D1BA0B">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较轻</w:t>
            </w:r>
          </w:p>
        </w:tc>
        <w:tc>
          <w:tcPr>
            <w:tcW w:w="561" w:type="pct"/>
            <w:noWrap w:val="0"/>
            <w:tcMar>
              <w:top w:w="0" w:type="dxa"/>
              <w:left w:w="0" w:type="dxa"/>
              <w:bottom w:w="0" w:type="dxa"/>
              <w:right w:w="0" w:type="dxa"/>
            </w:tcMar>
            <w:vAlign w:val="center"/>
          </w:tcPr>
          <w:p w14:paraId="6F772B4F">
            <w:pPr>
              <w:keepNext w:val="0"/>
              <w:keepLines w:val="0"/>
              <w:pageBreakBefore w:val="0"/>
              <w:widowControl w:val="0"/>
              <w:kinsoku/>
              <w:wordWrap/>
              <w:overflowPunct/>
              <w:topLinePunct w:val="0"/>
              <w:autoSpaceDE/>
              <w:autoSpaceDN/>
              <w:bidi w:val="0"/>
              <w:adjustRightInd/>
              <w:snapToGrid/>
              <w:spacing w:line="22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不涉及危大工程的</w:t>
            </w:r>
          </w:p>
        </w:tc>
        <w:tc>
          <w:tcPr>
            <w:tcW w:w="873" w:type="pct"/>
            <w:noWrap w:val="0"/>
            <w:tcMar>
              <w:top w:w="0" w:type="dxa"/>
              <w:left w:w="0" w:type="dxa"/>
              <w:bottom w:w="0" w:type="dxa"/>
              <w:right w:w="0" w:type="dxa"/>
            </w:tcMar>
            <w:vAlign w:val="center"/>
          </w:tcPr>
          <w:p w14:paraId="64164329">
            <w:pPr>
              <w:keepNext w:val="0"/>
              <w:keepLines w:val="0"/>
              <w:pageBreakBefore w:val="0"/>
              <w:widowControl w:val="0"/>
              <w:kinsoku/>
              <w:wordWrap/>
              <w:overflowPunct/>
              <w:topLinePunct w:val="0"/>
              <w:autoSpaceDE/>
              <w:autoSpaceDN/>
              <w:bidi w:val="0"/>
              <w:adjustRightInd/>
              <w:snapToGrid/>
              <w:spacing w:line="22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责令停业整顿，直至改正违法行为；处10万元以上20万元以下的罚款</w:t>
            </w:r>
          </w:p>
        </w:tc>
        <w:tc>
          <w:tcPr>
            <w:tcW w:w="158" w:type="pct"/>
            <w:vMerge w:val="continue"/>
            <w:noWrap w:val="0"/>
            <w:tcMar>
              <w:top w:w="0" w:type="dxa"/>
              <w:left w:w="0" w:type="dxa"/>
              <w:bottom w:w="0" w:type="dxa"/>
              <w:right w:w="0" w:type="dxa"/>
            </w:tcMar>
            <w:vAlign w:val="center"/>
          </w:tcPr>
          <w:p w14:paraId="41B7C0D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452B22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68998E4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4EEE93E5">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0F2952F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0A98BF9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282FEF35">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一般</w:t>
            </w:r>
          </w:p>
        </w:tc>
        <w:tc>
          <w:tcPr>
            <w:tcW w:w="561" w:type="pct"/>
            <w:noWrap w:val="0"/>
            <w:tcMar>
              <w:top w:w="0" w:type="dxa"/>
              <w:left w:w="0" w:type="dxa"/>
              <w:bottom w:w="0" w:type="dxa"/>
              <w:right w:w="0" w:type="dxa"/>
            </w:tcMar>
            <w:vAlign w:val="center"/>
          </w:tcPr>
          <w:p w14:paraId="43CF8894">
            <w:pPr>
              <w:keepNext w:val="0"/>
              <w:keepLines w:val="0"/>
              <w:pageBreakBefore w:val="0"/>
              <w:widowControl w:val="0"/>
              <w:kinsoku/>
              <w:wordWrap/>
              <w:overflowPunct/>
              <w:topLinePunct w:val="0"/>
              <w:autoSpaceDE/>
              <w:autoSpaceDN/>
              <w:bidi w:val="0"/>
              <w:adjustRightInd/>
              <w:snapToGrid/>
              <w:spacing w:line="22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涉及危大工程的</w:t>
            </w:r>
          </w:p>
        </w:tc>
        <w:tc>
          <w:tcPr>
            <w:tcW w:w="873" w:type="pct"/>
            <w:noWrap w:val="0"/>
            <w:tcMar>
              <w:top w:w="0" w:type="dxa"/>
              <w:left w:w="0" w:type="dxa"/>
              <w:bottom w:w="0" w:type="dxa"/>
              <w:right w:w="0" w:type="dxa"/>
            </w:tcMar>
            <w:vAlign w:val="center"/>
          </w:tcPr>
          <w:p w14:paraId="3D1C4CB6">
            <w:pPr>
              <w:keepNext w:val="0"/>
              <w:keepLines w:val="0"/>
              <w:pageBreakBefore w:val="0"/>
              <w:widowControl w:val="0"/>
              <w:kinsoku/>
              <w:wordWrap/>
              <w:overflowPunct/>
              <w:topLinePunct w:val="0"/>
              <w:autoSpaceDE/>
              <w:autoSpaceDN/>
              <w:bidi w:val="0"/>
              <w:adjustRightInd/>
              <w:snapToGrid/>
              <w:spacing w:line="22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责令停业整顿，直至改正违法行为；处20万元以上30万元以下的罚款；暂扣安全生产许可证30日，对直接负责的主管人员和其他直接责任人员处1000元以上5000元以下的罚款</w:t>
            </w:r>
          </w:p>
        </w:tc>
        <w:tc>
          <w:tcPr>
            <w:tcW w:w="158" w:type="pct"/>
            <w:vMerge w:val="continue"/>
            <w:noWrap w:val="0"/>
            <w:tcMar>
              <w:top w:w="0" w:type="dxa"/>
              <w:left w:w="0" w:type="dxa"/>
              <w:bottom w:w="0" w:type="dxa"/>
              <w:right w:w="0" w:type="dxa"/>
            </w:tcMar>
            <w:vAlign w:val="center"/>
          </w:tcPr>
          <w:p w14:paraId="05D7D741">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09AD13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4808027B">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6C197BE5">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1CCA76E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5F00A6A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54455057">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较重</w:t>
            </w:r>
          </w:p>
        </w:tc>
        <w:tc>
          <w:tcPr>
            <w:tcW w:w="561" w:type="pct"/>
            <w:noWrap w:val="0"/>
            <w:tcMar>
              <w:top w:w="0" w:type="dxa"/>
              <w:left w:w="0" w:type="dxa"/>
              <w:bottom w:w="0" w:type="dxa"/>
              <w:right w:w="0" w:type="dxa"/>
            </w:tcMar>
            <w:vAlign w:val="center"/>
          </w:tcPr>
          <w:p w14:paraId="565957BC">
            <w:pPr>
              <w:keepNext w:val="0"/>
              <w:keepLines w:val="0"/>
              <w:pageBreakBefore w:val="0"/>
              <w:widowControl w:val="0"/>
              <w:kinsoku/>
              <w:wordWrap/>
              <w:overflowPunct/>
              <w:topLinePunct w:val="0"/>
              <w:autoSpaceDE/>
              <w:autoSpaceDN/>
              <w:bidi w:val="0"/>
              <w:adjustRightInd/>
              <w:snapToGrid/>
              <w:spacing w:line="22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sz w:val="18"/>
                <w:szCs w:val="18"/>
                <w:vertAlign w:val="baseline"/>
              </w:rPr>
              <w:t>造成多于3人少于5人死亡；或者多于10人少于20人重伤；或者多于1000万元少于2000万元直接经济损失</w:t>
            </w:r>
          </w:p>
        </w:tc>
        <w:tc>
          <w:tcPr>
            <w:tcW w:w="873" w:type="pct"/>
            <w:noWrap w:val="0"/>
            <w:tcMar>
              <w:top w:w="0" w:type="dxa"/>
              <w:left w:w="0" w:type="dxa"/>
              <w:bottom w:w="0" w:type="dxa"/>
              <w:right w:w="0" w:type="dxa"/>
            </w:tcMar>
            <w:vAlign w:val="center"/>
          </w:tcPr>
          <w:p w14:paraId="65D841FE">
            <w:pPr>
              <w:keepNext w:val="0"/>
              <w:keepLines w:val="0"/>
              <w:pageBreakBefore w:val="0"/>
              <w:widowControl w:val="0"/>
              <w:kinsoku/>
              <w:wordWrap/>
              <w:overflowPunct/>
              <w:topLinePunct w:val="0"/>
              <w:autoSpaceDE/>
              <w:autoSpaceDN/>
              <w:bidi w:val="0"/>
              <w:adjustRightInd/>
              <w:snapToGrid/>
              <w:spacing w:line="22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责令停业整顿60-90日；处30万元的罚款；涉及危大工程的，暂扣安全生产许可证30日，对直接负责的主管人员和其他直接责任人员处5000元的罚款</w:t>
            </w:r>
          </w:p>
        </w:tc>
        <w:tc>
          <w:tcPr>
            <w:tcW w:w="158" w:type="pct"/>
            <w:vMerge w:val="continue"/>
            <w:noWrap w:val="0"/>
            <w:tcMar>
              <w:top w:w="0" w:type="dxa"/>
              <w:left w:w="0" w:type="dxa"/>
              <w:bottom w:w="0" w:type="dxa"/>
              <w:right w:w="0" w:type="dxa"/>
            </w:tcMar>
            <w:vAlign w:val="center"/>
          </w:tcPr>
          <w:p w14:paraId="5B3F3F6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747E1E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0626AFA8">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46ADD6B7">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76D2769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094C82C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vMerge w:val="restart"/>
            <w:noWrap w:val="0"/>
            <w:tcMar>
              <w:top w:w="0" w:type="dxa"/>
              <w:left w:w="0" w:type="dxa"/>
              <w:bottom w:w="0" w:type="dxa"/>
              <w:right w:w="0" w:type="dxa"/>
            </w:tcMar>
            <w:vAlign w:val="center"/>
          </w:tcPr>
          <w:p w14:paraId="526980DF">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eastAsia" w:ascii="宋体" w:hAnsi="宋体" w:eastAsia="宋体" w:cs="宋体"/>
                <w:sz w:val="18"/>
                <w:szCs w:val="18"/>
                <w:vertAlign w:val="baseline"/>
                <w:lang w:val="en-US" w:eastAsia="zh-CN"/>
              </w:rPr>
            </w:pPr>
            <w:r>
              <w:rPr>
                <w:rFonts w:hint="eastAsia" w:ascii="宋体" w:hAnsi="宋体" w:eastAsia="宋体" w:cs="宋体"/>
                <w:sz w:val="18"/>
                <w:szCs w:val="18"/>
                <w:vertAlign w:val="baseline"/>
                <w:lang w:val="en-US" w:eastAsia="zh-CN"/>
              </w:rPr>
              <w:t>较重</w:t>
            </w:r>
          </w:p>
        </w:tc>
        <w:tc>
          <w:tcPr>
            <w:tcW w:w="561" w:type="pct"/>
            <w:noWrap w:val="0"/>
            <w:tcMar>
              <w:top w:w="0" w:type="dxa"/>
              <w:left w:w="0" w:type="dxa"/>
              <w:bottom w:w="0" w:type="dxa"/>
              <w:right w:w="0" w:type="dxa"/>
            </w:tcMar>
            <w:vAlign w:val="center"/>
          </w:tcPr>
          <w:p w14:paraId="76C1E116">
            <w:pPr>
              <w:keepNext w:val="0"/>
              <w:keepLines w:val="0"/>
              <w:pageBreakBefore w:val="0"/>
              <w:widowControl w:val="0"/>
              <w:kinsoku/>
              <w:wordWrap/>
              <w:overflowPunct/>
              <w:topLinePunct w:val="0"/>
              <w:autoSpaceDE/>
              <w:autoSpaceDN/>
              <w:bidi w:val="0"/>
              <w:adjustRightInd/>
              <w:snapToGrid/>
              <w:spacing w:line="22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sz w:val="18"/>
                <w:szCs w:val="18"/>
                <w:vertAlign w:val="baseline"/>
              </w:rPr>
              <w:t>造成多于5人少于7人死亡；或者多于20人少于30人重伤；或者多于2000万元少于3000万元直接经济损失</w:t>
            </w:r>
          </w:p>
        </w:tc>
        <w:tc>
          <w:tcPr>
            <w:tcW w:w="873" w:type="pct"/>
            <w:noWrap w:val="0"/>
            <w:tcMar>
              <w:top w:w="0" w:type="dxa"/>
              <w:left w:w="0" w:type="dxa"/>
              <w:bottom w:w="0" w:type="dxa"/>
              <w:right w:w="0" w:type="dxa"/>
            </w:tcMar>
            <w:vAlign w:val="center"/>
          </w:tcPr>
          <w:p w14:paraId="20ACDE09">
            <w:pPr>
              <w:keepNext w:val="0"/>
              <w:keepLines w:val="0"/>
              <w:pageBreakBefore w:val="0"/>
              <w:widowControl w:val="0"/>
              <w:kinsoku/>
              <w:wordWrap/>
              <w:overflowPunct/>
              <w:topLinePunct w:val="0"/>
              <w:autoSpaceDE/>
              <w:autoSpaceDN/>
              <w:bidi w:val="0"/>
              <w:adjustRightInd/>
              <w:snapToGrid/>
              <w:spacing w:line="22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责令停业整顿90-120日；处30万元的罚款；涉及危大工程的，暂扣安全生产许可证30日，对直接负责的主管人员和其他直接责任人员处5000元的罚款</w:t>
            </w:r>
          </w:p>
        </w:tc>
        <w:tc>
          <w:tcPr>
            <w:tcW w:w="158" w:type="pct"/>
            <w:vMerge w:val="continue"/>
            <w:noWrap w:val="0"/>
            <w:tcMar>
              <w:top w:w="0" w:type="dxa"/>
              <w:left w:w="0" w:type="dxa"/>
              <w:bottom w:w="0" w:type="dxa"/>
              <w:right w:w="0" w:type="dxa"/>
            </w:tcMar>
            <w:vAlign w:val="center"/>
          </w:tcPr>
          <w:p w14:paraId="7DB8DF0D">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6BC17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42B05FB0">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44AADA7A">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1BFBF3D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048E248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vMerge w:val="continue"/>
            <w:noWrap w:val="0"/>
            <w:tcMar>
              <w:top w:w="0" w:type="dxa"/>
              <w:left w:w="0" w:type="dxa"/>
              <w:bottom w:w="0" w:type="dxa"/>
              <w:right w:w="0" w:type="dxa"/>
            </w:tcMar>
            <w:vAlign w:val="center"/>
          </w:tcPr>
          <w:p w14:paraId="7D3D41FD">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eastAsia" w:ascii="宋体" w:hAnsi="宋体" w:eastAsia="宋体" w:cs="宋体"/>
                <w:sz w:val="18"/>
                <w:szCs w:val="18"/>
                <w:vertAlign w:val="baseline"/>
                <w:lang w:val="en-US" w:eastAsia="zh-CN"/>
              </w:rPr>
            </w:pPr>
          </w:p>
        </w:tc>
        <w:tc>
          <w:tcPr>
            <w:tcW w:w="561" w:type="pct"/>
            <w:noWrap w:val="0"/>
            <w:tcMar>
              <w:top w:w="0" w:type="dxa"/>
              <w:left w:w="0" w:type="dxa"/>
              <w:bottom w:w="0" w:type="dxa"/>
              <w:right w:w="0" w:type="dxa"/>
            </w:tcMar>
            <w:vAlign w:val="center"/>
          </w:tcPr>
          <w:p w14:paraId="45925085">
            <w:pPr>
              <w:keepNext w:val="0"/>
              <w:keepLines w:val="0"/>
              <w:pageBreakBefore w:val="0"/>
              <w:widowControl w:val="0"/>
              <w:kinsoku/>
              <w:wordWrap/>
              <w:overflowPunct/>
              <w:topLinePunct w:val="0"/>
              <w:autoSpaceDE/>
              <w:autoSpaceDN/>
              <w:bidi w:val="0"/>
              <w:adjustRightInd/>
              <w:snapToGrid/>
              <w:spacing w:line="22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sz w:val="18"/>
                <w:szCs w:val="18"/>
                <w:vertAlign w:val="baseline"/>
              </w:rPr>
              <w:t>造成多于7人少于10人死亡；或者多于30人少于50人重伤；或者多于3000万元少于5000万元直接经济损失</w:t>
            </w:r>
          </w:p>
        </w:tc>
        <w:tc>
          <w:tcPr>
            <w:tcW w:w="873" w:type="pct"/>
            <w:noWrap w:val="0"/>
            <w:tcMar>
              <w:top w:w="0" w:type="dxa"/>
              <w:left w:w="0" w:type="dxa"/>
              <w:bottom w:w="0" w:type="dxa"/>
              <w:right w:w="0" w:type="dxa"/>
            </w:tcMar>
            <w:vAlign w:val="center"/>
          </w:tcPr>
          <w:p w14:paraId="3E687F88">
            <w:pPr>
              <w:keepNext w:val="0"/>
              <w:keepLines w:val="0"/>
              <w:pageBreakBefore w:val="0"/>
              <w:widowControl w:val="0"/>
              <w:kinsoku/>
              <w:wordWrap/>
              <w:overflowPunct/>
              <w:topLinePunct w:val="0"/>
              <w:autoSpaceDE/>
              <w:autoSpaceDN/>
              <w:bidi w:val="0"/>
              <w:adjustRightInd/>
              <w:snapToGrid/>
              <w:spacing w:line="22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责令停业整顿120-180日；处30万元的罚款；涉及危大工程的，暂扣安全生产许可证30日，对直接负责的主管人员和其他直接责任人员处5000元的罚款</w:t>
            </w:r>
          </w:p>
        </w:tc>
        <w:tc>
          <w:tcPr>
            <w:tcW w:w="158" w:type="pct"/>
            <w:vMerge w:val="continue"/>
            <w:noWrap w:val="0"/>
            <w:tcMar>
              <w:top w:w="0" w:type="dxa"/>
              <w:left w:w="0" w:type="dxa"/>
              <w:bottom w:w="0" w:type="dxa"/>
              <w:right w:w="0" w:type="dxa"/>
            </w:tcMar>
            <w:vAlign w:val="center"/>
          </w:tcPr>
          <w:p w14:paraId="6ED0ADA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6B9D4D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21193F59">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207E7F58">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42239A8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3428197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vMerge w:val="restart"/>
            <w:noWrap w:val="0"/>
            <w:tcMar>
              <w:top w:w="0" w:type="dxa"/>
              <w:left w:w="0" w:type="dxa"/>
              <w:bottom w:w="0" w:type="dxa"/>
              <w:right w:w="0" w:type="dxa"/>
            </w:tcMar>
            <w:vAlign w:val="center"/>
          </w:tcPr>
          <w:p w14:paraId="140683F3">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严重</w:t>
            </w:r>
          </w:p>
        </w:tc>
        <w:tc>
          <w:tcPr>
            <w:tcW w:w="561" w:type="pct"/>
            <w:noWrap w:val="0"/>
            <w:tcMar>
              <w:top w:w="0" w:type="dxa"/>
              <w:left w:w="0" w:type="dxa"/>
              <w:bottom w:w="0" w:type="dxa"/>
              <w:right w:w="0" w:type="dxa"/>
            </w:tcMar>
            <w:vAlign w:val="center"/>
          </w:tcPr>
          <w:p w14:paraId="106084FC">
            <w:pPr>
              <w:keepNext w:val="0"/>
              <w:keepLines w:val="0"/>
              <w:pageBreakBefore w:val="0"/>
              <w:widowControl w:val="0"/>
              <w:kinsoku/>
              <w:wordWrap/>
              <w:overflowPunct/>
              <w:topLinePunct w:val="0"/>
              <w:autoSpaceDE/>
              <w:autoSpaceDN/>
              <w:bidi w:val="0"/>
              <w:adjustRightInd/>
              <w:snapToGrid/>
              <w:spacing w:line="22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sz w:val="18"/>
                <w:szCs w:val="18"/>
                <w:vertAlign w:val="baseline"/>
                <w:lang w:val="en-US" w:eastAsia="zh-CN"/>
              </w:rPr>
              <w:t>造成重大安全事故</w:t>
            </w:r>
          </w:p>
        </w:tc>
        <w:tc>
          <w:tcPr>
            <w:tcW w:w="873" w:type="pct"/>
            <w:noWrap w:val="0"/>
            <w:tcMar>
              <w:top w:w="0" w:type="dxa"/>
              <w:left w:w="0" w:type="dxa"/>
              <w:bottom w:w="0" w:type="dxa"/>
              <w:right w:w="0" w:type="dxa"/>
            </w:tcMar>
            <w:vAlign w:val="center"/>
          </w:tcPr>
          <w:p w14:paraId="60057D3D">
            <w:pPr>
              <w:keepNext w:val="0"/>
              <w:keepLines w:val="0"/>
              <w:pageBreakBefore w:val="0"/>
              <w:widowControl w:val="0"/>
              <w:kinsoku/>
              <w:wordWrap/>
              <w:overflowPunct/>
              <w:topLinePunct w:val="0"/>
              <w:autoSpaceDE/>
              <w:autoSpaceDN/>
              <w:bidi w:val="0"/>
              <w:adjustRightInd/>
              <w:snapToGrid/>
              <w:spacing w:line="22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处30万元的罚款；降低资质等级；涉及危大工程的，暂扣安全生产许可证30日，对直接负责的主管人员和其他直接责任人员处5000元的罚款</w:t>
            </w:r>
          </w:p>
        </w:tc>
        <w:tc>
          <w:tcPr>
            <w:tcW w:w="158" w:type="pct"/>
            <w:vMerge w:val="continue"/>
            <w:noWrap w:val="0"/>
            <w:tcMar>
              <w:top w:w="0" w:type="dxa"/>
              <w:left w:w="0" w:type="dxa"/>
              <w:bottom w:w="0" w:type="dxa"/>
              <w:right w:w="0" w:type="dxa"/>
            </w:tcMar>
            <w:vAlign w:val="center"/>
          </w:tcPr>
          <w:p w14:paraId="1A55796B">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38DEB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5ED096A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0479CD70">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04C8D7E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159AC86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vMerge w:val="continue"/>
            <w:noWrap w:val="0"/>
            <w:tcMar>
              <w:top w:w="0" w:type="dxa"/>
              <w:left w:w="0" w:type="dxa"/>
              <w:bottom w:w="0" w:type="dxa"/>
              <w:right w:w="0" w:type="dxa"/>
            </w:tcMar>
            <w:vAlign w:val="center"/>
          </w:tcPr>
          <w:p w14:paraId="3BF2E727">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eastAsia" w:ascii="宋体" w:hAnsi="宋体" w:eastAsia="宋体" w:cs="宋体"/>
                <w:sz w:val="18"/>
                <w:szCs w:val="18"/>
                <w:vertAlign w:val="baseline"/>
                <w:lang w:val="en-US" w:eastAsia="zh-CN"/>
              </w:rPr>
            </w:pPr>
          </w:p>
        </w:tc>
        <w:tc>
          <w:tcPr>
            <w:tcW w:w="561" w:type="pct"/>
            <w:noWrap w:val="0"/>
            <w:tcMar>
              <w:top w:w="0" w:type="dxa"/>
              <w:left w:w="0" w:type="dxa"/>
              <w:bottom w:w="0" w:type="dxa"/>
              <w:right w:w="0" w:type="dxa"/>
            </w:tcMar>
            <w:vAlign w:val="center"/>
          </w:tcPr>
          <w:p w14:paraId="409D8A0F">
            <w:pPr>
              <w:keepNext w:val="0"/>
              <w:keepLines w:val="0"/>
              <w:pageBreakBefore w:val="0"/>
              <w:widowControl w:val="0"/>
              <w:kinsoku/>
              <w:wordWrap/>
              <w:overflowPunct/>
              <w:topLinePunct w:val="0"/>
              <w:autoSpaceDE/>
              <w:autoSpaceDN/>
              <w:bidi w:val="0"/>
              <w:adjustRightInd/>
              <w:snapToGrid/>
              <w:spacing w:line="22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sz w:val="18"/>
                <w:szCs w:val="18"/>
                <w:vertAlign w:val="baseline"/>
                <w:lang w:val="en-US" w:eastAsia="zh-CN"/>
              </w:rPr>
              <w:t>造成特别重大安全事故</w:t>
            </w:r>
          </w:p>
        </w:tc>
        <w:tc>
          <w:tcPr>
            <w:tcW w:w="873" w:type="pct"/>
            <w:noWrap w:val="0"/>
            <w:tcMar>
              <w:top w:w="0" w:type="dxa"/>
              <w:left w:w="0" w:type="dxa"/>
              <w:bottom w:w="0" w:type="dxa"/>
              <w:right w:w="0" w:type="dxa"/>
            </w:tcMar>
            <w:vAlign w:val="center"/>
          </w:tcPr>
          <w:p w14:paraId="23E74D91">
            <w:pPr>
              <w:keepNext w:val="0"/>
              <w:keepLines w:val="0"/>
              <w:pageBreakBefore w:val="0"/>
              <w:widowControl w:val="0"/>
              <w:kinsoku/>
              <w:wordWrap/>
              <w:overflowPunct/>
              <w:topLinePunct w:val="0"/>
              <w:autoSpaceDE/>
              <w:autoSpaceDN/>
              <w:bidi w:val="0"/>
              <w:adjustRightInd/>
              <w:snapToGrid/>
              <w:spacing w:line="22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处30万元的罚款；吊销资质证书；涉及危大工程的，暂扣安全生产许可证30日，对直接负责的主管人员和其他直接责任人员处5000元的罚款</w:t>
            </w:r>
          </w:p>
        </w:tc>
        <w:tc>
          <w:tcPr>
            <w:tcW w:w="158" w:type="pct"/>
            <w:vMerge w:val="continue"/>
            <w:noWrap w:val="0"/>
            <w:tcMar>
              <w:top w:w="0" w:type="dxa"/>
              <w:left w:w="0" w:type="dxa"/>
              <w:bottom w:w="0" w:type="dxa"/>
              <w:right w:w="0" w:type="dxa"/>
            </w:tcMar>
            <w:vAlign w:val="center"/>
          </w:tcPr>
          <w:p w14:paraId="39ED1EA0">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7B96DF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restart"/>
            <w:noWrap w:val="0"/>
            <w:tcMar>
              <w:top w:w="0" w:type="dxa"/>
              <w:left w:w="0" w:type="dxa"/>
              <w:bottom w:w="0" w:type="dxa"/>
              <w:right w:w="0" w:type="dxa"/>
            </w:tcMar>
            <w:vAlign w:val="center"/>
          </w:tcPr>
          <w:p w14:paraId="37B93E3B">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r>
              <w:rPr>
                <w:rFonts w:hint="eastAsia" w:ascii="宋体" w:hAnsi="宋体" w:eastAsia="宋体" w:cs="宋体"/>
                <w:color w:val="000000"/>
                <w:sz w:val="18"/>
                <w:szCs w:val="18"/>
                <w:shd w:val="clear" w:color="auto" w:fill="auto"/>
                <w:vertAlign w:val="baseline"/>
                <w:lang w:val="en-US" w:eastAsia="zh-CN"/>
              </w:rPr>
              <w:t>118</w:t>
            </w:r>
          </w:p>
        </w:tc>
        <w:tc>
          <w:tcPr>
            <w:tcW w:w="415" w:type="pct"/>
            <w:vMerge w:val="restart"/>
            <w:noWrap w:val="0"/>
            <w:tcMar>
              <w:top w:w="0" w:type="dxa"/>
              <w:left w:w="0" w:type="dxa"/>
              <w:bottom w:w="0" w:type="dxa"/>
              <w:right w:w="0" w:type="dxa"/>
            </w:tcMar>
            <w:vAlign w:val="center"/>
          </w:tcPr>
          <w:p w14:paraId="1B2CF591">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对水利领域施工单位取得资质证书后，降低安全生产条件行为的行政处罚</w:t>
            </w:r>
          </w:p>
        </w:tc>
        <w:tc>
          <w:tcPr>
            <w:tcW w:w="2168" w:type="pct"/>
            <w:vMerge w:val="restart"/>
            <w:noWrap w:val="0"/>
            <w:tcMar>
              <w:top w:w="0" w:type="dxa"/>
              <w:left w:w="0" w:type="dxa"/>
              <w:bottom w:w="0" w:type="dxa"/>
              <w:right w:w="0" w:type="dxa"/>
            </w:tcMar>
            <w:vAlign w:val="center"/>
          </w:tcPr>
          <w:p w14:paraId="592DB75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《建设工程安全生产管理条例》第六十七条 施工单位取得资质证书后，降低安全生产条件的，责令限期改正；经整改仍未达到与其资质等级相适应的安全生产条件的，责令停业整顿，降低其资质等级直至吊销资质证书。</w:t>
            </w:r>
          </w:p>
        </w:tc>
        <w:tc>
          <w:tcPr>
            <w:tcW w:w="491" w:type="pct"/>
            <w:vMerge w:val="restart"/>
            <w:noWrap w:val="0"/>
            <w:tcMar>
              <w:top w:w="0" w:type="dxa"/>
              <w:left w:w="0" w:type="dxa"/>
              <w:bottom w:w="0" w:type="dxa"/>
              <w:right w:w="0" w:type="dxa"/>
            </w:tcMar>
            <w:vAlign w:val="center"/>
          </w:tcPr>
          <w:p w14:paraId="6589143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水利领域施工单位取得资质证书后，降低安全生产条件的</w:t>
            </w:r>
          </w:p>
        </w:tc>
        <w:tc>
          <w:tcPr>
            <w:tcW w:w="174" w:type="pct"/>
            <w:noWrap w:val="0"/>
            <w:tcMar>
              <w:top w:w="0" w:type="dxa"/>
              <w:left w:w="0" w:type="dxa"/>
              <w:bottom w:w="0" w:type="dxa"/>
              <w:right w:w="0" w:type="dxa"/>
            </w:tcMar>
            <w:vAlign w:val="center"/>
          </w:tcPr>
          <w:p w14:paraId="0D2E709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轻微</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215F10EC">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10650256">
            <w:pPr>
              <w:spacing w:line="260" w:lineRule="exact"/>
              <w:rPr>
                <w:rFonts w:hint="eastAsia" w:ascii="宋体" w:hAnsi="宋体" w:eastAsia="宋体" w:cs="宋体"/>
                <w:color w:val="000000"/>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37D8F16E">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53D72807">
            <w:pPr>
              <w:spacing w:line="260" w:lineRule="exact"/>
              <w:rPr>
                <w:rFonts w:hint="eastAsia" w:ascii="宋体" w:hAnsi="宋体" w:eastAsia="宋体" w:cs="宋体"/>
                <w:color w:val="000000"/>
                <w:kern w:val="2"/>
                <w:sz w:val="18"/>
                <w:szCs w:val="18"/>
                <w:vertAlign w:val="baseline"/>
                <w:lang w:val="en-US" w:eastAsia="zh-CN" w:bidi="ar-SA"/>
              </w:rPr>
            </w:pPr>
          </w:p>
        </w:tc>
        <w:tc>
          <w:tcPr>
            <w:tcW w:w="158" w:type="pct"/>
            <w:vMerge w:val="restart"/>
            <w:noWrap w:val="0"/>
            <w:tcMar>
              <w:top w:w="0" w:type="dxa"/>
              <w:left w:w="0" w:type="dxa"/>
              <w:bottom w:w="0" w:type="dxa"/>
              <w:right w:w="0" w:type="dxa"/>
            </w:tcMar>
            <w:vAlign w:val="center"/>
          </w:tcPr>
          <w:p w14:paraId="201286F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4D60D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15699C3D">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5E122227">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120F6B2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7D2A4A9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1AA81D9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较轻</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25DA8385">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29B7487C">
            <w:pPr>
              <w:spacing w:line="260" w:lineRule="exact"/>
              <w:rPr>
                <w:rFonts w:hint="eastAsia" w:ascii="宋体" w:hAnsi="宋体" w:eastAsia="宋体" w:cs="宋体"/>
                <w:color w:val="000000"/>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55C0834A">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51C5629B">
            <w:pPr>
              <w:spacing w:line="260" w:lineRule="exact"/>
              <w:rPr>
                <w:rFonts w:hint="eastAsia" w:ascii="宋体" w:hAnsi="宋体" w:eastAsia="宋体" w:cs="宋体"/>
                <w:color w:val="000000"/>
                <w:kern w:val="2"/>
                <w:sz w:val="18"/>
                <w:szCs w:val="18"/>
                <w:vertAlign w:val="baseline"/>
                <w:lang w:val="en-US" w:eastAsia="zh-CN" w:bidi="ar-SA"/>
              </w:rPr>
            </w:pPr>
          </w:p>
        </w:tc>
        <w:tc>
          <w:tcPr>
            <w:tcW w:w="158" w:type="pct"/>
            <w:vMerge w:val="continue"/>
            <w:noWrap w:val="0"/>
            <w:tcMar>
              <w:top w:w="0" w:type="dxa"/>
              <w:left w:w="0" w:type="dxa"/>
              <w:bottom w:w="0" w:type="dxa"/>
              <w:right w:w="0" w:type="dxa"/>
            </w:tcMar>
            <w:vAlign w:val="center"/>
          </w:tcPr>
          <w:p w14:paraId="681C5911">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578614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69" w:hRule="atLeast"/>
          <w:jc w:val="center"/>
        </w:trPr>
        <w:tc>
          <w:tcPr>
            <w:tcW w:w="156" w:type="pct"/>
            <w:vMerge w:val="continue"/>
            <w:noWrap w:val="0"/>
            <w:tcMar>
              <w:top w:w="0" w:type="dxa"/>
              <w:left w:w="0" w:type="dxa"/>
              <w:bottom w:w="0" w:type="dxa"/>
              <w:right w:w="0" w:type="dxa"/>
            </w:tcMar>
            <w:vAlign w:val="center"/>
          </w:tcPr>
          <w:p w14:paraId="6803346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572C8207">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582FF48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5B7158B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149E7C1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一般</w:t>
            </w:r>
          </w:p>
        </w:tc>
        <w:tc>
          <w:tcPr>
            <w:tcW w:w="561" w:type="pct"/>
            <w:noWrap w:val="0"/>
            <w:tcMar>
              <w:top w:w="0" w:type="dxa"/>
              <w:left w:w="0" w:type="dxa"/>
              <w:bottom w:w="0" w:type="dxa"/>
              <w:right w:w="0" w:type="dxa"/>
            </w:tcMar>
            <w:vAlign w:val="center"/>
          </w:tcPr>
          <w:p w14:paraId="604090BA">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sz w:val="18"/>
                <w:szCs w:val="18"/>
                <w:vertAlign w:val="baseline"/>
              </w:rPr>
              <w:t>经整改未达到与其资质等级相适应的安全生产条件</w:t>
            </w:r>
          </w:p>
        </w:tc>
        <w:tc>
          <w:tcPr>
            <w:tcW w:w="873" w:type="pct"/>
            <w:noWrap w:val="0"/>
            <w:tcMar>
              <w:top w:w="0" w:type="dxa"/>
              <w:left w:w="0" w:type="dxa"/>
              <w:bottom w:w="0" w:type="dxa"/>
              <w:right w:w="0" w:type="dxa"/>
            </w:tcMar>
            <w:vAlign w:val="center"/>
          </w:tcPr>
          <w:p w14:paraId="3234DD54">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责令停业整顿，直至符合安全生产条件</w:t>
            </w:r>
          </w:p>
        </w:tc>
        <w:tc>
          <w:tcPr>
            <w:tcW w:w="158" w:type="pct"/>
            <w:vMerge w:val="continue"/>
            <w:noWrap w:val="0"/>
            <w:tcMar>
              <w:top w:w="0" w:type="dxa"/>
              <w:left w:w="0" w:type="dxa"/>
              <w:bottom w:w="0" w:type="dxa"/>
              <w:right w:w="0" w:type="dxa"/>
            </w:tcMar>
            <w:vAlign w:val="center"/>
          </w:tcPr>
          <w:p w14:paraId="68FD4E1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6D8576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784" w:hRule="atLeast"/>
          <w:jc w:val="center"/>
        </w:trPr>
        <w:tc>
          <w:tcPr>
            <w:tcW w:w="156" w:type="pct"/>
            <w:vMerge w:val="continue"/>
            <w:noWrap w:val="0"/>
            <w:tcMar>
              <w:top w:w="0" w:type="dxa"/>
              <w:left w:w="0" w:type="dxa"/>
              <w:bottom w:w="0" w:type="dxa"/>
              <w:right w:w="0" w:type="dxa"/>
            </w:tcMar>
            <w:vAlign w:val="center"/>
          </w:tcPr>
          <w:p w14:paraId="2DA9E4A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2F603DCA">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1B7FB20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0A4FB017">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4329277D">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较重</w:t>
            </w:r>
          </w:p>
        </w:tc>
        <w:tc>
          <w:tcPr>
            <w:tcW w:w="561" w:type="pct"/>
            <w:noWrap w:val="0"/>
            <w:tcMar>
              <w:top w:w="0" w:type="dxa"/>
              <w:left w:w="0" w:type="dxa"/>
              <w:bottom w:w="0" w:type="dxa"/>
              <w:right w:w="0" w:type="dxa"/>
            </w:tcMar>
            <w:vAlign w:val="center"/>
          </w:tcPr>
          <w:p w14:paraId="535106F5">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造成多于3人少于5人死亡；或者多于10人少于20人重伤；或者多于1000万元少于2000万元直接经济损失</w:t>
            </w:r>
          </w:p>
        </w:tc>
        <w:tc>
          <w:tcPr>
            <w:tcW w:w="873" w:type="pct"/>
            <w:noWrap w:val="0"/>
            <w:tcMar>
              <w:top w:w="0" w:type="dxa"/>
              <w:left w:w="0" w:type="dxa"/>
              <w:bottom w:w="0" w:type="dxa"/>
              <w:right w:w="0" w:type="dxa"/>
            </w:tcMar>
            <w:vAlign w:val="center"/>
          </w:tcPr>
          <w:p w14:paraId="20517FDC">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责令停业整顿60-90日</w:t>
            </w:r>
          </w:p>
        </w:tc>
        <w:tc>
          <w:tcPr>
            <w:tcW w:w="158" w:type="pct"/>
            <w:vMerge w:val="continue"/>
            <w:noWrap w:val="0"/>
            <w:tcMar>
              <w:top w:w="0" w:type="dxa"/>
              <w:left w:w="0" w:type="dxa"/>
              <w:bottom w:w="0" w:type="dxa"/>
              <w:right w:w="0" w:type="dxa"/>
            </w:tcMar>
            <w:vAlign w:val="center"/>
          </w:tcPr>
          <w:p w14:paraId="3C6BF39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6B9B85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888" w:hRule="atLeast"/>
          <w:jc w:val="center"/>
        </w:trPr>
        <w:tc>
          <w:tcPr>
            <w:tcW w:w="156" w:type="pct"/>
            <w:vMerge w:val="continue"/>
            <w:noWrap w:val="0"/>
            <w:tcMar>
              <w:top w:w="0" w:type="dxa"/>
              <w:left w:w="0" w:type="dxa"/>
              <w:bottom w:w="0" w:type="dxa"/>
              <w:right w:w="0" w:type="dxa"/>
            </w:tcMar>
            <w:vAlign w:val="center"/>
          </w:tcPr>
          <w:p w14:paraId="4039C441">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default"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6D7B57D7">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33BC3FB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restart"/>
            <w:noWrap w:val="0"/>
            <w:tcMar>
              <w:top w:w="0" w:type="dxa"/>
              <w:left w:w="0" w:type="dxa"/>
              <w:bottom w:w="0" w:type="dxa"/>
              <w:right w:w="0" w:type="dxa"/>
            </w:tcMar>
            <w:vAlign w:val="center"/>
          </w:tcPr>
          <w:p w14:paraId="2D7CEA7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水利领域施工单位取得资质证书后，降低安全生产条件的</w:t>
            </w:r>
          </w:p>
        </w:tc>
        <w:tc>
          <w:tcPr>
            <w:tcW w:w="174" w:type="pct"/>
            <w:vMerge w:val="restart"/>
            <w:noWrap w:val="0"/>
            <w:tcMar>
              <w:top w:w="0" w:type="dxa"/>
              <w:left w:w="0" w:type="dxa"/>
              <w:bottom w:w="0" w:type="dxa"/>
              <w:right w:w="0" w:type="dxa"/>
            </w:tcMar>
            <w:vAlign w:val="center"/>
          </w:tcPr>
          <w:p w14:paraId="43742449">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r>
              <w:rPr>
                <w:rFonts w:hint="eastAsia" w:ascii="宋体" w:hAnsi="宋体" w:eastAsia="宋体" w:cs="宋体"/>
                <w:sz w:val="18"/>
                <w:szCs w:val="18"/>
                <w:vertAlign w:val="baseline"/>
                <w:lang w:val="en-US" w:eastAsia="zh-CN"/>
              </w:rPr>
              <w:t>较重</w:t>
            </w:r>
          </w:p>
        </w:tc>
        <w:tc>
          <w:tcPr>
            <w:tcW w:w="561" w:type="pct"/>
            <w:noWrap w:val="0"/>
            <w:tcMar>
              <w:top w:w="0" w:type="dxa"/>
              <w:left w:w="0" w:type="dxa"/>
              <w:bottom w:w="0" w:type="dxa"/>
              <w:right w:w="0" w:type="dxa"/>
            </w:tcMar>
            <w:vAlign w:val="center"/>
          </w:tcPr>
          <w:p w14:paraId="48F5D881">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造成多于5人少于7人死亡；或者多于20人少于30人重伤；或者多于2000万元少于3000万元直接经济损失</w:t>
            </w:r>
          </w:p>
        </w:tc>
        <w:tc>
          <w:tcPr>
            <w:tcW w:w="873" w:type="pct"/>
            <w:noWrap w:val="0"/>
            <w:tcMar>
              <w:top w:w="0" w:type="dxa"/>
              <w:left w:w="0" w:type="dxa"/>
              <w:bottom w:w="0" w:type="dxa"/>
              <w:right w:w="0" w:type="dxa"/>
            </w:tcMar>
            <w:vAlign w:val="center"/>
          </w:tcPr>
          <w:p w14:paraId="73A8BFF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责令停业整顿90-120日</w:t>
            </w:r>
          </w:p>
        </w:tc>
        <w:tc>
          <w:tcPr>
            <w:tcW w:w="158" w:type="pct"/>
            <w:vMerge w:val="continue"/>
            <w:noWrap w:val="0"/>
            <w:tcMar>
              <w:top w:w="0" w:type="dxa"/>
              <w:left w:w="0" w:type="dxa"/>
              <w:bottom w:w="0" w:type="dxa"/>
              <w:right w:w="0" w:type="dxa"/>
            </w:tcMar>
            <w:vAlign w:val="center"/>
          </w:tcPr>
          <w:p w14:paraId="6679E335">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61921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498EC6A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346A30B3">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3C38212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712CABB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vMerge w:val="continue"/>
            <w:noWrap w:val="0"/>
            <w:tcMar>
              <w:top w:w="0" w:type="dxa"/>
              <w:left w:w="0" w:type="dxa"/>
              <w:bottom w:w="0" w:type="dxa"/>
              <w:right w:w="0" w:type="dxa"/>
            </w:tcMar>
            <w:vAlign w:val="center"/>
          </w:tcPr>
          <w:p w14:paraId="28C891D0">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p>
        </w:tc>
        <w:tc>
          <w:tcPr>
            <w:tcW w:w="561" w:type="pct"/>
            <w:noWrap w:val="0"/>
            <w:tcMar>
              <w:top w:w="0" w:type="dxa"/>
              <w:left w:w="0" w:type="dxa"/>
              <w:bottom w:w="0" w:type="dxa"/>
              <w:right w:w="0" w:type="dxa"/>
            </w:tcMar>
            <w:vAlign w:val="center"/>
          </w:tcPr>
          <w:p w14:paraId="4C9D2C92">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造成多于7人少于10人死亡；或者多于30人少于50人重伤；或者多于3000万元少于5000万元直接经济损失</w:t>
            </w:r>
          </w:p>
        </w:tc>
        <w:tc>
          <w:tcPr>
            <w:tcW w:w="873" w:type="pct"/>
            <w:noWrap w:val="0"/>
            <w:tcMar>
              <w:top w:w="0" w:type="dxa"/>
              <w:left w:w="0" w:type="dxa"/>
              <w:bottom w:w="0" w:type="dxa"/>
              <w:right w:w="0" w:type="dxa"/>
            </w:tcMar>
            <w:vAlign w:val="center"/>
          </w:tcPr>
          <w:p w14:paraId="33F4180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责令停业整顿120-180日</w:t>
            </w:r>
          </w:p>
        </w:tc>
        <w:tc>
          <w:tcPr>
            <w:tcW w:w="158" w:type="pct"/>
            <w:vMerge w:val="continue"/>
            <w:noWrap w:val="0"/>
            <w:tcMar>
              <w:top w:w="0" w:type="dxa"/>
              <w:left w:w="0" w:type="dxa"/>
              <w:bottom w:w="0" w:type="dxa"/>
              <w:right w:w="0" w:type="dxa"/>
            </w:tcMar>
            <w:vAlign w:val="center"/>
          </w:tcPr>
          <w:p w14:paraId="5309E48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4A8659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5E9F6D9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0D5C228D">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4D5EAFD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11B55AA7">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vMerge w:val="restart"/>
            <w:noWrap w:val="0"/>
            <w:tcMar>
              <w:top w:w="0" w:type="dxa"/>
              <w:left w:w="0" w:type="dxa"/>
              <w:bottom w:w="0" w:type="dxa"/>
              <w:right w:w="0" w:type="dxa"/>
            </w:tcMar>
            <w:vAlign w:val="center"/>
          </w:tcPr>
          <w:p w14:paraId="694C642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严重</w:t>
            </w:r>
          </w:p>
        </w:tc>
        <w:tc>
          <w:tcPr>
            <w:tcW w:w="561" w:type="pct"/>
            <w:noWrap w:val="0"/>
            <w:tcMar>
              <w:top w:w="0" w:type="dxa"/>
              <w:left w:w="0" w:type="dxa"/>
              <w:bottom w:w="0" w:type="dxa"/>
              <w:right w:w="0" w:type="dxa"/>
            </w:tcMar>
            <w:vAlign w:val="center"/>
          </w:tcPr>
          <w:p w14:paraId="255AEAE0">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造成重大安全事故</w:t>
            </w:r>
          </w:p>
        </w:tc>
        <w:tc>
          <w:tcPr>
            <w:tcW w:w="873" w:type="pct"/>
            <w:noWrap w:val="0"/>
            <w:tcMar>
              <w:top w:w="0" w:type="dxa"/>
              <w:left w:w="0" w:type="dxa"/>
              <w:bottom w:w="0" w:type="dxa"/>
              <w:right w:w="0" w:type="dxa"/>
            </w:tcMar>
            <w:vAlign w:val="center"/>
          </w:tcPr>
          <w:p w14:paraId="4467BCB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降低资质等级</w:t>
            </w:r>
          </w:p>
        </w:tc>
        <w:tc>
          <w:tcPr>
            <w:tcW w:w="158" w:type="pct"/>
            <w:vMerge w:val="continue"/>
            <w:noWrap w:val="0"/>
            <w:tcMar>
              <w:top w:w="0" w:type="dxa"/>
              <w:left w:w="0" w:type="dxa"/>
              <w:bottom w:w="0" w:type="dxa"/>
              <w:right w:w="0" w:type="dxa"/>
            </w:tcMar>
            <w:vAlign w:val="center"/>
          </w:tcPr>
          <w:p w14:paraId="7F4B8B5C">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0C9D64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7D8BF31C">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2BE20D0D">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4641E46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57373A97">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vMerge w:val="continue"/>
            <w:noWrap w:val="0"/>
            <w:tcMar>
              <w:top w:w="0" w:type="dxa"/>
              <w:left w:w="0" w:type="dxa"/>
              <w:bottom w:w="0" w:type="dxa"/>
              <w:right w:w="0" w:type="dxa"/>
            </w:tcMar>
            <w:vAlign w:val="center"/>
          </w:tcPr>
          <w:p w14:paraId="63B97728">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vertAlign w:val="baseline"/>
                <w:lang w:val="en-US" w:eastAsia="zh-CN"/>
              </w:rPr>
            </w:pPr>
          </w:p>
        </w:tc>
        <w:tc>
          <w:tcPr>
            <w:tcW w:w="561" w:type="pct"/>
            <w:noWrap w:val="0"/>
            <w:tcMar>
              <w:top w:w="0" w:type="dxa"/>
              <w:left w:w="0" w:type="dxa"/>
              <w:bottom w:w="0" w:type="dxa"/>
              <w:right w:w="0" w:type="dxa"/>
            </w:tcMar>
            <w:vAlign w:val="center"/>
          </w:tcPr>
          <w:p w14:paraId="480F3F97">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造成特别重大安全事故</w:t>
            </w:r>
          </w:p>
        </w:tc>
        <w:tc>
          <w:tcPr>
            <w:tcW w:w="873" w:type="pct"/>
            <w:noWrap w:val="0"/>
            <w:tcMar>
              <w:top w:w="0" w:type="dxa"/>
              <w:left w:w="0" w:type="dxa"/>
              <w:bottom w:w="0" w:type="dxa"/>
              <w:right w:w="0" w:type="dxa"/>
            </w:tcMar>
            <w:vAlign w:val="center"/>
          </w:tcPr>
          <w:p w14:paraId="2A46B8D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吊销资质证书</w:t>
            </w:r>
          </w:p>
        </w:tc>
        <w:tc>
          <w:tcPr>
            <w:tcW w:w="158" w:type="pct"/>
            <w:vMerge w:val="continue"/>
            <w:noWrap w:val="0"/>
            <w:tcMar>
              <w:top w:w="0" w:type="dxa"/>
              <w:left w:w="0" w:type="dxa"/>
              <w:bottom w:w="0" w:type="dxa"/>
              <w:right w:w="0" w:type="dxa"/>
            </w:tcMar>
            <w:vAlign w:val="center"/>
          </w:tcPr>
          <w:p w14:paraId="24F3133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1A50E0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823" w:hRule="atLeast"/>
          <w:jc w:val="center"/>
        </w:trPr>
        <w:tc>
          <w:tcPr>
            <w:tcW w:w="156" w:type="pct"/>
            <w:vMerge w:val="restart"/>
            <w:noWrap w:val="0"/>
            <w:tcMar>
              <w:top w:w="0" w:type="dxa"/>
              <w:left w:w="0" w:type="dxa"/>
              <w:bottom w:w="0" w:type="dxa"/>
              <w:right w:w="0" w:type="dxa"/>
            </w:tcMar>
            <w:vAlign w:val="center"/>
          </w:tcPr>
          <w:p w14:paraId="6D39AF1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r>
              <w:rPr>
                <w:rFonts w:hint="eastAsia" w:ascii="宋体" w:hAnsi="宋体" w:eastAsia="宋体" w:cs="宋体"/>
                <w:color w:val="000000"/>
                <w:sz w:val="18"/>
                <w:szCs w:val="18"/>
                <w:shd w:val="clear" w:color="auto" w:fill="auto"/>
                <w:vertAlign w:val="baseline"/>
                <w:lang w:val="en-US" w:eastAsia="zh-CN"/>
              </w:rPr>
              <w:t>119</w:t>
            </w:r>
          </w:p>
        </w:tc>
        <w:tc>
          <w:tcPr>
            <w:tcW w:w="415" w:type="pct"/>
            <w:vMerge w:val="restart"/>
            <w:noWrap w:val="0"/>
            <w:tcMar>
              <w:top w:w="0" w:type="dxa"/>
              <w:left w:w="0" w:type="dxa"/>
              <w:bottom w:w="0" w:type="dxa"/>
              <w:right w:w="0" w:type="dxa"/>
            </w:tcMar>
            <w:vAlign w:val="center"/>
          </w:tcPr>
          <w:p w14:paraId="308F9AAE">
            <w:pPr>
              <w:keepNext w:val="0"/>
              <w:keepLines w:val="0"/>
              <w:pageBreakBefore w:val="0"/>
              <w:widowControl w:val="0"/>
              <w:shd w:val="clear" w:color="auto" w:fill="auto"/>
              <w:kinsoku/>
              <w:wordWrap/>
              <w:overflowPunct/>
              <w:topLinePunct w:val="0"/>
              <w:autoSpaceDE/>
              <w:autoSpaceDN/>
              <w:bidi w:val="0"/>
              <w:adjustRightInd/>
              <w:snapToGrid/>
              <w:spacing w:line="30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对水利领域必须进行招标的项目而不招标的，将必须进行招标的项目化整为零或者以其他任何方式规避招标行为的行政处罚</w:t>
            </w:r>
          </w:p>
        </w:tc>
        <w:tc>
          <w:tcPr>
            <w:tcW w:w="2168" w:type="pct"/>
            <w:vMerge w:val="restart"/>
            <w:noWrap w:val="0"/>
            <w:tcMar>
              <w:top w:w="0" w:type="dxa"/>
              <w:left w:w="0" w:type="dxa"/>
              <w:bottom w:w="0" w:type="dxa"/>
              <w:right w:w="0" w:type="dxa"/>
            </w:tcMar>
            <w:vAlign w:val="center"/>
          </w:tcPr>
          <w:p w14:paraId="4E6FB896">
            <w:pPr>
              <w:keepNext w:val="0"/>
              <w:keepLines w:val="0"/>
              <w:pageBreakBefore w:val="0"/>
              <w:widowControl w:val="0"/>
              <w:kinsoku/>
              <w:wordWrap/>
              <w:overflowPunct/>
              <w:topLinePunct w:val="0"/>
              <w:autoSpaceDE/>
              <w:autoSpaceDN/>
              <w:bidi w:val="0"/>
              <w:adjustRightInd/>
              <w:snapToGrid/>
              <w:spacing w:line="30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《中华人民共和国招标投标法》第四十九条 违反本法规定，必须进行招标的项目而不招标的，将必须进行招标的项目化整为零或者以其他任何方式规避招标的，责令限期改正，可以处项目合同金额千分之五以上千分之十以下的罚款；对全部或者部分使用国有资金的项目，可以暂停项目执行或者暂停资金拨付；对单位直接负责的主管人员和其他直接责任人员依法给予处分。</w:t>
            </w:r>
          </w:p>
          <w:p w14:paraId="67CA423A">
            <w:pPr>
              <w:keepNext w:val="0"/>
              <w:keepLines w:val="0"/>
              <w:pageBreakBefore w:val="0"/>
              <w:widowControl w:val="0"/>
              <w:kinsoku/>
              <w:wordWrap/>
              <w:overflowPunct/>
              <w:topLinePunct w:val="0"/>
              <w:autoSpaceDE/>
              <w:autoSpaceDN/>
              <w:bidi w:val="0"/>
              <w:adjustRightInd/>
              <w:snapToGrid/>
              <w:spacing w:line="30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《中华人民共和国招标投标法实施条例》第六十三条第二款 依法必须进行招标的项目的招标人不按照规定发布资格预审公告或者招标公告，构成规避招标的，依照招标投标法第四十九条的规定处罚。</w:t>
            </w:r>
          </w:p>
          <w:p w14:paraId="29EF4170">
            <w:pPr>
              <w:keepNext w:val="0"/>
              <w:keepLines w:val="0"/>
              <w:pageBreakBefore w:val="0"/>
              <w:widowControl w:val="0"/>
              <w:kinsoku/>
              <w:wordWrap/>
              <w:overflowPunct/>
              <w:topLinePunct w:val="0"/>
              <w:autoSpaceDE/>
              <w:autoSpaceDN/>
              <w:bidi w:val="0"/>
              <w:adjustRightInd/>
              <w:snapToGrid/>
              <w:spacing w:line="30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《工程建设项目施工招标投标办法》第六十八条 依法必须进行招标的项目而不招标的，将必须进行招标的项目化整为零或者以其他任何方式规避招标的，有关行政监督部门责令限期改正，可以处项目合同金额千分之五以上千分之十以下的罚款；对全部或者部分使用国有资金的项目，项目审批部门可以暂停项目执行或者暂停资金拨付；对单位直接负责的主管人员和其他直接责任人员依法给予处分。</w:t>
            </w:r>
          </w:p>
        </w:tc>
        <w:tc>
          <w:tcPr>
            <w:tcW w:w="491" w:type="pct"/>
            <w:vMerge w:val="restart"/>
            <w:noWrap w:val="0"/>
            <w:tcMar>
              <w:top w:w="0" w:type="dxa"/>
              <w:left w:w="0" w:type="dxa"/>
              <w:bottom w:w="0" w:type="dxa"/>
              <w:right w:w="0" w:type="dxa"/>
            </w:tcMar>
            <w:vAlign w:val="center"/>
          </w:tcPr>
          <w:p w14:paraId="2FC5F3C5">
            <w:pPr>
              <w:keepNext w:val="0"/>
              <w:keepLines w:val="0"/>
              <w:pageBreakBefore w:val="0"/>
              <w:widowControl w:val="0"/>
              <w:kinsoku/>
              <w:wordWrap/>
              <w:overflowPunct/>
              <w:topLinePunct w:val="0"/>
              <w:autoSpaceDE/>
              <w:autoSpaceDN/>
              <w:bidi w:val="0"/>
              <w:adjustRightInd/>
              <w:snapToGrid/>
              <w:spacing w:line="30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水利领域必须进行招标的项目而不招标的，将必须进行招标的项目化整为零或者以其他任何方式规避招标的</w:t>
            </w:r>
          </w:p>
        </w:tc>
        <w:tc>
          <w:tcPr>
            <w:tcW w:w="174" w:type="pct"/>
            <w:noWrap w:val="0"/>
            <w:tcMar>
              <w:top w:w="0" w:type="dxa"/>
              <w:left w:w="0" w:type="dxa"/>
              <w:bottom w:w="0" w:type="dxa"/>
              <w:right w:w="0" w:type="dxa"/>
            </w:tcMar>
            <w:vAlign w:val="center"/>
          </w:tcPr>
          <w:p w14:paraId="79D30F20">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轻微</w:t>
            </w:r>
          </w:p>
        </w:tc>
        <w:tc>
          <w:tcPr>
            <w:tcW w:w="561" w:type="pct"/>
            <w:noWrap w:val="0"/>
            <w:tcMar>
              <w:top w:w="0" w:type="dxa"/>
              <w:left w:w="0" w:type="dxa"/>
              <w:bottom w:w="0" w:type="dxa"/>
              <w:right w:w="0" w:type="dxa"/>
            </w:tcMar>
            <w:vAlign w:val="center"/>
          </w:tcPr>
          <w:p w14:paraId="35DEF8F4">
            <w:pPr>
              <w:keepNext w:val="0"/>
              <w:keepLines w:val="0"/>
              <w:pageBreakBefore w:val="0"/>
              <w:widowControl w:val="0"/>
              <w:kinsoku/>
              <w:wordWrap/>
              <w:overflowPunct/>
              <w:topLinePunct w:val="0"/>
              <w:autoSpaceDE/>
              <w:autoSpaceDN/>
              <w:bidi w:val="0"/>
              <w:adjustRightInd/>
              <w:snapToGrid/>
              <w:spacing w:line="300" w:lineRule="exact"/>
              <w:jc w:val="both"/>
              <w:textAlignment w:val="auto"/>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t>及时改正，且没有造成危害后果的</w:t>
            </w:r>
          </w:p>
        </w:tc>
        <w:tc>
          <w:tcPr>
            <w:tcW w:w="873" w:type="pct"/>
            <w:noWrap w:val="0"/>
            <w:tcMar>
              <w:top w:w="0" w:type="dxa"/>
              <w:left w:w="0" w:type="dxa"/>
              <w:bottom w:w="0" w:type="dxa"/>
              <w:right w:w="0" w:type="dxa"/>
            </w:tcMar>
            <w:vAlign w:val="center"/>
          </w:tcPr>
          <w:p w14:paraId="51BC4B8C">
            <w:pPr>
              <w:keepNext w:val="0"/>
              <w:keepLines w:val="0"/>
              <w:pageBreakBefore w:val="0"/>
              <w:widowControl w:val="0"/>
              <w:kinsoku/>
              <w:wordWrap/>
              <w:overflowPunct/>
              <w:topLinePunct w:val="0"/>
              <w:autoSpaceDE/>
              <w:autoSpaceDN/>
              <w:bidi w:val="0"/>
              <w:adjustRightInd/>
              <w:snapToGrid/>
              <w:spacing w:line="300" w:lineRule="exact"/>
              <w:jc w:val="both"/>
              <w:textAlignment w:val="auto"/>
              <w:rPr>
                <w:rFonts w:hint="eastAsia" w:ascii="宋体" w:hAnsi="宋体" w:eastAsia="宋体" w:cs="宋体"/>
                <w:color w:val="000000"/>
                <w:kern w:val="2"/>
                <w:sz w:val="18"/>
                <w:szCs w:val="18"/>
                <w:highlight w:val="none"/>
                <w:vertAlign w:val="baseline"/>
                <w:lang w:val="en-US" w:eastAsia="zh-CN" w:bidi="ar-SA"/>
              </w:rPr>
            </w:pPr>
            <w:r>
              <w:rPr>
                <w:rFonts w:hint="eastAsia" w:ascii="宋体" w:hAnsi="宋体" w:eastAsia="宋体" w:cs="宋体"/>
                <w:color w:val="000000"/>
                <w:kern w:val="2"/>
                <w:sz w:val="18"/>
                <w:szCs w:val="18"/>
                <w:highlight w:val="none"/>
                <w:vertAlign w:val="baseline"/>
                <w:lang w:val="en-US" w:eastAsia="zh-CN" w:bidi="ar-SA"/>
              </w:rPr>
              <w:t>不予行政处罚</w:t>
            </w:r>
          </w:p>
        </w:tc>
        <w:tc>
          <w:tcPr>
            <w:tcW w:w="158" w:type="pct"/>
            <w:vMerge w:val="restart"/>
            <w:noWrap w:val="0"/>
            <w:tcMar>
              <w:top w:w="0" w:type="dxa"/>
              <w:left w:w="0" w:type="dxa"/>
              <w:bottom w:w="0" w:type="dxa"/>
              <w:right w:w="0" w:type="dxa"/>
            </w:tcMar>
            <w:vAlign w:val="center"/>
          </w:tcPr>
          <w:p w14:paraId="4B0781A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357B01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36EC8A9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74815308">
            <w:pPr>
              <w:keepNext w:val="0"/>
              <w:keepLines w:val="0"/>
              <w:pageBreakBefore w:val="0"/>
              <w:widowControl w:val="0"/>
              <w:shd w:val="clear" w:color="auto" w:fill="auto"/>
              <w:kinsoku/>
              <w:wordWrap/>
              <w:overflowPunct/>
              <w:topLinePunct w:val="0"/>
              <w:autoSpaceDE/>
              <w:autoSpaceDN/>
              <w:bidi w:val="0"/>
              <w:adjustRightInd/>
              <w:snapToGrid/>
              <w:spacing w:line="30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1EBF4DB3">
            <w:pPr>
              <w:keepNext w:val="0"/>
              <w:keepLines w:val="0"/>
              <w:pageBreakBefore w:val="0"/>
              <w:widowControl w:val="0"/>
              <w:kinsoku/>
              <w:wordWrap/>
              <w:overflowPunct/>
              <w:topLinePunct w:val="0"/>
              <w:autoSpaceDE/>
              <w:autoSpaceDN/>
              <w:bidi w:val="0"/>
              <w:adjustRightInd/>
              <w:snapToGrid/>
              <w:spacing w:line="30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60A86683">
            <w:pPr>
              <w:keepNext w:val="0"/>
              <w:keepLines w:val="0"/>
              <w:pageBreakBefore w:val="0"/>
              <w:widowControl w:val="0"/>
              <w:kinsoku/>
              <w:wordWrap/>
              <w:overflowPunct/>
              <w:topLinePunct w:val="0"/>
              <w:autoSpaceDE/>
              <w:autoSpaceDN/>
              <w:bidi w:val="0"/>
              <w:adjustRightInd/>
              <w:snapToGrid/>
              <w:spacing w:line="30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375304E6">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较轻</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6EFF5412">
            <w:pPr>
              <w:snapToGrid/>
              <w:spacing w:line="30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229BCB40">
            <w:pPr>
              <w:spacing w:line="300" w:lineRule="exact"/>
              <w:rPr>
                <w:rFonts w:hint="eastAsia" w:ascii="宋体" w:hAnsi="宋体" w:eastAsia="宋体" w:cs="宋体"/>
                <w:color w:val="000000"/>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73503A99">
            <w:pPr>
              <w:snapToGrid/>
              <w:spacing w:line="30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2AEDB2BB">
            <w:pPr>
              <w:spacing w:line="300" w:lineRule="exact"/>
              <w:rPr>
                <w:rFonts w:hint="eastAsia" w:ascii="宋体" w:hAnsi="宋体" w:eastAsia="宋体" w:cs="宋体"/>
                <w:color w:val="000000"/>
                <w:kern w:val="2"/>
                <w:sz w:val="18"/>
                <w:szCs w:val="18"/>
                <w:vertAlign w:val="baseline"/>
                <w:lang w:val="en-US" w:eastAsia="zh-CN" w:bidi="ar-SA"/>
              </w:rPr>
            </w:pPr>
          </w:p>
        </w:tc>
        <w:tc>
          <w:tcPr>
            <w:tcW w:w="158" w:type="pct"/>
            <w:vMerge w:val="continue"/>
            <w:noWrap w:val="0"/>
            <w:tcMar>
              <w:top w:w="0" w:type="dxa"/>
              <w:left w:w="0" w:type="dxa"/>
              <w:bottom w:w="0" w:type="dxa"/>
              <w:right w:w="0" w:type="dxa"/>
            </w:tcMar>
            <w:vAlign w:val="center"/>
          </w:tcPr>
          <w:p w14:paraId="391AD8F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66761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23" w:hRule="atLeast"/>
          <w:jc w:val="center"/>
        </w:trPr>
        <w:tc>
          <w:tcPr>
            <w:tcW w:w="156" w:type="pct"/>
            <w:vMerge w:val="continue"/>
            <w:noWrap w:val="0"/>
            <w:tcMar>
              <w:top w:w="0" w:type="dxa"/>
              <w:left w:w="0" w:type="dxa"/>
              <w:bottom w:w="0" w:type="dxa"/>
              <w:right w:w="0" w:type="dxa"/>
            </w:tcMar>
            <w:vAlign w:val="center"/>
          </w:tcPr>
          <w:p w14:paraId="01687B61">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6E309F57">
            <w:pPr>
              <w:keepNext w:val="0"/>
              <w:keepLines w:val="0"/>
              <w:pageBreakBefore w:val="0"/>
              <w:widowControl w:val="0"/>
              <w:shd w:val="clear" w:color="auto" w:fill="auto"/>
              <w:kinsoku/>
              <w:wordWrap/>
              <w:overflowPunct/>
              <w:topLinePunct w:val="0"/>
              <w:autoSpaceDE/>
              <w:autoSpaceDN/>
              <w:bidi w:val="0"/>
              <w:adjustRightInd/>
              <w:snapToGrid/>
              <w:spacing w:line="30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038C4B3F">
            <w:pPr>
              <w:keepNext w:val="0"/>
              <w:keepLines w:val="0"/>
              <w:pageBreakBefore w:val="0"/>
              <w:widowControl w:val="0"/>
              <w:kinsoku/>
              <w:wordWrap/>
              <w:overflowPunct/>
              <w:topLinePunct w:val="0"/>
              <w:autoSpaceDE/>
              <w:autoSpaceDN/>
              <w:bidi w:val="0"/>
              <w:adjustRightInd/>
              <w:snapToGrid/>
              <w:spacing w:line="30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480E13E6">
            <w:pPr>
              <w:keepNext w:val="0"/>
              <w:keepLines w:val="0"/>
              <w:pageBreakBefore w:val="0"/>
              <w:widowControl w:val="0"/>
              <w:kinsoku/>
              <w:wordWrap/>
              <w:overflowPunct/>
              <w:topLinePunct w:val="0"/>
              <w:autoSpaceDE/>
              <w:autoSpaceDN/>
              <w:bidi w:val="0"/>
              <w:adjustRightInd/>
              <w:snapToGrid/>
              <w:spacing w:line="30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2BACDECD">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一般</w:t>
            </w:r>
          </w:p>
        </w:tc>
        <w:tc>
          <w:tcPr>
            <w:tcW w:w="561" w:type="pct"/>
            <w:noWrap w:val="0"/>
            <w:tcMar>
              <w:top w:w="0" w:type="dxa"/>
              <w:left w:w="0" w:type="dxa"/>
              <w:bottom w:w="0" w:type="dxa"/>
              <w:right w:w="0" w:type="dxa"/>
            </w:tcMar>
            <w:vAlign w:val="center"/>
          </w:tcPr>
          <w:p w14:paraId="7673519B">
            <w:pPr>
              <w:keepNext w:val="0"/>
              <w:keepLines w:val="0"/>
              <w:pageBreakBefore w:val="0"/>
              <w:widowControl w:val="0"/>
              <w:kinsoku/>
              <w:wordWrap/>
              <w:overflowPunct/>
              <w:topLinePunct w:val="0"/>
              <w:autoSpaceDE/>
              <w:autoSpaceDN/>
              <w:bidi w:val="0"/>
              <w:adjustRightInd/>
              <w:snapToGrid/>
              <w:spacing w:line="30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sz w:val="18"/>
                <w:szCs w:val="18"/>
                <w:vertAlign w:val="baseline"/>
              </w:rPr>
              <w:t>通过依法招标以外的方式确定项目实施方但尚未实施的</w:t>
            </w:r>
          </w:p>
        </w:tc>
        <w:tc>
          <w:tcPr>
            <w:tcW w:w="873" w:type="pct"/>
            <w:noWrap w:val="0"/>
            <w:tcMar>
              <w:top w:w="0" w:type="dxa"/>
              <w:left w:w="0" w:type="dxa"/>
              <w:bottom w:w="0" w:type="dxa"/>
              <w:right w:w="0" w:type="dxa"/>
            </w:tcMar>
            <w:vAlign w:val="center"/>
          </w:tcPr>
          <w:p w14:paraId="527FD98F">
            <w:pPr>
              <w:keepNext w:val="0"/>
              <w:keepLines w:val="0"/>
              <w:pageBreakBefore w:val="0"/>
              <w:widowControl w:val="0"/>
              <w:kinsoku/>
              <w:wordWrap/>
              <w:overflowPunct/>
              <w:topLinePunct w:val="0"/>
              <w:autoSpaceDE/>
              <w:autoSpaceDN/>
              <w:bidi w:val="0"/>
              <w:adjustRightInd/>
              <w:snapToGrid/>
              <w:spacing w:line="30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处项目合同金额5‰以上6.5‰以下的罚款</w:t>
            </w:r>
          </w:p>
        </w:tc>
        <w:tc>
          <w:tcPr>
            <w:tcW w:w="158" w:type="pct"/>
            <w:vMerge w:val="continue"/>
            <w:noWrap w:val="0"/>
            <w:tcMar>
              <w:top w:w="0" w:type="dxa"/>
              <w:left w:w="0" w:type="dxa"/>
              <w:bottom w:w="0" w:type="dxa"/>
              <w:right w:w="0" w:type="dxa"/>
            </w:tcMar>
            <w:vAlign w:val="center"/>
          </w:tcPr>
          <w:p w14:paraId="6CAAE52D">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24609D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692" w:hRule="atLeast"/>
          <w:jc w:val="center"/>
        </w:trPr>
        <w:tc>
          <w:tcPr>
            <w:tcW w:w="156" w:type="pct"/>
            <w:vMerge w:val="continue"/>
            <w:noWrap w:val="0"/>
            <w:tcMar>
              <w:top w:w="0" w:type="dxa"/>
              <w:left w:w="0" w:type="dxa"/>
              <w:bottom w:w="0" w:type="dxa"/>
              <w:right w:w="0" w:type="dxa"/>
            </w:tcMar>
            <w:vAlign w:val="center"/>
          </w:tcPr>
          <w:p w14:paraId="5B27798C">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37D64A64">
            <w:pPr>
              <w:keepNext w:val="0"/>
              <w:keepLines w:val="0"/>
              <w:pageBreakBefore w:val="0"/>
              <w:widowControl w:val="0"/>
              <w:shd w:val="clear" w:color="auto" w:fill="auto"/>
              <w:kinsoku/>
              <w:wordWrap/>
              <w:overflowPunct/>
              <w:topLinePunct w:val="0"/>
              <w:autoSpaceDE/>
              <w:autoSpaceDN/>
              <w:bidi w:val="0"/>
              <w:adjustRightInd/>
              <w:snapToGrid/>
              <w:spacing w:line="30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7CB50ABD">
            <w:pPr>
              <w:keepNext w:val="0"/>
              <w:keepLines w:val="0"/>
              <w:pageBreakBefore w:val="0"/>
              <w:widowControl w:val="0"/>
              <w:kinsoku/>
              <w:wordWrap/>
              <w:overflowPunct/>
              <w:topLinePunct w:val="0"/>
              <w:autoSpaceDE/>
              <w:autoSpaceDN/>
              <w:bidi w:val="0"/>
              <w:adjustRightInd/>
              <w:snapToGrid/>
              <w:spacing w:line="30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2C0CA057">
            <w:pPr>
              <w:keepNext w:val="0"/>
              <w:keepLines w:val="0"/>
              <w:pageBreakBefore w:val="0"/>
              <w:widowControl w:val="0"/>
              <w:kinsoku/>
              <w:wordWrap/>
              <w:overflowPunct/>
              <w:topLinePunct w:val="0"/>
              <w:autoSpaceDE/>
              <w:autoSpaceDN/>
              <w:bidi w:val="0"/>
              <w:adjustRightInd/>
              <w:snapToGrid/>
              <w:spacing w:line="30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1ACFD14B">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较重</w:t>
            </w:r>
          </w:p>
        </w:tc>
        <w:tc>
          <w:tcPr>
            <w:tcW w:w="561" w:type="pct"/>
            <w:noWrap w:val="0"/>
            <w:tcMar>
              <w:top w:w="0" w:type="dxa"/>
              <w:left w:w="0" w:type="dxa"/>
              <w:bottom w:w="0" w:type="dxa"/>
              <w:right w:w="0" w:type="dxa"/>
            </w:tcMar>
            <w:vAlign w:val="center"/>
          </w:tcPr>
          <w:p w14:paraId="5F43AFA3">
            <w:pPr>
              <w:keepNext w:val="0"/>
              <w:keepLines w:val="0"/>
              <w:pageBreakBefore w:val="0"/>
              <w:widowControl w:val="0"/>
              <w:kinsoku/>
              <w:wordWrap/>
              <w:overflowPunct/>
              <w:topLinePunct w:val="0"/>
              <w:autoSpaceDE/>
              <w:autoSpaceDN/>
              <w:bidi w:val="0"/>
              <w:adjustRightInd/>
              <w:snapToGrid/>
              <w:spacing w:line="30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sz w:val="18"/>
                <w:szCs w:val="18"/>
                <w:vertAlign w:val="baseline"/>
              </w:rPr>
              <w:t>已确定项目实施方且开始实施的</w:t>
            </w:r>
          </w:p>
        </w:tc>
        <w:tc>
          <w:tcPr>
            <w:tcW w:w="873" w:type="pct"/>
            <w:noWrap w:val="0"/>
            <w:tcMar>
              <w:top w:w="0" w:type="dxa"/>
              <w:left w:w="0" w:type="dxa"/>
              <w:bottom w:w="0" w:type="dxa"/>
              <w:right w:w="0" w:type="dxa"/>
            </w:tcMar>
            <w:vAlign w:val="center"/>
          </w:tcPr>
          <w:p w14:paraId="4CF07720">
            <w:pPr>
              <w:keepNext w:val="0"/>
              <w:keepLines w:val="0"/>
              <w:pageBreakBefore w:val="0"/>
              <w:widowControl w:val="0"/>
              <w:kinsoku/>
              <w:wordWrap/>
              <w:overflowPunct/>
              <w:topLinePunct w:val="0"/>
              <w:autoSpaceDE/>
              <w:autoSpaceDN/>
              <w:bidi w:val="0"/>
              <w:adjustRightInd/>
              <w:snapToGrid/>
              <w:spacing w:line="30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处项目合同金额6.5‰以上8.5‰以下的罚款</w:t>
            </w:r>
          </w:p>
        </w:tc>
        <w:tc>
          <w:tcPr>
            <w:tcW w:w="158" w:type="pct"/>
            <w:vMerge w:val="continue"/>
            <w:noWrap w:val="0"/>
            <w:tcMar>
              <w:top w:w="0" w:type="dxa"/>
              <w:left w:w="0" w:type="dxa"/>
              <w:bottom w:w="0" w:type="dxa"/>
              <w:right w:w="0" w:type="dxa"/>
            </w:tcMar>
            <w:vAlign w:val="center"/>
          </w:tcPr>
          <w:p w14:paraId="1DED76F9">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109619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218" w:hRule="atLeast"/>
          <w:jc w:val="center"/>
        </w:trPr>
        <w:tc>
          <w:tcPr>
            <w:tcW w:w="156" w:type="pct"/>
            <w:vMerge w:val="continue"/>
            <w:noWrap w:val="0"/>
            <w:tcMar>
              <w:top w:w="0" w:type="dxa"/>
              <w:left w:w="0" w:type="dxa"/>
              <w:bottom w:w="0" w:type="dxa"/>
              <w:right w:w="0" w:type="dxa"/>
            </w:tcMar>
            <w:vAlign w:val="center"/>
          </w:tcPr>
          <w:p w14:paraId="08BE0A7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527420F3">
            <w:pPr>
              <w:keepNext w:val="0"/>
              <w:keepLines w:val="0"/>
              <w:pageBreakBefore w:val="0"/>
              <w:widowControl w:val="0"/>
              <w:shd w:val="clear" w:color="auto" w:fill="auto"/>
              <w:kinsoku/>
              <w:wordWrap/>
              <w:overflowPunct/>
              <w:topLinePunct w:val="0"/>
              <w:autoSpaceDE/>
              <w:autoSpaceDN/>
              <w:bidi w:val="0"/>
              <w:adjustRightInd/>
              <w:snapToGrid/>
              <w:spacing w:line="30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2F943321">
            <w:pPr>
              <w:keepNext w:val="0"/>
              <w:keepLines w:val="0"/>
              <w:pageBreakBefore w:val="0"/>
              <w:widowControl w:val="0"/>
              <w:kinsoku/>
              <w:wordWrap/>
              <w:overflowPunct/>
              <w:topLinePunct w:val="0"/>
              <w:autoSpaceDE/>
              <w:autoSpaceDN/>
              <w:bidi w:val="0"/>
              <w:adjustRightInd/>
              <w:snapToGrid/>
              <w:spacing w:line="30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617588D2">
            <w:pPr>
              <w:keepNext w:val="0"/>
              <w:keepLines w:val="0"/>
              <w:pageBreakBefore w:val="0"/>
              <w:widowControl w:val="0"/>
              <w:kinsoku/>
              <w:wordWrap/>
              <w:overflowPunct/>
              <w:topLinePunct w:val="0"/>
              <w:autoSpaceDE/>
              <w:autoSpaceDN/>
              <w:bidi w:val="0"/>
              <w:adjustRightInd/>
              <w:snapToGrid/>
              <w:spacing w:line="30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6CDD2F2E">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严重</w:t>
            </w:r>
          </w:p>
        </w:tc>
        <w:tc>
          <w:tcPr>
            <w:tcW w:w="561" w:type="pct"/>
            <w:noWrap w:val="0"/>
            <w:tcMar>
              <w:top w:w="0" w:type="dxa"/>
              <w:left w:w="0" w:type="dxa"/>
              <w:bottom w:w="0" w:type="dxa"/>
              <w:right w:w="0" w:type="dxa"/>
            </w:tcMar>
            <w:vAlign w:val="center"/>
          </w:tcPr>
          <w:p w14:paraId="7A57C9C3">
            <w:pPr>
              <w:keepNext w:val="0"/>
              <w:keepLines w:val="0"/>
              <w:pageBreakBefore w:val="0"/>
              <w:widowControl w:val="0"/>
              <w:kinsoku/>
              <w:wordWrap/>
              <w:overflowPunct/>
              <w:topLinePunct w:val="0"/>
              <w:autoSpaceDE/>
              <w:autoSpaceDN/>
              <w:bidi w:val="0"/>
              <w:adjustRightInd/>
              <w:snapToGrid/>
              <w:spacing w:line="30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已确定项目实施方且开始实施的，并造成严重后果的；3年内2次以上同类型违法的</w:t>
            </w:r>
          </w:p>
        </w:tc>
        <w:tc>
          <w:tcPr>
            <w:tcW w:w="873" w:type="pct"/>
            <w:noWrap w:val="0"/>
            <w:tcMar>
              <w:top w:w="0" w:type="dxa"/>
              <w:left w:w="0" w:type="dxa"/>
              <w:bottom w:w="0" w:type="dxa"/>
              <w:right w:w="0" w:type="dxa"/>
            </w:tcMar>
            <w:vAlign w:val="center"/>
          </w:tcPr>
          <w:p w14:paraId="73778673">
            <w:pPr>
              <w:keepNext w:val="0"/>
              <w:keepLines w:val="0"/>
              <w:pageBreakBefore w:val="0"/>
              <w:widowControl w:val="0"/>
              <w:kinsoku/>
              <w:wordWrap/>
              <w:overflowPunct/>
              <w:topLinePunct w:val="0"/>
              <w:autoSpaceDE/>
              <w:autoSpaceDN/>
              <w:bidi w:val="0"/>
              <w:adjustRightInd/>
              <w:snapToGrid/>
              <w:spacing w:line="30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处项目合同金额8.5‰以上10‰以下的罚款</w:t>
            </w:r>
          </w:p>
        </w:tc>
        <w:tc>
          <w:tcPr>
            <w:tcW w:w="158" w:type="pct"/>
            <w:vMerge w:val="continue"/>
            <w:noWrap w:val="0"/>
            <w:tcMar>
              <w:top w:w="0" w:type="dxa"/>
              <w:left w:w="0" w:type="dxa"/>
              <w:bottom w:w="0" w:type="dxa"/>
              <w:right w:w="0" w:type="dxa"/>
            </w:tcMar>
            <w:vAlign w:val="center"/>
          </w:tcPr>
          <w:p w14:paraId="291496C0">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6AF7D6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restart"/>
            <w:noWrap w:val="0"/>
            <w:tcMar>
              <w:top w:w="0" w:type="dxa"/>
              <w:left w:w="0" w:type="dxa"/>
              <w:bottom w:w="0" w:type="dxa"/>
              <w:right w:w="0" w:type="dxa"/>
            </w:tcMar>
            <w:vAlign w:val="center"/>
          </w:tcPr>
          <w:p w14:paraId="78BAFC2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default" w:ascii="宋体" w:hAnsi="宋体" w:eastAsia="宋体" w:cs="宋体"/>
                <w:color w:val="000000"/>
                <w:sz w:val="18"/>
                <w:szCs w:val="18"/>
                <w:shd w:val="clear" w:color="auto" w:fill="auto"/>
                <w:vertAlign w:val="baseline"/>
                <w:lang w:val="en-US" w:eastAsia="zh-CN"/>
              </w:rPr>
            </w:pPr>
            <w:r>
              <w:rPr>
                <w:rFonts w:hint="eastAsia" w:ascii="宋体" w:hAnsi="宋体" w:eastAsia="宋体" w:cs="宋体"/>
                <w:color w:val="000000"/>
                <w:sz w:val="18"/>
                <w:szCs w:val="18"/>
                <w:shd w:val="clear" w:color="auto" w:fill="auto"/>
                <w:vertAlign w:val="baseline"/>
                <w:lang w:val="en-US" w:eastAsia="zh-CN"/>
              </w:rPr>
              <w:t>120</w:t>
            </w:r>
          </w:p>
        </w:tc>
        <w:tc>
          <w:tcPr>
            <w:tcW w:w="415" w:type="pct"/>
            <w:vMerge w:val="restart"/>
            <w:noWrap w:val="0"/>
            <w:tcMar>
              <w:top w:w="0" w:type="dxa"/>
              <w:left w:w="0" w:type="dxa"/>
              <w:bottom w:w="0" w:type="dxa"/>
              <w:right w:w="0" w:type="dxa"/>
            </w:tcMar>
            <w:vAlign w:val="center"/>
          </w:tcPr>
          <w:p w14:paraId="4C0F0CF3">
            <w:pPr>
              <w:keepNext w:val="0"/>
              <w:keepLines w:val="0"/>
              <w:pageBreakBefore w:val="0"/>
              <w:widowControl w:val="0"/>
              <w:shd w:val="clear" w:color="auto" w:fill="auto"/>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对水利领域招标人以不合理的条件限制或者排斥潜在投标人，对潜在投标人实行歧视待遇，强制要求投标人组成联合体共同投标，或者限制投标人之间竞争等行为的行政处罚</w:t>
            </w:r>
          </w:p>
        </w:tc>
        <w:tc>
          <w:tcPr>
            <w:tcW w:w="2168" w:type="pct"/>
            <w:vMerge w:val="restart"/>
            <w:noWrap w:val="0"/>
            <w:tcMar>
              <w:top w:w="0" w:type="dxa"/>
              <w:left w:w="0" w:type="dxa"/>
              <w:bottom w:w="0" w:type="dxa"/>
              <w:right w:w="0" w:type="dxa"/>
            </w:tcMar>
            <w:vAlign w:val="center"/>
          </w:tcPr>
          <w:p w14:paraId="599C4D40">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《中华人民共和国招标投标法》第五十一条 招标人以不合理的条件限制或者排斥潜在投标人的，对潜在投标人实行歧视待遇的，强制要求投标人组成联合体共同投标的，或者限制投标人之间竞争的，责令改正，可以处一万元以上五万元以下的罚款。</w:t>
            </w:r>
          </w:p>
          <w:p w14:paraId="5445477F">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《中华人民共和国招标投标法实施条例》第六十三条第一款 招标人有下列限制或者排斥潜在投标人行为之一的，由有关行政监督部门依照招标投标法第五十一条的规定处罚：</w:t>
            </w:r>
          </w:p>
          <w:p w14:paraId="7FB554A1">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（一）依法应当公开招标的项目不按照规定在指定媒介发布资格预审公告或者招标公告；</w:t>
            </w:r>
          </w:p>
          <w:p w14:paraId="732975D8">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（二）在不同媒介发布的同一招标项目的资格预审公告或者招标公告的内容不一致，影响潜在投标人申请资格预审或者投标。</w:t>
            </w:r>
          </w:p>
          <w:p w14:paraId="3C08FA51">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《工程建设项目货物招标投标办法》第五十五条 招标人有下列限制或者排斥潜在投标行为之一的，由有关行政监督部门依照招标投标法第五十一条的规定处罚；其中，构成依法必须进行招标的项目的招标人规避招标的，依照招标投标法第四十九条的规定处罚：</w:t>
            </w:r>
          </w:p>
          <w:p w14:paraId="793D01F5">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（一）依法应当公开招标的项目不按照规定在指定媒介发布资格预审公告或者招标公告；</w:t>
            </w:r>
          </w:p>
          <w:p w14:paraId="6D8672F0">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（二）在不同媒介发布的同一招标项目的资格预审公告或者招标公告内容不一致，影响潜在投标人申请资格预审或者投标。</w:t>
            </w:r>
          </w:p>
          <w:p w14:paraId="397AFAA9">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《工程建设项目施工招标投标办法》第七十条 招标人以不合理的条件限制或者排斥潜在投标人的，对潜在投标人实行歧视待遇的，强制要求投标人组成联合体共同投标的，或者限制投标人之间竞争的，有关行政监督部门责令改正，可处一万元以上五万元以下罚款。</w:t>
            </w:r>
          </w:p>
          <w:p w14:paraId="3EE03B7C">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第七十三条第一款  招标人有下列限制或者排斥潜在投标人行为之一的，由有关行政监督部门依照招标投标法第五十一条的规定处罚；其中，构成依法必须进行施工招标的项目的招标人规避招标的，依照招标投标法第四十九条的规定处罚：</w:t>
            </w:r>
          </w:p>
          <w:p w14:paraId="39A57BED">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（一）依法应当公开招标的项目不按照规定在指定媒介发布资格预审公告或者招标公告；</w:t>
            </w:r>
          </w:p>
          <w:p w14:paraId="4AB8275C">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（二）在不同媒介发布的同一招标项目的资格预审公告或者招标公告的内容不一致，影响潜在投标人申请资格预审或者投标。</w:t>
            </w:r>
          </w:p>
          <w:p w14:paraId="0AA3B543">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《工程建设项目勘察设计招标投标办法》第五十条 招标人有下列限制或者排斥潜在投标人行为之一的，由有关行政监督部门依照招标投标法第五十一条的规定处罚；其中，构成依法必须进行勘察设计招标的项目的招标人规避招标的，依照招标投标法第四十九条的规定处罚：</w:t>
            </w:r>
          </w:p>
          <w:p w14:paraId="4737AD03">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（一）依法必须公开招标的项目不按照规定在指定媒介发布资格预审公告或者招标公告；</w:t>
            </w:r>
          </w:p>
          <w:p w14:paraId="27C76E19">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（二）在不同媒介发布的同一招标项目的资格预审公告或者招标公告的内容不一致，影响潜在投标人申请资格预审或者投标。</w:t>
            </w:r>
          </w:p>
          <w:p w14:paraId="5A77D692">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第五十三条第一款 招标人以抽签、摇号等不合理的条件限制或者排斥资格预审合格的潜在投标人参加投标，对潜在投标人实行歧视待遇的，强制要求投标人组成联合体共同投标的，或者限制投标人之间竞争的，责令改正，可以处一万元以上五万元以下的罚款。</w:t>
            </w:r>
          </w:p>
          <w:p w14:paraId="5661F578">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《电子招标投标办法》第五十四条 招标人或者电子招标投标系统运营机构存在以下情形的，视为限制或者排斥潜在投标人，依照招标投标法第五十一条规定处罚。</w:t>
            </w:r>
          </w:p>
          <w:p w14:paraId="1EDD57C0">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（一）利用技术手段对享有相同权限的市场主体提供有差别的信息；</w:t>
            </w:r>
          </w:p>
          <w:p w14:paraId="6B2B5CEA">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（二）拒绝或者限制社会公众、市场主体免费注册并获取依法必须公开的招标投标信息；</w:t>
            </w:r>
          </w:p>
          <w:p w14:paraId="16FD6D01">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（三）违规设置注册登记、投标报名等前置条件；</w:t>
            </w:r>
          </w:p>
          <w:p w14:paraId="7D6C71D9">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（四）故意与各类需要分离开发并符合技术规范规定的工具软件不兼容对接；</w:t>
            </w:r>
          </w:p>
          <w:p w14:paraId="1E7DEDD9">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（五）故意对递交或者解密投标文件设置障碍。</w:t>
            </w:r>
          </w:p>
        </w:tc>
        <w:tc>
          <w:tcPr>
            <w:tcW w:w="491" w:type="pct"/>
            <w:vMerge w:val="restart"/>
            <w:noWrap w:val="0"/>
            <w:tcMar>
              <w:top w:w="0" w:type="dxa"/>
              <w:left w:w="0" w:type="dxa"/>
              <w:bottom w:w="0" w:type="dxa"/>
              <w:right w:w="0" w:type="dxa"/>
            </w:tcMar>
            <w:vAlign w:val="center"/>
          </w:tcPr>
          <w:p w14:paraId="35B5C90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水利领域招标人以不合理的条件限制或者排斥潜在投标人，对潜在投标人实行歧视待遇，强制要求投标人组成联合体共同投标，或者限制投标人之间竞争的</w:t>
            </w:r>
          </w:p>
        </w:tc>
        <w:tc>
          <w:tcPr>
            <w:tcW w:w="174" w:type="pct"/>
            <w:noWrap w:val="0"/>
            <w:tcMar>
              <w:top w:w="0" w:type="dxa"/>
              <w:left w:w="0" w:type="dxa"/>
              <w:bottom w:w="0" w:type="dxa"/>
              <w:right w:w="0" w:type="dxa"/>
            </w:tcMar>
            <w:vAlign w:val="center"/>
          </w:tcPr>
          <w:p w14:paraId="02D3214A">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轻微</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4373D235">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3BC1E95D">
            <w:pPr>
              <w:spacing w:line="260" w:lineRule="exact"/>
              <w:rPr>
                <w:rFonts w:hint="eastAsia" w:ascii="宋体" w:hAnsi="宋体" w:eastAsia="宋体" w:cs="宋体"/>
                <w:color w:val="000000"/>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53EBC58B">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5BF2BDD0">
            <w:pPr>
              <w:spacing w:line="260" w:lineRule="exact"/>
              <w:rPr>
                <w:rFonts w:hint="eastAsia" w:ascii="宋体" w:hAnsi="宋体" w:eastAsia="宋体" w:cs="宋体"/>
                <w:color w:val="000000"/>
                <w:kern w:val="2"/>
                <w:sz w:val="18"/>
                <w:szCs w:val="18"/>
                <w:vertAlign w:val="baseline"/>
                <w:lang w:val="en-US" w:eastAsia="zh-CN" w:bidi="ar-SA"/>
              </w:rPr>
            </w:pPr>
          </w:p>
        </w:tc>
        <w:tc>
          <w:tcPr>
            <w:tcW w:w="158" w:type="pct"/>
            <w:vMerge w:val="restart"/>
            <w:noWrap w:val="0"/>
            <w:tcMar>
              <w:top w:w="0" w:type="dxa"/>
              <w:left w:w="0" w:type="dxa"/>
              <w:bottom w:w="0" w:type="dxa"/>
              <w:right w:w="0" w:type="dxa"/>
            </w:tcMar>
            <w:vAlign w:val="center"/>
          </w:tcPr>
          <w:p w14:paraId="76105B5B">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38AA1C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3475EAD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47FFEFCC">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0578AEEC">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2B80AA1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73F96691">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较轻</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1D377BAE">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19F9CDBD">
            <w:pPr>
              <w:spacing w:line="260" w:lineRule="exact"/>
              <w:rPr>
                <w:rFonts w:hint="eastAsia" w:ascii="宋体" w:hAnsi="宋体" w:eastAsia="宋体" w:cs="宋体"/>
                <w:color w:val="000000"/>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572C88FE">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30D046C4">
            <w:pPr>
              <w:spacing w:line="260" w:lineRule="exact"/>
              <w:rPr>
                <w:rFonts w:hint="eastAsia" w:ascii="宋体" w:hAnsi="宋体" w:eastAsia="宋体" w:cs="宋体"/>
                <w:color w:val="000000"/>
                <w:kern w:val="2"/>
                <w:sz w:val="18"/>
                <w:szCs w:val="18"/>
                <w:vertAlign w:val="baseline"/>
                <w:lang w:val="en-US" w:eastAsia="zh-CN" w:bidi="ar-SA"/>
              </w:rPr>
            </w:pPr>
          </w:p>
        </w:tc>
        <w:tc>
          <w:tcPr>
            <w:tcW w:w="158" w:type="pct"/>
            <w:vMerge w:val="continue"/>
            <w:noWrap w:val="0"/>
            <w:tcMar>
              <w:top w:w="0" w:type="dxa"/>
              <w:left w:w="0" w:type="dxa"/>
              <w:bottom w:w="0" w:type="dxa"/>
              <w:right w:w="0" w:type="dxa"/>
            </w:tcMar>
            <w:vAlign w:val="center"/>
          </w:tcPr>
          <w:p w14:paraId="4FB1597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02AF8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582F1B68">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30888AFA">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2BAFF3F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29C8061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24DC2758">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一般</w:t>
            </w:r>
          </w:p>
        </w:tc>
        <w:tc>
          <w:tcPr>
            <w:tcW w:w="561" w:type="pct"/>
            <w:noWrap w:val="0"/>
            <w:tcMar>
              <w:top w:w="0" w:type="dxa"/>
              <w:left w:w="0" w:type="dxa"/>
              <w:bottom w:w="0" w:type="dxa"/>
              <w:right w:w="0" w:type="dxa"/>
            </w:tcMar>
            <w:vAlign w:val="center"/>
          </w:tcPr>
          <w:p w14:paraId="6455887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sz w:val="18"/>
                <w:szCs w:val="18"/>
                <w:vertAlign w:val="baseline"/>
              </w:rPr>
              <w:t>尚未组织评标确定中标人的</w:t>
            </w:r>
          </w:p>
        </w:tc>
        <w:tc>
          <w:tcPr>
            <w:tcW w:w="873" w:type="pct"/>
            <w:noWrap w:val="0"/>
            <w:tcMar>
              <w:top w:w="0" w:type="dxa"/>
              <w:left w:w="0" w:type="dxa"/>
              <w:bottom w:w="0" w:type="dxa"/>
              <w:right w:w="0" w:type="dxa"/>
            </w:tcMar>
            <w:vAlign w:val="center"/>
          </w:tcPr>
          <w:p w14:paraId="0BF3632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处1万元以上2万元以下的罚款</w:t>
            </w:r>
          </w:p>
        </w:tc>
        <w:tc>
          <w:tcPr>
            <w:tcW w:w="158" w:type="pct"/>
            <w:vMerge w:val="continue"/>
            <w:noWrap w:val="0"/>
            <w:tcMar>
              <w:top w:w="0" w:type="dxa"/>
              <w:left w:w="0" w:type="dxa"/>
              <w:bottom w:w="0" w:type="dxa"/>
              <w:right w:w="0" w:type="dxa"/>
            </w:tcMar>
            <w:vAlign w:val="center"/>
          </w:tcPr>
          <w:p w14:paraId="3C7ECE1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7427EA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782" w:hRule="atLeast"/>
          <w:jc w:val="center"/>
        </w:trPr>
        <w:tc>
          <w:tcPr>
            <w:tcW w:w="156" w:type="pct"/>
            <w:vMerge w:val="continue"/>
            <w:noWrap w:val="0"/>
            <w:tcMar>
              <w:top w:w="0" w:type="dxa"/>
              <w:left w:w="0" w:type="dxa"/>
              <w:bottom w:w="0" w:type="dxa"/>
              <w:right w:w="0" w:type="dxa"/>
            </w:tcMar>
            <w:vAlign w:val="center"/>
          </w:tcPr>
          <w:p w14:paraId="419AD411">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2C482D47">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110A462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2DD3881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39122F21">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较重</w:t>
            </w:r>
          </w:p>
        </w:tc>
        <w:tc>
          <w:tcPr>
            <w:tcW w:w="561" w:type="pct"/>
            <w:noWrap w:val="0"/>
            <w:tcMar>
              <w:top w:w="0" w:type="dxa"/>
              <w:left w:w="0" w:type="dxa"/>
              <w:bottom w:w="0" w:type="dxa"/>
              <w:right w:w="0" w:type="dxa"/>
            </w:tcMar>
            <w:vAlign w:val="center"/>
          </w:tcPr>
          <w:p w14:paraId="77FEB98C">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已组织评标确定中标人的</w:t>
            </w:r>
          </w:p>
        </w:tc>
        <w:tc>
          <w:tcPr>
            <w:tcW w:w="873" w:type="pct"/>
            <w:noWrap w:val="0"/>
            <w:tcMar>
              <w:top w:w="0" w:type="dxa"/>
              <w:left w:w="0" w:type="dxa"/>
              <w:bottom w:w="0" w:type="dxa"/>
              <w:right w:w="0" w:type="dxa"/>
            </w:tcMar>
            <w:vAlign w:val="center"/>
          </w:tcPr>
          <w:p w14:paraId="2E0A639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处2万元以上4万元以下的罚款</w:t>
            </w:r>
          </w:p>
        </w:tc>
        <w:tc>
          <w:tcPr>
            <w:tcW w:w="158" w:type="pct"/>
            <w:vMerge w:val="continue"/>
            <w:noWrap w:val="0"/>
            <w:tcMar>
              <w:top w:w="0" w:type="dxa"/>
              <w:left w:w="0" w:type="dxa"/>
              <w:bottom w:w="0" w:type="dxa"/>
              <w:right w:w="0" w:type="dxa"/>
            </w:tcMar>
            <w:vAlign w:val="center"/>
          </w:tcPr>
          <w:p w14:paraId="38F479F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1F78DB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8332" w:hRule="atLeast"/>
          <w:jc w:val="center"/>
        </w:trPr>
        <w:tc>
          <w:tcPr>
            <w:tcW w:w="156" w:type="pct"/>
            <w:vMerge w:val="continue"/>
            <w:noWrap w:val="0"/>
            <w:tcMar>
              <w:top w:w="0" w:type="dxa"/>
              <w:left w:w="0" w:type="dxa"/>
              <w:bottom w:w="0" w:type="dxa"/>
              <w:right w:w="0" w:type="dxa"/>
            </w:tcMar>
            <w:vAlign w:val="center"/>
          </w:tcPr>
          <w:p w14:paraId="42B20FCB">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35C1DAB1">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3EDD3EE7">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0AA979F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1232809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严重</w:t>
            </w:r>
          </w:p>
        </w:tc>
        <w:tc>
          <w:tcPr>
            <w:tcW w:w="561" w:type="pct"/>
            <w:noWrap w:val="0"/>
            <w:tcMar>
              <w:top w:w="0" w:type="dxa"/>
              <w:left w:w="0" w:type="dxa"/>
              <w:bottom w:w="0" w:type="dxa"/>
              <w:right w:w="0" w:type="dxa"/>
            </w:tcMar>
            <w:vAlign w:val="center"/>
          </w:tcPr>
          <w:p w14:paraId="580D3AF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已组织评标确定中标人，且造成严重后果的；3年内2次以上同类型违法的</w:t>
            </w:r>
          </w:p>
        </w:tc>
        <w:tc>
          <w:tcPr>
            <w:tcW w:w="873" w:type="pct"/>
            <w:noWrap w:val="0"/>
            <w:tcMar>
              <w:top w:w="0" w:type="dxa"/>
              <w:left w:w="0" w:type="dxa"/>
              <w:bottom w:w="0" w:type="dxa"/>
              <w:right w:w="0" w:type="dxa"/>
            </w:tcMar>
            <w:vAlign w:val="center"/>
          </w:tcPr>
          <w:p w14:paraId="199EF01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处4万元以上5万元以下的罚款</w:t>
            </w:r>
          </w:p>
        </w:tc>
        <w:tc>
          <w:tcPr>
            <w:tcW w:w="158" w:type="pct"/>
            <w:vMerge w:val="continue"/>
            <w:noWrap w:val="0"/>
            <w:tcMar>
              <w:top w:w="0" w:type="dxa"/>
              <w:left w:w="0" w:type="dxa"/>
              <w:bottom w:w="0" w:type="dxa"/>
              <w:right w:w="0" w:type="dxa"/>
            </w:tcMar>
            <w:vAlign w:val="center"/>
          </w:tcPr>
          <w:p w14:paraId="6B68C9B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5DE20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restart"/>
            <w:noWrap w:val="0"/>
            <w:tcMar>
              <w:top w:w="0" w:type="dxa"/>
              <w:left w:w="0" w:type="dxa"/>
              <w:bottom w:w="0" w:type="dxa"/>
              <w:right w:w="0" w:type="dxa"/>
            </w:tcMar>
            <w:vAlign w:val="center"/>
          </w:tcPr>
          <w:p w14:paraId="7DCFABD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r>
              <w:rPr>
                <w:rFonts w:hint="eastAsia" w:ascii="宋体" w:hAnsi="宋体" w:eastAsia="宋体" w:cs="宋体"/>
                <w:color w:val="000000"/>
                <w:sz w:val="18"/>
                <w:szCs w:val="18"/>
                <w:shd w:val="clear" w:color="auto" w:fill="auto"/>
                <w:vertAlign w:val="baseline"/>
                <w:lang w:val="en-US" w:eastAsia="zh-CN"/>
              </w:rPr>
              <w:t>121</w:t>
            </w:r>
          </w:p>
        </w:tc>
        <w:tc>
          <w:tcPr>
            <w:tcW w:w="415" w:type="pct"/>
            <w:vMerge w:val="restart"/>
            <w:noWrap w:val="0"/>
            <w:tcMar>
              <w:top w:w="0" w:type="dxa"/>
              <w:left w:w="0" w:type="dxa"/>
              <w:bottom w:w="0" w:type="dxa"/>
              <w:right w:w="0" w:type="dxa"/>
            </w:tcMar>
            <w:vAlign w:val="center"/>
          </w:tcPr>
          <w:p w14:paraId="6F88C681">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对水利领域依法必须进行招标的项目，招标人向他人透露已获取招标文件的潜在投标人名称、数量或者可能影响公平竞争的有关招标投标其他情况，或者泄露标底等行为的行政处罚</w:t>
            </w:r>
          </w:p>
        </w:tc>
        <w:tc>
          <w:tcPr>
            <w:tcW w:w="2168" w:type="pct"/>
            <w:vMerge w:val="restart"/>
            <w:noWrap w:val="0"/>
            <w:tcMar>
              <w:top w:w="0" w:type="dxa"/>
              <w:left w:w="0" w:type="dxa"/>
              <w:bottom w:w="0" w:type="dxa"/>
              <w:right w:w="0" w:type="dxa"/>
            </w:tcMar>
            <w:vAlign w:val="center"/>
          </w:tcPr>
          <w:p w14:paraId="321048D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《中华人民共和国招标投标法》第五十二条 依法必须进行招标的项目的招标人向他人透露已获取招标文件的潜在投标人的名称、数量或者可能影响公平竞争的有关招标投标的其他情况的，或者泄露标底的，给予警告，可以并处一万元以上十万元以下的罚款；对单位直接负责的主管人员和其他直接责任人员依法给予处分；构成犯罪的，依法追究刑事责任。</w:t>
            </w:r>
          </w:p>
          <w:p w14:paraId="5E9B3DC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前款所列行为影响中标结果的，中标无效。</w:t>
            </w:r>
          </w:p>
          <w:p w14:paraId="79D52914">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《工程建设项目施工招标投标办法》第七十一条 依法必须进行招标项目的招标人向他人透露已获取招标文件的潜在投标人的名称、数量或者可能影响公平竞争的有关招标投标的其他情况的，或者泄露标底的，有关行政监督部门给予警告，可以并处一万元以上十万元以下的罚款；对单位直接负责的主管人员和其他直接责任人员依法给予处分；构成犯罪的，依法追究刑事责任。</w:t>
            </w:r>
          </w:p>
          <w:p w14:paraId="51F210A4">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前款所列行为影响中标结果的，中标无效。</w:t>
            </w:r>
          </w:p>
          <w:p w14:paraId="6EE986AC">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《电子招标投标办法》第五十六条 电子招标投标系统运营机构向他人透露已获取招标文件的潜在投标人的名称、数量、投标文件内容或者对投标文件的评审和比较以及其他可能影响公平竞争的招标投标信息，参照招标投标法第五十二条关于招标人泄密的规定予以处罚。</w:t>
            </w:r>
          </w:p>
        </w:tc>
        <w:tc>
          <w:tcPr>
            <w:tcW w:w="491" w:type="pct"/>
            <w:vMerge w:val="restart"/>
            <w:noWrap w:val="0"/>
            <w:tcMar>
              <w:top w:w="0" w:type="dxa"/>
              <w:left w:w="0" w:type="dxa"/>
              <w:bottom w:w="0" w:type="dxa"/>
              <w:right w:w="0" w:type="dxa"/>
            </w:tcMar>
            <w:vAlign w:val="center"/>
          </w:tcPr>
          <w:p w14:paraId="2E36D84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水利领域依法必须进行招标的项目，招标人向他人透露已获取招标文件的潜在投标人名称、数量或者可能影响公平竞争的有关招标投标其他情况，或者泄露标底的</w:t>
            </w:r>
          </w:p>
        </w:tc>
        <w:tc>
          <w:tcPr>
            <w:tcW w:w="174" w:type="pct"/>
            <w:noWrap w:val="0"/>
            <w:tcMar>
              <w:top w:w="0" w:type="dxa"/>
              <w:left w:w="0" w:type="dxa"/>
              <w:bottom w:w="0" w:type="dxa"/>
              <w:right w:w="0" w:type="dxa"/>
            </w:tcMar>
            <w:vAlign w:val="center"/>
          </w:tcPr>
          <w:p w14:paraId="0698CAA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轻微</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327EE793">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40794452">
            <w:pPr>
              <w:spacing w:line="260" w:lineRule="exact"/>
              <w:rPr>
                <w:rFonts w:hint="eastAsia" w:ascii="宋体" w:hAnsi="宋体" w:eastAsia="宋体" w:cs="宋体"/>
                <w:color w:val="000000"/>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02819006">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594966B7">
            <w:pPr>
              <w:spacing w:line="260" w:lineRule="exact"/>
              <w:rPr>
                <w:rFonts w:hint="eastAsia" w:ascii="宋体" w:hAnsi="宋体" w:eastAsia="宋体" w:cs="宋体"/>
                <w:color w:val="000000"/>
                <w:kern w:val="2"/>
                <w:sz w:val="18"/>
                <w:szCs w:val="18"/>
                <w:vertAlign w:val="baseline"/>
                <w:lang w:val="en-US" w:eastAsia="zh-CN" w:bidi="ar-SA"/>
              </w:rPr>
            </w:pPr>
          </w:p>
        </w:tc>
        <w:tc>
          <w:tcPr>
            <w:tcW w:w="158" w:type="pct"/>
            <w:vMerge w:val="restart"/>
            <w:noWrap w:val="0"/>
            <w:tcMar>
              <w:top w:w="0" w:type="dxa"/>
              <w:left w:w="0" w:type="dxa"/>
              <w:bottom w:w="0" w:type="dxa"/>
              <w:right w:w="0" w:type="dxa"/>
            </w:tcMar>
            <w:vAlign w:val="center"/>
          </w:tcPr>
          <w:p w14:paraId="39F36B1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74EDB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71" w:hRule="atLeast"/>
          <w:jc w:val="center"/>
        </w:trPr>
        <w:tc>
          <w:tcPr>
            <w:tcW w:w="156" w:type="pct"/>
            <w:vMerge w:val="continue"/>
            <w:noWrap w:val="0"/>
            <w:tcMar>
              <w:top w:w="0" w:type="dxa"/>
              <w:left w:w="0" w:type="dxa"/>
              <w:bottom w:w="0" w:type="dxa"/>
              <w:right w:w="0" w:type="dxa"/>
            </w:tcMar>
            <w:vAlign w:val="center"/>
          </w:tcPr>
          <w:p w14:paraId="7941758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1F455BD2">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2CF396A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348A7D8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2BE59359">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较轻</w:t>
            </w:r>
          </w:p>
        </w:tc>
        <w:tc>
          <w:tcPr>
            <w:tcW w:w="561" w:type="pct"/>
            <w:noWrap w:val="0"/>
            <w:tcMar>
              <w:top w:w="0" w:type="dxa"/>
              <w:left w:w="0" w:type="dxa"/>
              <w:bottom w:w="0" w:type="dxa"/>
              <w:right w:w="0" w:type="dxa"/>
            </w:tcMar>
            <w:vAlign w:val="center"/>
          </w:tcPr>
          <w:p w14:paraId="69EA4A6C">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sz w:val="18"/>
                <w:szCs w:val="18"/>
                <w:vertAlign w:val="baseline"/>
              </w:rPr>
              <w:t>及时改正，且没有造成危害后果的</w:t>
            </w:r>
          </w:p>
        </w:tc>
        <w:tc>
          <w:tcPr>
            <w:tcW w:w="873" w:type="pct"/>
            <w:noWrap w:val="0"/>
            <w:tcMar>
              <w:top w:w="0" w:type="dxa"/>
              <w:left w:w="0" w:type="dxa"/>
              <w:bottom w:w="0" w:type="dxa"/>
              <w:right w:w="0" w:type="dxa"/>
            </w:tcMar>
            <w:vAlign w:val="center"/>
          </w:tcPr>
          <w:p w14:paraId="690B05EC">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给予警告</w:t>
            </w:r>
          </w:p>
        </w:tc>
        <w:tc>
          <w:tcPr>
            <w:tcW w:w="158" w:type="pct"/>
            <w:vMerge w:val="continue"/>
            <w:noWrap w:val="0"/>
            <w:tcMar>
              <w:top w:w="0" w:type="dxa"/>
              <w:left w:w="0" w:type="dxa"/>
              <w:bottom w:w="0" w:type="dxa"/>
              <w:right w:w="0" w:type="dxa"/>
            </w:tcMar>
            <w:vAlign w:val="center"/>
          </w:tcPr>
          <w:p w14:paraId="7835CE6C">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1EDBA6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55" w:hRule="atLeast"/>
          <w:jc w:val="center"/>
        </w:trPr>
        <w:tc>
          <w:tcPr>
            <w:tcW w:w="156" w:type="pct"/>
            <w:vMerge w:val="continue"/>
            <w:noWrap w:val="0"/>
            <w:tcMar>
              <w:top w:w="0" w:type="dxa"/>
              <w:left w:w="0" w:type="dxa"/>
              <w:bottom w:w="0" w:type="dxa"/>
              <w:right w:w="0" w:type="dxa"/>
            </w:tcMar>
            <w:vAlign w:val="center"/>
          </w:tcPr>
          <w:p w14:paraId="6191A311">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58A2DDD3">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61FD41C4">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0654D24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022D775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一般</w:t>
            </w:r>
          </w:p>
        </w:tc>
        <w:tc>
          <w:tcPr>
            <w:tcW w:w="561" w:type="pct"/>
            <w:noWrap w:val="0"/>
            <w:tcMar>
              <w:top w:w="0" w:type="dxa"/>
              <w:left w:w="0" w:type="dxa"/>
              <w:bottom w:w="0" w:type="dxa"/>
              <w:right w:w="0" w:type="dxa"/>
            </w:tcMar>
            <w:vAlign w:val="center"/>
          </w:tcPr>
          <w:p w14:paraId="4F5123FB">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sz w:val="18"/>
                <w:szCs w:val="18"/>
                <w:vertAlign w:val="baseline"/>
              </w:rPr>
              <w:t>尚未组织评标确定中标人，或其他未影响中标结果的</w:t>
            </w:r>
          </w:p>
        </w:tc>
        <w:tc>
          <w:tcPr>
            <w:tcW w:w="873" w:type="pct"/>
            <w:noWrap w:val="0"/>
            <w:tcMar>
              <w:top w:w="0" w:type="dxa"/>
              <w:left w:w="0" w:type="dxa"/>
              <w:bottom w:w="0" w:type="dxa"/>
              <w:right w:w="0" w:type="dxa"/>
            </w:tcMar>
            <w:vAlign w:val="center"/>
          </w:tcPr>
          <w:p w14:paraId="7175320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给予警告；处1万元以上3万元以下罚款</w:t>
            </w:r>
          </w:p>
        </w:tc>
        <w:tc>
          <w:tcPr>
            <w:tcW w:w="158" w:type="pct"/>
            <w:vMerge w:val="continue"/>
            <w:noWrap w:val="0"/>
            <w:tcMar>
              <w:top w:w="0" w:type="dxa"/>
              <w:left w:w="0" w:type="dxa"/>
              <w:bottom w:w="0" w:type="dxa"/>
              <w:right w:w="0" w:type="dxa"/>
            </w:tcMar>
            <w:vAlign w:val="center"/>
          </w:tcPr>
          <w:p w14:paraId="502ED585">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4BAE1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64" w:hRule="atLeast"/>
          <w:jc w:val="center"/>
        </w:trPr>
        <w:tc>
          <w:tcPr>
            <w:tcW w:w="156" w:type="pct"/>
            <w:vMerge w:val="continue"/>
            <w:noWrap w:val="0"/>
            <w:tcMar>
              <w:top w:w="0" w:type="dxa"/>
              <w:left w:w="0" w:type="dxa"/>
              <w:bottom w:w="0" w:type="dxa"/>
              <w:right w:w="0" w:type="dxa"/>
            </w:tcMar>
            <w:vAlign w:val="center"/>
          </w:tcPr>
          <w:p w14:paraId="3575047C">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5501C1D0">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5A60F9E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3A54845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6826771A">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较重</w:t>
            </w:r>
          </w:p>
        </w:tc>
        <w:tc>
          <w:tcPr>
            <w:tcW w:w="561" w:type="pct"/>
            <w:noWrap w:val="0"/>
            <w:tcMar>
              <w:top w:w="0" w:type="dxa"/>
              <w:left w:w="0" w:type="dxa"/>
              <w:bottom w:w="0" w:type="dxa"/>
              <w:right w:w="0" w:type="dxa"/>
            </w:tcMar>
            <w:vAlign w:val="center"/>
          </w:tcPr>
          <w:p w14:paraId="7325BC79">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已组织评标确定中标人的</w:t>
            </w:r>
          </w:p>
        </w:tc>
        <w:tc>
          <w:tcPr>
            <w:tcW w:w="873" w:type="pct"/>
            <w:noWrap w:val="0"/>
            <w:tcMar>
              <w:top w:w="0" w:type="dxa"/>
              <w:left w:w="0" w:type="dxa"/>
              <w:bottom w:w="0" w:type="dxa"/>
              <w:right w:w="0" w:type="dxa"/>
            </w:tcMar>
            <w:vAlign w:val="center"/>
          </w:tcPr>
          <w:p w14:paraId="65F4D51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给予警告；处3万元以上7万元以下罚款</w:t>
            </w:r>
          </w:p>
        </w:tc>
        <w:tc>
          <w:tcPr>
            <w:tcW w:w="158" w:type="pct"/>
            <w:vMerge w:val="continue"/>
            <w:noWrap w:val="0"/>
            <w:tcMar>
              <w:top w:w="0" w:type="dxa"/>
              <w:left w:w="0" w:type="dxa"/>
              <w:bottom w:w="0" w:type="dxa"/>
              <w:right w:w="0" w:type="dxa"/>
            </w:tcMar>
            <w:vAlign w:val="center"/>
          </w:tcPr>
          <w:p w14:paraId="4A96E8E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306E32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578" w:hRule="atLeast"/>
          <w:jc w:val="center"/>
        </w:trPr>
        <w:tc>
          <w:tcPr>
            <w:tcW w:w="156" w:type="pct"/>
            <w:vMerge w:val="continue"/>
            <w:noWrap w:val="0"/>
            <w:tcMar>
              <w:top w:w="0" w:type="dxa"/>
              <w:left w:w="0" w:type="dxa"/>
              <w:bottom w:w="0" w:type="dxa"/>
              <w:right w:w="0" w:type="dxa"/>
            </w:tcMar>
            <w:vAlign w:val="center"/>
          </w:tcPr>
          <w:p w14:paraId="77B6E85B">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6090B044">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5EDBA49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1D7389E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3CDCAB2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严重</w:t>
            </w:r>
          </w:p>
        </w:tc>
        <w:tc>
          <w:tcPr>
            <w:tcW w:w="561" w:type="pct"/>
            <w:noWrap w:val="0"/>
            <w:tcMar>
              <w:top w:w="0" w:type="dxa"/>
              <w:left w:w="0" w:type="dxa"/>
              <w:bottom w:w="0" w:type="dxa"/>
              <w:right w:w="0" w:type="dxa"/>
            </w:tcMar>
            <w:vAlign w:val="center"/>
          </w:tcPr>
          <w:p w14:paraId="2CA9DAEA">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已组织评标确定中标人，且造成严重后果的；3年内2次以上同类型违法的；损害国家利益、社会公共利益或者他人合法权益，造成直接经济损失30万元以上的</w:t>
            </w:r>
          </w:p>
        </w:tc>
        <w:tc>
          <w:tcPr>
            <w:tcW w:w="873" w:type="pct"/>
            <w:noWrap w:val="0"/>
            <w:tcMar>
              <w:top w:w="0" w:type="dxa"/>
              <w:left w:w="0" w:type="dxa"/>
              <w:bottom w:w="0" w:type="dxa"/>
              <w:right w:w="0" w:type="dxa"/>
            </w:tcMar>
            <w:vAlign w:val="center"/>
          </w:tcPr>
          <w:p w14:paraId="65B070BC">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给予警告；处7万元以上10万元以下罚款</w:t>
            </w:r>
          </w:p>
        </w:tc>
        <w:tc>
          <w:tcPr>
            <w:tcW w:w="158" w:type="pct"/>
            <w:vMerge w:val="continue"/>
            <w:noWrap w:val="0"/>
            <w:tcMar>
              <w:top w:w="0" w:type="dxa"/>
              <w:left w:w="0" w:type="dxa"/>
              <w:bottom w:w="0" w:type="dxa"/>
              <w:right w:w="0" w:type="dxa"/>
            </w:tcMar>
            <w:vAlign w:val="center"/>
          </w:tcPr>
          <w:p w14:paraId="6BED304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3E1219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restart"/>
            <w:noWrap w:val="0"/>
            <w:tcMar>
              <w:top w:w="0" w:type="dxa"/>
              <w:left w:w="0" w:type="dxa"/>
              <w:bottom w:w="0" w:type="dxa"/>
              <w:right w:w="0" w:type="dxa"/>
            </w:tcMar>
            <w:vAlign w:val="center"/>
          </w:tcPr>
          <w:p w14:paraId="7195DD1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r>
              <w:rPr>
                <w:rFonts w:hint="eastAsia" w:ascii="宋体" w:hAnsi="宋体" w:eastAsia="宋体" w:cs="宋体"/>
                <w:color w:val="000000"/>
                <w:sz w:val="18"/>
                <w:szCs w:val="18"/>
                <w:shd w:val="clear" w:color="auto" w:fill="auto"/>
                <w:vertAlign w:val="baseline"/>
                <w:lang w:val="en-US" w:eastAsia="zh-CN"/>
              </w:rPr>
              <w:t>122</w:t>
            </w:r>
          </w:p>
        </w:tc>
        <w:tc>
          <w:tcPr>
            <w:tcW w:w="415" w:type="pct"/>
            <w:vMerge w:val="restart"/>
            <w:noWrap w:val="0"/>
            <w:tcMar>
              <w:top w:w="0" w:type="dxa"/>
              <w:left w:w="0" w:type="dxa"/>
              <w:bottom w:w="0" w:type="dxa"/>
              <w:right w:w="0" w:type="dxa"/>
            </w:tcMar>
            <w:vAlign w:val="center"/>
          </w:tcPr>
          <w:p w14:paraId="4A8EECEA">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auto"/>
                <w:sz w:val="18"/>
                <w:szCs w:val="18"/>
                <w:vertAlign w:val="baseline"/>
                <w:lang w:val="en-US" w:eastAsia="zh-CN"/>
              </w:rPr>
              <w:t>对水利领域依法必须进行招标的项目，招标人违反规定与投标人就投标价格、投标方案等实质性内容进行谈判行为的行政处罚</w:t>
            </w:r>
          </w:p>
        </w:tc>
        <w:tc>
          <w:tcPr>
            <w:tcW w:w="2168" w:type="pct"/>
            <w:vMerge w:val="restart"/>
            <w:noWrap w:val="0"/>
            <w:tcMar>
              <w:top w:w="0" w:type="dxa"/>
              <w:left w:w="0" w:type="dxa"/>
              <w:bottom w:w="0" w:type="dxa"/>
              <w:right w:w="0" w:type="dxa"/>
            </w:tcMar>
            <w:vAlign w:val="center"/>
          </w:tcPr>
          <w:p w14:paraId="6CAEEB0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《中华人民共和国招标投标法》第五十五条第一款 依法必须进行招标的项目，招标人违反本法规定，与投标人就投标价格、投标方案等实质性内容进行谈判的，给予警告，对单位直接负责的主管人员和其他直接责任人员依法给予处分。</w:t>
            </w:r>
          </w:p>
        </w:tc>
        <w:tc>
          <w:tcPr>
            <w:tcW w:w="491" w:type="pct"/>
            <w:vMerge w:val="restart"/>
            <w:noWrap w:val="0"/>
            <w:tcMar>
              <w:top w:w="0" w:type="dxa"/>
              <w:left w:w="0" w:type="dxa"/>
              <w:bottom w:w="0" w:type="dxa"/>
              <w:right w:w="0" w:type="dxa"/>
            </w:tcMar>
            <w:vAlign w:val="center"/>
          </w:tcPr>
          <w:p w14:paraId="5F191F2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552E311B">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轻微</w:t>
            </w:r>
          </w:p>
        </w:tc>
        <w:tc>
          <w:tcPr>
            <w:tcW w:w="561" w:type="pct"/>
            <w:vMerge w:val="restar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4BE173C2">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16AA3B56">
            <w:pPr>
              <w:spacing w:line="260" w:lineRule="exact"/>
              <w:rPr>
                <w:rFonts w:hint="eastAsia" w:ascii="宋体" w:hAnsi="宋体" w:eastAsia="宋体" w:cs="宋体"/>
                <w:kern w:val="2"/>
                <w:sz w:val="18"/>
                <w:szCs w:val="18"/>
                <w:vertAlign w:val="baseline"/>
                <w:lang w:val="en-US" w:eastAsia="zh-CN" w:bidi="ar-SA"/>
              </w:rPr>
            </w:pPr>
          </w:p>
        </w:tc>
        <w:tc>
          <w:tcPr>
            <w:tcW w:w="873" w:type="pct"/>
            <w:vMerge w:val="restart"/>
            <w:noWrap w:val="0"/>
            <w:tcMar>
              <w:top w:w="0" w:type="dxa"/>
              <w:left w:w="0" w:type="dxa"/>
              <w:bottom w:w="0" w:type="dxa"/>
              <w:right w:w="0" w:type="dxa"/>
            </w:tcMar>
            <w:vAlign w:val="center"/>
          </w:tcPr>
          <w:p w14:paraId="37568A3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给予警告</w:t>
            </w:r>
          </w:p>
        </w:tc>
        <w:tc>
          <w:tcPr>
            <w:tcW w:w="158" w:type="pct"/>
            <w:vMerge w:val="restart"/>
            <w:noWrap w:val="0"/>
            <w:tcMar>
              <w:top w:w="0" w:type="dxa"/>
              <w:left w:w="0" w:type="dxa"/>
              <w:bottom w:w="0" w:type="dxa"/>
              <w:right w:w="0" w:type="dxa"/>
            </w:tcMar>
            <w:vAlign w:val="center"/>
          </w:tcPr>
          <w:p w14:paraId="0404DCE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5D3A15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25BEF610">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6B93012A">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2222A05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5E384D64">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690326DC">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较轻</w:t>
            </w:r>
          </w:p>
        </w:tc>
        <w:tc>
          <w:tcPr>
            <w:tcW w:w="561" w:type="pct"/>
            <w:vMerge w:val="continue"/>
            <w:noWrap w:val="0"/>
            <w:tcMar>
              <w:top w:w="0" w:type="dxa"/>
              <w:left w:w="0" w:type="dxa"/>
              <w:bottom w:w="0" w:type="dxa"/>
              <w:right w:w="0" w:type="dxa"/>
            </w:tcMar>
            <w:vAlign w:val="center"/>
          </w:tcPr>
          <w:p w14:paraId="0BC66D7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p>
        </w:tc>
        <w:tc>
          <w:tcPr>
            <w:tcW w:w="873" w:type="pct"/>
            <w:vMerge w:val="continue"/>
            <w:noWrap w:val="0"/>
            <w:tcMar>
              <w:top w:w="0" w:type="dxa"/>
              <w:left w:w="0" w:type="dxa"/>
              <w:bottom w:w="0" w:type="dxa"/>
              <w:right w:w="0" w:type="dxa"/>
            </w:tcMar>
            <w:vAlign w:val="center"/>
          </w:tcPr>
          <w:p w14:paraId="49B4D06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p>
        </w:tc>
        <w:tc>
          <w:tcPr>
            <w:tcW w:w="158" w:type="pct"/>
            <w:vMerge w:val="continue"/>
            <w:noWrap w:val="0"/>
            <w:tcMar>
              <w:top w:w="0" w:type="dxa"/>
              <w:left w:w="0" w:type="dxa"/>
              <w:bottom w:w="0" w:type="dxa"/>
              <w:right w:w="0" w:type="dxa"/>
            </w:tcMar>
            <w:vAlign w:val="center"/>
          </w:tcPr>
          <w:p w14:paraId="431F0D88">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053A18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475DD83B">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69D4289B">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118AD33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455287F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32EA84BC">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一般</w:t>
            </w:r>
          </w:p>
        </w:tc>
        <w:tc>
          <w:tcPr>
            <w:tcW w:w="561" w:type="pct"/>
            <w:vMerge w:val="continue"/>
            <w:noWrap w:val="0"/>
            <w:tcMar>
              <w:top w:w="0" w:type="dxa"/>
              <w:left w:w="0" w:type="dxa"/>
              <w:bottom w:w="0" w:type="dxa"/>
              <w:right w:w="0" w:type="dxa"/>
            </w:tcMar>
            <w:vAlign w:val="center"/>
          </w:tcPr>
          <w:p w14:paraId="5B47B39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p>
        </w:tc>
        <w:tc>
          <w:tcPr>
            <w:tcW w:w="873" w:type="pct"/>
            <w:vMerge w:val="continue"/>
            <w:noWrap w:val="0"/>
            <w:tcMar>
              <w:top w:w="0" w:type="dxa"/>
              <w:left w:w="0" w:type="dxa"/>
              <w:bottom w:w="0" w:type="dxa"/>
              <w:right w:w="0" w:type="dxa"/>
            </w:tcMar>
            <w:vAlign w:val="center"/>
          </w:tcPr>
          <w:p w14:paraId="73919A6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p>
        </w:tc>
        <w:tc>
          <w:tcPr>
            <w:tcW w:w="158" w:type="pct"/>
            <w:vMerge w:val="continue"/>
            <w:noWrap w:val="0"/>
            <w:tcMar>
              <w:top w:w="0" w:type="dxa"/>
              <w:left w:w="0" w:type="dxa"/>
              <w:bottom w:w="0" w:type="dxa"/>
              <w:right w:w="0" w:type="dxa"/>
            </w:tcMar>
            <w:vAlign w:val="center"/>
          </w:tcPr>
          <w:p w14:paraId="2D88393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0C25B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7ABF4D2C">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5AA8D8F0">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6041336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3E1BF374">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51BE66D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较重</w:t>
            </w:r>
          </w:p>
        </w:tc>
        <w:tc>
          <w:tcPr>
            <w:tcW w:w="561" w:type="pct"/>
            <w:vMerge w:val="continue"/>
            <w:noWrap w:val="0"/>
            <w:tcMar>
              <w:top w:w="0" w:type="dxa"/>
              <w:left w:w="0" w:type="dxa"/>
              <w:bottom w:w="0" w:type="dxa"/>
              <w:right w:w="0" w:type="dxa"/>
            </w:tcMar>
            <w:vAlign w:val="center"/>
          </w:tcPr>
          <w:p w14:paraId="1F13FAF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p>
        </w:tc>
        <w:tc>
          <w:tcPr>
            <w:tcW w:w="873" w:type="pct"/>
            <w:vMerge w:val="continue"/>
            <w:noWrap w:val="0"/>
            <w:tcMar>
              <w:top w:w="0" w:type="dxa"/>
              <w:left w:w="0" w:type="dxa"/>
              <w:bottom w:w="0" w:type="dxa"/>
              <w:right w:w="0" w:type="dxa"/>
            </w:tcMar>
            <w:vAlign w:val="center"/>
          </w:tcPr>
          <w:p w14:paraId="35EE64D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p>
        </w:tc>
        <w:tc>
          <w:tcPr>
            <w:tcW w:w="158" w:type="pct"/>
            <w:vMerge w:val="continue"/>
            <w:noWrap w:val="0"/>
            <w:tcMar>
              <w:top w:w="0" w:type="dxa"/>
              <w:left w:w="0" w:type="dxa"/>
              <w:bottom w:w="0" w:type="dxa"/>
              <w:right w:w="0" w:type="dxa"/>
            </w:tcMar>
            <w:vAlign w:val="center"/>
          </w:tcPr>
          <w:p w14:paraId="133FC57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20CF0D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355AB3E1">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2E9D90B3">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03D6A73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37E8BA5C">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750AA6CA">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严重</w:t>
            </w:r>
          </w:p>
        </w:tc>
        <w:tc>
          <w:tcPr>
            <w:tcW w:w="561" w:type="pct"/>
            <w:vMerge w:val="continue"/>
            <w:noWrap w:val="0"/>
            <w:tcMar>
              <w:top w:w="0" w:type="dxa"/>
              <w:left w:w="0" w:type="dxa"/>
              <w:bottom w:w="0" w:type="dxa"/>
              <w:right w:w="0" w:type="dxa"/>
            </w:tcMar>
            <w:vAlign w:val="center"/>
          </w:tcPr>
          <w:p w14:paraId="0448D2D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p>
        </w:tc>
        <w:tc>
          <w:tcPr>
            <w:tcW w:w="873" w:type="pct"/>
            <w:vMerge w:val="continue"/>
            <w:noWrap w:val="0"/>
            <w:tcMar>
              <w:top w:w="0" w:type="dxa"/>
              <w:left w:w="0" w:type="dxa"/>
              <w:bottom w:w="0" w:type="dxa"/>
              <w:right w:w="0" w:type="dxa"/>
            </w:tcMar>
            <w:vAlign w:val="center"/>
          </w:tcPr>
          <w:p w14:paraId="760BEEB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p>
        </w:tc>
        <w:tc>
          <w:tcPr>
            <w:tcW w:w="158" w:type="pct"/>
            <w:vMerge w:val="continue"/>
            <w:noWrap w:val="0"/>
            <w:tcMar>
              <w:top w:w="0" w:type="dxa"/>
              <w:left w:w="0" w:type="dxa"/>
              <w:bottom w:w="0" w:type="dxa"/>
              <w:right w:w="0" w:type="dxa"/>
            </w:tcMar>
            <w:vAlign w:val="center"/>
          </w:tcPr>
          <w:p w14:paraId="477D34FA">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65A97F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restart"/>
            <w:noWrap w:val="0"/>
            <w:tcMar>
              <w:top w:w="0" w:type="dxa"/>
              <w:left w:w="0" w:type="dxa"/>
              <w:bottom w:w="0" w:type="dxa"/>
              <w:right w:w="0" w:type="dxa"/>
            </w:tcMar>
            <w:vAlign w:val="center"/>
          </w:tcPr>
          <w:p w14:paraId="5D143AF0">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r>
              <w:rPr>
                <w:rFonts w:hint="eastAsia" w:ascii="宋体" w:hAnsi="宋体" w:eastAsia="宋体" w:cs="宋体"/>
                <w:color w:val="000000"/>
                <w:sz w:val="18"/>
                <w:szCs w:val="18"/>
                <w:shd w:val="clear" w:color="auto" w:fill="auto"/>
                <w:vertAlign w:val="baseline"/>
                <w:lang w:val="en-US" w:eastAsia="zh-CN"/>
              </w:rPr>
              <w:t>123</w:t>
            </w:r>
          </w:p>
        </w:tc>
        <w:tc>
          <w:tcPr>
            <w:tcW w:w="415" w:type="pct"/>
            <w:vMerge w:val="restart"/>
            <w:noWrap w:val="0"/>
            <w:tcMar>
              <w:top w:w="0" w:type="dxa"/>
              <w:left w:w="0" w:type="dxa"/>
              <w:bottom w:w="0" w:type="dxa"/>
              <w:right w:w="0" w:type="dxa"/>
            </w:tcMar>
            <w:vAlign w:val="center"/>
          </w:tcPr>
          <w:p w14:paraId="42A7E4DD">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对水利领域招标人在评标委员会依法推荐的中标候选人以外确定中标人，依法必须进行招标的项目在所有投标被评标委员会否决后自行确定中标人等行为的行政处罚</w:t>
            </w:r>
          </w:p>
        </w:tc>
        <w:tc>
          <w:tcPr>
            <w:tcW w:w="2168" w:type="pct"/>
            <w:vMerge w:val="restart"/>
            <w:noWrap w:val="0"/>
            <w:tcMar>
              <w:top w:w="0" w:type="dxa"/>
              <w:left w:w="0" w:type="dxa"/>
              <w:bottom w:w="0" w:type="dxa"/>
              <w:right w:w="0" w:type="dxa"/>
            </w:tcMar>
            <w:vAlign w:val="center"/>
          </w:tcPr>
          <w:p w14:paraId="0A031E2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《中华人民共和国招标投标法》第五十七条 招标人在评标委员会依法推荐的中标候选人以外确定中标人的，依法必须进行招标的项目在所有投标被评标委员会否决后自行确定中标人的，中标无效，责令改正，可以处中标项目金额千分之五以上千分之十以下的罚款；对单位直接负责的主管人员和其他直接责任人员依法给予处分。</w:t>
            </w:r>
          </w:p>
          <w:p w14:paraId="476F9D9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《中华人民共和国招标投标法实施条例》第七十三条  依法必须进行招标的项目的招标人有下列情形之一的，由有关行政监督部门责令改正，可以处中标项目金额10‰以下的罚款；给他人造成损失的，依法承担赔偿责任；对单位直接负责的主管人员和其他直接责任人员依法给予处分：</w:t>
            </w:r>
          </w:p>
          <w:p w14:paraId="0C3FCB7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（二）不按照规定确定中标人；</w:t>
            </w:r>
          </w:p>
          <w:p w14:paraId="68830ED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《评标委员会和评标方法暂行规定》第五十五条 招标人有下列情形之一的，责令改正，可以处中标项目金额千分之十以下的罚款；给他人造成损失的，依法承担赔偿责任；对单位直接负责的主管人员和其他直接责任人员依法给予处分：</w:t>
            </w:r>
          </w:p>
          <w:p w14:paraId="04B805C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（二）不按照规定确定中标人；</w:t>
            </w:r>
          </w:p>
          <w:p w14:paraId="2937C68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《工程建设项目货物招标投标办法》第五十八条第一款 依法必须进行招标的项目的招标人有下列情形之一的，由有关行政监督部门责令改正，可以处中标项目金额千分之十以下的罚款；给他人造成损失的，依法承担赔偿责任；对单位直接负责的主管人员和其他直接责任人员依法给予处分：</w:t>
            </w:r>
          </w:p>
          <w:p w14:paraId="6B7ABB3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（二）不按照规定确定中标人；</w:t>
            </w:r>
          </w:p>
          <w:p w14:paraId="165554D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《工程建设项目施工招标投标办法》第八十条 依法必须进行招标的项目的招标人有下列情形之一的，由有关行政监督部门责令改正，可以处中标项目金额千分之十以下的罚款；给他人造成损失的，依法承担赔偿责任；对单位直接负责的主管人员和其他直接责任人员依法给予处分：</w:t>
            </w:r>
          </w:p>
          <w:p w14:paraId="5012705C">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（二）不按照规定确定中标人。</w:t>
            </w:r>
          </w:p>
        </w:tc>
        <w:tc>
          <w:tcPr>
            <w:tcW w:w="491" w:type="pct"/>
            <w:vMerge w:val="restart"/>
            <w:noWrap w:val="0"/>
            <w:tcMar>
              <w:top w:w="0" w:type="dxa"/>
              <w:left w:w="0" w:type="dxa"/>
              <w:bottom w:w="0" w:type="dxa"/>
              <w:right w:w="0" w:type="dxa"/>
            </w:tcMar>
            <w:vAlign w:val="center"/>
          </w:tcPr>
          <w:p w14:paraId="663C412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水利领域招标人在评标委员会依法推荐的中标候选人以外确定中标人，依法必须进行招标的项目在所有投标被评标委员会否决后自行确定中标人的</w:t>
            </w:r>
          </w:p>
        </w:tc>
        <w:tc>
          <w:tcPr>
            <w:tcW w:w="174" w:type="pct"/>
            <w:noWrap w:val="0"/>
            <w:tcMar>
              <w:top w:w="0" w:type="dxa"/>
              <w:left w:w="0" w:type="dxa"/>
              <w:bottom w:w="0" w:type="dxa"/>
              <w:right w:w="0" w:type="dxa"/>
            </w:tcMar>
            <w:vAlign w:val="center"/>
          </w:tcPr>
          <w:p w14:paraId="7E76C2B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轻微</w:t>
            </w:r>
          </w:p>
        </w:tc>
        <w:tc>
          <w:tcPr>
            <w:tcW w:w="561" w:type="pct"/>
            <w:noWrap w:val="0"/>
            <w:tcMar>
              <w:top w:w="0" w:type="dxa"/>
              <w:left w:w="0" w:type="dxa"/>
              <w:bottom w:w="0" w:type="dxa"/>
              <w:right w:w="0" w:type="dxa"/>
            </w:tcMar>
            <w:vAlign w:val="center"/>
          </w:tcPr>
          <w:p w14:paraId="5866982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t>及时改正，且没有造成危害后果的</w:t>
            </w:r>
          </w:p>
        </w:tc>
        <w:tc>
          <w:tcPr>
            <w:tcW w:w="873" w:type="pct"/>
            <w:noWrap w:val="0"/>
            <w:tcMar>
              <w:top w:w="0" w:type="dxa"/>
              <w:left w:w="0" w:type="dxa"/>
              <w:bottom w:w="0" w:type="dxa"/>
              <w:right w:w="0" w:type="dxa"/>
            </w:tcMar>
            <w:vAlign w:val="center"/>
          </w:tcPr>
          <w:p w14:paraId="77C8866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highlight w:val="none"/>
                <w:vertAlign w:val="baseline"/>
                <w:lang w:val="en-US" w:eastAsia="zh-CN" w:bidi="ar-SA"/>
              </w:rPr>
            </w:pPr>
            <w:r>
              <w:rPr>
                <w:rFonts w:hint="eastAsia" w:ascii="宋体" w:hAnsi="宋体" w:eastAsia="宋体" w:cs="宋体"/>
                <w:color w:val="000000"/>
                <w:kern w:val="2"/>
                <w:sz w:val="18"/>
                <w:szCs w:val="18"/>
                <w:highlight w:val="none"/>
                <w:vertAlign w:val="baseline"/>
                <w:lang w:val="en-US" w:eastAsia="zh-CN" w:bidi="ar-SA"/>
              </w:rPr>
              <w:t>不予行政处罚</w:t>
            </w:r>
          </w:p>
        </w:tc>
        <w:tc>
          <w:tcPr>
            <w:tcW w:w="158" w:type="pct"/>
            <w:vMerge w:val="restart"/>
            <w:noWrap w:val="0"/>
            <w:tcMar>
              <w:top w:w="0" w:type="dxa"/>
              <w:left w:w="0" w:type="dxa"/>
              <w:bottom w:w="0" w:type="dxa"/>
              <w:right w:w="0" w:type="dxa"/>
            </w:tcMar>
            <w:vAlign w:val="center"/>
          </w:tcPr>
          <w:p w14:paraId="4D85061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63702D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jc w:val="center"/>
        </w:trPr>
        <w:tc>
          <w:tcPr>
            <w:tcW w:w="156" w:type="pct"/>
            <w:vMerge w:val="continue"/>
            <w:noWrap w:val="0"/>
            <w:tcMar>
              <w:top w:w="0" w:type="dxa"/>
              <w:left w:w="0" w:type="dxa"/>
              <w:bottom w:w="0" w:type="dxa"/>
              <w:right w:w="0" w:type="dxa"/>
            </w:tcMar>
            <w:vAlign w:val="center"/>
          </w:tcPr>
          <w:p w14:paraId="5E492D11">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101D94CF">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196B3AC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0C32BDF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799FA250">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较轻</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41F7C3A1">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7BAFC1A5">
            <w:pPr>
              <w:spacing w:line="260" w:lineRule="exact"/>
              <w:rPr>
                <w:rFonts w:hint="eastAsia" w:ascii="宋体" w:hAnsi="宋体" w:eastAsia="宋体" w:cs="宋体"/>
                <w:color w:val="000000"/>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19DCDBBB">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4ACEA17C">
            <w:pPr>
              <w:spacing w:line="260" w:lineRule="exact"/>
              <w:rPr>
                <w:rFonts w:hint="eastAsia" w:ascii="宋体" w:hAnsi="宋体" w:eastAsia="宋体" w:cs="宋体"/>
                <w:color w:val="000000"/>
                <w:kern w:val="2"/>
                <w:sz w:val="18"/>
                <w:szCs w:val="18"/>
                <w:vertAlign w:val="baseline"/>
                <w:lang w:val="en-US" w:eastAsia="zh-CN" w:bidi="ar-SA"/>
              </w:rPr>
            </w:pPr>
          </w:p>
        </w:tc>
        <w:tc>
          <w:tcPr>
            <w:tcW w:w="158" w:type="pct"/>
            <w:vMerge w:val="continue"/>
            <w:noWrap w:val="0"/>
            <w:tcMar>
              <w:top w:w="0" w:type="dxa"/>
              <w:left w:w="0" w:type="dxa"/>
              <w:bottom w:w="0" w:type="dxa"/>
              <w:right w:w="0" w:type="dxa"/>
            </w:tcMar>
            <w:vAlign w:val="center"/>
          </w:tcPr>
          <w:p w14:paraId="55279C0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485FEC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1166EC1A">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1A844032">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65EDB27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2985B2F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5196CBBB">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一般</w:t>
            </w:r>
          </w:p>
        </w:tc>
        <w:tc>
          <w:tcPr>
            <w:tcW w:w="561" w:type="pct"/>
            <w:noWrap w:val="0"/>
            <w:tcMar>
              <w:top w:w="0" w:type="dxa"/>
              <w:left w:w="0" w:type="dxa"/>
              <w:bottom w:w="0" w:type="dxa"/>
              <w:right w:w="0" w:type="dxa"/>
            </w:tcMar>
            <w:vAlign w:val="center"/>
          </w:tcPr>
          <w:p w14:paraId="35AA50B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sz w:val="18"/>
                <w:szCs w:val="18"/>
                <w:vertAlign w:val="baseline"/>
              </w:rPr>
              <w:t>已确定中标人但项目尚未实施的</w:t>
            </w:r>
          </w:p>
        </w:tc>
        <w:tc>
          <w:tcPr>
            <w:tcW w:w="873" w:type="pct"/>
            <w:noWrap w:val="0"/>
            <w:tcMar>
              <w:top w:w="0" w:type="dxa"/>
              <w:left w:w="0" w:type="dxa"/>
              <w:bottom w:w="0" w:type="dxa"/>
              <w:right w:w="0" w:type="dxa"/>
            </w:tcMar>
            <w:vAlign w:val="center"/>
          </w:tcPr>
          <w:p w14:paraId="281BBCA4">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处中标项目金额5‰以上6.5‰以下的罚款</w:t>
            </w:r>
          </w:p>
        </w:tc>
        <w:tc>
          <w:tcPr>
            <w:tcW w:w="158" w:type="pct"/>
            <w:vMerge w:val="continue"/>
            <w:noWrap w:val="0"/>
            <w:tcMar>
              <w:top w:w="0" w:type="dxa"/>
              <w:left w:w="0" w:type="dxa"/>
              <w:bottom w:w="0" w:type="dxa"/>
              <w:right w:w="0" w:type="dxa"/>
            </w:tcMar>
            <w:vAlign w:val="center"/>
          </w:tcPr>
          <w:p w14:paraId="3C7AC075">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768F5D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28700F1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1A2861D8">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6A71308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5164B0C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6A7C18F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较重</w:t>
            </w:r>
          </w:p>
        </w:tc>
        <w:tc>
          <w:tcPr>
            <w:tcW w:w="561" w:type="pct"/>
            <w:noWrap w:val="0"/>
            <w:tcMar>
              <w:top w:w="0" w:type="dxa"/>
              <w:left w:w="0" w:type="dxa"/>
              <w:bottom w:w="0" w:type="dxa"/>
              <w:right w:w="0" w:type="dxa"/>
            </w:tcMar>
            <w:vAlign w:val="center"/>
          </w:tcPr>
          <w:p w14:paraId="79AB55C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已确定中标人且项目已开始实施的</w:t>
            </w:r>
          </w:p>
        </w:tc>
        <w:tc>
          <w:tcPr>
            <w:tcW w:w="873" w:type="pct"/>
            <w:noWrap w:val="0"/>
            <w:tcMar>
              <w:top w:w="0" w:type="dxa"/>
              <w:left w:w="0" w:type="dxa"/>
              <w:bottom w:w="0" w:type="dxa"/>
              <w:right w:w="0" w:type="dxa"/>
            </w:tcMar>
            <w:vAlign w:val="center"/>
          </w:tcPr>
          <w:p w14:paraId="0A0C370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处中标项目金额6.5‰以上8.5‰以下的罚款</w:t>
            </w:r>
          </w:p>
        </w:tc>
        <w:tc>
          <w:tcPr>
            <w:tcW w:w="158" w:type="pct"/>
            <w:vMerge w:val="continue"/>
            <w:noWrap w:val="0"/>
            <w:tcMar>
              <w:top w:w="0" w:type="dxa"/>
              <w:left w:w="0" w:type="dxa"/>
              <w:bottom w:w="0" w:type="dxa"/>
              <w:right w:w="0" w:type="dxa"/>
            </w:tcMar>
            <w:vAlign w:val="center"/>
          </w:tcPr>
          <w:p w14:paraId="0899F38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066B9B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736A17CD">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2D2E59B8">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714C3FB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46F086B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05AD1BC1">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严重</w:t>
            </w:r>
          </w:p>
        </w:tc>
        <w:tc>
          <w:tcPr>
            <w:tcW w:w="561" w:type="pct"/>
            <w:noWrap w:val="0"/>
            <w:tcMar>
              <w:top w:w="0" w:type="dxa"/>
              <w:left w:w="0" w:type="dxa"/>
              <w:bottom w:w="0" w:type="dxa"/>
              <w:right w:w="0" w:type="dxa"/>
            </w:tcMar>
            <w:vAlign w:val="center"/>
          </w:tcPr>
          <w:p w14:paraId="15A713F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已确定中标人且项目开始实施的，并造成严重后果的；3年内2次以上同类型违法的</w:t>
            </w:r>
          </w:p>
        </w:tc>
        <w:tc>
          <w:tcPr>
            <w:tcW w:w="873" w:type="pct"/>
            <w:noWrap w:val="0"/>
            <w:tcMar>
              <w:top w:w="0" w:type="dxa"/>
              <w:left w:w="0" w:type="dxa"/>
              <w:bottom w:w="0" w:type="dxa"/>
              <w:right w:w="0" w:type="dxa"/>
            </w:tcMar>
            <w:vAlign w:val="center"/>
          </w:tcPr>
          <w:p w14:paraId="7AC2057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处中标项目金额8.5‰以上10‰以下的罚款</w:t>
            </w:r>
          </w:p>
        </w:tc>
        <w:tc>
          <w:tcPr>
            <w:tcW w:w="158" w:type="pct"/>
            <w:vMerge w:val="continue"/>
            <w:noWrap w:val="0"/>
            <w:tcMar>
              <w:top w:w="0" w:type="dxa"/>
              <w:left w:w="0" w:type="dxa"/>
              <w:bottom w:w="0" w:type="dxa"/>
              <w:right w:w="0" w:type="dxa"/>
            </w:tcMar>
            <w:vAlign w:val="center"/>
          </w:tcPr>
          <w:p w14:paraId="577A4E6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510C5C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restart"/>
            <w:noWrap w:val="0"/>
            <w:tcMar>
              <w:top w:w="0" w:type="dxa"/>
              <w:left w:w="0" w:type="dxa"/>
              <w:bottom w:w="0" w:type="dxa"/>
              <w:right w:w="0" w:type="dxa"/>
            </w:tcMar>
            <w:vAlign w:val="center"/>
          </w:tcPr>
          <w:p w14:paraId="208C60EC">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r>
              <w:rPr>
                <w:rFonts w:hint="eastAsia" w:ascii="宋体" w:hAnsi="宋体" w:eastAsia="宋体" w:cs="宋体"/>
                <w:color w:val="000000"/>
                <w:sz w:val="18"/>
                <w:szCs w:val="18"/>
                <w:shd w:val="clear" w:color="auto" w:fill="auto"/>
                <w:vertAlign w:val="baseline"/>
                <w:lang w:val="en-US" w:eastAsia="zh-CN"/>
              </w:rPr>
              <w:t>124</w:t>
            </w:r>
          </w:p>
        </w:tc>
        <w:tc>
          <w:tcPr>
            <w:tcW w:w="415" w:type="pct"/>
            <w:vMerge w:val="restart"/>
            <w:noWrap w:val="0"/>
            <w:tcMar>
              <w:top w:w="0" w:type="dxa"/>
              <w:left w:w="0" w:type="dxa"/>
              <w:bottom w:w="0" w:type="dxa"/>
              <w:right w:w="0" w:type="dxa"/>
            </w:tcMar>
            <w:vAlign w:val="center"/>
          </w:tcPr>
          <w:p w14:paraId="379BFC47">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对水利领域招标人与中标人不按照招标文件和中标人的投标文件订立合同，或者招标人、中标人订立背离合同实质性内容的协议等行为的行政处罚</w:t>
            </w:r>
          </w:p>
        </w:tc>
        <w:tc>
          <w:tcPr>
            <w:tcW w:w="2168" w:type="pct"/>
            <w:vMerge w:val="restart"/>
            <w:noWrap w:val="0"/>
            <w:tcMar>
              <w:top w:w="0" w:type="dxa"/>
              <w:left w:w="0" w:type="dxa"/>
              <w:bottom w:w="0" w:type="dxa"/>
              <w:right w:w="0" w:type="dxa"/>
            </w:tcMar>
            <w:vAlign w:val="center"/>
          </w:tcPr>
          <w:p w14:paraId="2A2F98A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《中华人民共和国招标投标法》第五十九条 招标人与中标人不按照招标文件和中标人的投标文件订立合同的，或者招标人、中标人订立背离合同实质性内容的协议的，责令改正；可以处中标项目金额千分之五以上千分之十以下的罚款。</w:t>
            </w:r>
          </w:p>
          <w:p w14:paraId="2932D3B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《中华人民共和国招标投标法实施条例》第七十五条 招标人和中标人不按照招标文件和中标人的投标文件订立合同，合同的主要条款与招标文件、中标人的投标文件的内容不一致，或者招标人、中标人订立背离合同实质性内容的协议的，由有关行政监督部门责令改正，可以处中标项目金额5‰以上10‰以下的罚款。</w:t>
            </w:r>
          </w:p>
          <w:p w14:paraId="7900C25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《评标委员会和评标方法暂行规定》第五十六条 招标人与中标人不按照招标文件和中标人的投标文件订立合同的，合同的主要条款与招标文件、中标人的投标文件的内容不一致，或者招标人、中标人订立背离合同实质性内容的协议的，由有关行政监督部门责令改正，可以处中标项目金额千分之五以上千分之十以下的罚款。</w:t>
            </w:r>
          </w:p>
          <w:p w14:paraId="20894B7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《工程建设项目施工招标投标办法》第八十三条 招标人与中标人不按照招标文件和中标人的投标文件订立合同的，合同的主要条款与招标文件、中标人的投标文件的内容不一致，或者招标人、中标人订立背离合同实质性内容的协议的，有关行政监督部门责令改正；可以处中标项目金额千分之五以上千分之十以下的罚款。</w:t>
            </w:r>
          </w:p>
          <w:p w14:paraId="291EC4C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《工程建设项目勘察设计招标投标办法》第五十五条 招标人与中标人不按照招标文件和中标人的投标文件订立合同，责令改正，可以处中标项目金额千分之五以上千分之十以下的罚款。</w:t>
            </w:r>
          </w:p>
        </w:tc>
        <w:tc>
          <w:tcPr>
            <w:tcW w:w="491" w:type="pct"/>
            <w:vMerge w:val="restart"/>
            <w:noWrap w:val="0"/>
            <w:tcMar>
              <w:top w:w="0" w:type="dxa"/>
              <w:left w:w="0" w:type="dxa"/>
              <w:bottom w:w="0" w:type="dxa"/>
              <w:right w:w="0" w:type="dxa"/>
            </w:tcMar>
            <w:vAlign w:val="center"/>
          </w:tcPr>
          <w:p w14:paraId="32B2481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水利领域招标人与中标人不按照招标文件和中标人的投标文件订立合同，或者招标人、中标人订立背离合同实质性内容的协议的</w:t>
            </w:r>
          </w:p>
        </w:tc>
        <w:tc>
          <w:tcPr>
            <w:tcW w:w="174" w:type="pct"/>
            <w:noWrap w:val="0"/>
            <w:tcMar>
              <w:top w:w="0" w:type="dxa"/>
              <w:left w:w="0" w:type="dxa"/>
              <w:bottom w:w="0" w:type="dxa"/>
              <w:right w:w="0" w:type="dxa"/>
            </w:tcMar>
            <w:vAlign w:val="center"/>
          </w:tcPr>
          <w:p w14:paraId="01B974E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轻微</w:t>
            </w:r>
          </w:p>
        </w:tc>
        <w:tc>
          <w:tcPr>
            <w:tcW w:w="561" w:type="pct"/>
            <w:noWrap w:val="0"/>
            <w:tcMar>
              <w:top w:w="0" w:type="dxa"/>
              <w:left w:w="0" w:type="dxa"/>
              <w:bottom w:w="0" w:type="dxa"/>
              <w:right w:w="0" w:type="dxa"/>
            </w:tcMar>
            <w:vAlign w:val="center"/>
          </w:tcPr>
          <w:p w14:paraId="6EB6B05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t>初次违法，且没有造成危害后果的</w:t>
            </w:r>
          </w:p>
        </w:tc>
        <w:tc>
          <w:tcPr>
            <w:tcW w:w="873" w:type="pct"/>
            <w:noWrap w:val="0"/>
            <w:tcMar>
              <w:top w:w="0" w:type="dxa"/>
              <w:left w:w="0" w:type="dxa"/>
              <w:bottom w:w="0" w:type="dxa"/>
              <w:right w:w="0" w:type="dxa"/>
            </w:tcMar>
            <w:vAlign w:val="center"/>
          </w:tcPr>
          <w:p w14:paraId="1699D51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highlight w:val="none"/>
                <w:vertAlign w:val="baseline"/>
                <w:lang w:val="en-US" w:eastAsia="zh-CN" w:bidi="ar-SA"/>
              </w:rPr>
            </w:pPr>
            <w:r>
              <w:rPr>
                <w:rFonts w:hint="eastAsia" w:ascii="宋体" w:hAnsi="宋体" w:eastAsia="宋体" w:cs="宋体"/>
                <w:color w:val="000000"/>
                <w:kern w:val="2"/>
                <w:sz w:val="18"/>
                <w:szCs w:val="18"/>
                <w:highlight w:val="none"/>
                <w:vertAlign w:val="baseline"/>
                <w:lang w:val="en-US" w:eastAsia="zh-CN" w:bidi="ar-SA"/>
              </w:rPr>
              <w:t>不予行政处罚</w:t>
            </w:r>
          </w:p>
        </w:tc>
        <w:tc>
          <w:tcPr>
            <w:tcW w:w="158" w:type="pct"/>
            <w:vMerge w:val="restart"/>
            <w:noWrap w:val="0"/>
            <w:tcMar>
              <w:top w:w="0" w:type="dxa"/>
              <w:left w:w="0" w:type="dxa"/>
              <w:bottom w:w="0" w:type="dxa"/>
              <w:right w:w="0" w:type="dxa"/>
            </w:tcMar>
            <w:vAlign w:val="center"/>
          </w:tcPr>
          <w:p w14:paraId="1CA9B45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6A459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778504B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6AA7AC9C">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6D21CDE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54458DBC">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2859847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较轻</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552E9EFE">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7EDEEF73">
            <w:pPr>
              <w:spacing w:line="260" w:lineRule="exact"/>
              <w:rPr>
                <w:rFonts w:hint="eastAsia" w:ascii="宋体" w:hAnsi="宋体" w:eastAsia="宋体" w:cs="宋体"/>
                <w:color w:val="000000"/>
                <w:sz w:val="18"/>
                <w:szCs w:val="18"/>
                <w:vertAlign w:val="baseline"/>
                <w:lang w:val="en-US" w:eastAsia="zh-CN"/>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635409F7">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21CC1346">
            <w:pPr>
              <w:spacing w:line="260" w:lineRule="exact"/>
              <w:rPr>
                <w:rFonts w:hint="eastAsia" w:ascii="宋体" w:hAnsi="宋体" w:eastAsia="宋体" w:cs="宋体"/>
                <w:color w:val="000000"/>
                <w:kern w:val="2"/>
                <w:sz w:val="18"/>
                <w:szCs w:val="18"/>
                <w:vertAlign w:val="baseline"/>
                <w:lang w:val="en-US" w:eastAsia="zh-CN" w:bidi="ar-SA"/>
              </w:rPr>
            </w:pPr>
          </w:p>
        </w:tc>
        <w:tc>
          <w:tcPr>
            <w:tcW w:w="158" w:type="pct"/>
            <w:vMerge w:val="continue"/>
            <w:noWrap w:val="0"/>
            <w:tcMar>
              <w:top w:w="0" w:type="dxa"/>
              <w:left w:w="0" w:type="dxa"/>
              <w:bottom w:w="0" w:type="dxa"/>
              <w:right w:w="0" w:type="dxa"/>
            </w:tcMar>
            <w:vAlign w:val="center"/>
          </w:tcPr>
          <w:p w14:paraId="3D6BFC3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1BC37A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46842865">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1B7D5862">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1A90D0C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53FD200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7495CA7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一般</w:t>
            </w:r>
          </w:p>
        </w:tc>
        <w:tc>
          <w:tcPr>
            <w:tcW w:w="561" w:type="pct"/>
            <w:noWrap w:val="0"/>
            <w:tcMar>
              <w:top w:w="0" w:type="dxa"/>
              <w:left w:w="0" w:type="dxa"/>
              <w:bottom w:w="0" w:type="dxa"/>
              <w:right w:w="0" w:type="dxa"/>
            </w:tcMar>
            <w:vAlign w:val="center"/>
          </w:tcPr>
          <w:p w14:paraId="3A675E0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sz w:val="18"/>
                <w:szCs w:val="18"/>
                <w:vertAlign w:val="baseline"/>
                <w:lang w:val="en-US" w:eastAsia="zh-CN"/>
              </w:rPr>
              <w:t>及时改正的</w:t>
            </w:r>
          </w:p>
        </w:tc>
        <w:tc>
          <w:tcPr>
            <w:tcW w:w="873" w:type="pct"/>
            <w:noWrap w:val="0"/>
            <w:tcMar>
              <w:top w:w="0" w:type="dxa"/>
              <w:left w:w="0" w:type="dxa"/>
              <w:bottom w:w="0" w:type="dxa"/>
              <w:right w:w="0" w:type="dxa"/>
            </w:tcMar>
            <w:vAlign w:val="center"/>
          </w:tcPr>
          <w:p w14:paraId="57793D94">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处中标项目金额5‰以上6.5‰以下的罚款</w:t>
            </w:r>
          </w:p>
        </w:tc>
        <w:tc>
          <w:tcPr>
            <w:tcW w:w="158" w:type="pct"/>
            <w:vMerge w:val="continue"/>
            <w:noWrap w:val="0"/>
            <w:tcMar>
              <w:top w:w="0" w:type="dxa"/>
              <w:left w:w="0" w:type="dxa"/>
              <w:bottom w:w="0" w:type="dxa"/>
              <w:right w:w="0" w:type="dxa"/>
            </w:tcMar>
            <w:vAlign w:val="center"/>
          </w:tcPr>
          <w:p w14:paraId="157FE37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7D8614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536C1BCB">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6DF4CD41">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2366EAE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19987E7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4F5FB46B">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较重</w:t>
            </w:r>
          </w:p>
        </w:tc>
        <w:tc>
          <w:tcPr>
            <w:tcW w:w="561" w:type="pct"/>
            <w:noWrap w:val="0"/>
            <w:tcMar>
              <w:top w:w="0" w:type="dxa"/>
              <w:left w:w="0" w:type="dxa"/>
              <w:bottom w:w="0" w:type="dxa"/>
              <w:right w:w="0" w:type="dxa"/>
            </w:tcMar>
            <w:vAlign w:val="center"/>
          </w:tcPr>
          <w:p w14:paraId="0B79173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未在规定期限内改正的</w:t>
            </w:r>
          </w:p>
        </w:tc>
        <w:tc>
          <w:tcPr>
            <w:tcW w:w="873" w:type="pct"/>
            <w:noWrap w:val="0"/>
            <w:tcMar>
              <w:top w:w="0" w:type="dxa"/>
              <w:left w:w="0" w:type="dxa"/>
              <w:bottom w:w="0" w:type="dxa"/>
              <w:right w:w="0" w:type="dxa"/>
            </w:tcMar>
            <w:vAlign w:val="center"/>
          </w:tcPr>
          <w:p w14:paraId="46187F6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处中标项目金额6.5‰以上8.5‰以下的罚款</w:t>
            </w:r>
          </w:p>
        </w:tc>
        <w:tc>
          <w:tcPr>
            <w:tcW w:w="158" w:type="pct"/>
            <w:vMerge w:val="continue"/>
            <w:noWrap w:val="0"/>
            <w:tcMar>
              <w:top w:w="0" w:type="dxa"/>
              <w:left w:w="0" w:type="dxa"/>
              <w:bottom w:w="0" w:type="dxa"/>
              <w:right w:w="0" w:type="dxa"/>
            </w:tcMar>
            <w:vAlign w:val="center"/>
          </w:tcPr>
          <w:p w14:paraId="6A962E7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10A48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0EE6167C">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323CA4A7">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26D41507">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31DBE9C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27946A1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严重</w:t>
            </w:r>
          </w:p>
        </w:tc>
        <w:tc>
          <w:tcPr>
            <w:tcW w:w="561" w:type="pct"/>
            <w:noWrap w:val="0"/>
            <w:tcMar>
              <w:top w:w="0" w:type="dxa"/>
              <w:left w:w="0" w:type="dxa"/>
              <w:bottom w:w="0" w:type="dxa"/>
              <w:right w:w="0" w:type="dxa"/>
            </w:tcMar>
            <w:vAlign w:val="center"/>
          </w:tcPr>
          <w:p w14:paraId="389959C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拒不改正的；3年内2次以上同类型违法的；造成严重危害后果的</w:t>
            </w:r>
          </w:p>
        </w:tc>
        <w:tc>
          <w:tcPr>
            <w:tcW w:w="873" w:type="pct"/>
            <w:noWrap w:val="0"/>
            <w:tcMar>
              <w:top w:w="0" w:type="dxa"/>
              <w:left w:w="0" w:type="dxa"/>
              <w:bottom w:w="0" w:type="dxa"/>
              <w:right w:w="0" w:type="dxa"/>
            </w:tcMar>
            <w:vAlign w:val="center"/>
          </w:tcPr>
          <w:p w14:paraId="20FFBA5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处中标项目金额8.5‰以上10‰以下的罚款</w:t>
            </w:r>
          </w:p>
        </w:tc>
        <w:tc>
          <w:tcPr>
            <w:tcW w:w="158" w:type="pct"/>
            <w:vMerge w:val="continue"/>
            <w:noWrap w:val="0"/>
            <w:tcMar>
              <w:top w:w="0" w:type="dxa"/>
              <w:left w:w="0" w:type="dxa"/>
              <w:bottom w:w="0" w:type="dxa"/>
              <w:right w:w="0" w:type="dxa"/>
            </w:tcMar>
            <w:vAlign w:val="center"/>
          </w:tcPr>
          <w:p w14:paraId="243C492A">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0BC625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restart"/>
            <w:noWrap w:val="0"/>
            <w:tcMar>
              <w:top w:w="0" w:type="dxa"/>
              <w:left w:w="0" w:type="dxa"/>
              <w:bottom w:w="0" w:type="dxa"/>
              <w:right w:w="0" w:type="dxa"/>
            </w:tcMar>
            <w:vAlign w:val="center"/>
          </w:tcPr>
          <w:p w14:paraId="5564014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r>
              <w:rPr>
                <w:rFonts w:hint="eastAsia" w:ascii="宋体" w:hAnsi="宋体" w:eastAsia="宋体" w:cs="宋体"/>
                <w:color w:val="000000"/>
                <w:sz w:val="18"/>
                <w:szCs w:val="18"/>
                <w:shd w:val="clear" w:color="auto" w:fill="auto"/>
                <w:vertAlign w:val="baseline"/>
                <w:lang w:val="en-US" w:eastAsia="zh-CN"/>
              </w:rPr>
              <w:t>125</w:t>
            </w:r>
          </w:p>
        </w:tc>
        <w:tc>
          <w:tcPr>
            <w:tcW w:w="415" w:type="pct"/>
            <w:vMerge w:val="restart"/>
            <w:noWrap w:val="0"/>
            <w:tcMar>
              <w:top w:w="0" w:type="dxa"/>
              <w:left w:w="0" w:type="dxa"/>
              <w:bottom w:w="0" w:type="dxa"/>
              <w:right w:w="0" w:type="dxa"/>
            </w:tcMar>
            <w:vAlign w:val="center"/>
          </w:tcPr>
          <w:p w14:paraId="0258B9A9">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对水利领域招标人依法应当公开招标而采用邀请招标，接受未通过资格预审的单位或者个人参加投标等行为的行政处罚</w:t>
            </w:r>
          </w:p>
        </w:tc>
        <w:tc>
          <w:tcPr>
            <w:tcW w:w="2168" w:type="pct"/>
            <w:vMerge w:val="restart"/>
            <w:noWrap w:val="0"/>
            <w:tcMar>
              <w:top w:w="0" w:type="dxa"/>
              <w:left w:w="0" w:type="dxa"/>
              <w:bottom w:w="0" w:type="dxa"/>
              <w:right w:w="0" w:type="dxa"/>
            </w:tcMar>
            <w:vAlign w:val="center"/>
          </w:tcPr>
          <w:p w14:paraId="16FD236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《中华人民共和国招标投标法实施条例》第六十四条 招标人有下列情形之一的，由有关行政监督部门责令改正，可以处10万元以下的罚款：</w:t>
            </w:r>
          </w:p>
          <w:p w14:paraId="3922D48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一）依法应当公开招标而采用邀请招标；（二）招标文件、资格预审文件的发售、澄清、修改的时限，或者确定的提交资格预审申请文件、投标文件的时限不符合招标投标法和本条例规定；（三）接受未通过资格预审的单位或者个人参加投标；（四）接受应当拒收的投标文件。</w:t>
            </w:r>
          </w:p>
          <w:p w14:paraId="3A0ACDE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 xml:space="preserve"> 招标人有前款第一项、第三项、第四项所列行为之一的，对单位直接负责的主管人员和其他直接责任人员依法给予处分。</w:t>
            </w:r>
          </w:p>
          <w:p w14:paraId="3EF8A58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《工程建设项目勘察设计招标投标办法》第五十一条 招标人有下列情形之一的，由有关行政监督部门责令改正，可以处10万元以下的罚款：</w:t>
            </w:r>
          </w:p>
          <w:p w14:paraId="4813F9CC">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一）依法应当公开招标而采用邀请招标；（二）招标文件、资格预审文件的发售、澄清、修改的时限，或者确定的提交资格预审申请文件、投标文件的时限不符合招标投标法和招标投标法实施条例规定；（三）接受未通过资格预审的单位或者个人参加投标；（四）接受应当拒收的投标文件。</w:t>
            </w:r>
          </w:p>
          <w:p w14:paraId="5BB5533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招标人有前款第一项、第三项、第四项所列行为之一的，对单位直接负责的主管人员和其他直接责任人员依法给予处分。</w:t>
            </w:r>
          </w:p>
          <w:p w14:paraId="2D5AD8A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《工程建设项目货物招标投标办法》第五十六条 招标人有下列情形之一的，由有关行政监督部门责令改正，可以处10万元以下的罚款：</w:t>
            </w:r>
          </w:p>
          <w:p w14:paraId="503B890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（一）依法应当公开招标而采用邀请招标； （二）招标文件、资格预审文件的发售、澄清、修改的时限，或者确定的提交资格预审申请文件、投标文件的时限不符合招标投标法和招标投标法实施条例规定；（三）接受未通过资格预审的单位或者个人参加投标；（四）接受应当拒收的投标文件。</w:t>
            </w:r>
          </w:p>
          <w:p w14:paraId="5F2DBCA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招标人有前款第一项、第三项、第四项所列行为之一的，对单位直接负责的主管人员和其他直接责任人员依法给予处分。</w:t>
            </w:r>
          </w:p>
          <w:p w14:paraId="4F228C04">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《工程建设项目施工招标投标办法》第七十三条第二款 招标人有下列情形之一的，由有关行政监督部门责令改正，可以处10万元以下的罚款：</w:t>
            </w:r>
          </w:p>
          <w:p w14:paraId="6D094D8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一）依法应当公开招标而采用邀请招标；（二）招标文件、资格预审文件的发售、澄清、修改的时限，或者确定的提交资格预审申请文件、投标文件的时限不符合招标投标法和招标投标法实施条例规定；（三）接受未通过资格预审的单位或者个人参加投标；（四）接受应当拒收的投标文件。</w:t>
            </w:r>
          </w:p>
          <w:p w14:paraId="4772913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第七十三条第三款 招标人有前款第一项、第三项、第四项所列行为之一的，对单位直接负责的主管人员和其他直接责任人员依法给予处分。</w:t>
            </w:r>
          </w:p>
        </w:tc>
        <w:tc>
          <w:tcPr>
            <w:tcW w:w="491" w:type="pct"/>
            <w:vMerge w:val="restart"/>
            <w:noWrap w:val="0"/>
            <w:tcMar>
              <w:top w:w="0" w:type="dxa"/>
              <w:left w:w="0" w:type="dxa"/>
              <w:bottom w:w="0" w:type="dxa"/>
              <w:right w:w="0" w:type="dxa"/>
            </w:tcMar>
            <w:vAlign w:val="center"/>
          </w:tcPr>
          <w:p w14:paraId="4C67290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水利领域招标人依法应当公开招标而采用邀请招标的</w:t>
            </w:r>
          </w:p>
        </w:tc>
        <w:tc>
          <w:tcPr>
            <w:tcW w:w="174" w:type="pct"/>
            <w:noWrap w:val="0"/>
            <w:tcMar>
              <w:top w:w="0" w:type="dxa"/>
              <w:left w:w="0" w:type="dxa"/>
              <w:bottom w:w="0" w:type="dxa"/>
              <w:right w:w="0" w:type="dxa"/>
            </w:tcMar>
            <w:vAlign w:val="center"/>
          </w:tcPr>
          <w:p w14:paraId="7506CAA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轻微</w:t>
            </w:r>
          </w:p>
        </w:tc>
        <w:tc>
          <w:tcPr>
            <w:tcW w:w="561" w:type="pct"/>
            <w:noWrap w:val="0"/>
            <w:tcMar>
              <w:top w:w="0" w:type="dxa"/>
              <w:left w:w="0" w:type="dxa"/>
              <w:bottom w:w="0" w:type="dxa"/>
              <w:right w:w="0" w:type="dxa"/>
            </w:tcMar>
            <w:vAlign w:val="center"/>
          </w:tcPr>
          <w:p w14:paraId="2F97F66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及时改正，且没有造成危害后果的</w:t>
            </w:r>
          </w:p>
        </w:tc>
        <w:tc>
          <w:tcPr>
            <w:tcW w:w="873" w:type="pct"/>
            <w:noWrap w:val="0"/>
            <w:tcMar>
              <w:top w:w="0" w:type="dxa"/>
              <w:left w:w="0" w:type="dxa"/>
              <w:bottom w:w="0" w:type="dxa"/>
              <w:right w:w="0" w:type="dxa"/>
            </w:tcMar>
            <w:vAlign w:val="center"/>
          </w:tcPr>
          <w:p w14:paraId="622B564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不予行政处罚</w:t>
            </w:r>
          </w:p>
        </w:tc>
        <w:tc>
          <w:tcPr>
            <w:tcW w:w="158" w:type="pct"/>
            <w:vMerge w:val="restart"/>
            <w:noWrap w:val="0"/>
            <w:tcMar>
              <w:top w:w="0" w:type="dxa"/>
              <w:left w:w="0" w:type="dxa"/>
              <w:bottom w:w="0" w:type="dxa"/>
              <w:right w:w="0" w:type="dxa"/>
            </w:tcMar>
            <w:vAlign w:val="center"/>
          </w:tcPr>
          <w:p w14:paraId="39C82565">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202F48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2399A6CC">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260F9BDF">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6C0426A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0976931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303F3DB5">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较轻</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01F36E15">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6F512FA0">
            <w:pPr>
              <w:spacing w:line="260" w:lineRule="exact"/>
              <w:rPr>
                <w:rFonts w:hint="eastAsia" w:ascii="宋体" w:hAnsi="宋体" w:eastAsia="宋体" w:cs="宋体"/>
                <w:color w:val="000000"/>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4562C497">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71D0F74C">
            <w:pPr>
              <w:spacing w:line="260" w:lineRule="exact"/>
              <w:rPr>
                <w:rFonts w:hint="eastAsia" w:ascii="宋体" w:hAnsi="宋体" w:eastAsia="宋体" w:cs="宋体"/>
                <w:color w:val="000000"/>
                <w:kern w:val="2"/>
                <w:sz w:val="18"/>
                <w:szCs w:val="18"/>
                <w:vertAlign w:val="baseline"/>
                <w:lang w:val="en-US" w:eastAsia="zh-CN" w:bidi="ar-SA"/>
              </w:rPr>
            </w:pPr>
          </w:p>
        </w:tc>
        <w:tc>
          <w:tcPr>
            <w:tcW w:w="158" w:type="pct"/>
            <w:vMerge w:val="continue"/>
            <w:noWrap w:val="0"/>
            <w:tcMar>
              <w:top w:w="0" w:type="dxa"/>
              <w:left w:w="0" w:type="dxa"/>
              <w:bottom w:w="0" w:type="dxa"/>
              <w:right w:w="0" w:type="dxa"/>
            </w:tcMar>
            <w:vAlign w:val="center"/>
          </w:tcPr>
          <w:p w14:paraId="74D44E2C">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4957F6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7A5C7D1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54808D64">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2075467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61389CF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40F780EC">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一般</w:t>
            </w:r>
          </w:p>
        </w:tc>
        <w:tc>
          <w:tcPr>
            <w:tcW w:w="561" w:type="pct"/>
            <w:noWrap w:val="0"/>
            <w:tcMar>
              <w:top w:w="0" w:type="dxa"/>
              <w:left w:w="0" w:type="dxa"/>
              <w:bottom w:w="0" w:type="dxa"/>
              <w:right w:w="0" w:type="dxa"/>
            </w:tcMar>
            <w:vAlign w:val="center"/>
          </w:tcPr>
          <w:p w14:paraId="6285A3E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sz w:val="18"/>
                <w:szCs w:val="18"/>
                <w:vertAlign w:val="baseline"/>
              </w:rPr>
              <w:t>通过依法招标以外的方式确定项目实施方但尚未实施的</w:t>
            </w:r>
          </w:p>
        </w:tc>
        <w:tc>
          <w:tcPr>
            <w:tcW w:w="873" w:type="pct"/>
            <w:noWrap w:val="0"/>
            <w:tcMar>
              <w:top w:w="0" w:type="dxa"/>
              <w:left w:w="0" w:type="dxa"/>
              <w:bottom w:w="0" w:type="dxa"/>
              <w:right w:w="0" w:type="dxa"/>
            </w:tcMar>
            <w:vAlign w:val="center"/>
          </w:tcPr>
          <w:p w14:paraId="56E72BB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处3万元以下的罚款</w:t>
            </w:r>
          </w:p>
        </w:tc>
        <w:tc>
          <w:tcPr>
            <w:tcW w:w="158" w:type="pct"/>
            <w:vMerge w:val="continue"/>
            <w:noWrap w:val="0"/>
            <w:tcMar>
              <w:top w:w="0" w:type="dxa"/>
              <w:left w:w="0" w:type="dxa"/>
              <w:bottom w:w="0" w:type="dxa"/>
              <w:right w:w="0" w:type="dxa"/>
            </w:tcMar>
            <w:vAlign w:val="center"/>
          </w:tcPr>
          <w:p w14:paraId="0761627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694976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75BF4F31">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43AC6C07">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04E3CB1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2A81196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2BF679D0">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较重</w:t>
            </w:r>
          </w:p>
        </w:tc>
        <w:tc>
          <w:tcPr>
            <w:tcW w:w="561" w:type="pct"/>
            <w:noWrap w:val="0"/>
            <w:tcMar>
              <w:top w:w="0" w:type="dxa"/>
              <w:left w:w="0" w:type="dxa"/>
              <w:bottom w:w="0" w:type="dxa"/>
              <w:right w:w="0" w:type="dxa"/>
            </w:tcMar>
            <w:vAlign w:val="center"/>
          </w:tcPr>
          <w:p w14:paraId="3EC2096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已确定项目实施方且开始实施的</w:t>
            </w:r>
          </w:p>
        </w:tc>
        <w:tc>
          <w:tcPr>
            <w:tcW w:w="873" w:type="pct"/>
            <w:noWrap w:val="0"/>
            <w:tcMar>
              <w:top w:w="0" w:type="dxa"/>
              <w:left w:w="0" w:type="dxa"/>
              <w:bottom w:w="0" w:type="dxa"/>
              <w:right w:w="0" w:type="dxa"/>
            </w:tcMar>
            <w:vAlign w:val="center"/>
          </w:tcPr>
          <w:p w14:paraId="73AFBA7C">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处3万元以上7万元以下的罚款</w:t>
            </w:r>
          </w:p>
        </w:tc>
        <w:tc>
          <w:tcPr>
            <w:tcW w:w="158" w:type="pct"/>
            <w:vMerge w:val="continue"/>
            <w:noWrap w:val="0"/>
            <w:tcMar>
              <w:top w:w="0" w:type="dxa"/>
              <w:left w:w="0" w:type="dxa"/>
              <w:bottom w:w="0" w:type="dxa"/>
              <w:right w:w="0" w:type="dxa"/>
            </w:tcMar>
            <w:vAlign w:val="center"/>
          </w:tcPr>
          <w:p w14:paraId="6E705CFD">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7C73A3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171CDF2B">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5B36048A">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10F6499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2F5A3AD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66DF665B">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严重</w:t>
            </w:r>
          </w:p>
        </w:tc>
        <w:tc>
          <w:tcPr>
            <w:tcW w:w="561" w:type="pct"/>
            <w:noWrap w:val="0"/>
            <w:tcMar>
              <w:top w:w="0" w:type="dxa"/>
              <w:left w:w="0" w:type="dxa"/>
              <w:bottom w:w="0" w:type="dxa"/>
              <w:right w:w="0" w:type="dxa"/>
            </w:tcMar>
            <w:vAlign w:val="center"/>
          </w:tcPr>
          <w:p w14:paraId="170A861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已确定项目实施方且开始实施，并造成严重后果的；3年内2次以上同类型违法的</w:t>
            </w:r>
          </w:p>
        </w:tc>
        <w:tc>
          <w:tcPr>
            <w:tcW w:w="873" w:type="pct"/>
            <w:noWrap w:val="0"/>
            <w:tcMar>
              <w:top w:w="0" w:type="dxa"/>
              <w:left w:w="0" w:type="dxa"/>
              <w:bottom w:w="0" w:type="dxa"/>
              <w:right w:w="0" w:type="dxa"/>
            </w:tcMar>
            <w:vAlign w:val="center"/>
          </w:tcPr>
          <w:p w14:paraId="3C98490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处7万元以上10万元以下的罚款</w:t>
            </w:r>
          </w:p>
        </w:tc>
        <w:tc>
          <w:tcPr>
            <w:tcW w:w="158" w:type="pct"/>
            <w:vMerge w:val="continue"/>
            <w:noWrap w:val="0"/>
            <w:tcMar>
              <w:top w:w="0" w:type="dxa"/>
              <w:left w:w="0" w:type="dxa"/>
              <w:bottom w:w="0" w:type="dxa"/>
              <w:right w:w="0" w:type="dxa"/>
            </w:tcMar>
            <w:vAlign w:val="center"/>
          </w:tcPr>
          <w:p w14:paraId="62AC7B4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3FFD86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7E462F5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437CA431">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1CA46EF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restart"/>
            <w:noWrap w:val="0"/>
            <w:tcMar>
              <w:top w:w="0" w:type="dxa"/>
              <w:left w:w="0" w:type="dxa"/>
              <w:bottom w:w="0" w:type="dxa"/>
              <w:right w:w="0" w:type="dxa"/>
            </w:tcMar>
            <w:vAlign w:val="center"/>
          </w:tcPr>
          <w:p w14:paraId="585B4B1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招标人的招标文件、资格预审文件的发售、澄清、修改的时限，或者确定的提交资格预审申请文件、投标文件的时限不符合招标投标法和本条例规定的</w:t>
            </w:r>
          </w:p>
        </w:tc>
        <w:tc>
          <w:tcPr>
            <w:tcW w:w="174" w:type="pct"/>
            <w:noWrap w:val="0"/>
            <w:tcMar>
              <w:top w:w="0" w:type="dxa"/>
              <w:left w:w="0" w:type="dxa"/>
              <w:bottom w:w="0" w:type="dxa"/>
              <w:right w:w="0" w:type="dxa"/>
            </w:tcMar>
            <w:vAlign w:val="center"/>
          </w:tcPr>
          <w:p w14:paraId="278C71F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轻微</w:t>
            </w:r>
          </w:p>
        </w:tc>
        <w:tc>
          <w:tcPr>
            <w:tcW w:w="561" w:type="pct"/>
            <w:noWrap w:val="0"/>
            <w:tcMar>
              <w:top w:w="0" w:type="dxa"/>
              <w:left w:w="0" w:type="dxa"/>
              <w:bottom w:w="0" w:type="dxa"/>
              <w:right w:w="0" w:type="dxa"/>
            </w:tcMar>
            <w:vAlign w:val="center"/>
          </w:tcPr>
          <w:p w14:paraId="0D2B85D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highlight w:val="none"/>
                <w:vertAlign w:val="baseline"/>
                <w:lang w:val="en-US" w:eastAsia="zh-CN" w:bidi="ar-SA"/>
              </w:rPr>
            </w:pPr>
            <w:r>
              <w:rPr>
                <w:rFonts w:hint="eastAsia" w:ascii="宋体" w:hAnsi="宋体" w:eastAsia="宋体" w:cs="宋体"/>
                <w:color w:val="000000"/>
                <w:sz w:val="18"/>
                <w:szCs w:val="18"/>
                <w:highlight w:val="none"/>
                <w:vertAlign w:val="baseline"/>
              </w:rPr>
              <w:t>及时改正，且没有造成危害后果的</w:t>
            </w:r>
          </w:p>
        </w:tc>
        <w:tc>
          <w:tcPr>
            <w:tcW w:w="873" w:type="pct"/>
            <w:noWrap w:val="0"/>
            <w:tcMar>
              <w:top w:w="0" w:type="dxa"/>
              <w:left w:w="0" w:type="dxa"/>
              <w:bottom w:w="0" w:type="dxa"/>
              <w:right w:w="0" w:type="dxa"/>
            </w:tcMar>
            <w:vAlign w:val="center"/>
          </w:tcPr>
          <w:p w14:paraId="12112997">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highlight w:val="none"/>
                <w:vertAlign w:val="baseline"/>
                <w:lang w:val="en-US" w:eastAsia="zh-CN" w:bidi="ar-SA"/>
              </w:rPr>
            </w:pPr>
            <w:r>
              <w:rPr>
                <w:rFonts w:hint="eastAsia" w:ascii="宋体" w:hAnsi="宋体" w:eastAsia="宋体" w:cs="宋体"/>
                <w:color w:val="000000"/>
                <w:kern w:val="2"/>
                <w:sz w:val="18"/>
                <w:szCs w:val="18"/>
                <w:highlight w:val="none"/>
                <w:vertAlign w:val="baseline"/>
                <w:lang w:val="en-US" w:eastAsia="zh-CN" w:bidi="ar-SA"/>
              </w:rPr>
              <w:t>不予行政处罚</w:t>
            </w:r>
          </w:p>
        </w:tc>
        <w:tc>
          <w:tcPr>
            <w:tcW w:w="158" w:type="pct"/>
            <w:vMerge w:val="restart"/>
            <w:noWrap w:val="0"/>
            <w:tcMar>
              <w:top w:w="0" w:type="dxa"/>
              <w:left w:w="0" w:type="dxa"/>
              <w:bottom w:w="0" w:type="dxa"/>
              <w:right w:w="0" w:type="dxa"/>
            </w:tcMar>
            <w:vAlign w:val="center"/>
          </w:tcPr>
          <w:p w14:paraId="0B649EAC">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00B32D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524C4AA9">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7A507EBD">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216C81E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4D0A656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66AABD70">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较轻</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40863CE5">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414EC78C">
            <w:pPr>
              <w:spacing w:line="260" w:lineRule="exact"/>
              <w:rPr>
                <w:rFonts w:hint="eastAsia" w:ascii="宋体" w:hAnsi="宋体" w:eastAsia="宋体" w:cs="宋体"/>
                <w:color w:val="000000"/>
                <w:kern w:val="2"/>
                <w:sz w:val="18"/>
                <w:szCs w:val="18"/>
                <w:vertAlign w:val="baseline"/>
                <w:lang w:val="en-US" w:eastAsia="zh-CN" w:bidi="ar-SA"/>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0A49553A">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2F7035AB">
            <w:pPr>
              <w:spacing w:line="260" w:lineRule="exact"/>
              <w:rPr>
                <w:rFonts w:hint="eastAsia" w:ascii="宋体" w:hAnsi="宋体" w:eastAsia="宋体" w:cs="宋体"/>
                <w:color w:val="000000"/>
                <w:kern w:val="2"/>
                <w:sz w:val="18"/>
                <w:szCs w:val="18"/>
                <w:vertAlign w:val="baseline"/>
                <w:lang w:val="en-US" w:eastAsia="zh-CN" w:bidi="ar-SA"/>
              </w:rPr>
            </w:pPr>
          </w:p>
        </w:tc>
        <w:tc>
          <w:tcPr>
            <w:tcW w:w="158" w:type="pct"/>
            <w:vMerge w:val="continue"/>
            <w:noWrap w:val="0"/>
            <w:tcMar>
              <w:top w:w="0" w:type="dxa"/>
              <w:left w:w="0" w:type="dxa"/>
              <w:bottom w:w="0" w:type="dxa"/>
              <w:right w:w="0" w:type="dxa"/>
            </w:tcMar>
            <w:vAlign w:val="center"/>
          </w:tcPr>
          <w:p w14:paraId="55CFBA1D">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4D2371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6042999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054E6D20">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07CBDF7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3DDD950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7549291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一般</w:t>
            </w:r>
          </w:p>
        </w:tc>
        <w:tc>
          <w:tcPr>
            <w:tcW w:w="561" w:type="pct"/>
            <w:noWrap w:val="0"/>
            <w:tcMar>
              <w:top w:w="0" w:type="dxa"/>
              <w:left w:w="0" w:type="dxa"/>
              <w:bottom w:w="0" w:type="dxa"/>
              <w:right w:w="0" w:type="dxa"/>
            </w:tcMar>
            <w:vAlign w:val="center"/>
          </w:tcPr>
          <w:p w14:paraId="5AEA29C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sz w:val="18"/>
                <w:szCs w:val="18"/>
                <w:vertAlign w:val="baseline"/>
              </w:rPr>
              <w:t>通过依法招标以外的方式确定项目实施方但尚未实施的</w:t>
            </w:r>
          </w:p>
        </w:tc>
        <w:tc>
          <w:tcPr>
            <w:tcW w:w="873" w:type="pct"/>
            <w:noWrap w:val="0"/>
            <w:tcMar>
              <w:top w:w="0" w:type="dxa"/>
              <w:left w:w="0" w:type="dxa"/>
              <w:bottom w:w="0" w:type="dxa"/>
              <w:right w:w="0" w:type="dxa"/>
            </w:tcMar>
            <w:vAlign w:val="center"/>
          </w:tcPr>
          <w:p w14:paraId="2D1ECCC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处3万元以下的罚款</w:t>
            </w:r>
          </w:p>
        </w:tc>
        <w:tc>
          <w:tcPr>
            <w:tcW w:w="158" w:type="pct"/>
            <w:vMerge w:val="continue"/>
            <w:noWrap w:val="0"/>
            <w:tcMar>
              <w:top w:w="0" w:type="dxa"/>
              <w:left w:w="0" w:type="dxa"/>
              <w:bottom w:w="0" w:type="dxa"/>
              <w:right w:w="0" w:type="dxa"/>
            </w:tcMar>
            <w:vAlign w:val="center"/>
          </w:tcPr>
          <w:p w14:paraId="1ECC649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0F17FC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413A44A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03B3C230">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7565E167">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35F400E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64A74AB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较重</w:t>
            </w:r>
          </w:p>
        </w:tc>
        <w:tc>
          <w:tcPr>
            <w:tcW w:w="561" w:type="pct"/>
            <w:noWrap w:val="0"/>
            <w:tcMar>
              <w:top w:w="0" w:type="dxa"/>
              <w:left w:w="0" w:type="dxa"/>
              <w:bottom w:w="0" w:type="dxa"/>
              <w:right w:w="0" w:type="dxa"/>
            </w:tcMar>
            <w:vAlign w:val="center"/>
          </w:tcPr>
          <w:p w14:paraId="46010B9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sz w:val="18"/>
                <w:szCs w:val="18"/>
                <w:vertAlign w:val="baseline"/>
              </w:rPr>
              <w:t>已确定项目实施方且开始实施的</w:t>
            </w:r>
          </w:p>
        </w:tc>
        <w:tc>
          <w:tcPr>
            <w:tcW w:w="873" w:type="pct"/>
            <w:noWrap w:val="0"/>
            <w:tcMar>
              <w:top w:w="0" w:type="dxa"/>
              <w:left w:w="0" w:type="dxa"/>
              <w:bottom w:w="0" w:type="dxa"/>
              <w:right w:w="0" w:type="dxa"/>
            </w:tcMar>
            <w:vAlign w:val="center"/>
          </w:tcPr>
          <w:p w14:paraId="6288D49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处3万元以上7万元以下的罚款</w:t>
            </w:r>
          </w:p>
        </w:tc>
        <w:tc>
          <w:tcPr>
            <w:tcW w:w="158" w:type="pct"/>
            <w:vMerge w:val="continue"/>
            <w:noWrap w:val="0"/>
            <w:tcMar>
              <w:top w:w="0" w:type="dxa"/>
              <w:left w:w="0" w:type="dxa"/>
              <w:bottom w:w="0" w:type="dxa"/>
              <w:right w:w="0" w:type="dxa"/>
            </w:tcMar>
            <w:vAlign w:val="center"/>
          </w:tcPr>
          <w:p w14:paraId="2986CEF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5012EA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107CA9D1">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1BB665A3">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63E7AD64">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093D56DC">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7D37D7E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严重</w:t>
            </w:r>
          </w:p>
        </w:tc>
        <w:tc>
          <w:tcPr>
            <w:tcW w:w="561" w:type="pct"/>
            <w:noWrap w:val="0"/>
            <w:tcMar>
              <w:top w:w="0" w:type="dxa"/>
              <w:left w:w="0" w:type="dxa"/>
              <w:bottom w:w="0" w:type="dxa"/>
              <w:right w:w="0" w:type="dxa"/>
            </w:tcMar>
            <w:vAlign w:val="center"/>
          </w:tcPr>
          <w:p w14:paraId="58B8B5F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sz w:val="18"/>
                <w:szCs w:val="18"/>
                <w:vertAlign w:val="baseline"/>
              </w:rPr>
              <w:t>已确定项目实施方且开始实施，并造成严重后果的；3年内2次以上同类型违法的</w:t>
            </w:r>
          </w:p>
        </w:tc>
        <w:tc>
          <w:tcPr>
            <w:tcW w:w="873" w:type="pct"/>
            <w:noWrap w:val="0"/>
            <w:tcMar>
              <w:top w:w="0" w:type="dxa"/>
              <w:left w:w="0" w:type="dxa"/>
              <w:bottom w:w="0" w:type="dxa"/>
              <w:right w:w="0" w:type="dxa"/>
            </w:tcMar>
            <w:vAlign w:val="center"/>
          </w:tcPr>
          <w:p w14:paraId="015AD8F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处7万元以上10万元以下的罚款</w:t>
            </w:r>
          </w:p>
        </w:tc>
        <w:tc>
          <w:tcPr>
            <w:tcW w:w="158" w:type="pct"/>
            <w:vMerge w:val="continue"/>
            <w:noWrap w:val="0"/>
            <w:tcMar>
              <w:top w:w="0" w:type="dxa"/>
              <w:left w:w="0" w:type="dxa"/>
              <w:bottom w:w="0" w:type="dxa"/>
              <w:right w:w="0" w:type="dxa"/>
            </w:tcMar>
            <w:vAlign w:val="center"/>
          </w:tcPr>
          <w:p w14:paraId="2A624C3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6BCFBF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596CFB6C">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03397BBA">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5F6AFFE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restart"/>
            <w:noWrap w:val="0"/>
            <w:tcMar>
              <w:top w:w="0" w:type="dxa"/>
              <w:left w:w="0" w:type="dxa"/>
              <w:bottom w:w="0" w:type="dxa"/>
              <w:right w:w="0" w:type="dxa"/>
            </w:tcMar>
            <w:vAlign w:val="center"/>
          </w:tcPr>
          <w:p w14:paraId="1C87D99C">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水利领域招标人接受未通过资格预审的单位或者个人参加投标的</w:t>
            </w:r>
          </w:p>
        </w:tc>
        <w:tc>
          <w:tcPr>
            <w:tcW w:w="174" w:type="pct"/>
            <w:noWrap w:val="0"/>
            <w:tcMar>
              <w:top w:w="0" w:type="dxa"/>
              <w:left w:w="0" w:type="dxa"/>
              <w:bottom w:w="0" w:type="dxa"/>
              <w:right w:w="0" w:type="dxa"/>
            </w:tcMar>
            <w:vAlign w:val="center"/>
          </w:tcPr>
          <w:p w14:paraId="2EDCC981">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轻微</w:t>
            </w:r>
          </w:p>
        </w:tc>
        <w:tc>
          <w:tcPr>
            <w:tcW w:w="561" w:type="pct"/>
            <w:noWrap w:val="0"/>
            <w:tcMar>
              <w:top w:w="0" w:type="dxa"/>
              <w:left w:w="0" w:type="dxa"/>
              <w:bottom w:w="0" w:type="dxa"/>
              <w:right w:w="0" w:type="dxa"/>
            </w:tcMar>
            <w:vAlign w:val="center"/>
          </w:tcPr>
          <w:p w14:paraId="4BD0DFE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t>及时改正，且没有造成危害后果的</w:t>
            </w:r>
          </w:p>
        </w:tc>
        <w:tc>
          <w:tcPr>
            <w:tcW w:w="873" w:type="pct"/>
            <w:noWrap w:val="0"/>
            <w:tcMar>
              <w:top w:w="0" w:type="dxa"/>
              <w:left w:w="0" w:type="dxa"/>
              <w:bottom w:w="0" w:type="dxa"/>
              <w:right w:w="0" w:type="dxa"/>
            </w:tcMar>
            <w:vAlign w:val="center"/>
          </w:tcPr>
          <w:p w14:paraId="57EB252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highlight w:val="none"/>
                <w:vertAlign w:val="baseline"/>
                <w:lang w:val="en-US" w:eastAsia="zh-CN" w:bidi="ar-SA"/>
              </w:rPr>
            </w:pPr>
            <w:r>
              <w:rPr>
                <w:rFonts w:hint="eastAsia" w:ascii="宋体" w:hAnsi="宋体" w:eastAsia="宋体" w:cs="宋体"/>
                <w:color w:val="000000"/>
                <w:kern w:val="2"/>
                <w:sz w:val="18"/>
                <w:szCs w:val="18"/>
                <w:highlight w:val="none"/>
                <w:vertAlign w:val="baseline"/>
                <w:lang w:val="en-US" w:eastAsia="zh-CN" w:bidi="ar-SA"/>
              </w:rPr>
              <w:t>不予行政处罚</w:t>
            </w:r>
          </w:p>
        </w:tc>
        <w:tc>
          <w:tcPr>
            <w:tcW w:w="158" w:type="pct"/>
            <w:vMerge w:val="restart"/>
            <w:noWrap w:val="0"/>
            <w:tcMar>
              <w:top w:w="0" w:type="dxa"/>
              <w:left w:w="0" w:type="dxa"/>
              <w:bottom w:w="0" w:type="dxa"/>
              <w:right w:w="0" w:type="dxa"/>
            </w:tcMar>
            <w:vAlign w:val="center"/>
          </w:tcPr>
          <w:p w14:paraId="3142D33B">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286B79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34D0985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52CCA83D">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718339E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24C93CF4">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4D1DA3EC">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较轻</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644B7D19">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7AF0CC8A">
            <w:pPr>
              <w:spacing w:line="260" w:lineRule="exact"/>
              <w:rPr>
                <w:rFonts w:hint="eastAsia" w:ascii="宋体" w:hAnsi="宋体" w:eastAsia="宋体" w:cs="宋体"/>
                <w:color w:val="000000"/>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23E60394">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7ADAF63D">
            <w:pPr>
              <w:spacing w:line="260" w:lineRule="exact"/>
              <w:rPr>
                <w:rFonts w:hint="eastAsia" w:ascii="宋体" w:hAnsi="宋体" w:eastAsia="宋体" w:cs="宋体"/>
                <w:color w:val="000000"/>
                <w:kern w:val="2"/>
                <w:sz w:val="18"/>
                <w:szCs w:val="18"/>
                <w:vertAlign w:val="baseline"/>
                <w:lang w:val="en-US" w:eastAsia="zh-CN" w:bidi="ar-SA"/>
              </w:rPr>
            </w:pPr>
          </w:p>
        </w:tc>
        <w:tc>
          <w:tcPr>
            <w:tcW w:w="158" w:type="pct"/>
            <w:vMerge w:val="continue"/>
            <w:noWrap w:val="0"/>
            <w:tcMar>
              <w:top w:w="0" w:type="dxa"/>
              <w:left w:w="0" w:type="dxa"/>
              <w:bottom w:w="0" w:type="dxa"/>
              <w:right w:w="0" w:type="dxa"/>
            </w:tcMar>
            <w:vAlign w:val="center"/>
          </w:tcPr>
          <w:p w14:paraId="78CD16D0">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1DFEA0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6EAAA6CD">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0CCA8361">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59BC395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0A9D290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3155EA98">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一般</w:t>
            </w:r>
          </w:p>
        </w:tc>
        <w:tc>
          <w:tcPr>
            <w:tcW w:w="561" w:type="pct"/>
            <w:noWrap w:val="0"/>
            <w:tcMar>
              <w:top w:w="0" w:type="dxa"/>
              <w:left w:w="0" w:type="dxa"/>
              <w:bottom w:w="0" w:type="dxa"/>
              <w:right w:w="0" w:type="dxa"/>
            </w:tcMar>
            <w:vAlign w:val="center"/>
          </w:tcPr>
          <w:p w14:paraId="1C95EE89">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sz w:val="18"/>
                <w:szCs w:val="18"/>
                <w:vertAlign w:val="baseline"/>
              </w:rPr>
              <w:t>通过依法招标以外的方式确定项目实施方但尚未实施的</w:t>
            </w:r>
          </w:p>
        </w:tc>
        <w:tc>
          <w:tcPr>
            <w:tcW w:w="873" w:type="pct"/>
            <w:noWrap w:val="0"/>
            <w:tcMar>
              <w:top w:w="0" w:type="dxa"/>
              <w:left w:w="0" w:type="dxa"/>
              <w:bottom w:w="0" w:type="dxa"/>
              <w:right w:w="0" w:type="dxa"/>
            </w:tcMar>
            <w:vAlign w:val="center"/>
          </w:tcPr>
          <w:p w14:paraId="03BAC847">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处3万元以下的罚款</w:t>
            </w:r>
          </w:p>
        </w:tc>
        <w:tc>
          <w:tcPr>
            <w:tcW w:w="158" w:type="pct"/>
            <w:vMerge w:val="continue"/>
            <w:noWrap w:val="0"/>
            <w:tcMar>
              <w:top w:w="0" w:type="dxa"/>
              <w:left w:w="0" w:type="dxa"/>
              <w:bottom w:w="0" w:type="dxa"/>
              <w:right w:w="0" w:type="dxa"/>
            </w:tcMar>
            <w:vAlign w:val="center"/>
          </w:tcPr>
          <w:p w14:paraId="47ED057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48B952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5EA30671">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38B1621B">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399FDE24">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7839CA14">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1F2E4E6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较重</w:t>
            </w:r>
          </w:p>
        </w:tc>
        <w:tc>
          <w:tcPr>
            <w:tcW w:w="561" w:type="pct"/>
            <w:noWrap w:val="0"/>
            <w:tcMar>
              <w:top w:w="0" w:type="dxa"/>
              <w:left w:w="0" w:type="dxa"/>
              <w:bottom w:w="0" w:type="dxa"/>
              <w:right w:w="0" w:type="dxa"/>
            </w:tcMar>
            <w:vAlign w:val="center"/>
          </w:tcPr>
          <w:p w14:paraId="084E3613">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已确定项目实施方且开始实施的</w:t>
            </w:r>
          </w:p>
        </w:tc>
        <w:tc>
          <w:tcPr>
            <w:tcW w:w="873" w:type="pct"/>
            <w:noWrap w:val="0"/>
            <w:tcMar>
              <w:top w:w="0" w:type="dxa"/>
              <w:left w:w="0" w:type="dxa"/>
              <w:bottom w:w="0" w:type="dxa"/>
              <w:right w:w="0" w:type="dxa"/>
            </w:tcMar>
            <w:vAlign w:val="center"/>
          </w:tcPr>
          <w:p w14:paraId="38ADDC8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处3万元以上7万元以下的罚款</w:t>
            </w:r>
          </w:p>
        </w:tc>
        <w:tc>
          <w:tcPr>
            <w:tcW w:w="158" w:type="pct"/>
            <w:vMerge w:val="continue"/>
            <w:noWrap w:val="0"/>
            <w:tcMar>
              <w:top w:w="0" w:type="dxa"/>
              <w:left w:w="0" w:type="dxa"/>
              <w:bottom w:w="0" w:type="dxa"/>
              <w:right w:w="0" w:type="dxa"/>
            </w:tcMar>
            <w:vAlign w:val="center"/>
          </w:tcPr>
          <w:p w14:paraId="16AEC88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76F1A6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66127AB1">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6E7021A2">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21E871E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071E287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76DCDFC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严重</w:t>
            </w:r>
          </w:p>
        </w:tc>
        <w:tc>
          <w:tcPr>
            <w:tcW w:w="561" w:type="pct"/>
            <w:noWrap w:val="0"/>
            <w:tcMar>
              <w:top w:w="0" w:type="dxa"/>
              <w:left w:w="0" w:type="dxa"/>
              <w:bottom w:w="0" w:type="dxa"/>
              <w:right w:w="0" w:type="dxa"/>
            </w:tcMar>
            <w:vAlign w:val="center"/>
          </w:tcPr>
          <w:p w14:paraId="0FCF6622">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已确定项目实施方且开始实施，并造成严重后果的；3年内2次以上同类型违法的</w:t>
            </w:r>
          </w:p>
        </w:tc>
        <w:tc>
          <w:tcPr>
            <w:tcW w:w="873" w:type="pct"/>
            <w:noWrap w:val="0"/>
            <w:tcMar>
              <w:top w:w="0" w:type="dxa"/>
              <w:left w:w="0" w:type="dxa"/>
              <w:bottom w:w="0" w:type="dxa"/>
              <w:right w:w="0" w:type="dxa"/>
            </w:tcMar>
            <w:vAlign w:val="center"/>
          </w:tcPr>
          <w:p w14:paraId="0C35578C">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处7万元以上10万元以下的罚款</w:t>
            </w:r>
          </w:p>
        </w:tc>
        <w:tc>
          <w:tcPr>
            <w:tcW w:w="158" w:type="pct"/>
            <w:vMerge w:val="continue"/>
            <w:noWrap w:val="0"/>
            <w:tcMar>
              <w:top w:w="0" w:type="dxa"/>
              <w:left w:w="0" w:type="dxa"/>
              <w:bottom w:w="0" w:type="dxa"/>
              <w:right w:w="0" w:type="dxa"/>
            </w:tcMar>
            <w:vAlign w:val="center"/>
          </w:tcPr>
          <w:p w14:paraId="76BDE50B">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6919E8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11A1360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1BF05E7D">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01F0B18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restart"/>
            <w:noWrap w:val="0"/>
            <w:tcMar>
              <w:top w:w="0" w:type="dxa"/>
              <w:left w:w="0" w:type="dxa"/>
              <w:bottom w:w="0" w:type="dxa"/>
              <w:right w:w="0" w:type="dxa"/>
            </w:tcMar>
            <w:vAlign w:val="center"/>
          </w:tcPr>
          <w:p w14:paraId="774BCE0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招标人接受应当拒收的投标文件的</w:t>
            </w:r>
          </w:p>
        </w:tc>
        <w:tc>
          <w:tcPr>
            <w:tcW w:w="174" w:type="pct"/>
            <w:noWrap w:val="0"/>
            <w:tcMar>
              <w:top w:w="0" w:type="dxa"/>
              <w:left w:w="0" w:type="dxa"/>
              <w:bottom w:w="0" w:type="dxa"/>
              <w:right w:w="0" w:type="dxa"/>
            </w:tcMar>
            <w:vAlign w:val="center"/>
          </w:tcPr>
          <w:p w14:paraId="37D206D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轻微</w:t>
            </w:r>
          </w:p>
        </w:tc>
        <w:tc>
          <w:tcPr>
            <w:tcW w:w="561" w:type="pct"/>
            <w:noWrap w:val="0"/>
            <w:tcMar>
              <w:top w:w="0" w:type="dxa"/>
              <w:left w:w="0" w:type="dxa"/>
              <w:bottom w:w="0" w:type="dxa"/>
              <w:right w:w="0" w:type="dxa"/>
            </w:tcMar>
            <w:vAlign w:val="center"/>
          </w:tcPr>
          <w:p w14:paraId="6FF7ADDA">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kern w:val="2"/>
                <w:sz w:val="18"/>
                <w:szCs w:val="18"/>
                <w:highlight w:val="none"/>
                <w:vertAlign w:val="baseline"/>
                <w:lang w:val="en-US" w:eastAsia="zh-CN" w:bidi="ar-SA"/>
              </w:rPr>
            </w:pPr>
            <w:r>
              <w:rPr>
                <w:rFonts w:hint="eastAsia" w:ascii="宋体" w:hAnsi="宋体" w:eastAsia="宋体" w:cs="宋体"/>
                <w:color w:val="000000"/>
                <w:sz w:val="18"/>
                <w:szCs w:val="18"/>
                <w:highlight w:val="none"/>
                <w:vertAlign w:val="baseline"/>
              </w:rPr>
              <w:t>及时改正，且没有造成危害后果的</w:t>
            </w:r>
          </w:p>
        </w:tc>
        <w:tc>
          <w:tcPr>
            <w:tcW w:w="873" w:type="pct"/>
            <w:noWrap w:val="0"/>
            <w:tcMar>
              <w:top w:w="0" w:type="dxa"/>
              <w:left w:w="0" w:type="dxa"/>
              <w:bottom w:w="0" w:type="dxa"/>
              <w:right w:w="0" w:type="dxa"/>
            </w:tcMar>
            <w:vAlign w:val="center"/>
          </w:tcPr>
          <w:p w14:paraId="490609B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highlight w:val="none"/>
                <w:vertAlign w:val="baseline"/>
                <w:lang w:val="en-US" w:eastAsia="zh-CN" w:bidi="ar-SA"/>
              </w:rPr>
            </w:pPr>
            <w:r>
              <w:rPr>
                <w:rFonts w:hint="eastAsia" w:ascii="宋体" w:hAnsi="宋体" w:eastAsia="宋体" w:cs="宋体"/>
                <w:color w:val="000000"/>
                <w:kern w:val="2"/>
                <w:sz w:val="18"/>
                <w:szCs w:val="18"/>
                <w:highlight w:val="none"/>
                <w:vertAlign w:val="baseline"/>
                <w:lang w:val="en-US" w:eastAsia="zh-CN" w:bidi="ar-SA"/>
              </w:rPr>
              <w:t>不予行政处罚</w:t>
            </w:r>
          </w:p>
        </w:tc>
        <w:tc>
          <w:tcPr>
            <w:tcW w:w="158" w:type="pct"/>
            <w:vMerge w:val="restart"/>
            <w:noWrap w:val="0"/>
            <w:tcMar>
              <w:top w:w="0" w:type="dxa"/>
              <w:left w:w="0" w:type="dxa"/>
              <w:bottom w:w="0" w:type="dxa"/>
              <w:right w:w="0" w:type="dxa"/>
            </w:tcMar>
            <w:vAlign w:val="center"/>
          </w:tcPr>
          <w:p w14:paraId="3479E201">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18AC8F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6385F52C">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66079775">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040ECBD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17A8843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4BC17B5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较轻</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111F3F0E">
            <w:pPr>
              <w:snapToGrid/>
              <w:spacing w:line="28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11861995">
            <w:pPr>
              <w:spacing w:line="280" w:lineRule="exact"/>
              <w:rPr>
                <w:rFonts w:hint="eastAsia" w:ascii="宋体" w:hAnsi="宋体" w:eastAsia="宋体" w:cs="宋体"/>
                <w:color w:val="000000"/>
                <w:kern w:val="2"/>
                <w:sz w:val="18"/>
                <w:szCs w:val="18"/>
                <w:vertAlign w:val="baseline"/>
                <w:lang w:val="en-US" w:eastAsia="zh-CN" w:bidi="ar-SA"/>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010322D9">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6EF25430">
            <w:pPr>
              <w:spacing w:line="260" w:lineRule="exact"/>
              <w:rPr>
                <w:rFonts w:hint="eastAsia" w:ascii="宋体" w:hAnsi="宋体" w:eastAsia="宋体" w:cs="宋体"/>
                <w:color w:val="000000"/>
                <w:kern w:val="2"/>
                <w:sz w:val="18"/>
                <w:szCs w:val="18"/>
                <w:vertAlign w:val="baseline"/>
                <w:lang w:val="en-US" w:eastAsia="zh-CN" w:bidi="ar-SA"/>
              </w:rPr>
            </w:pPr>
          </w:p>
        </w:tc>
        <w:tc>
          <w:tcPr>
            <w:tcW w:w="158" w:type="pct"/>
            <w:vMerge w:val="continue"/>
            <w:noWrap w:val="0"/>
            <w:tcMar>
              <w:top w:w="0" w:type="dxa"/>
              <w:left w:w="0" w:type="dxa"/>
              <w:bottom w:w="0" w:type="dxa"/>
              <w:right w:w="0" w:type="dxa"/>
            </w:tcMar>
            <w:vAlign w:val="center"/>
          </w:tcPr>
          <w:p w14:paraId="042AFDFD">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5CD22E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129290C0">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34B10EEA">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75106F5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23BB8FC4">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7FC2A6B8">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一般</w:t>
            </w:r>
          </w:p>
        </w:tc>
        <w:tc>
          <w:tcPr>
            <w:tcW w:w="561" w:type="pct"/>
            <w:noWrap w:val="0"/>
            <w:tcMar>
              <w:top w:w="0" w:type="dxa"/>
              <w:left w:w="0" w:type="dxa"/>
              <w:bottom w:w="0" w:type="dxa"/>
              <w:right w:w="0" w:type="dxa"/>
            </w:tcMar>
            <w:vAlign w:val="center"/>
          </w:tcPr>
          <w:p w14:paraId="63910350">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sz w:val="18"/>
                <w:szCs w:val="18"/>
                <w:vertAlign w:val="baseline"/>
              </w:rPr>
              <w:t>通过依法招标以外的方式确定项目实施方但尚未实施的</w:t>
            </w:r>
          </w:p>
        </w:tc>
        <w:tc>
          <w:tcPr>
            <w:tcW w:w="873" w:type="pct"/>
            <w:noWrap w:val="0"/>
            <w:tcMar>
              <w:top w:w="0" w:type="dxa"/>
              <w:left w:w="0" w:type="dxa"/>
              <w:bottom w:w="0" w:type="dxa"/>
              <w:right w:w="0" w:type="dxa"/>
            </w:tcMar>
            <w:vAlign w:val="center"/>
          </w:tcPr>
          <w:p w14:paraId="09FA238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处3万元以下的罚款</w:t>
            </w:r>
          </w:p>
        </w:tc>
        <w:tc>
          <w:tcPr>
            <w:tcW w:w="158" w:type="pct"/>
            <w:vMerge w:val="continue"/>
            <w:noWrap w:val="0"/>
            <w:tcMar>
              <w:top w:w="0" w:type="dxa"/>
              <w:left w:w="0" w:type="dxa"/>
              <w:bottom w:w="0" w:type="dxa"/>
              <w:right w:w="0" w:type="dxa"/>
            </w:tcMar>
            <w:vAlign w:val="center"/>
          </w:tcPr>
          <w:p w14:paraId="3EBA242C">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18C60E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4EC6252A">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7EB9E646">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1F4EFDA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298F7C8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5A830565">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较重</w:t>
            </w:r>
          </w:p>
        </w:tc>
        <w:tc>
          <w:tcPr>
            <w:tcW w:w="561" w:type="pct"/>
            <w:noWrap w:val="0"/>
            <w:tcMar>
              <w:top w:w="0" w:type="dxa"/>
              <w:left w:w="0" w:type="dxa"/>
              <w:bottom w:w="0" w:type="dxa"/>
              <w:right w:w="0" w:type="dxa"/>
            </w:tcMar>
            <w:vAlign w:val="center"/>
          </w:tcPr>
          <w:p w14:paraId="36593DCF">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sz w:val="18"/>
                <w:szCs w:val="18"/>
                <w:vertAlign w:val="baseline"/>
              </w:rPr>
              <w:t>已确定项目实施方且开始实施的</w:t>
            </w:r>
          </w:p>
        </w:tc>
        <w:tc>
          <w:tcPr>
            <w:tcW w:w="873" w:type="pct"/>
            <w:noWrap w:val="0"/>
            <w:tcMar>
              <w:top w:w="0" w:type="dxa"/>
              <w:left w:w="0" w:type="dxa"/>
              <w:bottom w:w="0" w:type="dxa"/>
              <w:right w:w="0" w:type="dxa"/>
            </w:tcMar>
            <w:vAlign w:val="center"/>
          </w:tcPr>
          <w:p w14:paraId="2D129CA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处3万元以上7万元以下的罚款</w:t>
            </w:r>
          </w:p>
        </w:tc>
        <w:tc>
          <w:tcPr>
            <w:tcW w:w="158" w:type="pct"/>
            <w:vMerge w:val="continue"/>
            <w:noWrap w:val="0"/>
            <w:tcMar>
              <w:top w:w="0" w:type="dxa"/>
              <w:left w:w="0" w:type="dxa"/>
              <w:bottom w:w="0" w:type="dxa"/>
              <w:right w:w="0" w:type="dxa"/>
            </w:tcMar>
            <w:vAlign w:val="center"/>
          </w:tcPr>
          <w:p w14:paraId="2DFB5E6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786E16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7A78B77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19083758">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7C007BB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1C08DE4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1187FAF0">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严重</w:t>
            </w:r>
          </w:p>
        </w:tc>
        <w:tc>
          <w:tcPr>
            <w:tcW w:w="561" w:type="pct"/>
            <w:noWrap w:val="0"/>
            <w:tcMar>
              <w:top w:w="0" w:type="dxa"/>
              <w:left w:w="0" w:type="dxa"/>
              <w:bottom w:w="0" w:type="dxa"/>
              <w:right w:w="0" w:type="dxa"/>
            </w:tcMar>
            <w:vAlign w:val="center"/>
          </w:tcPr>
          <w:p w14:paraId="437F8E0F">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spacing w:val="-6"/>
                <w:sz w:val="18"/>
                <w:szCs w:val="18"/>
                <w:vertAlign w:val="baseline"/>
              </w:rPr>
              <w:t>已确定项目实施方且开始实施，并造成严重后果的；3年内2次以上同类型违法的</w:t>
            </w:r>
          </w:p>
        </w:tc>
        <w:tc>
          <w:tcPr>
            <w:tcW w:w="873" w:type="pct"/>
            <w:noWrap w:val="0"/>
            <w:tcMar>
              <w:top w:w="0" w:type="dxa"/>
              <w:left w:w="0" w:type="dxa"/>
              <w:bottom w:w="0" w:type="dxa"/>
              <w:right w:w="0" w:type="dxa"/>
            </w:tcMar>
            <w:vAlign w:val="center"/>
          </w:tcPr>
          <w:p w14:paraId="6C9B26B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处7万元以上10万元以下的罚款</w:t>
            </w:r>
          </w:p>
        </w:tc>
        <w:tc>
          <w:tcPr>
            <w:tcW w:w="158" w:type="pct"/>
            <w:vMerge w:val="continue"/>
            <w:noWrap w:val="0"/>
            <w:tcMar>
              <w:top w:w="0" w:type="dxa"/>
              <w:left w:w="0" w:type="dxa"/>
              <w:bottom w:w="0" w:type="dxa"/>
              <w:right w:w="0" w:type="dxa"/>
            </w:tcMar>
            <w:vAlign w:val="center"/>
          </w:tcPr>
          <w:p w14:paraId="3CF66E38">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0F81C9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restart"/>
            <w:noWrap w:val="0"/>
            <w:tcMar>
              <w:top w:w="0" w:type="dxa"/>
              <w:left w:w="0" w:type="dxa"/>
              <w:bottom w:w="0" w:type="dxa"/>
              <w:right w:w="0" w:type="dxa"/>
            </w:tcMar>
            <w:vAlign w:val="center"/>
          </w:tcPr>
          <w:p w14:paraId="69FFA5B8">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r>
              <w:rPr>
                <w:rFonts w:hint="eastAsia" w:ascii="宋体" w:hAnsi="宋体" w:eastAsia="宋体" w:cs="宋体"/>
                <w:color w:val="000000"/>
                <w:sz w:val="18"/>
                <w:szCs w:val="18"/>
                <w:shd w:val="clear" w:color="auto" w:fill="auto"/>
                <w:vertAlign w:val="baseline"/>
                <w:lang w:val="en-US" w:eastAsia="zh-CN"/>
              </w:rPr>
              <w:t>126</w:t>
            </w:r>
          </w:p>
        </w:tc>
        <w:tc>
          <w:tcPr>
            <w:tcW w:w="415" w:type="pct"/>
            <w:vMerge w:val="restart"/>
            <w:noWrap w:val="0"/>
            <w:tcMar>
              <w:top w:w="0" w:type="dxa"/>
              <w:left w:w="0" w:type="dxa"/>
              <w:bottom w:w="0" w:type="dxa"/>
              <w:right w:w="0" w:type="dxa"/>
            </w:tcMar>
            <w:vAlign w:val="center"/>
          </w:tcPr>
          <w:p w14:paraId="77E2DA68">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对水利领域招标人超过规定的比例收取投标保证金、履约保证金或者不按照规定退还投标保证金及银行同期存款利息行为的行政处罚</w:t>
            </w:r>
          </w:p>
        </w:tc>
        <w:tc>
          <w:tcPr>
            <w:tcW w:w="2168" w:type="pct"/>
            <w:vMerge w:val="restart"/>
            <w:noWrap w:val="0"/>
            <w:tcMar>
              <w:top w:w="0" w:type="dxa"/>
              <w:left w:w="0" w:type="dxa"/>
              <w:bottom w:w="0" w:type="dxa"/>
              <w:right w:w="0" w:type="dxa"/>
            </w:tcMar>
            <w:vAlign w:val="center"/>
          </w:tcPr>
          <w:p w14:paraId="63FDDEC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《中华人民共和国招标投标法实施条例》第六十六条 招标人超过本条例规定的比例收取投标保证金、履约保证金或者不按照规定退还投标保证金及银行同期存款利息的，由有关行政监督部门责令改正，可以处5万元以下的罚款；给他人造成损失的，依法承担赔偿责任。</w:t>
            </w:r>
          </w:p>
        </w:tc>
        <w:tc>
          <w:tcPr>
            <w:tcW w:w="491" w:type="pct"/>
            <w:vMerge w:val="restart"/>
            <w:noWrap w:val="0"/>
            <w:tcMar>
              <w:top w:w="0" w:type="dxa"/>
              <w:left w:w="0" w:type="dxa"/>
              <w:bottom w:w="0" w:type="dxa"/>
              <w:right w:w="0" w:type="dxa"/>
            </w:tcMar>
            <w:vAlign w:val="center"/>
          </w:tcPr>
          <w:p w14:paraId="76350E5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水利领域招标人超过规定的比例收取投标保证金、履约保证金或者不按照规定退还投标保证金及银行同期存款利息的</w:t>
            </w:r>
          </w:p>
        </w:tc>
        <w:tc>
          <w:tcPr>
            <w:tcW w:w="174" w:type="pct"/>
            <w:noWrap w:val="0"/>
            <w:tcMar>
              <w:top w:w="0" w:type="dxa"/>
              <w:left w:w="0" w:type="dxa"/>
              <w:bottom w:w="0" w:type="dxa"/>
              <w:right w:w="0" w:type="dxa"/>
            </w:tcMar>
            <w:vAlign w:val="center"/>
          </w:tcPr>
          <w:p w14:paraId="6A85FDB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轻微</w:t>
            </w:r>
          </w:p>
        </w:tc>
        <w:tc>
          <w:tcPr>
            <w:tcW w:w="561" w:type="pct"/>
            <w:noWrap w:val="0"/>
            <w:tcMar>
              <w:top w:w="0" w:type="dxa"/>
              <w:left w:w="0" w:type="dxa"/>
              <w:bottom w:w="0" w:type="dxa"/>
              <w:right w:w="0" w:type="dxa"/>
            </w:tcMar>
            <w:vAlign w:val="center"/>
          </w:tcPr>
          <w:p w14:paraId="414B9888">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t>初次违法，且没有造成危害后果的</w:t>
            </w:r>
          </w:p>
        </w:tc>
        <w:tc>
          <w:tcPr>
            <w:tcW w:w="873" w:type="pct"/>
            <w:noWrap w:val="0"/>
            <w:tcMar>
              <w:top w:w="0" w:type="dxa"/>
              <w:left w:w="0" w:type="dxa"/>
              <w:bottom w:w="0" w:type="dxa"/>
              <w:right w:w="0" w:type="dxa"/>
            </w:tcMar>
            <w:vAlign w:val="center"/>
          </w:tcPr>
          <w:p w14:paraId="08CE1C4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highlight w:val="none"/>
                <w:vertAlign w:val="baseline"/>
                <w:lang w:val="en-US" w:eastAsia="zh-CN" w:bidi="ar-SA"/>
              </w:rPr>
            </w:pPr>
            <w:r>
              <w:rPr>
                <w:rFonts w:hint="eastAsia" w:ascii="宋体" w:hAnsi="宋体" w:eastAsia="宋体" w:cs="宋体"/>
                <w:color w:val="000000"/>
                <w:kern w:val="2"/>
                <w:sz w:val="18"/>
                <w:szCs w:val="18"/>
                <w:highlight w:val="none"/>
                <w:vertAlign w:val="baseline"/>
                <w:lang w:val="en-US" w:eastAsia="zh-CN" w:bidi="ar-SA"/>
              </w:rPr>
              <w:t>不予行政处罚</w:t>
            </w:r>
          </w:p>
        </w:tc>
        <w:tc>
          <w:tcPr>
            <w:tcW w:w="158" w:type="pct"/>
            <w:vMerge w:val="restart"/>
            <w:noWrap w:val="0"/>
            <w:tcMar>
              <w:top w:w="0" w:type="dxa"/>
              <w:left w:w="0" w:type="dxa"/>
              <w:bottom w:w="0" w:type="dxa"/>
              <w:right w:w="0" w:type="dxa"/>
            </w:tcMar>
            <w:vAlign w:val="center"/>
          </w:tcPr>
          <w:p w14:paraId="2663CD9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52EC98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156" w:type="pct"/>
            <w:vMerge w:val="continue"/>
            <w:noWrap w:val="0"/>
            <w:tcMar>
              <w:top w:w="0" w:type="dxa"/>
              <w:left w:w="0" w:type="dxa"/>
              <w:bottom w:w="0" w:type="dxa"/>
              <w:right w:w="0" w:type="dxa"/>
            </w:tcMar>
            <w:vAlign w:val="center"/>
          </w:tcPr>
          <w:p w14:paraId="05465BC9">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644A9DEA">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0011294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77AF92A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701830CB">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较轻</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174945DE">
            <w:pPr>
              <w:snapToGrid/>
              <w:spacing w:line="24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74B6727B">
            <w:pPr>
              <w:spacing w:line="240" w:lineRule="exact"/>
              <w:rPr>
                <w:rFonts w:hint="eastAsia" w:ascii="宋体" w:hAnsi="宋体" w:eastAsia="宋体" w:cs="宋体"/>
                <w:color w:val="000000"/>
                <w:sz w:val="18"/>
                <w:szCs w:val="18"/>
                <w:vertAlign w:val="baseline"/>
                <w:lang w:val="en-US" w:eastAsia="zh-CN"/>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41AF88EA">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0FF0503B">
            <w:pPr>
              <w:spacing w:line="260" w:lineRule="exact"/>
              <w:rPr>
                <w:rFonts w:hint="eastAsia" w:ascii="宋体" w:hAnsi="宋体" w:eastAsia="宋体" w:cs="宋体"/>
                <w:color w:val="000000"/>
                <w:kern w:val="2"/>
                <w:sz w:val="18"/>
                <w:szCs w:val="18"/>
                <w:vertAlign w:val="baseline"/>
                <w:lang w:val="en-US" w:eastAsia="zh-CN" w:bidi="ar-SA"/>
              </w:rPr>
            </w:pPr>
          </w:p>
        </w:tc>
        <w:tc>
          <w:tcPr>
            <w:tcW w:w="158" w:type="pct"/>
            <w:vMerge w:val="continue"/>
            <w:noWrap w:val="0"/>
            <w:tcMar>
              <w:top w:w="0" w:type="dxa"/>
              <w:left w:w="0" w:type="dxa"/>
              <w:bottom w:w="0" w:type="dxa"/>
              <w:right w:w="0" w:type="dxa"/>
            </w:tcMar>
            <w:vAlign w:val="center"/>
          </w:tcPr>
          <w:p w14:paraId="1235524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120696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156" w:type="pct"/>
            <w:vMerge w:val="continue"/>
            <w:noWrap w:val="0"/>
            <w:tcMar>
              <w:top w:w="0" w:type="dxa"/>
              <w:left w:w="0" w:type="dxa"/>
              <w:bottom w:w="0" w:type="dxa"/>
              <w:right w:w="0" w:type="dxa"/>
            </w:tcMar>
            <w:vAlign w:val="center"/>
          </w:tcPr>
          <w:p w14:paraId="0D65E68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205DAB11">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4259280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71516D2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559E075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一般</w:t>
            </w:r>
          </w:p>
        </w:tc>
        <w:tc>
          <w:tcPr>
            <w:tcW w:w="561" w:type="pct"/>
            <w:noWrap w:val="0"/>
            <w:tcMar>
              <w:top w:w="0" w:type="dxa"/>
              <w:left w:w="0" w:type="dxa"/>
              <w:bottom w:w="0" w:type="dxa"/>
              <w:right w:w="0" w:type="dxa"/>
            </w:tcMar>
            <w:vAlign w:val="center"/>
          </w:tcPr>
          <w:p w14:paraId="6683BA5D">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sz w:val="18"/>
                <w:szCs w:val="18"/>
                <w:vertAlign w:val="baseline"/>
                <w:lang w:val="en-US" w:eastAsia="zh-CN"/>
              </w:rPr>
              <w:t>及时改正的</w:t>
            </w:r>
          </w:p>
        </w:tc>
        <w:tc>
          <w:tcPr>
            <w:tcW w:w="873" w:type="pct"/>
            <w:noWrap w:val="0"/>
            <w:tcMar>
              <w:top w:w="0" w:type="dxa"/>
              <w:left w:w="0" w:type="dxa"/>
              <w:bottom w:w="0" w:type="dxa"/>
              <w:right w:w="0" w:type="dxa"/>
            </w:tcMar>
            <w:vAlign w:val="center"/>
          </w:tcPr>
          <w:p w14:paraId="53C5CAC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处1.5万元以下的罚款</w:t>
            </w:r>
          </w:p>
        </w:tc>
        <w:tc>
          <w:tcPr>
            <w:tcW w:w="158" w:type="pct"/>
            <w:vMerge w:val="continue"/>
            <w:noWrap w:val="0"/>
            <w:tcMar>
              <w:top w:w="0" w:type="dxa"/>
              <w:left w:w="0" w:type="dxa"/>
              <w:bottom w:w="0" w:type="dxa"/>
              <w:right w:w="0" w:type="dxa"/>
            </w:tcMar>
            <w:vAlign w:val="center"/>
          </w:tcPr>
          <w:p w14:paraId="50E5A3D1">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1101AF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454D02B8">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6F2DAD9C">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4154AF4C">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7965667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2CFE0830">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较重</w:t>
            </w:r>
          </w:p>
        </w:tc>
        <w:tc>
          <w:tcPr>
            <w:tcW w:w="561" w:type="pct"/>
            <w:noWrap w:val="0"/>
            <w:tcMar>
              <w:top w:w="0" w:type="dxa"/>
              <w:left w:w="0" w:type="dxa"/>
              <w:bottom w:w="0" w:type="dxa"/>
              <w:right w:w="0" w:type="dxa"/>
            </w:tcMar>
            <w:vAlign w:val="center"/>
          </w:tcPr>
          <w:p w14:paraId="515EF93D">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未在规定期限内改正的</w:t>
            </w:r>
          </w:p>
        </w:tc>
        <w:tc>
          <w:tcPr>
            <w:tcW w:w="873" w:type="pct"/>
            <w:noWrap w:val="0"/>
            <w:tcMar>
              <w:top w:w="0" w:type="dxa"/>
              <w:left w:w="0" w:type="dxa"/>
              <w:bottom w:w="0" w:type="dxa"/>
              <w:right w:w="0" w:type="dxa"/>
            </w:tcMar>
            <w:vAlign w:val="center"/>
          </w:tcPr>
          <w:p w14:paraId="791A24B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处1.5万元以上3.5万元以下的罚款</w:t>
            </w:r>
          </w:p>
        </w:tc>
        <w:tc>
          <w:tcPr>
            <w:tcW w:w="158" w:type="pct"/>
            <w:vMerge w:val="continue"/>
            <w:noWrap w:val="0"/>
            <w:tcMar>
              <w:top w:w="0" w:type="dxa"/>
              <w:left w:w="0" w:type="dxa"/>
              <w:bottom w:w="0" w:type="dxa"/>
              <w:right w:w="0" w:type="dxa"/>
            </w:tcMar>
            <w:vAlign w:val="center"/>
          </w:tcPr>
          <w:p w14:paraId="166667D8">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03431D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77E79A5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7EF6616C">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3EA3C0B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7CF1DE1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71D16289">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严重</w:t>
            </w:r>
          </w:p>
        </w:tc>
        <w:tc>
          <w:tcPr>
            <w:tcW w:w="561" w:type="pct"/>
            <w:noWrap w:val="0"/>
            <w:tcMar>
              <w:top w:w="0" w:type="dxa"/>
              <w:left w:w="0" w:type="dxa"/>
              <w:bottom w:w="0" w:type="dxa"/>
              <w:right w:w="0" w:type="dxa"/>
            </w:tcMar>
            <w:vAlign w:val="center"/>
          </w:tcPr>
          <w:p w14:paraId="0406B58C">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拒不改正的；3年内2次以上同类型违法的；造成严重危害后果的</w:t>
            </w:r>
          </w:p>
        </w:tc>
        <w:tc>
          <w:tcPr>
            <w:tcW w:w="873" w:type="pct"/>
            <w:noWrap w:val="0"/>
            <w:tcMar>
              <w:top w:w="0" w:type="dxa"/>
              <w:left w:w="0" w:type="dxa"/>
              <w:bottom w:w="0" w:type="dxa"/>
              <w:right w:w="0" w:type="dxa"/>
            </w:tcMar>
            <w:vAlign w:val="center"/>
          </w:tcPr>
          <w:p w14:paraId="63CEEF4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处3.5万元以上5万元以下的罚款</w:t>
            </w:r>
          </w:p>
        </w:tc>
        <w:tc>
          <w:tcPr>
            <w:tcW w:w="158" w:type="pct"/>
            <w:vMerge w:val="continue"/>
            <w:noWrap w:val="0"/>
            <w:tcMar>
              <w:top w:w="0" w:type="dxa"/>
              <w:left w:w="0" w:type="dxa"/>
              <w:bottom w:w="0" w:type="dxa"/>
              <w:right w:w="0" w:type="dxa"/>
            </w:tcMar>
            <w:vAlign w:val="center"/>
          </w:tcPr>
          <w:p w14:paraId="7A31150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232E93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restart"/>
            <w:noWrap w:val="0"/>
            <w:tcMar>
              <w:top w:w="0" w:type="dxa"/>
              <w:left w:w="0" w:type="dxa"/>
              <w:bottom w:w="0" w:type="dxa"/>
              <w:right w:w="0" w:type="dxa"/>
            </w:tcMar>
            <w:vAlign w:val="center"/>
          </w:tcPr>
          <w:p w14:paraId="4BB5170A">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r>
              <w:rPr>
                <w:rFonts w:hint="eastAsia" w:ascii="宋体" w:hAnsi="宋体" w:eastAsia="宋体" w:cs="宋体"/>
                <w:color w:val="000000"/>
                <w:sz w:val="18"/>
                <w:szCs w:val="18"/>
                <w:shd w:val="clear" w:color="auto" w:fill="auto"/>
                <w:vertAlign w:val="baseline"/>
                <w:lang w:val="en-US" w:eastAsia="zh-CN"/>
              </w:rPr>
              <w:t>127</w:t>
            </w:r>
          </w:p>
        </w:tc>
        <w:tc>
          <w:tcPr>
            <w:tcW w:w="415" w:type="pct"/>
            <w:vMerge w:val="restart"/>
            <w:noWrap w:val="0"/>
            <w:tcMar>
              <w:top w:w="0" w:type="dxa"/>
              <w:left w:w="0" w:type="dxa"/>
              <w:bottom w:w="0" w:type="dxa"/>
              <w:right w:w="0" w:type="dxa"/>
            </w:tcMar>
            <w:vAlign w:val="center"/>
          </w:tcPr>
          <w:p w14:paraId="00A1406B">
            <w:pPr>
              <w:keepNext w:val="0"/>
              <w:keepLines w:val="0"/>
              <w:pageBreakBefore w:val="0"/>
              <w:widowControl w:val="0"/>
              <w:shd w:val="clear" w:color="auto" w:fill="auto"/>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对水利领域依法必须进行招标的项目，招标人不按照规定组建评标委员会，或者确定、更换评标委员会成员违反招标投标法和招标投标法实施条例规定行为的行政处罚</w:t>
            </w:r>
          </w:p>
        </w:tc>
        <w:tc>
          <w:tcPr>
            <w:tcW w:w="2168" w:type="pct"/>
            <w:vMerge w:val="restart"/>
            <w:noWrap w:val="0"/>
            <w:tcMar>
              <w:top w:w="0" w:type="dxa"/>
              <w:left w:w="0" w:type="dxa"/>
              <w:bottom w:w="0" w:type="dxa"/>
              <w:right w:w="0" w:type="dxa"/>
            </w:tcMar>
            <w:vAlign w:val="center"/>
          </w:tcPr>
          <w:p w14:paraId="6DC16E61">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《中华人民共和国招标投标法实施条例》第七十条第一款 依法必须进行招标的项目的招标人不按照规定组建评标委员会，或者确定、更换评标委员会成员违反招标投标法和本条例规定的，由有关行政监督部门责令改正，可以处10万元以下的罚款，对单位直接负责的主管人员和其他直接责任人员依法给予处分；违法确定或者更换的评标委员会成员作出的评审结论无效，依法重新进行评审。</w:t>
            </w:r>
          </w:p>
          <w:p w14:paraId="61A088F7">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《工程建设项目施工招标投标办法》第七十九条 依法必须进行招标的项目的招标人不按照规定组建评标委员会，或者确定、更换评标委员会成员违反招标投标法和招标投标法实施条例规定的，由有关行政监督部门责令改正，可以处10万元以下的罚款，对单位直接负责的主管人员和其他直接责任人员依法给予处分；违法确定或者更换的评标委员会成员作出的评审决定无效，依法重新进行评审。</w:t>
            </w:r>
          </w:p>
          <w:p w14:paraId="3A2E826C">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《工程建设项目勘察设计招标投标办法》第五十三条第二款 依法必须进行招标的项目的招标人不按照规定组建评标委员会，或者确定、更换评标委员会成员违反招标投标法和招标投标法实施条例规定的，由有关行政监督部门责令改正，可以处10万元以下的罚款，对单位直接负责的主管人员和其他直接责任人员依法给予处分；违法确定或者更换的评标委员会成员作出的评审结论无效，依法重新进行评审。</w:t>
            </w:r>
          </w:p>
        </w:tc>
        <w:tc>
          <w:tcPr>
            <w:tcW w:w="491" w:type="pct"/>
            <w:vMerge w:val="restart"/>
            <w:noWrap w:val="0"/>
            <w:tcMar>
              <w:top w:w="0" w:type="dxa"/>
              <w:left w:w="0" w:type="dxa"/>
              <w:bottom w:w="0" w:type="dxa"/>
              <w:right w:w="0" w:type="dxa"/>
            </w:tcMar>
            <w:vAlign w:val="center"/>
          </w:tcPr>
          <w:p w14:paraId="3959F78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水利领域依法必须进行招标的项目，招标人不按照规定组建评标委员会，或者确定、更换评标委员会成员违反招标投标法和招标投标法实施条例规定的</w:t>
            </w:r>
          </w:p>
        </w:tc>
        <w:tc>
          <w:tcPr>
            <w:tcW w:w="174" w:type="pct"/>
            <w:noWrap w:val="0"/>
            <w:tcMar>
              <w:top w:w="0" w:type="dxa"/>
              <w:left w:w="0" w:type="dxa"/>
              <w:bottom w:w="0" w:type="dxa"/>
              <w:right w:w="0" w:type="dxa"/>
            </w:tcMar>
            <w:vAlign w:val="center"/>
          </w:tcPr>
          <w:p w14:paraId="3CAF24B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轻微</w:t>
            </w:r>
          </w:p>
        </w:tc>
        <w:tc>
          <w:tcPr>
            <w:tcW w:w="561" w:type="pct"/>
            <w:noWrap w:val="0"/>
            <w:tcMar>
              <w:top w:w="0" w:type="dxa"/>
              <w:left w:w="0" w:type="dxa"/>
              <w:bottom w:w="0" w:type="dxa"/>
              <w:right w:w="0" w:type="dxa"/>
            </w:tcMar>
            <w:vAlign w:val="center"/>
          </w:tcPr>
          <w:p w14:paraId="599DCD1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t>及时改正，且没有造成危害后果的</w:t>
            </w:r>
          </w:p>
        </w:tc>
        <w:tc>
          <w:tcPr>
            <w:tcW w:w="873" w:type="pct"/>
            <w:noWrap w:val="0"/>
            <w:tcMar>
              <w:top w:w="0" w:type="dxa"/>
              <w:left w:w="0" w:type="dxa"/>
              <w:bottom w:w="0" w:type="dxa"/>
              <w:right w:w="0" w:type="dxa"/>
            </w:tcMar>
            <w:vAlign w:val="center"/>
          </w:tcPr>
          <w:p w14:paraId="5425C94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highlight w:val="none"/>
                <w:vertAlign w:val="baseline"/>
                <w:lang w:val="en-US" w:eastAsia="zh-CN" w:bidi="ar-SA"/>
              </w:rPr>
            </w:pPr>
            <w:r>
              <w:rPr>
                <w:rFonts w:hint="eastAsia" w:ascii="宋体" w:hAnsi="宋体" w:eastAsia="宋体" w:cs="宋体"/>
                <w:color w:val="000000"/>
                <w:kern w:val="2"/>
                <w:sz w:val="18"/>
                <w:szCs w:val="18"/>
                <w:highlight w:val="none"/>
                <w:vertAlign w:val="baseline"/>
                <w:lang w:val="en-US" w:eastAsia="zh-CN" w:bidi="ar-SA"/>
              </w:rPr>
              <w:t>不予行政处罚</w:t>
            </w:r>
          </w:p>
        </w:tc>
        <w:tc>
          <w:tcPr>
            <w:tcW w:w="158" w:type="pct"/>
            <w:vMerge w:val="restart"/>
            <w:noWrap w:val="0"/>
            <w:tcMar>
              <w:top w:w="0" w:type="dxa"/>
              <w:left w:w="0" w:type="dxa"/>
              <w:bottom w:w="0" w:type="dxa"/>
              <w:right w:w="0" w:type="dxa"/>
            </w:tcMar>
            <w:vAlign w:val="center"/>
          </w:tcPr>
          <w:p w14:paraId="2140A3C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3D7CD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0FF14605">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3B04F2FE">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7BC3726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7801B45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24F034F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较轻</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77736A2C">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26E38E34">
            <w:pPr>
              <w:spacing w:line="260" w:lineRule="exact"/>
              <w:rPr>
                <w:rFonts w:hint="eastAsia" w:ascii="宋体" w:hAnsi="宋体" w:eastAsia="宋体" w:cs="宋体"/>
                <w:color w:val="000000"/>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5ED65B89">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42DF4768">
            <w:pPr>
              <w:spacing w:line="260" w:lineRule="exact"/>
              <w:rPr>
                <w:rFonts w:hint="eastAsia" w:ascii="宋体" w:hAnsi="宋体" w:eastAsia="宋体" w:cs="宋体"/>
                <w:color w:val="000000"/>
                <w:kern w:val="2"/>
                <w:sz w:val="18"/>
                <w:szCs w:val="18"/>
                <w:vertAlign w:val="baseline"/>
                <w:lang w:val="en-US" w:eastAsia="zh-CN" w:bidi="ar-SA"/>
              </w:rPr>
            </w:pPr>
          </w:p>
        </w:tc>
        <w:tc>
          <w:tcPr>
            <w:tcW w:w="158" w:type="pct"/>
            <w:vMerge w:val="continue"/>
            <w:noWrap w:val="0"/>
            <w:tcMar>
              <w:top w:w="0" w:type="dxa"/>
              <w:left w:w="0" w:type="dxa"/>
              <w:bottom w:w="0" w:type="dxa"/>
              <w:right w:w="0" w:type="dxa"/>
            </w:tcMar>
            <w:vAlign w:val="center"/>
          </w:tcPr>
          <w:p w14:paraId="7EFAF36A">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026110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0000663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214087C9">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5FECBFE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18D0293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7B20690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一般</w:t>
            </w:r>
          </w:p>
        </w:tc>
        <w:tc>
          <w:tcPr>
            <w:tcW w:w="561" w:type="pct"/>
            <w:noWrap w:val="0"/>
            <w:tcMar>
              <w:top w:w="0" w:type="dxa"/>
              <w:left w:w="0" w:type="dxa"/>
              <w:bottom w:w="0" w:type="dxa"/>
              <w:right w:w="0" w:type="dxa"/>
            </w:tcMar>
            <w:vAlign w:val="center"/>
          </w:tcPr>
          <w:p w14:paraId="6132C54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sz w:val="18"/>
                <w:szCs w:val="18"/>
                <w:vertAlign w:val="baseline"/>
              </w:rPr>
              <w:t>尚未组织评标确定中标人的</w:t>
            </w:r>
          </w:p>
        </w:tc>
        <w:tc>
          <w:tcPr>
            <w:tcW w:w="873" w:type="pct"/>
            <w:noWrap w:val="0"/>
            <w:tcMar>
              <w:top w:w="0" w:type="dxa"/>
              <w:left w:w="0" w:type="dxa"/>
              <w:bottom w:w="0" w:type="dxa"/>
              <w:right w:w="0" w:type="dxa"/>
            </w:tcMar>
            <w:vAlign w:val="center"/>
          </w:tcPr>
          <w:p w14:paraId="526E7C1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处3万元以下的罚款</w:t>
            </w:r>
          </w:p>
        </w:tc>
        <w:tc>
          <w:tcPr>
            <w:tcW w:w="158" w:type="pct"/>
            <w:vMerge w:val="continue"/>
            <w:noWrap w:val="0"/>
            <w:tcMar>
              <w:top w:w="0" w:type="dxa"/>
              <w:left w:w="0" w:type="dxa"/>
              <w:bottom w:w="0" w:type="dxa"/>
              <w:right w:w="0" w:type="dxa"/>
            </w:tcMar>
            <w:vAlign w:val="center"/>
          </w:tcPr>
          <w:p w14:paraId="5F0C3D8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14A8C3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340DC96C">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24340B30">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3873040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59FBC58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21D67C4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较重</w:t>
            </w:r>
          </w:p>
        </w:tc>
        <w:tc>
          <w:tcPr>
            <w:tcW w:w="561" w:type="pct"/>
            <w:noWrap w:val="0"/>
            <w:tcMar>
              <w:top w:w="0" w:type="dxa"/>
              <w:left w:w="0" w:type="dxa"/>
              <w:bottom w:w="0" w:type="dxa"/>
              <w:right w:w="0" w:type="dxa"/>
            </w:tcMar>
            <w:vAlign w:val="center"/>
          </w:tcPr>
          <w:p w14:paraId="37DCFE6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已组织评标确定中标人的</w:t>
            </w:r>
          </w:p>
        </w:tc>
        <w:tc>
          <w:tcPr>
            <w:tcW w:w="873" w:type="pct"/>
            <w:noWrap w:val="0"/>
            <w:tcMar>
              <w:top w:w="0" w:type="dxa"/>
              <w:left w:w="0" w:type="dxa"/>
              <w:bottom w:w="0" w:type="dxa"/>
              <w:right w:w="0" w:type="dxa"/>
            </w:tcMar>
            <w:vAlign w:val="center"/>
          </w:tcPr>
          <w:p w14:paraId="002C2FA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处3万元以上7万元以下的罚款</w:t>
            </w:r>
          </w:p>
        </w:tc>
        <w:tc>
          <w:tcPr>
            <w:tcW w:w="158" w:type="pct"/>
            <w:vMerge w:val="continue"/>
            <w:noWrap w:val="0"/>
            <w:tcMar>
              <w:top w:w="0" w:type="dxa"/>
              <w:left w:w="0" w:type="dxa"/>
              <w:bottom w:w="0" w:type="dxa"/>
              <w:right w:w="0" w:type="dxa"/>
            </w:tcMar>
            <w:vAlign w:val="center"/>
          </w:tcPr>
          <w:p w14:paraId="7BD42AD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5B0F84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52386259">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18B4BFA9">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5D0540C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349D2BD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67B3BF1D">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严重</w:t>
            </w:r>
          </w:p>
        </w:tc>
        <w:tc>
          <w:tcPr>
            <w:tcW w:w="561" w:type="pct"/>
            <w:noWrap w:val="0"/>
            <w:tcMar>
              <w:top w:w="0" w:type="dxa"/>
              <w:left w:w="0" w:type="dxa"/>
              <w:bottom w:w="0" w:type="dxa"/>
              <w:right w:w="0" w:type="dxa"/>
            </w:tcMar>
            <w:vAlign w:val="center"/>
          </w:tcPr>
          <w:p w14:paraId="0BBA10B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已组织评标确定中标人，且造成严重后果的；3年内2次以上同类型违法的</w:t>
            </w:r>
          </w:p>
        </w:tc>
        <w:tc>
          <w:tcPr>
            <w:tcW w:w="873" w:type="pct"/>
            <w:noWrap w:val="0"/>
            <w:tcMar>
              <w:top w:w="0" w:type="dxa"/>
              <w:left w:w="0" w:type="dxa"/>
              <w:bottom w:w="0" w:type="dxa"/>
              <w:right w:w="0" w:type="dxa"/>
            </w:tcMar>
            <w:vAlign w:val="center"/>
          </w:tcPr>
          <w:p w14:paraId="649E202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处7万元以上10万元以下的罚款</w:t>
            </w:r>
          </w:p>
        </w:tc>
        <w:tc>
          <w:tcPr>
            <w:tcW w:w="158" w:type="pct"/>
            <w:vMerge w:val="continue"/>
            <w:noWrap w:val="0"/>
            <w:tcMar>
              <w:top w:w="0" w:type="dxa"/>
              <w:left w:w="0" w:type="dxa"/>
              <w:bottom w:w="0" w:type="dxa"/>
              <w:right w:w="0" w:type="dxa"/>
            </w:tcMar>
            <w:vAlign w:val="center"/>
          </w:tcPr>
          <w:p w14:paraId="3775C83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510A93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restart"/>
            <w:noWrap w:val="0"/>
            <w:tcMar>
              <w:top w:w="0" w:type="dxa"/>
              <w:left w:w="0" w:type="dxa"/>
              <w:bottom w:w="0" w:type="dxa"/>
              <w:right w:w="0" w:type="dxa"/>
            </w:tcMar>
            <w:vAlign w:val="center"/>
          </w:tcPr>
          <w:p w14:paraId="1873A70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r>
              <w:rPr>
                <w:rFonts w:hint="eastAsia" w:ascii="宋体" w:hAnsi="宋体" w:eastAsia="宋体" w:cs="宋体"/>
                <w:color w:val="000000"/>
                <w:sz w:val="18"/>
                <w:szCs w:val="18"/>
                <w:shd w:val="clear" w:color="auto" w:fill="auto"/>
                <w:vertAlign w:val="baseline"/>
                <w:lang w:val="en-US" w:eastAsia="zh-CN"/>
              </w:rPr>
              <w:t>128</w:t>
            </w:r>
          </w:p>
        </w:tc>
        <w:tc>
          <w:tcPr>
            <w:tcW w:w="415" w:type="pct"/>
            <w:vMerge w:val="restart"/>
            <w:noWrap w:val="0"/>
            <w:tcMar>
              <w:top w:w="0" w:type="dxa"/>
              <w:left w:w="0" w:type="dxa"/>
              <w:bottom w:w="0" w:type="dxa"/>
              <w:right w:w="0" w:type="dxa"/>
            </w:tcMar>
            <w:vAlign w:val="center"/>
          </w:tcPr>
          <w:p w14:paraId="3C4597C7">
            <w:pPr>
              <w:keepNext w:val="0"/>
              <w:keepLines w:val="0"/>
              <w:pageBreakBefore w:val="0"/>
              <w:widowControl w:val="0"/>
              <w:shd w:val="clear" w:color="auto" w:fill="auto"/>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对水利领域依法必须进行招标的项目，招标人无正当理由不发出中标通知书，中标通知书发出后无正当理由改变中标结果等行为的行政处罚</w:t>
            </w:r>
          </w:p>
        </w:tc>
        <w:tc>
          <w:tcPr>
            <w:tcW w:w="2168" w:type="pct"/>
            <w:vMerge w:val="restart"/>
            <w:noWrap w:val="0"/>
            <w:tcMar>
              <w:top w:w="0" w:type="dxa"/>
              <w:left w:w="0" w:type="dxa"/>
              <w:bottom w:w="0" w:type="dxa"/>
              <w:right w:w="0" w:type="dxa"/>
            </w:tcMar>
            <w:vAlign w:val="center"/>
          </w:tcPr>
          <w:p w14:paraId="443B79FF">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《中华人民共和国招标投标法实施条例》第七十三条 依法必须进行招标的项目的招标人有下列情形之一的，由有关行政监督部门责令改正，可以处中标项目金额10‰以下的罚款；给他人造成损失的，依法承担赔偿责任；对单位直接负责的主管人员和其他直接责任人员依法给予处分：</w:t>
            </w:r>
          </w:p>
          <w:p w14:paraId="344A4ABA">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（一）无正当理由不发出中标通知书；（三）中标通知书发出后无正当理由改变中标结果；（四）无正当理由不与中标人订立合同；（五）在订立合同时向中标人提出附加条件。</w:t>
            </w:r>
          </w:p>
          <w:p w14:paraId="55CC35EB">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《工程建设项目施工招标投标办法》第八十条 依法必须进行招标的项目的招标人有下列情形之一的，由有关行政监督部门责令改正，可以处中标项目金额千分之十以下的罚款；给他人造成损失的，依法承担赔偿责任；对单位直接负责的主管人员和其他直接责任人员依法给予处分：</w:t>
            </w:r>
          </w:p>
          <w:p w14:paraId="7773072F">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（一）无正当理由不发出中标通知书；（三）中标通知书发出后无正当理由改变中标结果；（四）无正当理由不与中标人订立合同；（五）在订立合同时向中标人提出附加条件。</w:t>
            </w:r>
          </w:p>
          <w:p w14:paraId="1F881DE7">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《工程建设项目货物招标投标办法》第五十八条第一款 依法必须进行招标的项目的招标人有下列情形之一的，由有关行政监督部门责令改正，可以处中标项目金额千分之十以下的罚款；给他人造成损失的，依法承担赔偿责任；对单位直接负责的主管人员和其他直接责任人员依法给予处分：</w:t>
            </w:r>
          </w:p>
          <w:p w14:paraId="2A4383B1">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（一）无正当理由不发出中标通知书；（三）中标通知书发出后无正当理由改变中标结果；（四）无正当理由不与中标人订立合同；（五）在订立合同时向中标人提出附加条件。</w:t>
            </w:r>
          </w:p>
          <w:p w14:paraId="61A83C31">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《评标委员会和评标方法暂行规定》第五十五条 招标人有下列情形之一的，责令改正，可以处中标项目金额千分之十以下的罚款；给他人造成损失的，依法承担赔偿责任；对单位直接负责的主管人员和其他直接责任人员依法给予处分：</w:t>
            </w:r>
          </w:p>
          <w:p w14:paraId="272B124D">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（一）无正当理由不发出中标通知书； （三）中标通知书发出后无正当理由改变中标结果；（四）无正当理由不与中标人订立合同；（五）在订立合同时向中标人提出附加条件。</w:t>
            </w:r>
          </w:p>
        </w:tc>
        <w:tc>
          <w:tcPr>
            <w:tcW w:w="491" w:type="pct"/>
            <w:vMerge w:val="restart"/>
            <w:noWrap w:val="0"/>
            <w:tcMar>
              <w:top w:w="0" w:type="dxa"/>
              <w:left w:w="0" w:type="dxa"/>
              <w:bottom w:w="0" w:type="dxa"/>
              <w:right w:w="0" w:type="dxa"/>
            </w:tcMar>
            <w:vAlign w:val="center"/>
          </w:tcPr>
          <w:p w14:paraId="0E30D4D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水利领域依法必须进行招标的项目，招标人无正当理由不发出中标通知书的</w:t>
            </w:r>
          </w:p>
        </w:tc>
        <w:tc>
          <w:tcPr>
            <w:tcW w:w="174" w:type="pct"/>
            <w:noWrap w:val="0"/>
            <w:tcMar>
              <w:top w:w="0" w:type="dxa"/>
              <w:left w:w="0" w:type="dxa"/>
              <w:bottom w:w="0" w:type="dxa"/>
              <w:right w:w="0" w:type="dxa"/>
            </w:tcMar>
            <w:vAlign w:val="center"/>
          </w:tcPr>
          <w:p w14:paraId="05EE434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轻微</w:t>
            </w:r>
          </w:p>
        </w:tc>
        <w:tc>
          <w:tcPr>
            <w:tcW w:w="561" w:type="pct"/>
            <w:noWrap w:val="0"/>
            <w:tcMar>
              <w:top w:w="0" w:type="dxa"/>
              <w:left w:w="0" w:type="dxa"/>
              <w:bottom w:w="0" w:type="dxa"/>
              <w:right w:w="0" w:type="dxa"/>
            </w:tcMar>
            <w:vAlign w:val="center"/>
          </w:tcPr>
          <w:p w14:paraId="1867D77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t>初次违法，且没有造成危害后果的</w:t>
            </w:r>
          </w:p>
        </w:tc>
        <w:tc>
          <w:tcPr>
            <w:tcW w:w="873" w:type="pct"/>
            <w:noWrap w:val="0"/>
            <w:tcMar>
              <w:top w:w="0" w:type="dxa"/>
              <w:left w:w="0" w:type="dxa"/>
              <w:bottom w:w="0" w:type="dxa"/>
              <w:right w:w="0" w:type="dxa"/>
            </w:tcMar>
            <w:vAlign w:val="center"/>
          </w:tcPr>
          <w:p w14:paraId="54DE8D6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highlight w:val="none"/>
                <w:vertAlign w:val="baseline"/>
                <w:lang w:val="en-US" w:eastAsia="zh-CN" w:bidi="ar-SA"/>
              </w:rPr>
            </w:pPr>
            <w:r>
              <w:rPr>
                <w:rFonts w:hint="eastAsia" w:ascii="宋体" w:hAnsi="宋体" w:eastAsia="宋体" w:cs="宋体"/>
                <w:color w:val="000000"/>
                <w:kern w:val="2"/>
                <w:sz w:val="18"/>
                <w:szCs w:val="18"/>
                <w:highlight w:val="none"/>
                <w:vertAlign w:val="baseline"/>
                <w:lang w:val="en-US" w:eastAsia="zh-CN" w:bidi="ar-SA"/>
              </w:rPr>
              <w:t>不予行政处罚</w:t>
            </w:r>
          </w:p>
        </w:tc>
        <w:tc>
          <w:tcPr>
            <w:tcW w:w="158" w:type="pct"/>
            <w:vMerge w:val="restart"/>
            <w:noWrap w:val="0"/>
            <w:tcMar>
              <w:top w:w="0" w:type="dxa"/>
              <w:left w:w="0" w:type="dxa"/>
              <w:bottom w:w="0" w:type="dxa"/>
              <w:right w:w="0" w:type="dxa"/>
            </w:tcMar>
            <w:vAlign w:val="center"/>
          </w:tcPr>
          <w:p w14:paraId="49FB3129">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40FB2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00F99AB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7355A7F7">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491FCEE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40A78BF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2726DA0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较轻</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042299EB">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5C508615">
            <w:pPr>
              <w:spacing w:line="260" w:lineRule="exact"/>
              <w:rPr>
                <w:rFonts w:hint="eastAsia" w:ascii="宋体" w:hAnsi="宋体" w:eastAsia="宋体" w:cs="宋体"/>
                <w:color w:val="000000"/>
                <w:sz w:val="18"/>
                <w:szCs w:val="18"/>
                <w:vertAlign w:val="baseline"/>
                <w:lang w:val="en-US" w:eastAsia="zh-CN"/>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27C1C4D7">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73C7DDA3">
            <w:pPr>
              <w:spacing w:line="260" w:lineRule="exact"/>
              <w:rPr>
                <w:rFonts w:hint="eastAsia" w:ascii="宋体" w:hAnsi="宋体" w:eastAsia="宋体" w:cs="宋体"/>
                <w:color w:val="000000"/>
                <w:kern w:val="2"/>
                <w:sz w:val="18"/>
                <w:szCs w:val="18"/>
                <w:vertAlign w:val="baseline"/>
                <w:lang w:val="en-US" w:eastAsia="zh-CN" w:bidi="ar-SA"/>
              </w:rPr>
            </w:pPr>
          </w:p>
        </w:tc>
        <w:tc>
          <w:tcPr>
            <w:tcW w:w="158" w:type="pct"/>
            <w:vMerge w:val="continue"/>
            <w:noWrap w:val="0"/>
            <w:tcMar>
              <w:top w:w="0" w:type="dxa"/>
              <w:left w:w="0" w:type="dxa"/>
              <w:bottom w:w="0" w:type="dxa"/>
              <w:right w:w="0" w:type="dxa"/>
            </w:tcMar>
            <w:vAlign w:val="center"/>
          </w:tcPr>
          <w:p w14:paraId="4C228E6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2DF883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492F313B">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2E470557">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7160C0F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34DDA824">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159FB6CD">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一般</w:t>
            </w:r>
          </w:p>
        </w:tc>
        <w:tc>
          <w:tcPr>
            <w:tcW w:w="561" w:type="pct"/>
            <w:noWrap w:val="0"/>
            <w:tcMar>
              <w:top w:w="0" w:type="dxa"/>
              <w:left w:w="0" w:type="dxa"/>
              <w:bottom w:w="0" w:type="dxa"/>
              <w:right w:w="0" w:type="dxa"/>
            </w:tcMar>
            <w:vAlign w:val="center"/>
          </w:tcPr>
          <w:p w14:paraId="336F710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sz w:val="18"/>
                <w:szCs w:val="18"/>
                <w:vertAlign w:val="baseline"/>
                <w:lang w:val="en-US" w:eastAsia="zh-CN"/>
              </w:rPr>
              <w:t>及时改正的</w:t>
            </w:r>
          </w:p>
        </w:tc>
        <w:tc>
          <w:tcPr>
            <w:tcW w:w="873" w:type="pct"/>
            <w:noWrap w:val="0"/>
            <w:tcMar>
              <w:top w:w="0" w:type="dxa"/>
              <w:left w:w="0" w:type="dxa"/>
              <w:bottom w:w="0" w:type="dxa"/>
              <w:right w:w="0" w:type="dxa"/>
            </w:tcMar>
            <w:vAlign w:val="center"/>
          </w:tcPr>
          <w:p w14:paraId="2A84944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处中标项目金额3‰以下的罚款</w:t>
            </w:r>
          </w:p>
        </w:tc>
        <w:tc>
          <w:tcPr>
            <w:tcW w:w="158" w:type="pct"/>
            <w:vMerge w:val="continue"/>
            <w:noWrap w:val="0"/>
            <w:tcMar>
              <w:top w:w="0" w:type="dxa"/>
              <w:left w:w="0" w:type="dxa"/>
              <w:bottom w:w="0" w:type="dxa"/>
              <w:right w:w="0" w:type="dxa"/>
            </w:tcMar>
            <w:vAlign w:val="center"/>
          </w:tcPr>
          <w:p w14:paraId="17AB74FD">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330831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6881D15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15B3BB73">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6ECB77D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2E1463B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5623C76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较重</w:t>
            </w:r>
          </w:p>
        </w:tc>
        <w:tc>
          <w:tcPr>
            <w:tcW w:w="561" w:type="pct"/>
            <w:noWrap w:val="0"/>
            <w:tcMar>
              <w:top w:w="0" w:type="dxa"/>
              <w:left w:w="0" w:type="dxa"/>
              <w:bottom w:w="0" w:type="dxa"/>
              <w:right w:w="0" w:type="dxa"/>
            </w:tcMar>
            <w:vAlign w:val="center"/>
          </w:tcPr>
          <w:p w14:paraId="4B07D2F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未在规定期限内改正的</w:t>
            </w:r>
          </w:p>
        </w:tc>
        <w:tc>
          <w:tcPr>
            <w:tcW w:w="873" w:type="pct"/>
            <w:noWrap w:val="0"/>
            <w:tcMar>
              <w:top w:w="0" w:type="dxa"/>
              <w:left w:w="0" w:type="dxa"/>
              <w:bottom w:w="0" w:type="dxa"/>
              <w:right w:w="0" w:type="dxa"/>
            </w:tcMar>
            <w:vAlign w:val="center"/>
          </w:tcPr>
          <w:p w14:paraId="092AAB07">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处中标项目金额3‰以上7‰以下的罚款</w:t>
            </w:r>
          </w:p>
        </w:tc>
        <w:tc>
          <w:tcPr>
            <w:tcW w:w="158" w:type="pct"/>
            <w:vMerge w:val="continue"/>
            <w:noWrap w:val="0"/>
            <w:tcMar>
              <w:top w:w="0" w:type="dxa"/>
              <w:left w:w="0" w:type="dxa"/>
              <w:bottom w:w="0" w:type="dxa"/>
              <w:right w:w="0" w:type="dxa"/>
            </w:tcMar>
            <w:vAlign w:val="center"/>
          </w:tcPr>
          <w:p w14:paraId="46E1AD69">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13E13A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221" w:hRule="atLeast"/>
          <w:jc w:val="center"/>
        </w:trPr>
        <w:tc>
          <w:tcPr>
            <w:tcW w:w="156" w:type="pct"/>
            <w:vMerge w:val="continue"/>
            <w:noWrap w:val="0"/>
            <w:tcMar>
              <w:top w:w="0" w:type="dxa"/>
              <w:left w:w="0" w:type="dxa"/>
              <w:bottom w:w="0" w:type="dxa"/>
              <w:right w:w="0" w:type="dxa"/>
            </w:tcMar>
            <w:vAlign w:val="center"/>
          </w:tcPr>
          <w:p w14:paraId="6C583D7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59852075">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1BBE71C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07D003B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59619F0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严重</w:t>
            </w:r>
          </w:p>
        </w:tc>
        <w:tc>
          <w:tcPr>
            <w:tcW w:w="561" w:type="pct"/>
            <w:noWrap w:val="0"/>
            <w:tcMar>
              <w:top w:w="0" w:type="dxa"/>
              <w:left w:w="0" w:type="dxa"/>
              <w:bottom w:w="0" w:type="dxa"/>
              <w:right w:w="0" w:type="dxa"/>
            </w:tcMar>
            <w:vAlign w:val="center"/>
          </w:tcPr>
          <w:p w14:paraId="0EAE249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拒不改正的；3年内2次以上同类型违法的；造成严重危害后果的</w:t>
            </w:r>
          </w:p>
        </w:tc>
        <w:tc>
          <w:tcPr>
            <w:tcW w:w="873" w:type="pct"/>
            <w:noWrap w:val="0"/>
            <w:tcMar>
              <w:top w:w="0" w:type="dxa"/>
              <w:left w:w="0" w:type="dxa"/>
              <w:bottom w:w="0" w:type="dxa"/>
              <w:right w:w="0" w:type="dxa"/>
            </w:tcMar>
            <w:vAlign w:val="center"/>
          </w:tcPr>
          <w:p w14:paraId="07C501F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处中标项目金额7‰以上10‰以下的罚款</w:t>
            </w:r>
          </w:p>
        </w:tc>
        <w:tc>
          <w:tcPr>
            <w:tcW w:w="158" w:type="pct"/>
            <w:vMerge w:val="continue"/>
            <w:noWrap w:val="0"/>
            <w:tcMar>
              <w:top w:w="0" w:type="dxa"/>
              <w:left w:w="0" w:type="dxa"/>
              <w:bottom w:w="0" w:type="dxa"/>
              <w:right w:w="0" w:type="dxa"/>
            </w:tcMar>
            <w:vAlign w:val="center"/>
          </w:tcPr>
          <w:p w14:paraId="4B00032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6D8035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775" w:hRule="atLeast"/>
          <w:jc w:val="center"/>
        </w:trPr>
        <w:tc>
          <w:tcPr>
            <w:tcW w:w="156" w:type="pct"/>
            <w:vMerge w:val="continue"/>
            <w:noWrap w:val="0"/>
            <w:tcMar>
              <w:top w:w="0" w:type="dxa"/>
              <w:left w:w="0" w:type="dxa"/>
              <w:bottom w:w="0" w:type="dxa"/>
              <w:right w:w="0" w:type="dxa"/>
            </w:tcMar>
            <w:vAlign w:val="center"/>
          </w:tcPr>
          <w:p w14:paraId="2586A730">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5E6B96C5">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12FC73BC">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restart"/>
            <w:noWrap w:val="0"/>
            <w:tcMar>
              <w:top w:w="0" w:type="dxa"/>
              <w:left w:w="0" w:type="dxa"/>
              <w:bottom w:w="0" w:type="dxa"/>
              <w:right w:w="0" w:type="dxa"/>
            </w:tcMar>
            <w:vAlign w:val="center"/>
          </w:tcPr>
          <w:p w14:paraId="6882891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招标人不按照规定确定中标人的</w:t>
            </w:r>
          </w:p>
        </w:tc>
        <w:tc>
          <w:tcPr>
            <w:tcW w:w="174" w:type="pct"/>
            <w:noWrap w:val="0"/>
            <w:tcMar>
              <w:top w:w="0" w:type="dxa"/>
              <w:left w:w="0" w:type="dxa"/>
              <w:bottom w:w="0" w:type="dxa"/>
              <w:right w:w="0" w:type="dxa"/>
            </w:tcMar>
            <w:vAlign w:val="center"/>
          </w:tcPr>
          <w:p w14:paraId="552A52B8">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轻微</w:t>
            </w:r>
          </w:p>
        </w:tc>
        <w:tc>
          <w:tcPr>
            <w:tcW w:w="561" w:type="pct"/>
            <w:noWrap w:val="0"/>
            <w:tcMar>
              <w:top w:w="0" w:type="dxa"/>
              <w:left w:w="0" w:type="dxa"/>
              <w:bottom w:w="0" w:type="dxa"/>
              <w:right w:w="0" w:type="dxa"/>
            </w:tcMar>
            <w:vAlign w:val="center"/>
          </w:tcPr>
          <w:p w14:paraId="4FA97017">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highlight w:val="none"/>
                <w:vertAlign w:val="baseline"/>
                <w:lang w:val="en-US" w:eastAsia="zh-CN" w:bidi="ar-SA"/>
              </w:rPr>
            </w:pPr>
            <w:r>
              <w:rPr>
                <w:rFonts w:hint="eastAsia" w:ascii="宋体" w:hAnsi="宋体" w:eastAsia="宋体" w:cs="宋体"/>
                <w:color w:val="000000"/>
                <w:sz w:val="18"/>
                <w:szCs w:val="18"/>
                <w:highlight w:val="none"/>
                <w:vertAlign w:val="baseline"/>
              </w:rPr>
              <w:t>初次违法，且没有造成危害后果的</w:t>
            </w:r>
          </w:p>
        </w:tc>
        <w:tc>
          <w:tcPr>
            <w:tcW w:w="873" w:type="pct"/>
            <w:noWrap w:val="0"/>
            <w:tcMar>
              <w:top w:w="0" w:type="dxa"/>
              <w:left w:w="0" w:type="dxa"/>
              <w:bottom w:w="0" w:type="dxa"/>
              <w:right w:w="0" w:type="dxa"/>
            </w:tcMar>
            <w:vAlign w:val="center"/>
          </w:tcPr>
          <w:p w14:paraId="4ABD75A4">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highlight w:val="none"/>
                <w:vertAlign w:val="baseline"/>
                <w:lang w:val="en-US" w:eastAsia="zh-CN" w:bidi="ar-SA"/>
              </w:rPr>
            </w:pPr>
            <w:r>
              <w:rPr>
                <w:rFonts w:hint="eastAsia" w:ascii="宋体" w:hAnsi="宋体" w:eastAsia="宋体" w:cs="宋体"/>
                <w:color w:val="000000"/>
                <w:kern w:val="2"/>
                <w:sz w:val="18"/>
                <w:szCs w:val="18"/>
                <w:highlight w:val="none"/>
                <w:vertAlign w:val="baseline"/>
                <w:lang w:val="en-US" w:eastAsia="zh-CN" w:bidi="ar-SA"/>
              </w:rPr>
              <w:t>不予行政处罚</w:t>
            </w:r>
          </w:p>
        </w:tc>
        <w:tc>
          <w:tcPr>
            <w:tcW w:w="158" w:type="pct"/>
            <w:vMerge w:val="restart"/>
            <w:noWrap w:val="0"/>
            <w:tcMar>
              <w:top w:w="0" w:type="dxa"/>
              <w:left w:w="0" w:type="dxa"/>
              <w:bottom w:w="0" w:type="dxa"/>
              <w:right w:w="0" w:type="dxa"/>
            </w:tcMar>
            <w:vAlign w:val="center"/>
          </w:tcPr>
          <w:p w14:paraId="457AC87D">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271910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156" w:type="pct"/>
            <w:vMerge w:val="continue"/>
            <w:noWrap w:val="0"/>
            <w:tcMar>
              <w:top w:w="0" w:type="dxa"/>
              <w:left w:w="0" w:type="dxa"/>
              <w:bottom w:w="0" w:type="dxa"/>
              <w:right w:w="0" w:type="dxa"/>
            </w:tcMar>
            <w:vAlign w:val="center"/>
          </w:tcPr>
          <w:p w14:paraId="1E04C7D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3078C47A">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3F7105B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594791A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6C43EA4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较轻</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38767B3D">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39A00973">
            <w:pPr>
              <w:spacing w:line="260" w:lineRule="exact"/>
              <w:rPr>
                <w:rFonts w:hint="eastAsia" w:ascii="宋体" w:hAnsi="宋体" w:eastAsia="宋体" w:cs="宋体"/>
                <w:color w:val="000000"/>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3460C250">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269C8C48">
            <w:pPr>
              <w:spacing w:line="260" w:lineRule="exact"/>
              <w:rPr>
                <w:rFonts w:hint="eastAsia" w:ascii="宋体" w:hAnsi="宋体" w:eastAsia="宋体" w:cs="宋体"/>
                <w:color w:val="000000"/>
                <w:kern w:val="2"/>
                <w:sz w:val="18"/>
                <w:szCs w:val="18"/>
                <w:vertAlign w:val="baseline"/>
                <w:lang w:val="en-US" w:eastAsia="zh-CN" w:bidi="ar-SA"/>
              </w:rPr>
            </w:pPr>
          </w:p>
        </w:tc>
        <w:tc>
          <w:tcPr>
            <w:tcW w:w="158" w:type="pct"/>
            <w:vMerge w:val="continue"/>
            <w:noWrap w:val="0"/>
            <w:tcMar>
              <w:top w:w="0" w:type="dxa"/>
              <w:left w:w="0" w:type="dxa"/>
              <w:bottom w:w="0" w:type="dxa"/>
              <w:right w:w="0" w:type="dxa"/>
            </w:tcMar>
            <w:vAlign w:val="center"/>
          </w:tcPr>
          <w:p w14:paraId="4B27006A">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65FF7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156" w:type="pct"/>
            <w:vMerge w:val="continue"/>
            <w:noWrap w:val="0"/>
            <w:tcMar>
              <w:top w:w="0" w:type="dxa"/>
              <w:left w:w="0" w:type="dxa"/>
              <w:bottom w:w="0" w:type="dxa"/>
              <w:right w:w="0" w:type="dxa"/>
            </w:tcMar>
            <w:vAlign w:val="center"/>
          </w:tcPr>
          <w:p w14:paraId="6B55B8FD">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0A2B7996">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33971CB7">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1F44A2E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7EC46A2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一般</w:t>
            </w:r>
          </w:p>
        </w:tc>
        <w:tc>
          <w:tcPr>
            <w:tcW w:w="561" w:type="pct"/>
            <w:noWrap w:val="0"/>
            <w:tcMar>
              <w:top w:w="0" w:type="dxa"/>
              <w:left w:w="0" w:type="dxa"/>
              <w:bottom w:w="0" w:type="dxa"/>
              <w:right w:w="0" w:type="dxa"/>
            </w:tcMar>
            <w:vAlign w:val="center"/>
          </w:tcPr>
          <w:p w14:paraId="75FF0CE4">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sz w:val="18"/>
                <w:szCs w:val="18"/>
                <w:vertAlign w:val="baseline"/>
                <w:lang w:val="en-US" w:eastAsia="zh-CN"/>
              </w:rPr>
              <w:t>及时改正的</w:t>
            </w:r>
          </w:p>
        </w:tc>
        <w:tc>
          <w:tcPr>
            <w:tcW w:w="873" w:type="pct"/>
            <w:noWrap w:val="0"/>
            <w:tcMar>
              <w:top w:w="0" w:type="dxa"/>
              <w:left w:w="0" w:type="dxa"/>
              <w:bottom w:w="0" w:type="dxa"/>
              <w:right w:w="0" w:type="dxa"/>
            </w:tcMar>
            <w:vAlign w:val="center"/>
          </w:tcPr>
          <w:p w14:paraId="4FC8FD6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处中标项目金额3‰以下的罚款</w:t>
            </w:r>
          </w:p>
        </w:tc>
        <w:tc>
          <w:tcPr>
            <w:tcW w:w="158" w:type="pct"/>
            <w:vMerge w:val="continue"/>
            <w:noWrap w:val="0"/>
            <w:tcMar>
              <w:top w:w="0" w:type="dxa"/>
              <w:left w:w="0" w:type="dxa"/>
              <w:bottom w:w="0" w:type="dxa"/>
              <w:right w:w="0" w:type="dxa"/>
            </w:tcMar>
            <w:vAlign w:val="center"/>
          </w:tcPr>
          <w:p w14:paraId="0380785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4C0FF4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748" w:hRule="atLeast"/>
          <w:jc w:val="center"/>
        </w:trPr>
        <w:tc>
          <w:tcPr>
            <w:tcW w:w="156" w:type="pct"/>
            <w:vMerge w:val="continue"/>
            <w:noWrap w:val="0"/>
            <w:tcMar>
              <w:top w:w="0" w:type="dxa"/>
              <w:left w:w="0" w:type="dxa"/>
              <w:bottom w:w="0" w:type="dxa"/>
              <w:right w:w="0" w:type="dxa"/>
            </w:tcMar>
            <w:vAlign w:val="center"/>
          </w:tcPr>
          <w:p w14:paraId="305B491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6760978C">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0D763224">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7E58CBE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0C367D1C">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较重</w:t>
            </w:r>
          </w:p>
        </w:tc>
        <w:tc>
          <w:tcPr>
            <w:tcW w:w="561" w:type="pct"/>
            <w:noWrap w:val="0"/>
            <w:tcMar>
              <w:top w:w="0" w:type="dxa"/>
              <w:left w:w="0" w:type="dxa"/>
              <w:bottom w:w="0" w:type="dxa"/>
              <w:right w:w="0" w:type="dxa"/>
            </w:tcMar>
            <w:vAlign w:val="center"/>
          </w:tcPr>
          <w:p w14:paraId="0F9E3E3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sz w:val="18"/>
                <w:szCs w:val="18"/>
                <w:vertAlign w:val="baseline"/>
              </w:rPr>
              <w:t>未在规定期限内改正的</w:t>
            </w:r>
          </w:p>
        </w:tc>
        <w:tc>
          <w:tcPr>
            <w:tcW w:w="873" w:type="pct"/>
            <w:noWrap w:val="0"/>
            <w:tcMar>
              <w:top w:w="0" w:type="dxa"/>
              <w:left w:w="0" w:type="dxa"/>
              <w:bottom w:w="0" w:type="dxa"/>
              <w:right w:w="0" w:type="dxa"/>
            </w:tcMar>
            <w:vAlign w:val="center"/>
          </w:tcPr>
          <w:p w14:paraId="27A9001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处中标项目金额3‰以上7‰以下的罚款</w:t>
            </w:r>
          </w:p>
        </w:tc>
        <w:tc>
          <w:tcPr>
            <w:tcW w:w="158" w:type="pct"/>
            <w:vMerge w:val="continue"/>
            <w:noWrap w:val="0"/>
            <w:tcMar>
              <w:top w:w="0" w:type="dxa"/>
              <w:left w:w="0" w:type="dxa"/>
              <w:bottom w:w="0" w:type="dxa"/>
              <w:right w:w="0" w:type="dxa"/>
            </w:tcMar>
            <w:vAlign w:val="center"/>
          </w:tcPr>
          <w:p w14:paraId="3175045C">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40D4DF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061" w:hRule="atLeast"/>
          <w:jc w:val="center"/>
        </w:trPr>
        <w:tc>
          <w:tcPr>
            <w:tcW w:w="156" w:type="pct"/>
            <w:vMerge w:val="continue"/>
            <w:noWrap w:val="0"/>
            <w:tcMar>
              <w:top w:w="0" w:type="dxa"/>
              <w:left w:w="0" w:type="dxa"/>
              <w:bottom w:w="0" w:type="dxa"/>
              <w:right w:w="0" w:type="dxa"/>
            </w:tcMar>
            <w:vAlign w:val="center"/>
          </w:tcPr>
          <w:p w14:paraId="23ED73F5">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74EDC93F">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07B905A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335B83E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20C3AB2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严重</w:t>
            </w:r>
          </w:p>
        </w:tc>
        <w:tc>
          <w:tcPr>
            <w:tcW w:w="561" w:type="pct"/>
            <w:noWrap w:val="0"/>
            <w:tcMar>
              <w:top w:w="0" w:type="dxa"/>
              <w:left w:w="0" w:type="dxa"/>
              <w:bottom w:w="0" w:type="dxa"/>
              <w:right w:w="0" w:type="dxa"/>
            </w:tcMar>
            <w:vAlign w:val="center"/>
          </w:tcPr>
          <w:p w14:paraId="645E6B5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sz w:val="18"/>
                <w:szCs w:val="18"/>
                <w:vertAlign w:val="baseline"/>
              </w:rPr>
              <w:t>拒不改正的；3年内2次以上同类型违法的；造成严重危害后果的</w:t>
            </w:r>
          </w:p>
        </w:tc>
        <w:tc>
          <w:tcPr>
            <w:tcW w:w="873" w:type="pct"/>
            <w:noWrap w:val="0"/>
            <w:tcMar>
              <w:top w:w="0" w:type="dxa"/>
              <w:left w:w="0" w:type="dxa"/>
              <w:bottom w:w="0" w:type="dxa"/>
              <w:right w:w="0" w:type="dxa"/>
            </w:tcMar>
            <w:vAlign w:val="center"/>
          </w:tcPr>
          <w:p w14:paraId="65088AE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处中标项目金额7‰以上10‰以下的罚款</w:t>
            </w:r>
          </w:p>
        </w:tc>
        <w:tc>
          <w:tcPr>
            <w:tcW w:w="158" w:type="pct"/>
            <w:vMerge w:val="continue"/>
            <w:noWrap w:val="0"/>
            <w:tcMar>
              <w:top w:w="0" w:type="dxa"/>
              <w:left w:w="0" w:type="dxa"/>
              <w:bottom w:w="0" w:type="dxa"/>
              <w:right w:w="0" w:type="dxa"/>
            </w:tcMar>
            <w:vAlign w:val="center"/>
          </w:tcPr>
          <w:p w14:paraId="5DD8092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646E1F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761" w:hRule="atLeast"/>
          <w:jc w:val="center"/>
        </w:trPr>
        <w:tc>
          <w:tcPr>
            <w:tcW w:w="156" w:type="pct"/>
            <w:vMerge w:val="continue"/>
            <w:noWrap w:val="0"/>
            <w:tcMar>
              <w:top w:w="0" w:type="dxa"/>
              <w:left w:w="0" w:type="dxa"/>
              <w:bottom w:w="0" w:type="dxa"/>
              <w:right w:w="0" w:type="dxa"/>
            </w:tcMar>
            <w:vAlign w:val="center"/>
          </w:tcPr>
          <w:p w14:paraId="7562F12A">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4C89F9CD">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2B9D424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restart"/>
            <w:noWrap w:val="0"/>
            <w:tcMar>
              <w:top w:w="0" w:type="dxa"/>
              <w:left w:w="0" w:type="dxa"/>
              <w:bottom w:w="0" w:type="dxa"/>
              <w:right w:w="0" w:type="dxa"/>
            </w:tcMar>
            <w:vAlign w:val="center"/>
          </w:tcPr>
          <w:p w14:paraId="31EF928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中标通知书发出后无正当理由改变中标结果的</w:t>
            </w:r>
          </w:p>
        </w:tc>
        <w:tc>
          <w:tcPr>
            <w:tcW w:w="174" w:type="pct"/>
            <w:noWrap w:val="0"/>
            <w:tcMar>
              <w:top w:w="0" w:type="dxa"/>
              <w:left w:w="0" w:type="dxa"/>
              <w:bottom w:w="0" w:type="dxa"/>
              <w:right w:w="0" w:type="dxa"/>
            </w:tcMar>
            <w:vAlign w:val="center"/>
          </w:tcPr>
          <w:p w14:paraId="6F2C6A3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轻微</w:t>
            </w:r>
          </w:p>
        </w:tc>
        <w:tc>
          <w:tcPr>
            <w:tcW w:w="561" w:type="pct"/>
            <w:noWrap w:val="0"/>
            <w:tcMar>
              <w:top w:w="0" w:type="dxa"/>
              <w:left w:w="0" w:type="dxa"/>
              <w:bottom w:w="0" w:type="dxa"/>
              <w:right w:w="0" w:type="dxa"/>
            </w:tcMar>
            <w:vAlign w:val="center"/>
          </w:tcPr>
          <w:p w14:paraId="27AEC24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t>初次违法，且没有造成危害后果的</w:t>
            </w:r>
          </w:p>
        </w:tc>
        <w:tc>
          <w:tcPr>
            <w:tcW w:w="873" w:type="pct"/>
            <w:noWrap w:val="0"/>
            <w:tcMar>
              <w:top w:w="0" w:type="dxa"/>
              <w:left w:w="0" w:type="dxa"/>
              <w:bottom w:w="0" w:type="dxa"/>
              <w:right w:w="0" w:type="dxa"/>
            </w:tcMar>
            <w:vAlign w:val="center"/>
          </w:tcPr>
          <w:p w14:paraId="760EFDA7">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highlight w:val="none"/>
                <w:vertAlign w:val="baseline"/>
                <w:lang w:val="en-US" w:eastAsia="zh-CN" w:bidi="ar-SA"/>
              </w:rPr>
            </w:pPr>
            <w:r>
              <w:rPr>
                <w:rFonts w:hint="eastAsia" w:ascii="宋体" w:hAnsi="宋体" w:eastAsia="宋体" w:cs="宋体"/>
                <w:color w:val="000000"/>
                <w:kern w:val="2"/>
                <w:sz w:val="18"/>
                <w:szCs w:val="18"/>
                <w:highlight w:val="none"/>
                <w:vertAlign w:val="baseline"/>
                <w:lang w:val="en-US" w:eastAsia="zh-CN" w:bidi="ar-SA"/>
              </w:rPr>
              <w:t>不予行政处罚</w:t>
            </w:r>
          </w:p>
        </w:tc>
        <w:tc>
          <w:tcPr>
            <w:tcW w:w="158" w:type="pct"/>
            <w:vMerge w:val="restart"/>
            <w:noWrap w:val="0"/>
            <w:tcMar>
              <w:top w:w="0" w:type="dxa"/>
              <w:left w:w="0" w:type="dxa"/>
              <w:bottom w:w="0" w:type="dxa"/>
              <w:right w:w="0" w:type="dxa"/>
            </w:tcMar>
            <w:vAlign w:val="center"/>
          </w:tcPr>
          <w:p w14:paraId="183243E0">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3AB0EA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5B39B93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558B2A05">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5B147B6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460E60A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133137E1">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较轻</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7201ED69">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7D33CADD">
            <w:pPr>
              <w:spacing w:line="260" w:lineRule="exact"/>
              <w:rPr>
                <w:rFonts w:hint="eastAsia" w:ascii="宋体" w:hAnsi="宋体" w:eastAsia="宋体" w:cs="宋体"/>
                <w:color w:val="000000"/>
                <w:sz w:val="18"/>
                <w:szCs w:val="18"/>
                <w:vertAlign w:val="baseline"/>
                <w:lang w:val="en-US" w:eastAsia="zh-CN"/>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3325EE06">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2DD9003F">
            <w:pPr>
              <w:spacing w:line="260" w:lineRule="exact"/>
              <w:rPr>
                <w:rFonts w:hint="eastAsia" w:ascii="宋体" w:hAnsi="宋体" w:eastAsia="宋体" w:cs="宋体"/>
                <w:color w:val="000000"/>
                <w:kern w:val="2"/>
                <w:sz w:val="18"/>
                <w:szCs w:val="18"/>
                <w:vertAlign w:val="baseline"/>
                <w:lang w:val="en-US" w:eastAsia="zh-CN" w:bidi="ar-SA"/>
              </w:rPr>
            </w:pPr>
          </w:p>
        </w:tc>
        <w:tc>
          <w:tcPr>
            <w:tcW w:w="158" w:type="pct"/>
            <w:vMerge w:val="continue"/>
            <w:noWrap w:val="0"/>
            <w:tcMar>
              <w:top w:w="0" w:type="dxa"/>
              <w:left w:w="0" w:type="dxa"/>
              <w:bottom w:w="0" w:type="dxa"/>
              <w:right w:w="0" w:type="dxa"/>
            </w:tcMar>
            <w:vAlign w:val="center"/>
          </w:tcPr>
          <w:p w14:paraId="46DC06E0">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3AB34E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27553E6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150322FE">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216E4AF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2AD7A82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0FA88BFD">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一般</w:t>
            </w:r>
          </w:p>
        </w:tc>
        <w:tc>
          <w:tcPr>
            <w:tcW w:w="561" w:type="pct"/>
            <w:noWrap w:val="0"/>
            <w:tcMar>
              <w:top w:w="0" w:type="dxa"/>
              <w:left w:w="0" w:type="dxa"/>
              <w:bottom w:w="0" w:type="dxa"/>
              <w:right w:w="0" w:type="dxa"/>
            </w:tcMar>
            <w:vAlign w:val="center"/>
          </w:tcPr>
          <w:p w14:paraId="3F0D26D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sz w:val="18"/>
                <w:szCs w:val="18"/>
                <w:vertAlign w:val="baseline"/>
                <w:lang w:val="en-US" w:eastAsia="zh-CN"/>
              </w:rPr>
              <w:t>及时改正的</w:t>
            </w:r>
          </w:p>
        </w:tc>
        <w:tc>
          <w:tcPr>
            <w:tcW w:w="873" w:type="pct"/>
            <w:noWrap w:val="0"/>
            <w:tcMar>
              <w:top w:w="0" w:type="dxa"/>
              <w:left w:w="0" w:type="dxa"/>
              <w:bottom w:w="0" w:type="dxa"/>
              <w:right w:w="0" w:type="dxa"/>
            </w:tcMar>
            <w:vAlign w:val="center"/>
          </w:tcPr>
          <w:p w14:paraId="5BB39FA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处中标项目金额3‰以下的罚款</w:t>
            </w:r>
          </w:p>
        </w:tc>
        <w:tc>
          <w:tcPr>
            <w:tcW w:w="158" w:type="pct"/>
            <w:vMerge w:val="continue"/>
            <w:noWrap w:val="0"/>
            <w:tcMar>
              <w:top w:w="0" w:type="dxa"/>
              <w:left w:w="0" w:type="dxa"/>
              <w:bottom w:w="0" w:type="dxa"/>
              <w:right w:w="0" w:type="dxa"/>
            </w:tcMar>
            <w:vAlign w:val="center"/>
          </w:tcPr>
          <w:p w14:paraId="3B2C770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51FE0B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3D0B302C">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4CD2CF75">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1AD3880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732B0144">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341DBFF0">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较重</w:t>
            </w:r>
          </w:p>
        </w:tc>
        <w:tc>
          <w:tcPr>
            <w:tcW w:w="561" w:type="pct"/>
            <w:noWrap w:val="0"/>
            <w:tcMar>
              <w:top w:w="0" w:type="dxa"/>
              <w:left w:w="0" w:type="dxa"/>
              <w:bottom w:w="0" w:type="dxa"/>
              <w:right w:w="0" w:type="dxa"/>
            </w:tcMar>
            <w:vAlign w:val="center"/>
          </w:tcPr>
          <w:p w14:paraId="1BEE54A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未在规定期限内改正的</w:t>
            </w:r>
          </w:p>
        </w:tc>
        <w:tc>
          <w:tcPr>
            <w:tcW w:w="873" w:type="pct"/>
            <w:noWrap w:val="0"/>
            <w:tcMar>
              <w:top w:w="0" w:type="dxa"/>
              <w:left w:w="0" w:type="dxa"/>
              <w:bottom w:w="0" w:type="dxa"/>
              <w:right w:w="0" w:type="dxa"/>
            </w:tcMar>
            <w:vAlign w:val="center"/>
          </w:tcPr>
          <w:p w14:paraId="0EBD10E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处中标项目金额3‰以上7‰以下的罚款</w:t>
            </w:r>
          </w:p>
        </w:tc>
        <w:tc>
          <w:tcPr>
            <w:tcW w:w="158" w:type="pct"/>
            <w:vMerge w:val="continue"/>
            <w:noWrap w:val="0"/>
            <w:tcMar>
              <w:top w:w="0" w:type="dxa"/>
              <w:left w:w="0" w:type="dxa"/>
              <w:bottom w:w="0" w:type="dxa"/>
              <w:right w:w="0" w:type="dxa"/>
            </w:tcMar>
            <w:vAlign w:val="center"/>
          </w:tcPr>
          <w:p w14:paraId="1903AF2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7A683A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112" w:hRule="atLeast"/>
          <w:jc w:val="center"/>
        </w:trPr>
        <w:tc>
          <w:tcPr>
            <w:tcW w:w="156" w:type="pct"/>
            <w:vMerge w:val="continue"/>
            <w:noWrap w:val="0"/>
            <w:tcMar>
              <w:top w:w="0" w:type="dxa"/>
              <w:left w:w="0" w:type="dxa"/>
              <w:bottom w:w="0" w:type="dxa"/>
              <w:right w:w="0" w:type="dxa"/>
            </w:tcMar>
            <w:vAlign w:val="center"/>
          </w:tcPr>
          <w:p w14:paraId="4CC4C9E0">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025DC6C3">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4429DE3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7FB3782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2682A65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严重</w:t>
            </w:r>
          </w:p>
        </w:tc>
        <w:tc>
          <w:tcPr>
            <w:tcW w:w="561" w:type="pct"/>
            <w:noWrap w:val="0"/>
            <w:tcMar>
              <w:top w:w="0" w:type="dxa"/>
              <w:left w:w="0" w:type="dxa"/>
              <w:bottom w:w="0" w:type="dxa"/>
              <w:right w:w="0" w:type="dxa"/>
            </w:tcMar>
            <w:vAlign w:val="center"/>
          </w:tcPr>
          <w:p w14:paraId="5B4CA4FA">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拒不改正的；3年内2次以上同类型违法的；造成严重危害后果的</w:t>
            </w:r>
          </w:p>
        </w:tc>
        <w:tc>
          <w:tcPr>
            <w:tcW w:w="873" w:type="pct"/>
            <w:noWrap w:val="0"/>
            <w:tcMar>
              <w:top w:w="0" w:type="dxa"/>
              <w:left w:w="0" w:type="dxa"/>
              <w:bottom w:w="0" w:type="dxa"/>
              <w:right w:w="0" w:type="dxa"/>
            </w:tcMar>
            <w:vAlign w:val="center"/>
          </w:tcPr>
          <w:p w14:paraId="6E167E0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处中标项目金额7‰以上10‰以下的罚款</w:t>
            </w:r>
          </w:p>
        </w:tc>
        <w:tc>
          <w:tcPr>
            <w:tcW w:w="158" w:type="pct"/>
            <w:vMerge w:val="continue"/>
            <w:noWrap w:val="0"/>
            <w:tcMar>
              <w:top w:w="0" w:type="dxa"/>
              <w:left w:w="0" w:type="dxa"/>
              <w:bottom w:w="0" w:type="dxa"/>
              <w:right w:w="0" w:type="dxa"/>
            </w:tcMar>
            <w:vAlign w:val="center"/>
          </w:tcPr>
          <w:p w14:paraId="43DB8840">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2EAC60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27168411">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4C22C747">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0781CE3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restart"/>
            <w:noWrap w:val="0"/>
            <w:tcMar>
              <w:top w:w="0" w:type="dxa"/>
              <w:left w:w="0" w:type="dxa"/>
              <w:bottom w:w="0" w:type="dxa"/>
              <w:right w:w="0" w:type="dxa"/>
            </w:tcMar>
            <w:vAlign w:val="center"/>
          </w:tcPr>
          <w:p w14:paraId="0D54B23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招标人无正当理由不与中标人订立合同的</w:t>
            </w:r>
          </w:p>
        </w:tc>
        <w:tc>
          <w:tcPr>
            <w:tcW w:w="174" w:type="pct"/>
            <w:noWrap w:val="0"/>
            <w:tcMar>
              <w:top w:w="0" w:type="dxa"/>
              <w:left w:w="0" w:type="dxa"/>
              <w:bottom w:w="0" w:type="dxa"/>
              <w:right w:w="0" w:type="dxa"/>
            </w:tcMar>
            <w:vAlign w:val="center"/>
          </w:tcPr>
          <w:p w14:paraId="2EFDE83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轻微</w:t>
            </w:r>
          </w:p>
        </w:tc>
        <w:tc>
          <w:tcPr>
            <w:tcW w:w="561" w:type="pct"/>
            <w:noWrap w:val="0"/>
            <w:tcMar>
              <w:top w:w="0" w:type="dxa"/>
              <w:left w:w="0" w:type="dxa"/>
              <w:bottom w:w="0" w:type="dxa"/>
              <w:right w:w="0" w:type="dxa"/>
            </w:tcMar>
            <w:vAlign w:val="center"/>
          </w:tcPr>
          <w:p w14:paraId="561C0482">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t>及时改正，且没有造成危害后果的</w:t>
            </w:r>
          </w:p>
        </w:tc>
        <w:tc>
          <w:tcPr>
            <w:tcW w:w="873" w:type="pct"/>
            <w:noWrap w:val="0"/>
            <w:tcMar>
              <w:top w:w="0" w:type="dxa"/>
              <w:left w:w="0" w:type="dxa"/>
              <w:bottom w:w="0" w:type="dxa"/>
              <w:right w:w="0" w:type="dxa"/>
            </w:tcMar>
            <w:vAlign w:val="center"/>
          </w:tcPr>
          <w:p w14:paraId="197A458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highlight w:val="none"/>
                <w:vertAlign w:val="baseline"/>
                <w:lang w:val="en-US" w:eastAsia="zh-CN" w:bidi="ar-SA"/>
              </w:rPr>
            </w:pPr>
            <w:r>
              <w:rPr>
                <w:rFonts w:hint="eastAsia" w:ascii="宋体" w:hAnsi="宋体" w:eastAsia="宋体" w:cs="宋体"/>
                <w:color w:val="000000"/>
                <w:kern w:val="2"/>
                <w:sz w:val="18"/>
                <w:szCs w:val="18"/>
                <w:highlight w:val="none"/>
                <w:vertAlign w:val="baseline"/>
                <w:lang w:val="en-US" w:eastAsia="zh-CN" w:bidi="ar-SA"/>
              </w:rPr>
              <w:t>不予行政处罚</w:t>
            </w:r>
          </w:p>
        </w:tc>
        <w:tc>
          <w:tcPr>
            <w:tcW w:w="158" w:type="pct"/>
            <w:vMerge w:val="restart"/>
            <w:noWrap w:val="0"/>
            <w:tcMar>
              <w:top w:w="0" w:type="dxa"/>
              <w:left w:w="0" w:type="dxa"/>
              <w:bottom w:w="0" w:type="dxa"/>
              <w:right w:w="0" w:type="dxa"/>
            </w:tcMar>
            <w:vAlign w:val="center"/>
          </w:tcPr>
          <w:p w14:paraId="1B3832C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5FD327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287" w:hRule="atLeast"/>
          <w:jc w:val="center"/>
        </w:trPr>
        <w:tc>
          <w:tcPr>
            <w:tcW w:w="156" w:type="pct"/>
            <w:vMerge w:val="continue"/>
            <w:noWrap w:val="0"/>
            <w:tcMar>
              <w:top w:w="0" w:type="dxa"/>
              <w:left w:w="0" w:type="dxa"/>
              <w:bottom w:w="0" w:type="dxa"/>
              <w:right w:w="0" w:type="dxa"/>
            </w:tcMar>
            <w:vAlign w:val="center"/>
          </w:tcPr>
          <w:p w14:paraId="3DEA4E5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267685C6">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44040BF7">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1CE5F027">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55C98C8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较轻</w:t>
            </w:r>
          </w:p>
        </w:tc>
        <w:tc>
          <w:tcPr>
            <w:tcW w:w="561" w:type="pct"/>
            <w:noWrap w:val="0"/>
            <w:tcMar>
              <w:top w:w="0" w:type="dxa"/>
              <w:left w:w="0" w:type="dxa"/>
              <w:bottom w:w="0" w:type="dxa"/>
              <w:right w:w="0" w:type="dxa"/>
            </w:tcMar>
            <w:vAlign w:val="center"/>
          </w:tcPr>
          <w:p w14:paraId="79D9A278">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无正当理由，自中标通知书发出之</w:t>
            </w:r>
            <w:r>
              <w:rPr>
                <w:rFonts w:hint="eastAsia" w:ascii="宋体" w:hAnsi="宋体" w:eastAsia="宋体" w:cs="宋体"/>
                <w:color w:val="000000"/>
                <w:sz w:val="18"/>
                <w:szCs w:val="18"/>
                <w:vertAlign w:val="baseline"/>
                <w:lang w:eastAsia="zh-CN"/>
              </w:rPr>
              <w:t>日</w:t>
            </w:r>
            <w:r>
              <w:rPr>
                <w:rFonts w:hint="eastAsia" w:ascii="宋体" w:hAnsi="宋体" w:eastAsia="宋体" w:cs="宋体"/>
                <w:color w:val="000000"/>
                <w:sz w:val="18"/>
                <w:szCs w:val="18"/>
                <w:vertAlign w:val="baseline"/>
              </w:rPr>
              <w:t>起30</w:t>
            </w:r>
            <w:r>
              <w:rPr>
                <w:rFonts w:hint="eastAsia" w:ascii="宋体" w:hAnsi="宋体" w:eastAsia="宋体" w:cs="宋体"/>
                <w:color w:val="000000"/>
                <w:sz w:val="18"/>
                <w:szCs w:val="18"/>
                <w:vertAlign w:val="baseline"/>
                <w:lang w:eastAsia="zh-CN"/>
              </w:rPr>
              <w:t>日</w:t>
            </w:r>
            <w:r>
              <w:rPr>
                <w:rFonts w:hint="eastAsia" w:ascii="宋体" w:hAnsi="宋体" w:eastAsia="宋体" w:cs="宋体"/>
                <w:color w:val="000000"/>
                <w:sz w:val="18"/>
                <w:szCs w:val="18"/>
                <w:vertAlign w:val="baseline"/>
              </w:rPr>
              <w:t>以上60</w:t>
            </w:r>
            <w:r>
              <w:rPr>
                <w:rFonts w:hint="eastAsia" w:ascii="宋体" w:hAnsi="宋体" w:eastAsia="宋体" w:cs="宋体"/>
                <w:color w:val="000000"/>
                <w:sz w:val="18"/>
                <w:szCs w:val="18"/>
                <w:vertAlign w:val="baseline"/>
                <w:lang w:eastAsia="zh-CN"/>
              </w:rPr>
              <w:t>日</w:t>
            </w:r>
            <w:r>
              <w:rPr>
                <w:rFonts w:hint="eastAsia" w:ascii="宋体" w:hAnsi="宋体" w:eastAsia="宋体" w:cs="宋体"/>
                <w:color w:val="000000"/>
                <w:sz w:val="18"/>
                <w:szCs w:val="18"/>
                <w:vertAlign w:val="baseline"/>
              </w:rPr>
              <w:t>以内订立合同的</w:t>
            </w:r>
          </w:p>
        </w:tc>
        <w:tc>
          <w:tcPr>
            <w:tcW w:w="873" w:type="pct"/>
            <w:noWrap w:val="0"/>
            <w:tcMar>
              <w:top w:w="0" w:type="dxa"/>
              <w:left w:w="0" w:type="dxa"/>
              <w:bottom w:w="0" w:type="dxa"/>
              <w:right w:w="0" w:type="dxa"/>
            </w:tcMar>
            <w:vAlign w:val="center"/>
          </w:tcPr>
          <w:p w14:paraId="409D44F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处中标项目金额3‰以下的罚款</w:t>
            </w:r>
          </w:p>
        </w:tc>
        <w:tc>
          <w:tcPr>
            <w:tcW w:w="158" w:type="pct"/>
            <w:vMerge w:val="continue"/>
            <w:noWrap w:val="0"/>
            <w:tcMar>
              <w:top w:w="0" w:type="dxa"/>
              <w:left w:w="0" w:type="dxa"/>
              <w:bottom w:w="0" w:type="dxa"/>
              <w:right w:w="0" w:type="dxa"/>
            </w:tcMar>
            <w:vAlign w:val="center"/>
          </w:tcPr>
          <w:p w14:paraId="76F5459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7CBA07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21B7239C">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46DE9E65">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376A88F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2C1EBC4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159B895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一般</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4A87D90B">
            <w:pPr>
              <w:snapToGrid/>
              <w:spacing w:line="28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2B6C23E7">
            <w:pPr>
              <w:spacing w:line="280" w:lineRule="exact"/>
              <w:rPr>
                <w:rFonts w:hint="eastAsia" w:ascii="宋体" w:hAnsi="宋体" w:eastAsia="宋体" w:cs="宋体"/>
                <w:color w:val="000000"/>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0C7648A9">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56880295">
            <w:pPr>
              <w:spacing w:line="260" w:lineRule="exact"/>
              <w:rPr>
                <w:rFonts w:hint="eastAsia" w:ascii="宋体" w:hAnsi="宋体" w:eastAsia="宋体" w:cs="宋体"/>
                <w:color w:val="000000"/>
                <w:kern w:val="2"/>
                <w:sz w:val="18"/>
                <w:szCs w:val="18"/>
                <w:vertAlign w:val="baseline"/>
                <w:lang w:val="en-US" w:eastAsia="zh-CN" w:bidi="ar-SA"/>
              </w:rPr>
            </w:pPr>
          </w:p>
        </w:tc>
        <w:tc>
          <w:tcPr>
            <w:tcW w:w="158" w:type="pct"/>
            <w:vMerge w:val="continue"/>
            <w:noWrap w:val="0"/>
            <w:tcMar>
              <w:top w:w="0" w:type="dxa"/>
              <w:left w:w="0" w:type="dxa"/>
              <w:bottom w:w="0" w:type="dxa"/>
              <w:right w:w="0" w:type="dxa"/>
            </w:tcMar>
            <w:vAlign w:val="center"/>
          </w:tcPr>
          <w:p w14:paraId="75FF5CDA">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1CE759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21135E3D">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5EC14743">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3EB0FA27">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1AAE522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58D886A9">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较重</w:t>
            </w:r>
          </w:p>
        </w:tc>
        <w:tc>
          <w:tcPr>
            <w:tcW w:w="561" w:type="pct"/>
            <w:noWrap w:val="0"/>
            <w:tcMar>
              <w:top w:w="0" w:type="dxa"/>
              <w:left w:w="0" w:type="dxa"/>
              <w:bottom w:w="0" w:type="dxa"/>
              <w:right w:w="0" w:type="dxa"/>
            </w:tcMar>
            <w:vAlign w:val="center"/>
          </w:tcPr>
          <w:p w14:paraId="196602CD">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sz w:val="18"/>
                <w:szCs w:val="18"/>
                <w:vertAlign w:val="baseline"/>
              </w:rPr>
              <w:t>无正当理由，自中标通知书发出之</w:t>
            </w:r>
            <w:r>
              <w:rPr>
                <w:rFonts w:hint="eastAsia" w:ascii="宋体" w:hAnsi="宋体" w:eastAsia="宋体" w:cs="宋体"/>
                <w:color w:val="000000"/>
                <w:sz w:val="18"/>
                <w:szCs w:val="18"/>
                <w:vertAlign w:val="baseline"/>
                <w:lang w:eastAsia="zh-CN"/>
              </w:rPr>
              <w:t>日</w:t>
            </w:r>
            <w:r>
              <w:rPr>
                <w:rFonts w:hint="eastAsia" w:ascii="宋体" w:hAnsi="宋体" w:eastAsia="宋体" w:cs="宋体"/>
                <w:color w:val="000000"/>
                <w:sz w:val="18"/>
                <w:szCs w:val="18"/>
                <w:vertAlign w:val="baseline"/>
              </w:rPr>
              <w:t>起60</w:t>
            </w:r>
            <w:r>
              <w:rPr>
                <w:rFonts w:hint="eastAsia" w:ascii="宋体" w:hAnsi="宋体" w:eastAsia="宋体" w:cs="宋体"/>
                <w:color w:val="000000"/>
                <w:sz w:val="18"/>
                <w:szCs w:val="18"/>
                <w:vertAlign w:val="baseline"/>
                <w:lang w:eastAsia="zh-CN"/>
              </w:rPr>
              <w:t>日</w:t>
            </w:r>
            <w:r>
              <w:rPr>
                <w:rFonts w:hint="eastAsia" w:ascii="宋体" w:hAnsi="宋体" w:eastAsia="宋体" w:cs="宋体"/>
                <w:color w:val="000000"/>
                <w:sz w:val="18"/>
                <w:szCs w:val="18"/>
                <w:vertAlign w:val="baseline"/>
              </w:rPr>
              <w:t>以上90</w:t>
            </w:r>
            <w:r>
              <w:rPr>
                <w:rFonts w:hint="eastAsia" w:ascii="宋体" w:hAnsi="宋体" w:eastAsia="宋体" w:cs="宋体"/>
                <w:color w:val="000000"/>
                <w:sz w:val="18"/>
                <w:szCs w:val="18"/>
                <w:vertAlign w:val="baseline"/>
                <w:lang w:eastAsia="zh-CN"/>
              </w:rPr>
              <w:t>日</w:t>
            </w:r>
            <w:r>
              <w:rPr>
                <w:rFonts w:hint="eastAsia" w:ascii="宋体" w:hAnsi="宋体" w:eastAsia="宋体" w:cs="宋体"/>
                <w:color w:val="000000"/>
                <w:sz w:val="18"/>
                <w:szCs w:val="18"/>
                <w:vertAlign w:val="baseline"/>
              </w:rPr>
              <w:t>以内订立合同的</w:t>
            </w:r>
          </w:p>
        </w:tc>
        <w:tc>
          <w:tcPr>
            <w:tcW w:w="873" w:type="pct"/>
            <w:noWrap w:val="0"/>
            <w:tcMar>
              <w:top w:w="0" w:type="dxa"/>
              <w:left w:w="0" w:type="dxa"/>
              <w:bottom w:w="0" w:type="dxa"/>
              <w:right w:w="0" w:type="dxa"/>
            </w:tcMar>
            <w:vAlign w:val="center"/>
          </w:tcPr>
          <w:p w14:paraId="0EDB7B6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处中标项目金额3‰以上7‰以下的罚款</w:t>
            </w:r>
          </w:p>
        </w:tc>
        <w:tc>
          <w:tcPr>
            <w:tcW w:w="158" w:type="pct"/>
            <w:vMerge w:val="continue"/>
            <w:noWrap w:val="0"/>
            <w:tcMar>
              <w:top w:w="0" w:type="dxa"/>
              <w:left w:w="0" w:type="dxa"/>
              <w:bottom w:w="0" w:type="dxa"/>
              <w:right w:w="0" w:type="dxa"/>
            </w:tcMar>
            <w:vAlign w:val="center"/>
          </w:tcPr>
          <w:p w14:paraId="60B440CD">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0F3D28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2208E04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63371F68">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16254DD7">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3F62B29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0189F1C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严重</w:t>
            </w:r>
          </w:p>
        </w:tc>
        <w:tc>
          <w:tcPr>
            <w:tcW w:w="561" w:type="pct"/>
            <w:noWrap w:val="0"/>
            <w:tcMar>
              <w:top w:w="0" w:type="dxa"/>
              <w:left w:w="0" w:type="dxa"/>
              <w:bottom w:w="0" w:type="dxa"/>
              <w:right w:w="0" w:type="dxa"/>
            </w:tcMar>
            <w:vAlign w:val="center"/>
          </w:tcPr>
          <w:p w14:paraId="483F0B57">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无正当理由，自中标通知书发出之</w:t>
            </w:r>
            <w:r>
              <w:rPr>
                <w:rFonts w:hint="eastAsia" w:ascii="宋体" w:hAnsi="宋体" w:eastAsia="宋体" w:cs="宋体"/>
                <w:color w:val="000000"/>
                <w:sz w:val="18"/>
                <w:szCs w:val="18"/>
                <w:vertAlign w:val="baseline"/>
                <w:lang w:eastAsia="zh-CN"/>
              </w:rPr>
              <w:t>日</w:t>
            </w:r>
            <w:r>
              <w:rPr>
                <w:rFonts w:hint="eastAsia" w:ascii="宋体" w:hAnsi="宋体" w:eastAsia="宋体" w:cs="宋体"/>
                <w:color w:val="000000"/>
                <w:sz w:val="18"/>
                <w:szCs w:val="18"/>
                <w:vertAlign w:val="baseline"/>
              </w:rPr>
              <w:t>起90</w:t>
            </w:r>
            <w:r>
              <w:rPr>
                <w:rFonts w:hint="eastAsia" w:ascii="宋体" w:hAnsi="宋体" w:eastAsia="宋体" w:cs="宋体"/>
                <w:color w:val="000000"/>
                <w:sz w:val="18"/>
                <w:szCs w:val="18"/>
                <w:vertAlign w:val="baseline"/>
                <w:lang w:eastAsia="zh-CN"/>
              </w:rPr>
              <w:t>日</w:t>
            </w:r>
            <w:r>
              <w:rPr>
                <w:rFonts w:hint="eastAsia" w:ascii="宋体" w:hAnsi="宋体" w:eastAsia="宋体" w:cs="宋体"/>
                <w:color w:val="000000"/>
                <w:sz w:val="18"/>
                <w:szCs w:val="18"/>
                <w:vertAlign w:val="baseline"/>
              </w:rPr>
              <w:t>以上未订立合同的</w:t>
            </w:r>
          </w:p>
        </w:tc>
        <w:tc>
          <w:tcPr>
            <w:tcW w:w="873" w:type="pct"/>
            <w:noWrap w:val="0"/>
            <w:tcMar>
              <w:top w:w="0" w:type="dxa"/>
              <w:left w:w="0" w:type="dxa"/>
              <w:bottom w:w="0" w:type="dxa"/>
              <w:right w:w="0" w:type="dxa"/>
            </w:tcMar>
            <w:vAlign w:val="center"/>
          </w:tcPr>
          <w:p w14:paraId="098BD21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处中标项目金额7‰以上10‰以下的罚款</w:t>
            </w:r>
          </w:p>
        </w:tc>
        <w:tc>
          <w:tcPr>
            <w:tcW w:w="158" w:type="pct"/>
            <w:vMerge w:val="continue"/>
            <w:noWrap w:val="0"/>
            <w:tcMar>
              <w:top w:w="0" w:type="dxa"/>
              <w:left w:w="0" w:type="dxa"/>
              <w:bottom w:w="0" w:type="dxa"/>
              <w:right w:w="0" w:type="dxa"/>
            </w:tcMar>
            <w:vAlign w:val="center"/>
          </w:tcPr>
          <w:p w14:paraId="14A2D5B0">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322507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66" w:hRule="atLeast"/>
          <w:jc w:val="center"/>
        </w:trPr>
        <w:tc>
          <w:tcPr>
            <w:tcW w:w="156" w:type="pct"/>
            <w:vMerge w:val="continue"/>
            <w:noWrap w:val="0"/>
            <w:tcMar>
              <w:top w:w="0" w:type="dxa"/>
              <w:left w:w="0" w:type="dxa"/>
              <w:bottom w:w="0" w:type="dxa"/>
              <w:right w:w="0" w:type="dxa"/>
            </w:tcMar>
            <w:vAlign w:val="center"/>
          </w:tcPr>
          <w:p w14:paraId="39F5CC0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048D3EB5">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6EBF3D5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restart"/>
            <w:noWrap w:val="0"/>
            <w:tcMar>
              <w:top w:w="0" w:type="dxa"/>
              <w:left w:w="0" w:type="dxa"/>
              <w:bottom w:w="0" w:type="dxa"/>
              <w:right w:w="0" w:type="dxa"/>
            </w:tcMar>
            <w:vAlign w:val="center"/>
          </w:tcPr>
          <w:p w14:paraId="62F9322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招标人在订立合同时向中标人提出附加条件的</w:t>
            </w:r>
          </w:p>
        </w:tc>
        <w:tc>
          <w:tcPr>
            <w:tcW w:w="174" w:type="pct"/>
            <w:noWrap w:val="0"/>
            <w:tcMar>
              <w:top w:w="0" w:type="dxa"/>
              <w:left w:w="0" w:type="dxa"/>
              <w:bottom w:w="0" w:type="dxa"/>
              <w:right w:w="0" w:type="dxa"/>
            </w:tcMar>
            <w:vAlign w:val="center"/>
          </w:tcPr>
          <w:p w14:paraId="2A31B35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轻微</w:t>
            </w:r>
          </w:p>
        </w:tc>
        <w:tc>
          <w:tcPr>
            <w:tcW w:w="561" w:type="pct"/>
            <w:noWrap w:val="0"/>
            <w:tcMar>
              <w:top w:w="0" w:type="dxa"/>
              <w:left w:w="0" w:type="dxa"/>
              <w:bottom w:w="0" w:type="dxa"/>
              <w:right w:w="0" w:type="dxa"/>
            </w:tcMar>
            <w:vAlign w:val="center"/>
          </w:tcPr>
          <w:p w14:paraId="2861625C">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t>及时改正，且没有造成危害后果的</w:t>
            </w:r>
          </w:p>
        </w:tc>
        <w:tc>
          <w:tcPr>
            <w:tcW w:w="873" w:type="pct"/>
            <w:noWrap w:val="0"/>
            <w:tcMar>
              <w:top w:w="0" w:type="dxa"/>
              <w:left w:w="0" w:type="dxa"/>
              <w:bottom w:w="0" w:type="dxa"/>
              <w:right w:w="0" w:type="dxa"/>
            </w:tcMar>
            <w:vAlign w:val="center"/>
          </w:tcPr>
          <w:p w14:paraId="31970F2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highlight w:val="none"/>
                <w:vertAlign w:val="baseline"/>
                <w:lang w:val="en-US" w:eastAsia="zh-CN" w:bidi="ar-SA"/>
              </w:rPr>
            </w:pPr>
            <w:r>
              <w:rPr>
                <w:rFonts w:hint="eastAsia" w:ascii="宋体" w:hAnsi="宋体" w:eastAsia="宋体" w:cs="宋体"/>
                <w:color w:val="000000"/>
                <w:kern w:val="2"/>
                <w:sz w:val="18"/>
                <w:szCs w:val="18"/>
                <w:highlight w:val="none"/>
                <w:vertAlign w:val="baseline"/>
                <w:lang w:val="en-US" w:eastAsia="zh-CN" w:bidi="ar-SA"/>
              </w:rPr>
              <w:t>不予行政处罚</w:t>
            </w:r>
          </w:p>
        </w:tc>
        <w:tc>
          <w:tcPr>
            <w:tcW w:w="158" w:type="pct"/>
            <w:vMerge w:val="restart"/>
            <w:noWrap w:val="0"/>
            <w:tcMar>
              <w:top w:w="0" w:type="dxa"/>
              <w:left w:w="0" w:type="dxa"/>
              <w:bottom w:w="0" w:type="dxa"/>
              <w:right w:w="0" w:type="dxa"/>
            </w:tcMar>
            <w:vAlign w:val="center"/>
          </w:tcPr>
          <w:p w14:paraId="27073939">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75D06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5FCEFF2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66E883A1">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2CA7508C">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0B12409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2EA189DB">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较轻</w:t>
            </w:r>
          </w:p>
        </w:tc>
        <w:tc>
          <w:tcPr>
            <w:tcW w:w="561" w:type="pct"/>
            <w:noWrap w:val="0"/>
            <w:tcMar>
              <w:top w:w="0" w:type="dxa"/>
              <w:left w:w="0" w:type="dxa"/>
              <w:bottom w:w="0" w:type="dxa"/>
              <w:right w:w="0" w:type="dxa"/>
            </w:tcMar>
            <w:vAlign w:val="center"/>
          </w:tcPr>
          <w:p w14:paraId="153EEDA6">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通过依法招标以外的方式确定项目实施方但尚未实施的</w:t>
            </w:r>
          </w:p>
        </w:tc>
        <w:tc>
          <w:tcPr>
            <w:tcW w:w="873" w:type="pct"/>
            <w:noWrap w:val="0"/>
            <w:tcMar>
              <w:top w:w="0" w:type="dxa"/>
              <w:left w:w="0" w:type="dxa"/>
              <w:bottom w:w="0" w:type="dxa"/>
              <w:right w:w="0" w:type="dxa"/>
            </w:tcMar>
            <w:vAlign w:val="center"/>
          </w:tcPr>
          <w:p w14:paraId="2D4C8A8C">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处中标项目金额3‰以下的罚款</w:t>
            </w:r>
          </w:p>
        </w:tc>
        <w:tc>
          <w:tcPr>
            <w:tcW w:w="158" w:type="pct"/>
            <w:vMerge w:val="continue"/>
            <w:noWrap w:val="0"/>
            <w:tcMar>
              <w:top w:w="0" w:type="dxa"/>
              <w:left w:w="0" w:type="dxa"/>
              <w:bottom w:w="0" w:type="dxa"/>
              <w:right w:w="0" w:type="dxa"/>
            </w:tcMar>
            <w:vAlign w:val="center"/>
          </w:tcPr>
          <w:p w14:paraId="6A5AFDF8">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07587D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023CC151">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0C801B45">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7EF002C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35484D3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60D6BA5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一般</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7ED84679">
            <w:pPr>
              <w:snapToGrid/>
              <w:spacing w:line="28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07AE8E9D">
            <w:pPr>
              <w:spacing w:line="280" w:lineRule="exact"/>
              <w:rPr>
                <w:rFonts w:hint="eastAsia" w:ascii="宋体" w:hAnsi="宋体" w:eastAsia="宋体" w:cs="宋体"/>
                <w:color w:val="000000"/>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626105F1">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5D1AF7C2">
            <w:pPr>
              <w:spacing w:line="260" w:lineRule="exact"/>
              <w:rPr>
                <w:rFonts w:hint="eastAsia" w:ascii="宋体" w:hAnsi="宋体" w:eastAsia="宋体" w:cs="宋体"/>
                <w:color w:val="000000"/>
                <w:kern w:val="2"/>
                <w:sz w:val="18"/>
                <w:szCs w:val="18"/>
                <w:vertAlign w:val="baseline"/>
                <w:lang w:val="en-US" w:eastAsia="zh-CN" w:bidi="ar-SA"/>
              </w:rPr>
            </w:pPr>
          </w:p>
        </w:tc>
        <w:tc>
          <w:tcPr>
            <w:tcW w:w="158" w:type="pct"/>
            <w:vMerge w:val="continue"/>
            <w:noWrap w:val="0"/>
            <w:tcMar>
              <w:top w:w="0" w:type="dxa"/>
              <w:left w:w="0" w:type="dxa"/>
              <w:bottom w:w="0" w:type="dxa"/>
              <w:right w:w="0" w:type="dxa"/>
            </w:tcMar>
            <w:vAlign w:val="center"/>
          </w:tcPr>
          <w:p w14:paraId="2384BFB8">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296384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2BB3A18B">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629063D3">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7AEF5C87">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688D7117">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52E0B521">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较重</w:t>
            </w:r>
          </w:p>
        </w:tc>
        <w:tc>
          <w:tcPr>
            <w:tcW w:w="561" w:type="pct"/>
            <w:noWrap w:val="0"/>
            <w:tcMar>
              <w:top w:w="0" w:type="dxa"/>
              <w:left w:w="0" w:type="dxa"/>
              <w:bottom w:w="0" w:type="dxa"/>
              <w:right w:w="0" w:type="dxa"/>
            </w:tcMar>
            <w:vAlign w:val="center"/>
          </w:tcPr>
          <w:p w14:paraId="779603B2">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已确定项目实施方且开始实施的</w:t>
            </w:r>
          </w:p>
        </w:tc>
        <w:tc>
          <w:tcPr>
            <w:tcW w:w="873" w:type="pct"/>
            <w:noWrap w:val="0"/>
            <w:tcMar>
              <w:top w:w="0" w:type="dxa"/>
              <w:left w:w="0" w:type="dxa"/>
              <w:bottom w:w="0" w:type="dxa"/>
              <w:right w:w="0" w:type="dxa"/>
            </w:tcMar>
            <w:vAlign w:val="center"/>
          </w:tcPr>
          <w:p w14:paraId="151A729C">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处中标项目金额3‰以上7‰以下的罚款</w:t>
            </w:r>
          </w:p>
        </w:tc>
        <w:tc>
          <w:tcPr>
            <w:tcW w:w="158" w:type="pct"/>
            <w:vMerge w:val="continue"/>
            <w:noWrap w:val="0"/>
            <w:tcMar>
              <w:top w:w="0" w:type="dxa"/>
              <w:left w:w="0" w:type="dxa"/>
              <w:bottom w:w="0" w:type="dxa"/>
              <w:right w:w="0" w:type="dxa"/>
            </w:tcMar>
            <w:vAlign w:val="center"/>
          </w:tcPr>
          <w:p w14:paraId="0F006068">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11CDCD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412" w:hRule="atLeast"/>
          <w:jc w:val="center"/>
        </w:trPr>
        <w:tc>
          <w:tcPr>
            <w:tcW w:w="156" w:type="pct"/>
            <w:vMerge w:val="continue"/>
            <w:noWrap w:val="0"/>
            <w:tcMar>
              <w:top w:w="0" w:type="dxa"/>
              <w:left w:w="0" w:type="dxa"/>
              <w:bottom w:w="0" w:type="dxa"/>
              <w:right w:w="0" w:type="dxa"/>
            </w:tcMar>
            <w:vAlign w:val="center"/>
          </w:tcPr>
          <w:p w14:paraId="1C9571BB">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6B7592EB">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23E4762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55C6494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300B5AE1">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严重</w:t>
            </w:r>
          </w:p>
        </w:tc>
        <w:tc>
          <w:tcPr>
            <w:tcW w:w="561" w:type="pct"/>
            <w:noWrap w:val="0"/>
            <w:tcMar>
              <w:top w:w="0" w:type="dxa"/>
              <w:left w:w="0" w:type="dxa"/>
              <w:bottom w:w="0" w:type="dxa"/>
              <w:right w:w="0" w:type="dxa"/>
            </w:tcMar>
            <w:vAlign w:val="center"/>
          </w:tcPr>
          <w:p w14:paraId="551151D5">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已确定项目实施方且开始实施，并造成严重后果的；3年内2次以上同类型违法的</w:t>
            </w:r>
          </w:p>
        </w:tc>
        <w:tc>
          <w:tcPr>
            <w:tcW w:w="873" w:type="pct"/>
            <w:noWrap w:val="0"/>
            <w:tcMar>
              <w:top w:w="0" w:type="dxa"/>
              <w:left w:w="0" w:type="dxa"/>
              <w:bottom w:w="0" w:type="dxa"/>
              <w:right w:w="0" w:type="dxa"/>
            </w:tcMar>
            <w:vAlign w:val="center"/>
          </w:tcPr>
          <w:p w14:paraId="1E21D3DC">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处中标项目金额7‰以上10‰以下的罚款</w:t>
            </w:r>
          </w:p>
        </w:tc>
        <w:tc>
          <w:tcPr>
            <w:tcW w:w="158" w:type="pct"/>
            <w:vMerge w:val="continue"/>
            <w:noWrap w:val="0"/>
            <w:tcMar>
              <w:top w:w="0" w:type="dxa"/>
              <w:left w:w="0" w:type="dxa"/>
              <w:bottom w:w="0" w:type="dxa"/>
              <w:right w:w="0" w:type="dxa"/>
            </w:tcMar>
            <w:vAlign w:val="center"/>
          </w:tcPr>
          <w:p w14:paraId="6F3E4FE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38A56D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restart"/>
            <w:noWrap w:val="0"/>
            <w:tcMar>
              <w:top w:w="0" w:type="dxa"/>
              <w:left w:w="0" w:type="dxa"/>
              <w:bottom w:w="0" w:type="dxa"/>
              <w:right w:w="0" w:type="dxa"/>
            </w:tcMar>
            <w:vAlign w:val="center"/>
          </w:tcPr>
          <w:p w14:paraId="52DE9971">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r>
              <w:rPr>
                <w:rFonts w:hint="eastAsia" w:ascii="宋体" w:hAnsi="宋体" w:eastAsia="宋体" w:cs="宋体"/>
                <w:color w:val="000000"/>
                <w:sz w:val="18"/>
                <w:szCs w:val="18"/>
                <w:shd w:val="clear" w:color="auto" w:fill="auto"/>
                <w:vertAlign w:val="baseline"/>
                <w:lang w:val="en-US" w:eastAsia="zh-CN"/>
              </w:rPr>
              <w:t>129</w:t>
            </w:r>
          </w:p>
        </w:tc>
        <w:tc>
          <w:tcPr>
            <w:tcW w:w="415" w:type="pct"/>
            <w:vMerge w:val="restart"/>
            <w:noWrap w:val="0"/>
            <w:tcMar>
              <w:top w:w="0" w:type="dxa"/>
              <w:left w:w="0" w:type="dxa"/>
              <w:bottom w:w="0" w:type="dxa"/>
              <w:right w:w="0" w:type="dxa"/>
            </w:tcMar>
            <w:vAlign w:val="center"/>
          </w:tcPr>
          <w:p w14:paraId="0BA6C0D3">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对水利领域投标人相互串通投标或者与招标人串通投标，以向招标人或者评标委员会成员行贿的手段谋取中标行为的行政处罚</w:t>
            </w:r>
          </w:p>
        </w:tc>
        <w:tc>
          <w:tcPr>
            <w:tcW w:w="2168" w:type="pct"/>
            <w:vMerge w:val="restart"/>
            <w:noWrap w:val="0"/>
            <w:tcMar>
              <w:top w:w="0" w:type="dxa"/>
              <w:left w:w="0" w:type="dxa"/>
              <w:bottom w:w="0" w:type="dxa"/>
              <w:right w:w="0" w:type="dxa"/>
            </w:tcMar>
            <w:vAlign w:val="center"/>
          </w:tcPr>
          <w:p w14:paraId="71BA5C7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《中华人民共和国招标投标法》第五十三条 投标人相互串通投标或者与招标人串通投标的，投标人以向招标人或者评标委员会成员行贿的手段谋取中标的，中标无效，处中标项目金额千分之五以上千分之十以下的罚款，对单位直接负责的主管人员和其他直接责任人员处单位罚款数额百分之五以上百分之十以下的罚款；有违法所得的，并处没收违法所得；情节严重的，取消其一年至二年内参加依法必须进行招标的项目的投标资格并予以公告，直至由工商行政管理机关吊销营业执照；构成犯罪的，依法追究刑事责任。给他人造成损失的，依法承担赔偿责任。</w:t>
            </w:r>
          </w:p>
          <w:p w14:paraId="7318ED2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《中华人民共和国招标投标法实施条例》第六十七条第一款 投标人相互串通投标或者与招标人串通投标的，投标人向招标人或者评标委员会成员行贿谋取中标的，中标无效；构成犯罪的，依法追究刑事责任；尚不构成犯罪的，依照招标投标法第五十三条的规定处罚。投标人未中标的，对单位的罚款金额按照招标项目合同金额依照招标投标法规定的比例计算。</w:t>
            </w:r>
          </w:p>
          <w:p w14:paraId="3D9CE0B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第六十七条第二款  投标人有下列行为之一的，属于招标投标法第五十三条规定的情节严重行为，由有关行政监督部门取消其1年至2年内参加依法必须进行招标的项目的投标资格：</w:t>
            </w:r>
          </w:p>
          <w:p w14:paraId="0A01155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（一）以行贿谋取中标；</w:t>
            </w:r>
          </w:p>
          <w:p w14:paraId="21B7BB14">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（二）3年内2次以上串通投标；</w:t>
            </w:r>
          </w:p>
          <w:p w14:paraId="5C52F60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（三）串通投标行为损害招标人、其他投标人或者国家、集体、公民的合法利益，造成直接经济损失30万元以上；</w:t>
            </w:r>
          </w:p>
          <w:p w14:paraId="64B46F3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（四）其他串通投标情节严重的行为。</w:t>
            </w:r>
          </w:p>
          <w:p w14:paraId="5048648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《工程建设项目施工招标投标办法》第七十四条 投标人相互串通投标或者与招标人串通投标的，投标人以向招标人或者评标委员会成员行贿的手段谋取中标的，中标无效，由有关行政监督部门处中标项目金额千分之五以上千分之十以下的罚款，对单位直接负责的主管人员和其他直接责任人员处单位罚款数额百分之五以上百分之十以下的罚款；有违法所得的，并处没收违法所得；情节严重的，取消其一至二年的投标资格，并予以公告，直至由工商行政管理机关吊销营业执照；构成犯罪的，依法追究刑事责任。给他人造成损失的，依法承担赔偿责任。投标人未中标的，对单位的罚款金额按照招标项目合同金额依照招标投标法规定的比例计算。</w:t>
            </w:r>
          </w:p>
          <w:p w14:paraId="254F6B94">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《电子招标投标办法》第五十七条 招标投标活动当事人和电子招标投标系统运营机构协助招标人、投标人串通投标的，依照招标投标法第五十三条和招标投标法实施条例第六十七条规定处罚。</w:t>
            </w:r>
          </w:p>
        </w:tc>
        <w:tc>
          <w:tcPr>
            <w:tcW w:w="491" w:type="pct"/>
            <w:vMerge w:val="restart"/>
            <w:noWrap w:val="0"/>
            <w:tcMar>
              <w:top w:w="0" w:type="dxa"/>
              <w:left w:w="0" w:type="dxa"/>
              <w:bottom w:w="0" w:type="dxa"/>
              <w:right w:w="0" w:type="dxa"/>
            </w:tcMar>
            <w:vAlign w:val="center"/>
          </w:tcPr>
          <w:p w14:paraId="371617C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水利领域投标人相互串通投标或者与招标人串通投标，以向招标人或者评标委员会成员行贿的手段谋取中标的</w:t>
            </w:r>
          </w:p>
        </w:tc>
        <w:tc>
          <w:tcPr>
            <w:tcW w:w="174" w:type="pct"/>
            <w:noWrap w:val="0"/>
            <w:tcMar>
              <w:top w:w="0" w:type="dxa"/>
              <w:left w:w="0" w:type="dxa"/>
              <w:bottom w:w="0" w:type="dxa"/>
              <w:right w:w="0" w:type="dxa"/>
            </w:tcMar>
            <w:vAlign w:val="center"/>
          </w:tcPr>
          <w:p w14:paraId="30FF136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轻微</w:t>
            </w:r>
          </w:p>
        </w:tc>
        <w:tc>
          <w:tcPr>
            <w:tcW w:w="561" w:type="pct"/>
            <w:noWrap w:val="0"/>
            <w:tcMar>
              <w:top w:w="0" w:type="dxa"/>
              <w:left w:w="0" w:type="dxa"/>
              <w:bottom w:w="0" w:type="dxa"/>
              <w:right w:w="0" w:type="dxa"/>
            </w:tcMar>
            <w:vAlign w:val="center"/>
          </w:tcPr>
          <w:p w14:paraId="261F4B0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p>
        </w:tc>
        <w:tc>
          <w:tcPr>
            <w:tcW w:w="873" w:type="pct"/>
            <w:noWrap w:val="0"/>
            <w:tcMar>
              <w:top w:w="0" w:type="dxa"/>
              <w:left w:w="0" w:type="dxa"/>
              <w:bottom w:w="0" w:type="dxa"/>
              <w:right w:w="0" w:type="dxa"/>
            </w:tcMar>
            <w:vAlign w:val="center"/>
          </w:tcPr>
          <w:p w14:paraId="6AC9F06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p>
        </w:tc>
        <w:tc>
          <w:tcPr>
            <w:tcW w:w="158" w:type="pct"/>
            <w:vMerge w:val="restart"/>
            <w:noWrap w:val="0"/>
            <w:tcMar>
              <w:top w:w="0" w:type="dxa"/>
              <w:left w:w="0" w:type="dxa"/>
              <w:bottom w:w="0" w:type="dxa"/>
              <w:right w:w="0" w:type="dxa"/>
            </w:tcMar>
            <w:vAlign w:val="center"/>
          </w:tcPr>
          <w:p w14:paraId="22435ABD">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11FCC2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898" w:hRule="atLeast"/>
          <w:jc w:val="center"/>
        </w:trPr>
        <w:tc>
          <w:tcPr>
            <w:tcW w:w="156" w:type="pct"/>
            <w:vMerge w:val="continue"/>
            <w:noWrap w:val="0"/>
            <w:tcMar>
              <w:top w:w="0" w:type="dxa"/>
              <w:left w:w="0" w:type="dxa"/>
              <w:bottom w:w="0" w:type="dxa"/>
              <w:right w:w="0" w:type="dxa"/>
            </w:tcMar>
            <w:vAlign w:val="center"/>
          </w:tcPr>
          <w:p w14:paraId="7E728841">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06A2BDF8">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4A822CD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144BAF4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6A4D131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较轻</w:t>
            </w:r>
          </w:p>
        </w:tc>
        <w:tc>
          <w:tcPr>
            <w:tcW w:w="561" w:type="pct"/>
            <w:noWrap w:val="0"/>
            <w:tcMar>
              <w:top w:w="0" w:type="dxa"/>
              <w:left w:w="0" w:type="dxa"/>
              <w:bottom w:w="0" w:type="dxa"/>
              <w:right w:w="0" w:type="dxa"/>
            </w:tcMar>
            <w:vAlign w:val="center"/>
          </w:tcPr>
          <w:p w14:paraId="3934F23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未中标，且无《中华人民共和国招标投标法实施条例》第六十七条第二款、第三款所列行为的</w:t>
            </w:r>
          </w:p>
        </w:tc>
        <w:tc>
          <w:tcPr>
            <w:tcW w:w="873" w:type="pct"/>
            <w:noWrap w:val="0"/>
            <w:tcMar>
              <w:top w:w="0" w:type="dxa"/>
              <w:left w:w="0" w:type="dxa"/>
              <w:bottom w:w="0" w:type="dxa"/>
              <w:right w:w="0" w:type="dxa"/>
            </w:tcMar>
            <w:vAlign w:val="center"/>
          </w:tcPr>
          <w:p w14:paraId="40F8068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中标项目金额5‰以上6.5‰以下的罚款（投标人未中标的，处招标项目合同金额同比例罚款），对单位直接负责的主管人员和其他直接责任人员处单位罚款数额5%以上6.5%以下的罚款；有违法所得的，并处没收违法所得</w:t>
            </w:r>
          </w:p>
        </w:tc>
        <w:tc>
          <w:tcPr>
            <w:tcW w:w="158" w:type="pct"/>
            <w:vMerge w:val="continue"/>
            <w:noWrap w:val="0"/>
            <w:tcMar>
              <w:top w:w="0" w:type="dxa"/>
              <w:left w:w="0" w:type="dxa"/>
              <w:bottom w:w="0" w:type="dxa"/>
              <w:right w:w="0" w:type="dxa"/>
            </w:tcMar>
            <w:vAlign w:val="center"/>
          </w:tcPr>
          <w:p w14:paraId="1132E34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5A313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158" w:hRule="atLeast"/>
          <w:jc w:val="center"/>
        </w:trPr>
        <w:tc>
          <w:tcPr>
            <w:tcW w:w="156" w:type="pct"/>
            <w:vMerge w:val="continue"/>
            <w:noWrap w:val="0"/>
            <w:tcMar>
              <w:top w:w="0" w:type="dxa"/>
              <w:left w:w="0" w:type="dxa"/>
              <w:bottom w:w="0" w:type="dxa"/>
              <w:right w:w="0" w:type="dxa"/>
            </w:tcMar>
            <w:vAlign w:val="center"/>
          </w:tcPr>
          <w:p w14:paraId="4EFCE93B">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32209446">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45CE748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4A09448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6CE4503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一般</w:t>
            </w:r>
          </w:p>
        </w:tc>
        <w:tc>
          <w:tcPr>
            <w:tcW w:w="561" w:type="pct"/>
            <w:noWrap w:val="0"/>
            <w:tcMar>
              <w:top w:w="0" w:type="dxa"/>
              <w:left w:w="0" w:type="dxa"/>
              <w:bottom w:w="0" w:type="dxa"/>
              <w:right w:w="0" w:type="dxa"/>
            </w:tcMar>
            <w:vAlign w:val="center"/>
          </w:tcPr>
          <w:p w14:paraId="3495FF5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中标，但无《中华人民共和国招标投标法实施条例》第六十七条第二款、第三款所列行为的</w:t>
            </w:r>
          </w:p>
        </w:tc>
        <w:tc>
          <w:tcPr>
            <w:tcW w:w="873" w:type="pct"/>
            <w:noWrap w:val="0"/>
            <w:tcMar>
              <w:top w:w="0" w:type="dxa"/>
              <w:left w:w="0" w:type="dxa"/>
              <w:bottom w:w="0" w:type="dxa"/>
              <w:right w:w="0" w:type="dxa"/>
            </w:tcMar>
            <w:vAlign w:val="center"/>
          </w:tcPr>
          <w:p w14:paraId="587B0E7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对投标人处中标项目金额6.5‰以上8.5‰以下的罚款（投标人未中标的，处招标项目合同金额同比例罚款），对单位直接负责的主管人员和其他直接责任人员处单位罚款数额6.5%以上8.5%以下的罚款；有违法所得的，并处没收违法所得</w:t>
            </w:r>
          </w:p>
        </w:tc>
        <w:tc>
          <w:tcPr>
            <w:tcW w:w="158" w:type="pct"/>
            <w:vMerge w:val="continue"/>
            <w:noWrap w:val="0"/>
            <w:tcMar>
              <w:top w:w="0" w:type="dxa"/>
              <w:left w:w="0" w:type="dxa"/>
              <w:bottom w:w="0" w:type="dxa"/>
              <w:right w:w="0" w:type="dxa"/>
            </w:tcMar>
            <w:vAlign w:val="center"/>
          </w:tcPr>
          <w:p w14:paraId="2623B0F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4C3B28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93" w:hRule="atLeast"/>
          <w:jc w:val="center"/>
        </w:trPr>
        <w:tc>
          <w:tcPr>
            <w:tcW w:w="156" w:type="pct"/>
            <w:vMerge w:val="continue"/>
            <w:noWrap w:val="0"/>
            <w:tcMar>
              <w:top w:w="0" w:type="dxa"/>
              <w:left w:w="0" w:type="dxa"/>
              <w:bottom w:w="0" w:type="dxa"/>
              <w:right w:w="0" w:type="dxa"/>
            </w:tcMar>
            <w:vAlign w:val="center"/>
          </w:tcPr>
          <w:p w14:paraId="42FCE67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3E5D4E20">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3B4AE824">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22CE608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1C78AC4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较重</w:t>
            </w:r>
          </w:p>
        </w:tc>
        <w:tc>
          <w:tcPr>
            <w:tcW w:w="561" w:type="pct"/>
            <w:noWrap w:val="0"/>
            <w:tcMar>
              <w:top w:w="0" w:type="dxa"/>
              <w:left w:w="0" w:type="dxa"/>
              <w:bottom w:w="0" w:type="dxa"/>
              <w:right w:w="0" w:type="dxa"/>
            </w:tcMar>
            <w:vAlign w:val="center"/>
          </w:tcPr>
          <w:p w14:paraId="561FAAD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有《中华人民共和国招标投标法实施条例》第六十七条第二款所列行为的</w:t>
            </w:r>
          </w:p>
        </w:tc>
        <w:tc>
          <w:tcPr>
            <w:tcW w:w="873" w:type="pct"/>
            <w:noWrap w:val="0"/>
            <w:tcMar>
              <w:top w:w="0" w:type="dxa"/>
              <w:left w:w="0" w:type="dxa"/>
              <w:bottom w:w="0" w:type="dxa"/>
              <w:right w:w="0" w:type="dxa"/>
            </w:tcMar>
            <w:vAlign w:val="center"/>
          </w:tcPr>
          <w:p w14:paraId="47D2DF0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对投标人处中标项目金额8.5‰以上10‰以下的罚款（投标人未中标的，处招标项目合同金额同比例罚款），对单位直接负责的主管人员和其他直接责任人员处单位罚款数额8.5%以上10%以下的罚款；有违法所得的，并处没收违法所得</w:t>
            </w:r>
          </w:p>
        </w:tc>
        <w:tc>
          <w:tcPr>
            <w:tcW w:w="158" w:type="pct"/>
            <w:vMerge w:val="continue"/>
            <w:noWrap w:val="0"/>
            <w:tcMar>
              <w:top w:w="0" w:type="dxa"/>
              <w:left w:w="0" w:type="dxa"/>
              <w:bottom w:w="0" w:type="dxa"/>
              <w:right w:w="0" w:type="dxa"/>
            </w:tcMar>
            <w:vAlign w:val="center"/>
          </w:tcPr>
          <w:p w14:paraId="5FEA91A9">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677DA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771" w:hRule="atLeast"/>
          <w:jc w:val="center"/>
        </w:trPr>
        <w:tc>
          <w:tcPr>
            <w:tcW w:w="156" w:type="pct"/>
            <w:vMerge w:val="continue"/>
            <w:noWrap w:val="0"/>
            <w:tcMar>
              <w:top w:w="0" w:type="dxa"/>
              <w:left w:w="0" w:type="dxa"/>
              <w:bottom w:w="0" w:type="dxa"/>
              <w:right w:w="0" w:type="dxa"/>
            </w:tcMar>
            <w:vAlign w:val="center"/>
          </w:tcPr>
          <w:p w14:paraId="123AB0E8">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7DEA627E">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0790574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3EC65FE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02142D25">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严重</w:t>
            </w:r>
          </w:p>
        </w:tc>
        <w:tc>
          <w:tcPr>
            <w:tcW w:w="561" w:type="pct"/>
            <w:noWrap w:val="0"/>
            <w:tcMar>
              <w:top w:w="0" w:type="dxa"/>
              <w:left w:w="0" w:type="dxa"/>
              <w:bottom w:w="0" w:type="dxa"/>
              <w:right w:w="0" w:type="dxa"/>
            </w:tcMar>
            <w:vAlign w:val="center"/>
          </w:tcPr>
          <w:p w14:paraId="7A6A73F7">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auto"/>
                <w:sz w:val="18"/>
                <w:szCs w:val="18"/>
                <w:vertAlign w:val="baseline"/>
              </w:rPr>
              <w:t>有《中华人民共和国招标投标法实施条例》第六十七条第三款所列行为的</w:t>
            </w:r>
          </w:p>
        </w:tc>
        <w:tc>
          <w:tcPr>
            <w:tcW w:w="873" w:type="pct"/>
            <w:noWrap w:val="0"/>
            <w:tcMar>
              <w:top w:w="0" w:type="dxa"/>
              <w:left w:w="0" w:type="dxa"/>
              <w:bottom w:w="0" w:type="dxa"/>
              <w:right w:w="0" w:type="dxa"/>
            </w:tcMar>
            <w:vAlign w:val="center"/>
          </w:tcPr>
          <w:p w14:paraId="5C80E04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对投标人处中标项目金额10‰的罚款（投标人未中标的，处招标项目合同金额同比例罚款），对单位直接负责的主管人员和其他直接责任人员处单位罚款数额10%的罚款；有违法所得的，并处没收违法所得</w:t>
            </w:r>
          </w:p>
        </w:tc>
        <w:tc>
          <w:tcPr>
            <w:tcW w:w="158" w:type="pct"/>
            <w:vMerge w:val="continue"/>
            <w:noWrap w:val="0"/>
            <w:tcMar>
              <w:top w:w="0" w:type="dxa"/>
              <w:left w:w="0" w:type="dxa"/>
              <w:bottom w:w="0" w:type="dxa"/>
              <w:right w:w="0" w:type="dxa"/>
            </w:tcMar>
            <w:vAlign w:val="center"/>
          </w:tcPr>
          <w:p w14:paraId="440E726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56E8AA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restart"/>
            <w:noWrap w:val="0"/>
            <w:tcMar>
              <w:top w:w="0" w:type="dxa"/>
              <w:left w:w="0" w:type="dxa"/>
              <w:bottom w:w="0" w:type="dxa"/>
              <w:right w:w="0" w:type="dxa"/>
            </w:tcMar>
            <w:vAlign w:val="center"/>
          </w:tcPr>
          <w:p w14:paraId="1920882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default" w:ascii="宋体" w:hAnsi="宋体" w:eastAsia="宋体" w:cs="宋体"/>
                <w:color w:val="000000"/>
                <w:sz w:val="18"/>
                <w:szCs w:val="18"/>
                <w:shd w:val="clear" w:color="auto" w:fill="auto"/>
                <w:vertAlign w:val="baseline"/>
                <w:lang w:val="en-US" w:eastAsia="zh-CN"/>
              </w:rPr>
            </w:pPr>
            <w:r>
              <w:rPr>
                <w:rFonts w:hint="eastAsia" w:ascii="宋体" w:hAnsi="宋体" w:eastAsia="宋体" w:cs="宋体"/>
                <w:color w:val="000000"/>
                <w:sz w:val="18"/>
                <w:szCs w:val="18"/>
                <w:shd w:val="clear" w:color="auto" w:fill="auto"/>
                <w:vertAlign w:val="baseline"/>
                <w:lang w:val="en-US" w:eastAsia="zh-CN"/>
              </w:rPr>
              <w:t>130</w:t>
            </w:r>
          </w:p>
        </w:tc>
        <w:tc>
          <w:tcPr>
            <w:tcW w:w="415" w:type="pct"/>
            <w:vMerge w:val="restart"/>
            <w:noWrap w:val="0"/>
            <w:tcMar>
              <w:top w:w="0" w:type="dxa"/>
              <w:left w:w="0" w:type="dxa"/>
              <w:bottom w:w="0" w:type="dxa"/>
              <w:right w:w="0" w:type="dxa"/>
            </w:tcMar>
            <w:vAlign w:val="center"/>
          </w:tcPr>
          <w:p w14:paraId="511B7A67">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对水利领域投标人以他人名义投标或者以其他方式弄虚作假，骗取中标等行为的行政处罚</w:t>
            </w:r>
          </w:p>
        </w:tc>
        <w:tc>
          <w:tcPr>
            <w:tcW w:w="2168" w:type="pct"/>
            <w:vMerge w:val="restart"/>
            <w:noWrap w:val="0"/>
            <w:tcMar>
              <w:top w:w="0" w:type="dxa"/>
              <w:left w:w="0" w:type="dxa"/>
              <w:bottom w:w="0" w:type="dxa"/>
              <w:right w:w="0" w:type="dxa"/>
            </w:tcMar>
            <w:vAlign w:val="center"/>
          </w:tcPr>
          <w:p w14:paraId="2BD9211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《中华人民共和国招标投标法》第五十四条 投标人以他人名义投标或者以其他方式弄虚作假，骗取中标的，中标无效，给招标人造成损失的，依法承担赔偿责任；构成犯罪的，依法追究刑事责任。</w:t>
            </w:r>
          </w:p>
          <w:p w14:paraId="4C6E1F8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依法必须进行招标的项目的投标人有前款所列行为尚未构成犯罪的，处中标项目金额千分之五以上千分之十以下的罚款，对单位直接负责的主管人员和其他直接责任人员处单位罚款数额百分之五以上百分之十以下的罚款；有违法所得的，并处没收违法所得；情节严重的，取消其一年至三年内参加依法必须进行招标的项目的投标资格并予以公告，直至由工商行政管理机关吊销营业执照。</w:t>
            </w:r>
          </w:p>
          <w:p w14:paraId="219FB43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《中华人民共和国招标投标法实施条例》第六十八条第一款 投标人以他人名义投标或者以其他方式弄虚作假骗取中标的，中标无效；构成犯罪的，依法追究刑事责任；尚不构成犯罪的，依照招标投标法第五十四条的规定处罚。依法必须进行招标的项目的投标人未中标的，对单位的罚款金额按照招标项目合同金额依照招标投标法规定的比例计算。</w:t>
            </w:r>
          </w:p>
          <w:p w14:paraId="319A7CB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第六十八条第二款 投标人有下列行为之一的，属于招标投标法第五十四条规定的情节严重行为，由有关行政监督部门取消其1年至3年内参加依法必须进行招标的项目的投标资格：</w:t>
            </w:r>
          </w:p>
          <w:p w14:paraId="06809CC7">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（一）伪造、变造资格、资质证书或者其他许可证件骗取中标；</w:t>
            </w:r>
          </w:p>
          <w:p w14:paraId="28F3629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（二）3年内2次以上使用他人名义投标；</w:t>
            </w:r>
          </w:p>
          <w:p w14:paraId="72247DDC">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（三）弄虚作假骗取中标给招标人造成直接经济损失30万元以上；</w:t>
            </w:r>
          </w:p>
          <w:p w14:paraId="280B20C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（四）其他弄虚作假骗取中标情节严重的行为。</w:t>
            </w:r>
          </w:p>
          <w:p w14:paraId="183454B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《工程建设项目施工招标投标办法》第七十五条 投标人以他人名义投标或者以其他方式弄虚作假，骗取中标的，中标无效，给招标人造成损失的，依法承担赔偿责任；构成犯罪的，依法追究刑事责任。</w:t>
            </w:r>
          </w:p>
          <w:p w14:paraId="50EBF8E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依法必须进行招标项目的投标人有前款所列行为尚未构成犯罪的，有关行政监督部门处中标项目金额千分之五以上千分之十以下的罚款，对单位直接负责的主管人员和其他直接责任人员处单位罚款数额百分之五以上百分之十以下的罚款；有违法所得的，并处没收违法所得；情节严重的，取消其一至三年投标资格，并予以公告，直至由工商行政管理机关吊销营业执照。投标人未中标的，对单位的罚款金额按照招标项目合同金额依照招标投标法规定的比例计算。</w:t>
            </w:r>
          </w:p>
          <w:p w14:paraId="55D249A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《工程建设项目勘察设计招标投标办法》第五十二条 依法必须进行招标的项目的投标人以他人名义投标，利用伪造、转让、租借、无效的资质证书参加投标，或者请其他单位在自己编制的投标文件上代为签字盖章，弄虚作假，骗取中标的，中标无效。尚未构成犯罪的，处中标项目金额千分之五以上千分之十以下的罚款，对单位直接负责的主管人员和其他直接责任人员处单位罚款数额百分之五以上百分之十以下的罚款；有违法所得的，并处没收违法所得；情节严重的，取消其一年至三年内参加依法必须进行招标的项目的投标资格并予以公告，直至由工商行政管理机关吊销营业执照。</w:t>
            </w:r>
          </w:p>
          <w:p w14:paraId="6E11A62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《电子招标投标办法》第五十八条 招标投标活动当事人和电子招标投标系统运营机构伪造、篡改、损毁招标投标信息，或者以其他方式弄虚作假的，依照招标投标法第五十四条和招标投标法实施条例第六十八条规定处罚。</w:t>
            </w:r>
          </w:p>
        </w:tc>
        <w:tc>
          <w:tcPr>
            <w:tcW w:w="491" w:type="pct"/>
            <w:vMerge w:val="restart"/>
            <w:noWrap w:val="0"/>
            <w:tcMar>
              <w:top w:w="0" w:type="dxa"/>
              <w:left w:w="0" w:type="dxa"/>
              <w:bottom w:w="0" w:type="dxa"/>
              <w:right w:w="0" w:type="dxa"/>
            </w:tcMar>
            <w:vAlign w:val="center"/>
          </w:tcPr>
          <w:p w14:paraId="7361E8D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水利领域投标人以他人名义投标或者以其他方式弄虚作假，骗取中标的</w:t>
            </w:r>
          </w:p>
        </w:tc>
        <w:tc>
          <w:tcPr>
            <w:tcW w:w="174" w:type="pct"/>
            <w:noWrap w:val="0"/>
            <w:tcMar>
              <w:top w:w="0" w:type="dxa"/>
              <w:left w:w="0" w:type="dxa"/>
              <w:bottom w:w="0" w:type="dxa"/>
              <w:right w:w="0" w:type="dxa"/>
            </w:tcMar>
            <w:vAlign w:val="center"/>
          </w:tcPr>
          <w:p w14:paraId="1DB7BBD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轻微</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09267FB5">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20D91183">
            <w:pPr>
              <w:spacing w:line="260" w:lineRule="exact"/>
              <w:rPr>
                <w:rFonts w:hint="eastAsia" w:ascii="宋体" w:hAnsi="宋体" w:eastAsia="宋体" w:cs="宋体"/>
                <w:color w:val="000000"/>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157234E4">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3570A2EC">
            <w:pPr>
              <w:spacing w:line="260" w:lineRule="exact"/>
              <w:rPr>
                <w:rFonts w:hint="eastAsia" w:ascii="宋体" w:hAnsi="宋体" w:eastAsia="宋体" w:cs="宋体"/>
                <w:color w:val="000000"/>
                <w:kern w:val="2"/>
                <w:sz w:val="18"/>
                <w:szCs w:val="18"/>
                <w:vertAlign w:val="baseline"/>
                <w:lang w:val="en-US" w:eastAsia="zh-CN" w:bidi="ar-SA"/>
              </w:rPr>
            </w:pPr>
          </w:p>
        </w:tc>
        <w:tc>
          <w:tcPr>
            <w:tcW w:w="158" w:type="pct"/>
            <w:vMerge w:val="restart"/>
            <w:noWrap w:val="0"/>
            <w:tcMar>
              <w:top w:w="0" w:type="dxa"/>
              <w:left w:w="0" w:type="dxa"/>
              <w:bottom w:w="0" w:type="dxa"/>
              <w:right w:w="0" w:type="dxa"/>
            </w:tcMar>
            <w:vAlign w:val="center"/>
          </w:tcPr>
          <w:p w14:paraId="50626B8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6940C6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458" w:hRule="atLeast"/>
          <w:jc w:val="center"/>
        </w:trPr>
        <w:tc>
          <w:tcPr>
            <w:tcW w:w="156" w:type="pct"/>
            <w:vMerge w:val="continue"/>
            <w:noWrap w:val="0"/>
            <w:tcMar>
              <w:top w:w="0" w:type="dxa"/>
              <w:left w:w="0" w:type="dxa"/>
              <w:bottom w:w="0" w:type="dxa"/>
              <w:right w:w="0" w:type="dxa"/>
            </w:tcMar>
            <w:vAlign w:val="center"/>
          </w:tcPr>
          <w:p w14:paraId="0B14ED7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28C8EF7F">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23ACE18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0F971B6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2147F649">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较轻</w:t>
            </w:r>
          </w:p>
        </w:tc>
        <w:tc>
          <w:tcPr>
            <w:tcW w:w="561" w:type="pct"/>
            <w:noWrap w:val="0"/>
            <w:tcMar>
              <w:top w:w="0" w:type="dxa"/>
              <w:left w:w="0" w:type="dxa"/>
              <w:bottom w:w="0" w:type="dxa"/>
              <w:right w:w="0" w:type="dxa"/>
            </w:tcMar>
            <w:vAlign w:val="center"/>
          </w:tcPr>
          <w:p w14:paraId="49938A2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未中标，且无《中华人民共和国招标投标法实施条例》第六十八条第二款、第三款所列行为的</w:t>
            </w:r>
          </w:p>
        </w:tc>
        <w:tc>
          <w:tcPr>
            <w:tcW w:w="873" w:type="pct"/>
            <w:noWrap w:val="0"/>
            <w:tcMar>
              <w:top w:w="0" w:type="dxa"/>
              <w:left w:w="0" w:type="dxa"/>
              <w:bottom w:w="0" w:type="dxa"/>
              <w:right w:w="0" w:type="dxa"/>
            </w:tcMar>
            <w:vAlign w:val="center"/>
          </w:tcPr>
          <w:p w14:paraId="4458D45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招标项目合同金额5‰以上6.5‰以下的罚款（投标人未中标的，处招标项目合同金额同比例罚款），对单位直接负责的主管人员和其他直接责任人员处单位罚款数额5%以上6.5%以下的罚款；有违法所得的，并处没收违法所得</w:t>
            </w:r>
          </w:p>
        </w:tc>
        <w:tc>
          <w:tcPr>
            <w:tcW w:w="158" w:type="pct"/>
            <w:vMerge w:val="continue"/>
            <w:noWrap w:val="0"/>
            <w:tcMar>
              <w:top w:w="0" w:type="dxa"/>
              <w:left w:w="0" w:type="dxa"/>
              <w:bottom w:w="0" w:type="dxa"/>
              <w:right w:w="0" w:type="dxa"/>
            </w:tcMar>
            <w:vAlign w:val="center"/>
          </w:tcPr>
          <w:p w14:paraId="1432DF0D">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1F5183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629" w:hRule="atLeast"/>
          <w:jc w:val="center"/>
        </w:trPr>
        <w:tc>
          <w:tcPr>
            <w:tcW w:w="156" w:type="pct"/>
            <w:vMerge w:val="continue"/>
            <w:noWrap w:val="0"/>
            <w:tcMar>
              <w:top w:w="0" w:type="dxa"/>
              <w:left w:w="0" w:type="dxa"/>
              <w:bottom w:w="0" w:type="dxa"/>
              <w:right w:w="0" w:type="dxa"/>
            </w:tcMar>
            <w:vAlign w:val="center"/>
          </w:tcPr>
          <w:p w14:paraId="0FA03A6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43A02D13">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4BF645D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5A21936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7A15032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一般</w:t>
            </w:r>
          </w:p>
        </w:tc>
        <w:tc>
          <w:tcPr>
            <w:tcW w:w="561" w:type="pct"/>
            <w:noWrap w:val="0"/>
            <w:tcMar>
              <w:top w:w="0" w:type="dxa"/>
              <w:left w:w="0" w:type="dxa"/>
              <w:bottom w:w="0" w:type="dxa"/>
              <w:right w:w="0" w:type="dxa"/>
            </w:tcMar>
            <w:vAlign w:val="center"/>
          </w:tcPr>
          <w:p w14:paraId="6F2112D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中标，但无《中华人民共和国招标投标法实施条例》第六十八条第二款、第三款所列行为的</w:t>
            </w:r>
          </w:p>
        </w:tc>
        <w:tc>
          <w:tcPr>
            <w:tcW w:w="873" w:type="pct"/>
            <w:noWrap w:val="0"/>
            <w:tcMar>
              <w:top w:w="0" w:type="dxa"/>
              <w:left w:w="0" w:type="dxa"/>
              <w:bottom w:w="0" w:type="dxa"/>
              <w:right w:w="0" w:type="dxa"/>
            </w:tcMar>
            <w:vAlign w:val="center"/>
          </w:tcPr>
          <w:p w14:paraId="28D2561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中标项目金额6.5‰以上8.5‰以下的罚款（投标人未中标的，处招标项目合同金额同比例罚款），对单位直接负责的主管人员和其他直接责任人员处单位罚款数额6.5%以上8.5%以下的罚款；有违法所得的，并处没收违法所得</w:t>
            </w:r>
          </w:p>
        </w:tc>
        <w:tc>
          <w:tcPr>
            <w:tcW w:w="158" w:type="pct"/>
            <w:vMerge w:val="continue"/>
            <w:noWrap w:val="0"/>
            <w:tcMar>
              <w:top w:w="0" w:type="dxa"/>
              <w:left w:w="0" w:type="dxa"/>
              <w:bottom w:w="0" w:type="dxa"/>
              <w:right w:w="0" w:type="dxa"/>
            </w:tcMar>
            <w:vAlign w:val="center"/>
          </w:tcPr>
          <w:p w14:paraId="0535FB7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763354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814" w:hRule="atLeast"/>
          <w:jc w:val="center"/>
        </w:trPr>
        <w:tc>
          <w:tcPr>
            <w:tcW w:w="156" w:type="pct"/>
            <w:vMerge w:val="continue"/>
            <w:noWrap w:val="0"/>
            <w:tcMar>
              <w:top w:w="0" w:type="dxa"/>
              <w:left w:w="0" w:type="dxa"/>
              <w:bottom w:w="0" w:type="dxa"/>
              <w:right w:w="0" w:type="dxa"/>
            </w:tcMar>
            <w:vAlign w:val="center"/>
          </w:tcPr>
          <w:p w14:paraId="69E4313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63324BE8">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53D4D56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364DAA9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665E729C">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较重</w:t>
            </w:r>
          </w:p>
        </w:tc>
        <w:tc>
          <w:tcPr>
            <w:tcW w:w="561" w:type="pct"/>
            <w:noWrap w:val="0"/>
            <w:tcMar>
              <w:top w:w="0" w:type="dxa"/>
              <w:left w:w="0" w:type="dxa"/>
              <w:bottom w:w="0" w:type="dxa"/>
              <w:right w:w="0" w:type="dxa"/>
            </w:tcMar>
            <w:vAlign w:val="center"/>
          </w:tcPr>
          <w:p w14:paraId="72BA2B5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有《中华人民共和国招标投标法实施条例》第六十八条第二款所列行为的</w:t>
            </w:r>
          </w:p>
        </w:tc>
        <w:tc>
          <w:tcPr>
            <w:tcW w:w="873" w:type="pct"/>
            <w:noWrap w:val="0"/>
            <w:tcMar>
              <w:top w:w="0" w:type="dxa"/>
              <w:left w:w="0" w:type="dxa"/>
              <w:bottom w:w="0" w:type="dxa"/>
              <w:right w:w="0" w:type="dxa"/>
            </w:tcMar>
            <w:vAlign w:val="center"/>
          </w:tcPr>
          <w:p w14:paraId="219A885C">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中标项目金额8.5‰以上10‰以下的罚款（投标人未中标的，处招标项目合同金额同比例罚款），对单位直接负责的主管人员和其他直接责任人员处单位罚款数额8.5%以上10%以下的罚款；有违法所得的，并处没收违法所得</w:t>
            </w:r>
          </w:p>
        </w:tc>
        <w:tc>
          <w:tcPr>
            <w:tcW w:w="158" w:type="pct"/>
            <w:vMerge w:val="continue"/>
            <w:noWrap w:val="0"/>
            <w:tcMar>
              <w:top w:w="0" w:type="dxa"/>
              <w:left w:w="0" w:type="dxa"/>
              <w:bottom w:w="0" w:type="dxa"/>
              <w:right w:w="0" w:type="dxa"/>
            </w:tcMar>
            <w:vAlign w:val="center"/>
          </w:tcPr>
          <w:p w14:paraId="3DAC3281">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74EBF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223" w:hRule="atLeast"/>
          <w:jc w:val="center"/>
        </w:trPr>
        <w:tc>
          <w:tcPr>
            <w:tcW w:w="156" w:type="pct"/>
            <w:vMerge w:val="continue"/>
            <w:noWrap w:val="0"/>
            <w:tcMar>
              <w:top w:w="0" w:type="dxa"/>
              <w:left w:w="0" w:type="dxa"/>
              <w:bottom w:w="0" w:type="dxa"/>
              <w:right w:w="0" w:type="dxa"/>
            </w:tcMar>
            <w:vAlign w:val="center"/>
          </w:tcPr>
          <w:p w14:paraId="266F4E5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0C89466C">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218D5FE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2A38513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14591A1D">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严重</w:t>
            </w:r>
          </w:p>
        </w:tc>
        <w:tc>
          <w:tcPr>
            <w:tcW w:w="561" w:type="pct"/>
            <w:noWrap w:val="0"/>
            <w:tcMar>
              <w:top w:w="0" w:type="dxa"/>
              <w:left w:w="0" w:type="dxa"/>
              <w:bottom w:w="0" w:type="dxa"/>
              <w:right w:w="0" w:type="dxa"/>
            </w:tcMar>
            <w:vAlign w:val="center"/>
          </w:tcPr>
          <w:p w14:paraId="19A6FA7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有《中华人民共和国招标投标法实施条例》第六十八条第三款所列行为的</w:t>
            </w:r>
          </w:p>
        </w:tc>
        <w:tc>
          <w:tcPr>
            <w:tcW w:w="873" w:type="pct"/>
            <w:noWrap w:val="0"/>
            <w:tcMar>
              <w:top w:w="0" w:type="dxa"/>
              <w:left w:w="0" w:type="dxa"/>
              <w:bottom w:w="0" w:type="dxa"/>
              <w:right w:w="0" w:type="dxa"/>
            </w:tcMar>
            <w:vAlign w:val="center"/>
          </w:tcPr>
          <w:p w14:paraId="7884C31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处中标项目金额10‰的罚款（投标人未中标的，处招标项目合同金额同比例罚款），对单位直接负责的主管人员和其他直接责任人员处单位罚款数额10%的罚款；有违法所得的，并处没收违法所得</w:t>
            </w:r>
          </w:p>
        </w:tc>
        <w:tc>
          <w:tcPr>
            <w:tcW w:w="158" w:type="pct"/>
            <w:vMerge w:val="continue"/>
            <w:noWrap w:val="0"/>
            <w:tcMar>
              <w:top w:w="0" w:type="dxa"/>
              <w:left w:w="0" w:type="dxa"/>
              <w:bottom w:w="0" w:type="dxa"/>
              <w:right w:w="0" w:type="dxa"/>
            </w:tcMar>
            <w:vAlign w:val="center"/>
          </w:tcPr>
          <w:p w14:paraId="69AA2BC9">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2B1286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restart"/>
            <w:noWrap w:val="0"/>
            <w:tcMar>
              <w:top w:w="0" w:type="dxa"/>
              <w:left w:w="0" w:type="dxa"/>
              <w:bottom w:w="0" w:type="dxa"/>
              <w:right w:w="0" w:type="dxa"/>
            </w:tcMar>
            <w:vAlign w:val="center"/>
          </w:tcPr>
          <w:p w14:paraId="7D8167E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r>
              <w:rPr>
                <w:rFonts w:hint="eastAsia" w:ascii="宋体" w:hAnsi="宋体" w:eastAsia="宋体" w:cs="宋体"/>
                <w:color w:val="000000"/>
                <w:sz w:val="18"/>
                <w:szCs w:val="18"/>
                <w:shd w:val="clear" w:color="auto" w:fill="auto"/>
                <w:vertAlign w:val="baseline"/>
                <w:lang w:val="en-US" w:eastAsia="zh-CN"/>
              </w:rPr>
              <w:t>131</w:t>
            </w:r>
          </w:p>
        </w:tc>
        <w:tc>
          <w:tcPr>
            <w:tcW w:w="415" w:type="pct"/>
            <w:vMerge w:val="restart"/>
            <w:noWrap w:val="0"/>
            <w:tcMar>
              <w:top w:w="0" w:type="dxa"/>
              <w:left w:w="0" w:type="dxa"/>
              <w:bottom w:w="0" w:type="dxa"/>
              <w:right w:w="0" w:type="dxa"/>
            </w:tcMar>
            <w:vAlign w:val="center"/>
          </w:tcPr>
          <w:p w14:paraId="07A00FF9">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对水利领域招标代理机构泄露应当保密的与招标投标活动有关的情况和资料，或者与招标人、投标人串通损害国家利益、社会公共利益或者他人合法权益等行为的行政处罚</w:t>
            </w:r>
          </w:p>
        </w:tc>
        <w:tc>
          <w:tcPr>
            <w:tcW w:w="2168" w:type="pct"/>
            <w:vMerge w:val="restart"/>
            <w:noWrap w:val="0"/>
            <w:tcMar>
              <w:top w:w="0" w:type="dxa"/>
              <w:left w:w="0" w:type="dxa"/>
              <w:bottom w:w="0" w:type="dxa"/>
              <w:right w:w="0" w:type="dxa"/>
            </w:tcMar>
            <w:vAlign w:val="center"/>
          </w:tcPr>
          <w:p w14:paraId="72361F7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《中华人民共和国招标投标法》第五十条 招标代理机构违反本法规定，泄露应当保密的与招标投标活动有关的情况和资料的，或者与招标人、投标人串通损害国家利益、社会公共利益或者他人合法权益的，处五万元以上二十五万元以下的罚款；对单位直接负责的主管人员和其他直接责任人员处单位罚款数额百分之五以上百分之十以下的罚款；有违法所得的，并处没收违法所得；情节严重的，禁止其一年至二年内代理依法必须进行招标的项目并予以公告，直至由工商行政管理机关吊销营业执照；构成犯罪的，依法追究刑事责任。给他人造成损失的，依法承担赔偿责任。</w:t>
            </w:r>
          </w:p>
          <w:p w14:paraId="726218B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前款所列行为影响中标结果的，中标无效。</w:t>
            </w:r>
          </w:p>
          <w:p w14:paraId="681E340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《中华人民共和国招标投标法实施条例》第六十五条 招标代理机构在所代理的招标项目中投标、代理投标或者向该项目投标人提供咨询的，接受委托编制标底的中介机构参加受托编制标底项目的投标或者为该项目的投标人编制投标文件、提供咨询的，依照招标投标法第五十条的规定追究法律责任。</w:t>
            </w:r>
          </w:p>
          <w:p w14:paraId="2BD546F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《工程建设项目施工招标投标办法》第六十九条 招标代理机构违法泄露应当保密的与招标投标活动有关的情况和资料的，或者与招标人、投标人串通损害国家利益、社会公共利益或者他人合法权益的，由有关行政监督部门处五万元以上二十五万元以下罚款，对单位直接负责的主管人员和其他直接责任人员处单位罚款数额百分之五以上百分之十以下罚款；有违法所得的，并处没收违法所得；情节严重的，有关行政监督部门可停止其一定时期内参与相关领域的招标代理业务，资格认定部门可暂停直至取消招标代理资格；构成犯罪的，由司法部门依法追究刑事责任。给他人造成损失的，依法承担赔偿责任。</w:t>
            </w:r>
          </w:p>
          <w:p w14:paraId="39A36AF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前款所列行为影响中标结果，并且中标人为前款所列行为的受益人的，中标无效。</w:t>
            </w:r>
          </w:p>
        </w:tc>
        <w:tc>
          <w:tcPr>
            <w:tcW w:w="491" w:type="pct"/>
            <w:vMerge w:val="restart"/>
            <w:noWrap w:val="0"/>
            <w:tcMar>
              <w:top w:w="0" w:type="dxa"/>
              <w:left w:w="0" w:type="dxa"/>
              <w:bottom w:w="0" w:type="dxa"/>
              <w:right w:w="0" w:type="dxa"/>
            </w:tcMar>
            <w:vAlign w:val="center"/>
          </w:tcPr>
          <w:p w14:paraId="302DC15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水利领域招标代理机构泄露应当保密的与招标投标活动有关的情况和资料，或者与招标人、投标人串通损害国家利益、社会公共利益或者他人合法权益的</w:t>
            </w:r>
          </w:p>
        </w:tc>
        <w:tc>
          <w:tcPr>
            <w:tcW w:w="174" w:type="pct"/>
            <w:noWrap w:val="0"/>
            <w:tcMar>
              <w:top w:w="0" w:type="dxa"/>
              <w:left w:w="0" w:type="dxa"/>
              <w:bottom w:w="0" w:type="dxa"/>
              <w:right w:w="0" w:type="dxa"/>
            </w:tcMar>
            <w:vAlign w:val="center"/>
          </w:tcPr>
          <w:p w14:paraId="1458D8C9">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轻微</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78D30FBA">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206AEE64">
            <w:pPr>
              <w:spacing w:line="260" w:lineRule="exact"/>
              <w:rPr>
                <w:rFonts w:hint="eastAsia" w:ascii="宋体" w:hAnsi="宋体" w:eastAsia="宋体" w:cs="宋体"/>
                <w:b/>
                <w:bCs/>
                <w:color w:val="000000"/>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4A8A52A1">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57509E7A">
            <w:pPr>
              <w:spacing w:line="260" w:lineRule="exact"/>
              <w:rPr>
                <w:rFonts w:hint="eastAsia" w:ascii="宋体" w:hAnsi="宋体" w:eastAsia="宋体" w:cs="宋体"/>
                <w:b/>
                <w:bCs/>
                <w:color w:val="000000"/>
                <w:kern w:val="2"/>
                <w:sz w:val="18"/>
                <w:szCs w:val="18"/>
                <w:vertAlign w:val="baseline"/>
                <w:lang w:val="en-US" w:eastAsia="zh-CN" w:bidi="ar-SA"/>
              </w:rPr>
            </w:pPr>
          </w:p>
        </w:tc>
        <w:tc>
          <w:tcPr>
            <w:tcW w:w="158" w:type="pct"/>
            <w:vMerge w:val="restart"/>
            <w:noWrap w:val="0"/>
            <w:tcMar>
              <w:top w:w="0" w:type="dxa"/>
              <w:left w:w="0" w:type="dxa"/>
              <w:bottom w:w="0" w:type="dxa"/>
              <w:right w:w="0" w:type="dxa"/>
            </w:tcMar>
            <w:vAlign w:val="center"/>
          </w:tcPr>
          <w:p w14:paraId="59D683A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79504F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27A25D9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37E3BA80">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02407EEC">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0380825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177DDB9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较轻</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7A60113F">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2593104A">
            <w:pPr>
              <w:spacing w:line="260" w:lineRule="exact"/>
              <w:rPr>
                <w:rFonts w:hint="eastAsia" w:ascii="宋体" w:hAnsi="宋体" w:eastAsia="宋体" w:cs="宋体"/>
                <w:b/>
                <w:bCs/>
                <w:color w:val="000000"/>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7C70C6E9">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1916E288">
            <w:pPr>
              <w:spacing w:line="260" w:lineRule="exact"/>
              <w:rPr>
                <w:rFonts w:hint="eastAsia" w:ascii="宋体" w:hAnsi="宋体" w:eastAsia="宋体" w:cs="宋体"/>
                <w:b/>
                <w:bCs/>
                <w:color w:val="000000"/>
                <w:kern w:val="2"/>
                <w:sz w:val="18"/>
                <w:szCs w:val="18"/>
                <w:vertAlign w:val="baseline"/>
                <w:lang w:val="en-US" w:eastAsia="zh-CN" w:bidi="ar-SA"/>
              </w:rPr>
            </w:pPr>
          </w:p>
        </w:tc>
        <w:tc>
          <w:tcPr>
            <w:tcW w:w="158" w:type="pct"/>
            <w:vMerge w:val="continue"/>
            <w:noWrap w:val="0"/>
            <w:tcMar>
              <w:top w:w="0" w:type="dxa"/>
              <w:left w:w="0" w:type="dxa"/>
              <w:bottom w:w="0" w:type="dxa"/>
              <w:right w:w="0" w:type="dxa"/>
            </w:tcMar>
            <w:vAlign w:val="center"/>
          </w:tcPr>
          <w:p w14:paraId="43A6302A">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4E35EF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519" w:hRule="atLeast"/>
          <w:jc w:val="center"/>
        </w:trPr>
        <w:tc>
          <w:tcPr>
            <w:tcW w:w="156" w:type="pct"/>
            <w:vMerge w:val="continue"/>
            <w:noWrap w:val="0"/>
            <w:tcMar>
              <w:top w:w="0" w:type="dxa"/>
              <w:left w:w="0" w:type="dxa"/>
              <w:bottom w:w="0" w:type="dxa"/>
              <w:right w:w="0" w:type="dxa"/>
            </w:tcMar>
            <w:vAlign w:val="center"/>
          </w:tcPr>
          <w:p w14:paraId="40E26FB9">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2CEC49FD">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5BEB846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23BE291C">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7A7CC69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一般</w:t>
            </w:r>
          </w:p>
        </w:tc>
        <w:tc>
          <w:tcPr>
            <w:tcW w:w="561" w:type="pct"/>
            <w:noWrap w:val="0"/>
            <w:tcMar>
              <w:top w:w="0" w:type="dxa"/>
              <w:left w:w="0" w:type="dxa"/>
              <w:bottom w:w="0" w:type="dxa"/>
              <w:right w:w="0" w:type="dxa"/>
            </w:tcMar>
            <w:vAlign w:val="center"/>
          </w:tcPr>
          <w:p w14:paraId="072B0BD9">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sz w:val="18"/>
                <w:szCs w:val="18"/>
                <w:vertAlign w:val="baseline"/>
              </w:rPr>
              <w:t>尚未组织评标确定中标人，或其他未影响中标结果的</w:t>
            </w:r>
          </w:p>
        </w:tc>
        <w:tc>
          <w:tcPr>
            <w:tcW w:w="873" w:type="pct"/>
            <w:noWrap w:val="0"/>
            <w:tcMar>
              <w:top w:w="0" w:type="dxa"/>
              <w:left w:w="0" w:type="dxa"/>
              <w:bottom w:w="0" w:type="dxa"/>
              <w:right w:w="0" w:type="dxa"/>
            </w:tcMar>
            <w:vAlign w:val="center"/>
          </w:tcPr>
          <w:p w14:paraId="221F2035">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处5万元以上10万元以下的罚款，对单位直接负责的主管人员和其他直接责任人员处单位罚款数额5%以上6.5%以下的罚款；有违法所得的，并处没收违法所得</w:t>
            </w:r>
          </w:p>
        </w:tc>
        <w:tc>
          <w:tcPr>
            <w:tcW w:w="158" w:type="pct"/>
            <w:vMerge w:val="continue"/>
            <w:noWrap w:val="0"/>
            <w:tcMar>
              <w:top w:w="0" w:type="dxa"/>
              <w:left w:w="0" w:type="dxa"/>
              <w:bottom w:w="0" w:type="dxa"/>
              <w:right w:w="0" w:type="dxa"/>
            </w:tcMar>
            <w:vAlign w:val="center"/>
          </w:tcPr>
          <w:p w14:paraId="4EB5530A">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180FAE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445" w:hRule="atLeast"/>
          <w:jc w:val="center"/>
        </w:trPr>
        <w:tc>
          <w:tcPr>
            <w:tcW w:w="156" w:type="pct"/>
            <w:vMerge w:val="continue"/>
            <w:noWrap w:val="0"/>
            <w:tcMar>
              <w:top w:w="0" w:type="dxa"/>
              <w:left w:w="0" w:type="dxa"/>
              <w:bottom w:w="0" w:type="dxa"/>
              <w:right w:w="0" w:type="dxa"/>
            </w:tcMar>
            <w:vAlign w:val="center"/>
          </w:tcPr>
          <w:p w14:paraId="15E93FA1">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01635740">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0E30D2A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6F222D9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27A70540">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较重</w:t>
            </w:r>
          </w:p>
        </w:tc>
        <w:tc>
          <w:tcPr>
            <w:tcW w:w="561" w:type="pct"/>
            <w:noWrap w:val="0"/>
            <w:tcMar>
              <w:top w:w="0" w:type="dxa"/>
              <w:left w:w="0" w:type="dxa"/>
              <w:bottom w:w="0" w:type="dxa"/>
              <w:right w:w="0" w:type="dxa"/>
            </w:tcMar>
            <w:vAlign w:val="center"/>
          </w:tcPr>
          <w:p w14:paraId="6C1313E0">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已组织评标确定中标人的</w:t>
            </w:r>
          </w:p>
        </w:tc>
        <w:tc>
          <w:tcPr>
            <w:tcW w:w="873" w:type="pct"/>
            <w:noWrap w:val="0"/>
            <w:tcMar>
              <w:top w:w="0" w:type="dxa"/>
              <w:left w:w="0" w:type="dxa"/>
              <w:bottom w:w="0" w:type="dxa"/>
              <w:right w:w="0" w:type="dxa"/>
            </w:tcMar>
            <w:vAlign w:val="center"/>
          </w:tcPr>
          <w:p w14:paraId="3CAEAB52">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处10万元以上20万元以下的罚款，对单位直接负责的主管人员和其他直接责任人员处单位罚款数额6.5%以上8.5%以下的罚款；有违法所得的，并处没收违法所得</w:t>
            </w:r>
          </w:p>
        </w:tc>
        <w:tc>
          <w:tcPr>
            <w:tcW w:w="158" w:type="pct"/>
            <w:vMerge w:val="continue"/>
            <w:noWrap w:val="0"/>
            <w:tcMar>
              <w:top w:w="0" w:type="dxa"/>
              <w:left w:w="0" w:type="dxa"/>
              <w:bottom w:w="0" w:type="dxa"/>
              <w:right w:w="0" w:type="dxa"/>
            </w:tcMar>
            <w:vAlign w:val="center"/>
          </w:tcPr>
          <w:p w14:paraId="7B979E6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02D6D6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87" w:hRule="atLeast"/>
          <w:jc w:val="center"/>
        </w:trPr>
        <w:tc>
          <w:tcPr>
            <w:tcW w:w="156" w:type="pct"/>
            <w:vMerge w:val="continue"/>
            <w:noWrap w:val="0"/>
            <w:tcMar>
              <w:top w:w="0" w:type="dxa"/>
              <w:left w:w="0" w:type="dxa"/>
              <w:bottom w:w="0" w:type="dxa"/>
              <w:right w:w="0" w:type="dxa"/>
            </w:tcMar>
            <w:vAlign w:val="center"/>
          </w:tcPr>
          <w:p w14:paraId="1B19090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51BFE327">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10D3DBAC">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59739CB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073D4A4C">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严重</w:t>
            </w:r>
          </w:p>
        </w:tc>
        <w:tc>
          <w:tcPr>
            <w:tcW w:w="561" w:type="pct"/>
            <w:noWrap w:val="0"/>
            <w:tcMar>
              <w:top w:w="0" w:type="dxa"/>
              <w:left w:w="0" w:type="dxa"/>
              <w:bottom w:w="0" w:type="dxa"/>
              <w:right w:w="0" w:type="dxa"/>
            </w:tcMar>
            <w:vAlign w:val="center"/>
          </w:tcPr>
          <w:p w14:paraId="75C47FBB">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已组织评标确定中标人，且造成严重后果的；3年内2次以上同类型违法的；损害国家利益、社会公共利益或者他人合法权益，造成直接经济损失30万元以上的</w:t>
            </w:r>
          </w:p>
        </w:tc>
        <w:tc>
          <w:tcPr>
            <w:tcW w:w="873" w:type="pct"/>
            <w:noWrap w:val="0"/>
            <w:tcMar>
              <w:top w:w="0" w:type="dxa"/>
              <w:left w:w="0" w:type="dxa"/>
              <w:bottom w:w="0" w:type="dxa"/>
              <w:right w:w="0" w:type="dxa"/>
            </w:tcMar>
            <w:vAlign w:val="center"/>
          </w:tcPr>
          <w:p w14:paraId="366A2C74">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20万元以上25万元以下的罚款，对单位直接负责的主管人员和其他直接责任人员处单位罚款数额8.5%以上10%以下的罚款；有违法所得的，并处没收违法所得；禁止其一年至二年内代理依法必须进行招标的项目并予以公告，直至由工商行政管理机关吊销营业执照</w:t>
            </w:r>
          </w:p>
        </w:tc>
        <w:tc>
          <w:tcPr>
            <w:tcW w:w="158" w:type="pct"/>
            <w:vMerge w:val="continue"/>
            <w:noWrap w:val="0"/>
            <w:tcMar>
              <w:top w:w="0" w:type="dxa"/>
              <w:left w:w="0" w:type="dxa"/>
              <w:bottom w:w="0" w:type="dxa"/>
              <w:right w:w="0" w:type="dxa"/>
            </w:tcMar>
            <w:vAlign w:val="center"/>
          </w:tcPr>
          <w:p w14:paraId="0DF20C95">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33025F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restart"/>
            <w:noWrap w:val="0"/>
            <w:tcMar>
              <w:top w:w="0" w:type="dxa"/>
              <w:left w:w="0" w:type="dxa"/>
              <w:bottom w:w="0" w:type="dxa"/>
              <w:right w:w="0" w:type="dxa"/>
            </w:tcMar>
            <w:vAlign w:val="center"/>
          </w:tcPr>
          <w:p w14:paraId="5BC98A39">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r>
              <w:rPr>
                <w:rFonts w:hint="eastAsia" w:ascii="宋体" w:hAnsi="宋体" w:eastAsia="宋体" w:cs="宋体"/>
                <w:color w:val="000000"/>
                <w:sz w:val="18"/>
                <w:szCs w:val="18"/>
                <w:shd w:val="clear" w:color="auto" w:fill="auto"/>
                <w:vertAlign w:val="baseline"/>
                <w:lang w:val="en-US" w:eastAsia="zh-CN"/>
              </w:rPr>
              <w:t>132</w:t>
            </w:r>
          </w:p>
        </w:tc>
        <w:tc>
          <w:tcPr>
            <w:tcW w:w="415" w:type="pct"/>
            <w:vMerge w:val="restart"/>
            <w:noWrap w:val="0"/>
            <w:tcMar>
              <w:top w:w="0" w:type="dxa"/>
              <w:left w:w="0" w:type="dxa"/>
              <w:bottom w:w="0" w:type="dxa"/>
              <w:right w:w="0" w:type="dxa"/>
            </w:tcMar>
            <w:vAlign w:val="center"/>
          </w:tcPr>
          <w:p w14:paraId="65EAB885">
            <w:pPr>
              <w:keepNext w:val="0"/>
              <w:keepLines w:val="0"/>
              <w:pageBreakBefore w:val="0"/>
              <w:widowControl w:val="0"/>
              <w:shd w:val="clear" w:color="auto" w:fill="auto"/>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auto"/>
                <w:sz w:val="18"/>
                <w:szCs w:val="18"/>
                <w:vertAlign w:val="baseline"/>
                <w:lang w:val="en-US" w:eastAsia="zh-CN"/>
              </w:rPr>
              <w:t>对水利领域公共资源交易平台运行服务机构及其工作人员行使行政监督管理职能，违法从事或强制指定招标、拍卖、政府采购代理、工程造价等中介服务等行为的行政处罚</w:t>
            </w:r>
          </w:p>
        </w:tc>
        <w:tc>
          <w:tcPr>
            <w:tcW w:w="2168" w:type="pct"/>
            <w:vMerge w:val="restart"/>
            <w:noWrap w:val="0"/>
            <w:tcMar>
              <w:top w:w="0" w:type="dxa"/>
              <w:left w:w="0" w:type="dxa"/>
              <w:bottom w:w="0" w:type="dxa"/>
              <w:right w:w="0" w:type="dxa"/>
            </w:tcMar>
            <w:vAlign w:val="center"/>
          </w:tcPr>
          <w:p w14:paraId="0B6DBE13">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《公共资源交易平台管理暂行办法》第十八条 公共资源交易平台运行服务机构及其工作人员不得从事以下活动：</w:t>
            </w:r>
          </w:p>
          <w:p w14:paraId="00F4B1FE">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（一）行使任何审批、备案、监管、处罚等行政监督管理职能；</w:t>
            </w:r>
          </w:p>
          <w:p w14:paraId="7A0681D8">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（二）违法从事或强制指定招标、拍卖、政府采购代理、工程造价等中介服务；</w:t>
            </w:r>
          </w:p>
          <w:p w14:paraId="42FF30AE">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（三）强制非公共资源交易项目进入平台交易；</w:t>
            </w:r>
          </w:p>
          <w:p w14:paraId="31F1FEF7">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（四）干涉市场主体选择依法建设和运行的公共资源电子交易系统；</w:t>
            </w:r>
          </w:p>
          <w:p w14:paraId="4C1D777E">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（五）非法扣押企业和人员的相关证照资料；</w:t>
            </w:r>
          </w:p>
          <w:p w14:paraId="79A2CEBB">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（六）通过设置注册登记、设立分支机构、资质验证、投标（竞买）许可、强制担保等限制性条件阻碍或者排斥其他地区市场主体进入本地区公共资源交易市场；</w:t>
            </w:r>
          </w:p>
          <w:p w14:paraId="5653A5AD">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（七）违法要求企业法定代表人到场办理相关手续；</w:t>
            </w:r>
          </w:p>
          <w:p w14:paraId="10E8A892">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（八）其他违反法律法规规定的情形。</w:t>
            </w:r>
          </w:p>
          <w:p w14:paraId="6A983822">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 xml:space="preserve">第三十八条 公共资源交易平台运行服务机构未公开服务内容、服务流程、工作规范、收费标准和监督渠道，由政府有关部门责令限期改正。拒不改正的，予以通报批评。    </w:t>
            </w:r>
          </w:p>
          <w:p w14:paraId="50815C54">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第三十九条 公共资源交易平台运行服务机构及其工作人员违反本办法第十八条禁止性规定的，由政府有关部门责令限期改正，并予以通报批评。情节严重的，依法追究直接责任人和有关领导的责任。构成犯罪的，依法追究刑事责任。</w:t>
            </w:r>
          </w:p>
          <w:p w14:paraId="78C25D77">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第四十三条 公共资源交易平台运行服务机构及其工作人员向他人透露依法应当保密的公共资源交易信息的，由政府有关部门责令限期改正，并予以通报批评。情节严重的，依法追究直接责任人和有关领导的责任。构成犯罪的，依法追究刑事责任。</w:t>
            </w:r>
          </w:p>
        </w:tc>
        <w:tc>
          <w:tcPr>
            <w:tcW w:w="491" w:type="pct"/>
            <w:vMerge w:val="restart"/>
            <w:noWrap w:val="0"/>
            <w:tcMar>
              <w:top w:w="0" w:type="dxa"/>
              <w:left w:w="0" w:type="dxa"/>
              <w:bottom w:w="0" w:type="dxa"/>
              <w:right w:w="0" w:type="dxa"/>
            </w:tcMar>
            <w:vAlign w:val="center"/>
          </w:tcPr>
          <w:p w14:paraId="6E7E17B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水利领域公共资源交易平台运行服务机构及其工作人员行使行政监督管理职能，违法从事或强制指定招标、拍卖、政府采购代理、工程造价等中介服务的</w:t>
            </w:r>
          </w:p>
        </w:tc>
        <w:tc>
          <w:tcPr>
            <w:tcW w:w="174" w:type="pct"/>
            <w:noWrap w:val="0"/>
            <w:tcMar>
              <w:top w:w="0" w:type="dxa"/>
              <w:left w:w="0" w:type="dxa"/>
              <w:bottom w:w="0" w:type="dxa"/>
              <w:right w:w="0" w:type="dxa"/>
            </w:tcMar>
            <w:vAlign w:val="center"/>
          </w:tcPr>
          <w:p w14:paraId="358592B1">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轻微</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304CF010">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44587F9C">
            <w:pPr>
              <w:spacing w:line="260" w:lineRule="exact"/>
              <w:rPr>
                <w:rFonts w:hint="eastAsia" w:ascii="宋体" w:hAnsi="宋体" w:eastAsia="宋体" w:cs="宋体"/>
                <w:color w:val="000000"/>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632D0E72">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602F2230">
            <w:pPr>
              <w:spacing w:line="260" w:lineRule="exact"/>
              <w:rPr>
                <w:rFonts w:hint="eastAsia" w:ascii="宋体" w:hAnsi="宋体" w:eastAsia="宋体" w:cs="宋体"/>
                <w:color w:val="000000"/>
                <w:kern w:val="2"/>
                <w:sz w:val="18"/>
                <w:szCs w:val="18"/>
                <w:vertAlign w:val="baseline"/>
                <w:lang w:val="en-US" w:eastAsia="zh-CN" w:bidi="ar-SA"/>
              </w:rPr>
            </w:pPr>
          </w:p>
        </w:tc>
        <w:tc>
          <w:tcPr>
            <w:tcW w:w="158" w:type="pct"/>
            <w:vMerge w:val="restart"/>
            <w:noWrap w:val="0"/>
            <w:tcMar>
              <w:top w:w="0" w:type="dxa"/>
              <w:left w:w="0" w:type="dxa"/>
              <w:bottom w:w="0" w:type="dxa"/>
              <w:right w:w="0" w:type="dxa"/>
            </w:tcMar>
            <w:vAlign w:val="center"/>
          </w:tcPr>
          <w:p w14:paraId="4968B290">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3DD83B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3F11B07C">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5567006C">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73B86D8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4A95906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7D733E5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较轻</w:t>
            </w:r>
          </w:p>
        </w:tc>
        <w:tc>
          <w:tcPr>
            <w:tcW w:w="561" w:type="pct"/>
            <w:vMerge w:val="restar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61D6D339">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6D43263F">
            <w:pPr>
              <w:spacing w:line="260" w:lineRule="exact"/>
              <w:rPr>
                <w:rFonts w:hint="eastAsia" w:ascii="宋体" w:hAnsi="宋体" w:eastAsia="宋体" w:cs="宋体"/>
                <w:kern w:val="2"/>
                <w:sz w:val="18"/>
                <w:szCs w:val="18"/>
                <w:vertAlign w:val="baseline"/>
                <w:lang w:val="en-US" w:eastAsia="zh-CN" w:bidi="ar-SA"/>
              </w:rPr>
            </w:pPr>
          </w:p>
        </w:tc>
        <w:tc>
          <w:tcPr>
            <w:tcW w:w="873" w:type="pct"/>
            <w:vMerge w:val="restart"/>
            <w:noWrap w:val="0"/>
            <w:tcMar>
              <w:top w:w="0" w:type="dxa"/>
              <w:left w:w="0" w:type="dxa"/>
              <w:bottom w:w="0" w:type="dxa"/>
              <w:right w:w="0" w:type="dxa"/>
            </w:tcMar>
            <w:vAlign w:val="center"/>
          </w:tcPr>
          <w:p w14:paraId="27EDFA0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责令限期改正，并予以通报批评</w:t>
            </w:r>
          </w:p>
        </w:tc>
        <w:tc>
          <w:tcPr>
            <w:tcW w:w="158" w:type="pct"/>
            <w:vMerge w:val="continue"/>
            <w:noWrap w:val="0"/>
            <w:tcMar>
              <w:top w:w="0" w:type="dxa"/>
              <w:left w:w="0" w:type="dxa"/>
              <w:bottom w:w="0" w:type="dxa"/>
              <w:right w:w="0" w:type="dxa"/>
            </w:tcMar>
            <w:vAlign w:val="center"/>
          </w:tcPr>
          <w:p w14:paraId="644E6DF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5B77A7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12C9E7E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484F4882">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48DFE4F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11F8F7F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4BAFFB4C">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一般</w:t>
            </w:r>
          </w:p>
        </w:tc>
        <w:tc>
          <w:tcPr>
            <w:tcW w:w="561" w:type="pct"/>
            <w:vMerge w:val="continue"/>
            <w:noWrap w:val="0"/>
            <w:tcMar>
              <w:top w:w="0" w:type="dxa"/>
              <w:left w:w="0" w:type="dxa"/>
              <w:bottom w:w="0" w:type="dxa"/>
              <w:right w:w="0" w:type="dxa"/>
            </w:tcMar>
            <w:vAlign w:val="center"/>
          </w:tcPr>
          <w:p w14:paraId="54C0876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p>
        </w:tc>
        <w:tc>
          <w:tcPr>
            <w:tcW w:w="873" w:type="pct"/>
            <w:vMerge w:val="continue"/>
            <w:noWrap w:val="0"/>
            <w:tcMar>
              <w:top w:w="0" w:type="dxa"/>
              <w:left w:w="0" w:type="dxa"/>
              <w:bottom w:w="0" w:type="dxa"/>
              <w:right w:w="0" w:type="dxa"/>
            </w:tcMar>
            <w:vAlign w:val="center"/>
          </w:tcPr>
          <w:p w14:paraId="08514FC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p>
        </w:tc>
        <w:tc>
          <w:tcPr>
            <w:tcW w:w="158" w:type="pct"/>
            <w:vMerge w:val="continue"/>
            <w:noWrap w:val="0"/>
            <w:tcMar>
              <w:top w:w="0" w:type="dxa"/>
              <w:left w:w="0" w:type="dxa"/>
              <w:bottom w:w="0" w:type="dxa"/>
              <w:right w:w="0" w:type="dxa"/>
            </w:tcMar>
            <w:vAlign w:val="center"/>
          </w:tcPr>
          <w:p w14:paraId="41DFF70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62064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1B1AEDE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020F2136">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49B058B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03FC5CC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30A3EE0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较重</w:t>
            </w:r>
          </w:p>
        </w:tc>
        <w:tc>
          <w:tcPr>
            <w:tcW w:w="561" w:type="pct"/>
            <w:vMerge w:val="continue"/>
            <w:noWrap w:val="0"/>
            <w:tcMar>
              <w:top w:w="0" w:type="dxa"/>
              <w:left w:w="0" w:type="dxa"/>
              <w:bottom w:w="0" w:type="dxa"/>
              <w:right w:w="0" w:type="dxa"/>
            </w:tcMar>
            <w:vAlign w:val="center"/>
          </w:tcPr>
          <w:p w14:paraId="4097AA1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p>
        </w:tc>
        <w:tc>
          <w:tcPr>
            <w:tcW w:w="873" w:type="pct"/>
            <w:vMerge w:val="continue"/>
            <w:noWrap w:val="0"/>
            <w:tcMar>
              <w:top w:w="0" w:type="dxa"/>
              <w:left w:w="0" w:type="dxa"/>
              <w:bottom w:w="0" w:type="dxa"/>
              <w:right w:w="0" w:type="dxa"/>
            </w:tcMar>
            <w:vAlign w:val="center"/>
          </w:tcPr>
          <w:p w14:paraId="42B3662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p>
        </w:tc>
        <w:tc>
          <w:tcPr>
            <w:tcW w:w="158" w:type="pct"/>
            <w:vMerge w:val="continue"/>
            <w:noWrap w:val="0"/>
            <w:tcMar>
              <w:top w:w="0" w:type="dxa"/>
              <w:left w:w="0" w:type="dxa"/>
              <w:bottom w:w="0" w:type="dxa"/>
              <w:right w:w="0" w:type="dxa"/>
            </w:tcMar>
            <w:vAlign w:val="center"/>
          </w:tcPr>
          <w:p w14:paraId="34264635">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7D7E95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525" w:hRule="atLeast"/>
          <w:jc w:val="center"/>
        </w:trPr>
        <w:tc>
          <w:tcPr>
            <w:tcW w:w="156" w:type="pct"/>
            <w:vMerge w:val="continue"/>
            <w:noWrap w:val="0"/>
            <w:tcMar>
              <w:top w:w="0" w:type="dxa"/>
              <w:left w:w="0" w:type="dxa"/>
              <w:bottom w:w="0" w:type="dxa"/>
              <w:right w:w="0" w:type="dxa"/>
            </w:tcMar>
            <w:vAlign w:val="center"/>
          </w:tcPr>
          <w:p w14:paraId="6D6323F1">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4B19A32A">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0B45004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65307C5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5883737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严重</w:t>
            </w:r>
          </w:p>
        </w:tc>
        <w:tc>
          <w:tcPr>
            <w:tcW w:w="561" w:type="pct"/>
            <w:vMerge w:val="continue"/>
            <w:noWrap w:val="0"/>
            <w:tcMar>
              <w:top w:w="0" w:type="dxa"/>
              <w:left w:w="0" w:type="dxa"/>
              <w:bottom w:w="0" w:type="dxa"/>
              <w:right w:w="0" w:type="dxa"/>
            </w:tcMar>
            <w:vAlign w:val="center"/>
          </w:tcPr>
          <w:p w14:paraId="6158F57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p>
        </w:tc>
        <w:tc>
          <w:tcPr>
            <w:tcW w:w="873" w:type="pct"/>
            <w:vMerge w:val="continue"/>
            <w:noWrap w:val="0"/>
            <w:tcMar>
              <w:top w:w="0" w:type="dxa"/>
              <w:left w:w="0" w:type="dxa"/>
              <w:bottom w:w="0" w:type="dxa"/>
              <w:right w:w="0" w:type="dxa"/>
            </w:tcMar>
            <w:vAlign w:val="center"/>
          </w:tcPr>
          <w:p w14:paraId="01B44D5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p>
        </w:tc>
        <w:tc>
          <w:tcPr>
            <w:tcW w:w="158" w:type="pct"/>
            <w:vMerge w:val="continue"/>
            <w:noWrap w:val="0"/>
            <w:tcMar>
              <w:top w:w="0" w:type="dxa"/>
              <w:left w:w="0" w:type="dxa"/>
              <w:bottom w:w="0" w:type="dxa"/>
              <w:right w:w="0" w:type="dxa"/>
            </w:tcMar>
            <w:vAlign w:val="center"/>
          </w:tcPr>
          <w:p w14:paraId="0E40306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56E43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036" w:hRule="atLeast"/>
          <w:jc w:val="center"/>
        </w:trPr>
        <w:tc>
          <w:tcPr>
            <w:tcW w:w="156" w:type="pct"/>
            <w:vMerge w:val="restart"/>
            <w:noWrap w:val="0"/>
            <w:tcMar>
              <w:top w:w="0" w:type="dxa"/>
              <w:left w:w="0" w:type="dxa"/>
              <w:bottom w:w="0" w:type="dxa"/>
              <w:right w:w="0" w:type="dxa"/>
            </w:tcMar>
            <w:vAlign w:val="center"/>
          </w:tcPr>
          <w:p w14:paraId="338FC851">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133</w:t>
            </w:r>
          </w:p>
        </w:tc>
        <w:tc>
          <w:tcPr>
            <w:tcW w:w="415" w:type="pct"/>
            <w:vMerge w:val="restart"/>
            <w:noWrap w:val="0"/>
            <w:tcMar>
              <w:top w:w="0" w:type="dxa"/>
              <w:left w:w="0" w:type="dxa"/>
              <w:bottom w:w="0" w:type="dxa"/>
              <w:right w:w="0" w:type="dxa"/>
            </w:tcMar>
            <w:vAlign w:val="center"/>
          </w:tcPr>
          <w:p w14:paraId="4DA0CD4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对水利领域评标委员会成员应当回避而不回避、擅离职守、不按照招标文件规定的评标标准和方法评标等行为的行政处罚</w:t>
            </w:r>
          </w:p>
        </w:tc>
        <w:tc>
          <w:tcPr>
            <w:tcW w:w="2168" w:type="pct"/>
            <w:vMerge w:val="restart"/>
            <w:noWrap w:val="0"/>
            <w:tcMar>
              <w:top w:w="0" w:type="dxa"/>
              <w:left w:w="0" w:type="dxa"/>
              <w:bottom w:w="0" w:type="dxa"/>
              <w:right w:w="0" w:type="dxa"/>
            </w:tcMar>
            <w:vAlign w:val="center"/>
          </w:tcPr>
          <w:p w14:paraId="4C5B8BEC">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《中华人民共和国招标投标法实施条例》第七十一条 评标委员会成员有下列行为之一的，由有关行政监督部门责令改正；情节严重的，禁止其在一定期限内参加依法必须进行招标的项目的评标；情节特别严重的，取消其担任评标委员会成员的资格：</w:t>
            </w:r>
          </w:p>
          <w:p w14:paraId="0D8563C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一）应当回避而不回避；（二）擅离职守；（三）不按照招标文件规定的评标标准和方法评标；（四）私下接触投标人；（五）向招标人征询确定中标人的意向或者接受任何单位或者个人明示或者暗示提出的倾向或者排斥特定投标人的要求；（六）对依法应当否决的投标不提出否决意见；（七）暗示或者诱导投标人作出澄清、说明或者接受投标人主动提出的澄清、说明；（八）其他不客观、不公正履行职务的行为。</w:t>
            </w:r>
          </w:p>
          <w:p w14:paraId="2B78BAB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《工程建设项目货物招标投标办法》第五十七条 评标委员会成员有下列行为之一的，由有关行政监督部门责令改正；情节严重的，禁止其在一定期限内参加依法必须进行招标的项目的评标；情节特别严重的，取消其担任评标委员会成员的资格：</w:t>
            </w:r>
          </w:p>
          <w:p w14:paraId="193BC78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一）应当回避而不回避；（二）擅离职守；（三）不按照招标文件规定的评标标准和方法评标；（四）私下接触投标人；（五）向招标人征询确定中标人的意向或者接受任何单位或者个人明示或者暗示提出的倾向或者排斥特定投标人的要求；（六）对依法应当否决的投标不提出否决意见；（七）暗示或者诱导投标人作出澄清、说明或者接受投标人主动提出的澄清、说明；（八）其他不客观、不公正履行职务的行为。</w:t>
            </w:r>
          </w:p>
          <w:p w14:paraId="1981EFE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《工程建设项目勘察设计招标投标办法》第五十四条 评标委员会成员有下列行为之一的，由有关行政监督部门责令改正；情节严重的，禁止其在一定期限内参加依法必须进行招标的项目的评标；情节特别严重的，取消其担任评标委员会成员的资格：</w:t>
            </w:r>
          </w:p>
          <w:p w14:paraId="0333DE8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一）不按照招标文件规定的评标标准和方法评标；（二）应当回避而不回避；（三）擅离职守；（四）私下接触投标人；（五）向招标人征询确定中标人的意向或者接受任何单位或者个人明示或者暗示提出的倾向或者排斥特定投标人的要求；（六）对依法应当否决的投标不提出否决意见；（七）暗示或者诱导投标人作出澄清、说明或者接受投标人主动提出的澄清、说明；（八）其他不客观、不公正履行职务的行为。</w:t>
            </w:r>
          </w:p>
          <w:p w14:paraId="13928C3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《评标委员会和评标方法暂行规定》第五十三条 评标委员会成员有下列行为之一的，由有关行政监督部门责令改正；情节严重的，禁止其在一定期限内参加依法必须进行招标的项目的评标；情节特别严重的，取消其担任评标委员会成员的资格：</w:t>
            </w:r>
          </w:p>
          <w:p w14:paraId="1C58D1F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一）应当回避而不回避；（二）擅离职守；（三）不按照招标文件规定的评标标准和方法评标；（四）私下接触投标人；（五）向招标人征询确定中标人的意向或者接受任何单位或者个人明示或者暗示提出的倾向或者排斥特定投标人的要求；（六）对依法应当否决的投标不提出否决意见；（七）暗示或者诱导投标人作出澄清、说明或者接受投标人主动提出的澄清、说明；（八）其他不客观、不公正履行职务的行为。</w:t>
            </w:r>
          </w:p>
        </w:tc>
        <w:tc>
          <w:tcPr>
            <w:tcW w:w="491" w:type="pct"/>
            <w:vMerge w:val="restart"/>
            <w:noWrap w:val="0"/>
            <w:tcMar>
              <w:top w:w="0" w:type="dxa"/>
              <w:left w:w="0" w:type="dxa"/>
              <w:bottom w:w="0" w:type="dxa"/>
              <w:right w:w="0" w:type="dxa"/>
            </w:tcMar>
            <w:vAlign w:val="center"/>
          </w:tcPr>
          <w:p w14:paraId="0EC1F4E7">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水利领域评标委员会成员应当回避而不回避、擅离职守、不按照招标文件规定的评标标准和方法评标的</w:t>
            </w:r>
          </w:p>
        </w:tc>
        <w:tc>
          <w:tcPr>
            <w:tcW w:w="174" w:type="pct"/>
            <w:noWrap w:val="0"/>
            <w:tcMar>
              <w:top w:w="0" w:type="dxa"/>
              <w:left w:w="0" w:type="dxa"/>
              <w:bottom w:w="0" w:type="dxa"/>
              <w:right w:w="0" w:type="dxa"/>
            </w:tcMar>
            <w:vAlign w:val="center"/>
          </w:tcPr>
          <w:p w14:paraId="210DE184">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轻微</w:t>
            </w:r>
          </w:p>
        </w:tc>
        <w:tc>
          <w:tcPr>
            <w:tcW w:w="561" w:type="pct"/>
            <w:noWrap w:val="0"/>
            <w:tcMar>
              <w:top w:w="0" w:type="dxa"/>
              <w:left w:w="0" w:type="dxa"/>
              <w:bottom w:w="0" w:type="dxa"/>
              <w:right w:w="0" w:type="dxa"/>
            </w:tcMar>
            <w:vAlign w:val="center"/>
          </w:tcPr>
          <w:p w14:paraId="6BFA4554">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尚未影响到招标活动正常进行的，并在责令限期内改正的</w:t>
            </w:r>
          </w:p>
        </w:tc>
        <w:tc>
          <w:tcPr>
            <w:tcW w:w="873" w:type="pct"/>
            <w:noWrap w:val="0"/>
            <w:tcMar>
              <w:top w:w="0" w:type="dxa"/>
              <w:left w:w="0" w:type="dxa"/>
              <w:bottom w:w="0" w:type="dxa"/>
              <w:right w:w="0" w:type="dxa"/>
            </w:tcMar>
            <w:vAlign w:val="center"/>
          </w:tcPr>
          <w:p w14:paraId="04806C4C">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不予处罚</w:t>
            </w:r>
          </w:p>
        </w:tc>
        <w:tc>
          <w:tcPr>
            <w:tcW w:w="158" w:type="pct"/>
            <w:vMerge w:val="restart"/>
            <w:noWrap w:val="0"/>
            <w:tcMar>
              <w:top w:w="0" w:type="dxa"/>
              <w:left w:w="0" w:type="dxa"/>
              <w:bottom w:w="0" w:type="dxa"/>
              <w:right w:w="0" w:type="dxa"/>
            </w:tcMar>
            <w:vAlign w:val="center"/>
          </w:tcPr>
          <w:p w14:paraId="534BE0BD">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04A975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064A62F4">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15" w:type="pct"/>
            <w:vMerge w:val="continue"/>
            <w:noWrap w:val="0"/>
            <w:tcMar>
              <w:top w:w="0" w:type="dxa"/>
              <w:left w:w="0" w:type="dxa"/>
              <w:bottom w:w="0" w:type="dxa"/>
              <w:right w:w="0" w:type="dxa"/>
            </w:tcMar>
            <w:vAlign w:val="center"/>
          </w:tcPr>
          <w:p w14:paraId="759D0A6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728EF88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491AA43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42D3C984">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较轻</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3B9EAC12">
            <w:pPr>
              <w:keepNext w:val="0"/>
              <w:keepLines w:val="0"/>
              <w:pageBreakBefore w:val="0"/>
              <w:widowControl w:val="0"/>
              <w:kinsoku/>
              <w:wordWrap/>
              <w:overflowPunct/>
              <w:topLinePunct w:val="0"/>
              <w:autoSpaceDE/>
              <w:autoSpaceDN/>
              <w:bidi w:val="0"/>
              <w:adjustRightInd/>
              <w:snapToGrid/>
              <w:spacing w:line="260" w:lineRule="exact"/>
              <w:jc w:val="both"/>
              <w:textAlignment w:val="auto"/>
              <mc:AlternateContent>
                <mc:Choice Requires="wpsCustomData">
                  <wpsCustomData:diagonalParaType/>
                </mc:Choice>
              </mc:AlternateContent>
              <w:rPr>
                <w:rFonts w:hint="eastAsia" w:ascii="宋体" w:hAnsi="宋体" w:eastAsia="宋体" w:cs="宋体"/>
                <w:color w:val="000000"/>
                <w:sz w:val="18"/>
                <w:szCs w:val="18"/>
                <w:vertAlign w:val="baseline"/>
                <w:lang w:val="en-US" w:eastAsia="zh-CN"/>
              </w:rPr>
            </w:pPr>
          </w:p>
          <w:p w14:paraId="66FB0B2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41870F85">
            <w:pPr>
              <w:keepNext w:val="0"/>
              <w:keepLines w:val="0"/>
              <w:pageBreakBefore w:val="0"/>
              <w:widowControl w:val="0"/>
              <w:kinsoku/>
              <w:wordWrap/>
              <w:overflowPunct/>
              <w:topLinePunct w:val="0"/>
              <w:autoSpaceDE/>
              <w:autoSpaceDN/>
              <w:bidi w:val="0"/>
              <w:adjustRightInd/>
              <w:snapToGrid/>
              <w:spacing w:line="260" w:lineRule="exact"/>
              <w:jc w:val="both"/>
              <w:textAlignment w:val="auto"/>
              <mc:AlternateContent>
                <mc:Choice Requires="wpsCustomData">
                  <wpsCustomData:diagonalParaType/>
                </mc:Choice>
              </mc:AlternateContent>
              <w:rPr>
                <w:rFonts w:hint="eastAsia" w:ascii="宋体" w:hAnsi="宋体" w:eastAsia="宋体" w:cs="宋体"/>
                <w:color w:val="000000"/>
                <w:sz w:val="18"/>
                <w:szCs w:val="18"/>
                <w:vertAlign w:val="baseline"/>
                <w:lang w:val="en-US" w:eastAsia="zh-CN"/>
              </w:rPr>
            </w:pPr>
          </w:p>
          <w:p w14:paraId="74B8040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58" w:type="pct"/>
            <w:vMerge w:val="continue"/>
            <w:noWrap w:val="0"/>
            <w:tcMar>
              <w:top w:w="0" w:type="dxa"/>
              <w:left w:w="0" w:type="dxa"/>
              <w:bottom w:w="0" w:type="dxa"/>
              <w:right w:w="0" w:type="dxa"/>
            </w:tcMar>
            <w:vAlign w:val="center"/>
          </w:tcPr>
          <w:p w14:paraId="23EF417B">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11678B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707" w:hRule="atLeast"/>
          <w:jc w:val="center"/>
        </w:trPr>
        <w:tc>
          <w:tcPr>
            <w:tcW w:w="156" w:type="pct"/>
            <w:vMerge w:val="continue"/>
            <w:noWrap w:val="0"/>
            <w:tcMar>
              <w:top w:w="0" w:type="dxa"/>
              <w:left w:w="0" w:type="dxa"/>
              <w:bottom w:w="0" w:type="dxa"/>
              <w:right w:w="0" w:type="dxa"/>
            </w:tcMar>
            <w:vAlign w:val="center"/>
          </w:tcPr>
          <w:p w14:paraId="0ADC519C">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3D30F661">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7FF34BF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74E246B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36113FFB">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一般</w:t>
            </w:r>
          </w:p>
        </w:tc>
        <w:tc>
          <w:tcPr>
            <w:tcW w:w="561" w:type="pct"/>
            <w:noWrap w:val="0"/>
            <w:tcMar>
              <w:top w:w="0" w:type="dxa"/>
              <w:left w:w="0" w:type="dxa"/>
              <w:bottom w:w="0" w:type="dxa"/>
              <w:right w:w="0" w:type="dxa"/>
            </w:tcMar>
            <w:vAlign w:val="center"/>
          </w:tcPr>
          <w:p w14:paraId="1BD88CE9">
            <w:pPr>
              <w:pStyle w:val="10"/>
              <w:keepNext w:val="0"/>
              <w:keepLines w:val="0"/>
              <w:pageBreakBefore w:val="0"/>
              <w:widowControl w:val="0"/>
              <w:kinsoku/>
              <w:wordWrap/>
              <w:overflowPunct/>
              <w:topLinePunct w:val="0"/>
              <w:autoSpaceDE/>
              <w:autoSpaceDN/>
              <w:bidi w:val="0"/>
              <w:adjustRightInd/>
              <w:snapToGrid/>
              <w:spacing w:beforeAutospacing="0" w:afterAutospacing="0" w:line="260" w:lineRule="exact"/>
              <w:jc w:val="both"/>
              <w:rPr>
                <w:rFonts w:hint="eastAsia" w:ascii="宋体" w:hAnsi="宋体" w:eastAsia="宋体" w:cs="宋体"/>
                <w:color w:val="000000"/>
                <w:kern w:val="0"/>
                <w:sz w:val="18"/>
                <w:szCs w:val="18"/>
                <w:vertAlign w:val="baseline"/>
                <w:lang w:val="en-US" w:eastAsia="zh-CN" w:bidi="ar-SA"/>
              </w:rPr>
            </w:pPr>
            <w:r>
              <w:rPr>
                <w:rFonts w:hint="eastAsia" w:ascii="宋体" w:hAnsi="宋体" w:eastAsia="宋体" w:cs="宋体"/>
                <w:color w:val="auto"/>
                <w:sz w:val="18"/>
                <w:szCs w:val="18"/>
              </w:rPr>
              <w:t>影响到招标活动正常进行的</w:t>
            </w:r>
          </w:p>
        </w:tc>
        <w:tc>
          <w:tcPr>
            <w:tcW w:w="873" w:type="pct"/>
            <w:noWrap w:val="0"/>
            <w:tcMar>
              <w:top w:w="0" w:type="dxa"/>
              <w:left w:w="0" w:type="dxa"/>
              <w:bottom w:w="0" w:type="dxa"/>
              <w:right w:w="0" w:type="dxa"/>
            </w:tcMar>
            <w:vAlign w:val="center"/>
          </w:tcPr>
          <w:p w14:paraId="5DD98564">
            <w:pPr>
              <w:pStyle w:val="10"/>
              <w:keepNext w:val="0"/>
              <w:keepLines w:val="0"/>
              <w:pageBreakBefore w:val="0"/>
              <w:widowControl w:val="0"/>
              <w:kinsoku/>
              <w:wordWrap/>
              <w:overflowPunct/>
              <w:topLinePunct w:val="0"/>
              <w:autoSpaceDE/>
              <w:autoSpaceDN/>
              <w:bidi w:val="0"/>
              <w:adjustRightInd/>
              <w:snapToGrid/>
              <w:spacing w:beforeAutospacing="0" w:afterAutospacing="0" w:line="260" w:lineRule="exact"/>
              <w:jc w:val="both"/>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auto"/>
                <w:sz w:val="18"/>
                <w:szCs w:val="18"/>
              </w:rPr>
              <w:t>责令改正，禁止其在半年到一年内参加依法必须进行招标的项目的评标</w:t>
            </w:r>
          </w:p>
        </w:tc>
        <w:tc>
          <w:tcPr>
            <w:tcW w:w="158" w:type="pct"/>
            <w:vMerge w:val="continue"/>
            <w:noWrap w:val="0"/>
            <w:tcMar>
              <w:top w:w="0" w:type="dxa"/>
              <w:left w:w="0" w:type="dxa"/>
              <w:bottom w:w="0" w:type="dxa"/>
              <w:right w:w="0" w:type="dxa"/>
            </w:tcMar>
            <w:vAlign w:val="center"/>
          </w:tcPr>
          <w:p w14:paraId="1AF6BB05">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04ED82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364" w:hRule="atLeast"/>
          <w:jc w:val="center"/>
        </w:trPr>
        <w:tc>
          <w:tcPr>
            <w:tcW w:w="156" w:type="pct"/>
            <w:vMerge w:val="continue"/>
            <w:noWrap w:val="0"/>
            <w:tcMar>
              <w:top w:w="0" w:type="dxa"/>
              <w:left w:w="0" w:type="dxa"/>
              <w:bottom w:w="0" w:type="dxa"/>
              <w:right w:w="0" w:type="dxa"/>
            </w:tcMar>
            <w:vAlign w:val="center"/>
          </w:tcPr>
          <w:p w14:paraId="16354768">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7AFA8FF8">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0540A9A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5C5FA39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4111D0D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较重</w:t>
            </w:r>
          </w:p>
        </w:tc>
        <w:tc>
          <w:tcPr>
            <w:tcW w:w="561" w:type="pct"/>
            <w:noWrap w:val="0"/>
            <w:tcMar>
              <w:top w:w="0" w:type="dxa"/>
              <w:left w:w="0" w:type="dxa"/>
              <w:bottom w:w="0" w:type="dxa"/>
              <w:right w:w="0" w:type="dxa"/>
            </w:tcMar>
            <w:vAlign w:val="center"/>
          </w:tcPr>
          <w:p w14:paraId="217D5D8F">
            <w:pPr>
              <w:pStyle w:val="10"/>
              <w:keepNext w:val="0"/>
              <w:keepLines w:val="0"/>
              <w:pageBreakBefore w:val="0"/>
              <w:widowControl w:val="0"/>
              <w:kinsoku/>
              <w:wordWrap/>
              <w:overflowPunct/>
              <w:topLinePunct w:val="0"/>
              <w:autoSpaceDE/>
              <w:autoSpaceDN/>
              <w:bidi w:val="0"/>
              <w:adjustRightInd/>
              <w:snapToGrid/>
              <w:spacing w:beforeAutospacing="0" w:afterAutospacing="0" w:line="260" w:lineRule="exact"/>
              <w:jc w:val="both"/>
              <w:rPr>
                <w:rFonts w:hint="eastAsia" w:ascii="宋体" w:hAnsi="宋体" w:eastAsia="宋体" w:cs="宋体"/>
                <w:color w:val="000000"/>
                <w:kern w:val="0"/>
                <w:sz w:val="18"/>
                <w:szCs w:val="18"/>
                <w:vertAlign w:val="baseline"/>
                <w:lang w:val="en-US" w:eastAsia="zh-CN" w:bidi="ar-SA"/>
              </w:rPr>
            </w:pPr>
            <w:r>
              <w:rPr>
                <w:rFonts w:hint="eastAsia" w:ascii="宋体" w:hAnsi="宋体" w:eastAsia="宋体" w:cs="宋体"/>
                <w:color w:val="auto"/>
                <w:sz w:val="18"/>
                <w:szCs w:val="18"/>
              </w:rPr>
              <w:t>导致中标结果无效，但能积极主动配合处罚部门调查取证，未造成严重后果的</w:t>
            </w:r>
          </w:p>
        </w:tc>
        <w:tc>
          <w:tcPr>
            <w:tcW w:w="873" w:type="pct"/>
            <w:noWrap w:val="0"/>
            <w:tcMar>
              <w:top w:w="0" w:type="dxa"/>
              <w:left w:w="0" w:type="dxa"/>
              <w:bottom w:w="0" w:type="dxa"/>
              <w:right w:w="0" w:type="dxa"/>
            </w:tcMar>
            <w:vAlign w:val="center"/>
          </w:tcPr>
          <w:p w14:paraId="484CEBD7">
            <w:pPr>
              <w:pStyle w:val="10"/>
              <w:keepNext w:val="0"/>
              <w:keepLines w:val="0"/>
              <w:pageBreakBefore w:val="0"/>
              <w:widowControl w:val="0"/>
              <w:kinsoku/>
              <w:wordWrap/>
              <w:overflowPunct/>
              <w:topLinePunct w:val="0"/>
              <w:autoSpaceDE/>
              <w:autoSpaceDN/>
              <w:bidi w:val="0"/>
              <w:adjustRightInd/>
              <w:snapToGrid/>
              <w:spacing w:beforeAutospacing="0" w:afterAutospacing="0" w:line="260" w:lineRule="exact"/>
              <w:jc w:val="both"/>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auto"/>
                <w:sz w:val="18"/>
                <w:szCs w:val="18"/>
              </w:rPr>
              <w:t>责令改正，禁止其在一年到三年内参加依法必须进行招标的项目的评标</w:t>
            </w:r>
          </w:p>
        </w:tc>
        <w:tc>
          <w:tcPr>
            <w:tcW w:w="158" w:type="pct"/>
            <w:vMerge w:val="continue"/>
            <w:noWrap w:val="0"/>
            <w:tcMar>
              <w:top w:w="0" w:type="dxa"/>
              <w:left w:w="0" w:type="dxa"/>
              <w:bottom w:w="0" w:type="dxa"/>
              <w:right w:w="0" w:type="dxa"/>
            </w:tcMar>
            <w:vAlign w:val="center"/>
          </w:tcPr>
          <w:p w14:paraId="3254780C">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142D0C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8434" w:hRule="atLeast"/>
          <w:jc w:val="center"/>
        </w:trPr>
        <w:tc>
          <w:tcPr>
            <w:tcW w:w="156" w:type="pct"/>
            <w:vMerge w:val="continue"/>
            <w:noWrap w:val="0"/>
            <w:tcMar>
              <w:top w:w="0" w:type="dxa"/>
              <w:left w:w="0" w:type="dxa"/>
              <w:bottom w:w="0" w:type="dxa"/>
              <w:right w:w="0" w:type="dxa"/>
            </w:tcMar>
            <w:vAlign w:val="center"/>
          </w:tcPr>
          <w:p w14:paraId="27B1CC28">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1697BD25">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39E4370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76734EA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23269EB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严重</w:t>
            </w:r>
          </w:p>
        </w:tc>
        <w:tc>
          <w:tcPr>
            <w:tcW w:w="561" w:type="pct"/>
            <w:noWrap w:val="0"/>
            <w:tcMar>
              <w:top w:w="0" w:type="dxa"/>
              <w:left w:w="0" w:type="dxa"/>
              <w:bottom w:w="0" w:type="dxa"/>
              <w:right w:w="0" w:type="dxa"/>
            </w:tcMar>
            <w:vAlign w:val="center"/>
          </w:tcPr>
          <w:p w14:paraId="5D126ECF">
            <w:pPr>
              <w:pStyle w:val="10"/>
              <w:keepNext w:val="0"/>
              <w:keepLines w:val="0"/>
              <w:pageBreakBefore w:val="0"/>
              <w:widowControl w:val="0"/>
              <w:kinsoku/>
              <w:wordWrap/>
              <w:overflowPunct/>
              <w:topLinePunct w:val="0"/>
              <w:autoSpaceDE/>
              <w:autoSpaceDN/>
              <w:bidi w:val="0"/>
              <w:adjustRightInd/>
              <w:snapToGrid/>
              <w:spacing w:beforeAutospacing="0" w:afterAutospacing="0" w:line="260" w:lineRule="exact"/>
              <w:jc w:val="both"/>
              <w:rPr>
                <w:rFonts w:hint="eastAsia" w:ascii="宋体" w:hAnsi="宋体" w:eastAsia="宋体" w:cs="宋体"/>
                <w:color w:val="000000"/>
                <w:kern w:val="0"/>
                <w:sz w:val="18"/>
                <w:szCs w:val="18"/>
                <w:vertAlign w:val="baseline"/>
                <w:lang w:val="en-US" w:eastAsia="zh-CN" w:bidi="ar-SA"/>
              </w:rPr>
            </w:pPr>
            <w:r>
              <w:rPr>
                <w:rFonts w:hint="eastAsia" w:ascii="宋体" w:hAnsi="宋体" w:eastAsia="宋体" w:cs="宋体"/>
                <w:color w:val="auto"/>
                <w:sz w:val="18"/>
                <w:szCs w:val="18"/>
              </w:rPr>
              <w:t>导致中标结果无效的；其他情节恶劣，或造成严重后果的</w:t>
            </w:r>
          </w:p>
        </w:tc>
        <w:tc>
          <w:tcPr>
            <w:tcW w:w="873" w:type="pct"/>
            <w:noWrap w:val="0"/>
            <w:tcMar>
              <w:top w:w="0" w:type="dxa"/>
              <w:left w:w="0" w:type="dxa"/>
              <w:bottom w:w="0" w:type="dxa"/>
              <w:right w:w="0" w:type="dxa"/>
            </w:tcMar>
            <w:vAlign w:val="center"/>
          </w:tcPr>
          <w:p w14:paraId="723DCED0">
            <w:pPr>
              <w:pStyle w:val="10"/>
              <w:keepNext w:val="0"/>
              <w:keepLines w:val="0"/>
              <w:pageBreakBefore w:val="0"/>
              <w:widowControl w:val="0"/>
              <w:kinsoku/>
              <w:wordWrap/>
              <w:overflowPunct/>
              <w:topLinePunct w:val="0"/>
              <w:autoSpaceDE/>
              <w:autoSpaceDN/>
              <w:bidi w:val="0"/>
              <w:adjustRightInd/>
              <w:snapToGrid/>
              <w:spacing w:beforeAutospacing="0" w:afterAutospacing="0" w:line="260" w:lineRule="exact"/>
              <w:jc w:val="both"/>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auto"/>
                <w:sz w:val="18"/>
                <w:szCs w:val="18"/>
              </w:rPr>
              <w:t>责令改正，取消担任评标委员会成员的资格</w:t>
            </w:r>
          </w:p>
        </w:tc>
        <w:tc>
          <w:tcPr>
            <w:tcW w:w="158" w:type="pct"/>
            <w:vMerge w:val="continue"/>
            <w:noWrap w:val="0"/>
            <w:tcMar>
              <w:top w:w="0" w:type="dxa"/>
              <w:left w:w="0" w:type="dxa"/>
              <w:bottom w:w="0" w:type="dxa"/>
              <w:right w:w="0" w:type="dxa"/>
            </w:tcMar>
            <w:vAlign w:val="center"/>
          </w:tcPr>
          <w:p w14:paraId="1696A33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307BD4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restart"/>
            <w:noWrap w:val="0"/>
            <w:tcMar>
              <w:top w:w="0" w:type="dxa"/>
              <w:left w:w="0" w:type="dxa"/>
              <w:bottom w:w="0" w:type="dxa"/>
              <w:right w:w="0" w:type="dxa"/>
            </w:tcMar>
            <w:vAlign w:val="center"/>
          </w:tcPr>
          <w:p w14:paraId="0033E731">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r>
              <w:rPr>
                <w:rFonts w:hint="eastAsia" w:ascii="宋体" w:hAnsi="宋体" w:eastAsia="宋体" w:cs="宋体"/>
                <w:color w:val="000000"/>
                <w:sz w:val="18"/>
                <w:szCs w:val="18"/>
                <w:shd w:val="clear" w:color="auto" w:fill="auto"/>
                <w:vertAlign w:val="baseline"/>
                <w:lang w:val="en-US" w:eastAsia="zh-CN"/>
              </w:rPr>
              <w:t>134</w:t>
            </w:r>
          </w:p>
        </w:tc>
        <w:tc>
          <w:tcPr>
            <w:tcW w:w="415" w:type="pct"/>
            <w:vMerge w:val="restart"/>
            <w:noWrap w:val="0"/>
            <w:tcMar>
              <w:top w:w="0" w:type="dxa"/>
              <w:left w:w="0" w:type="dxa"/>
              <w:bottom w:w="0" w:type="dxa"/>
              <w:right w:w="0" w:type="dxa"/>
            </w:tcMar>
            <w:vAlign w:val="center"/>
          </w:tcPr>
          <w:p w14:paraId="5BDB9280">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对水利领域评标委员会成员收受投标人的财物或者其他好处，评标委员会成员或者与评标活动有关的工作人员向他人透露对投标文件的评审和比较、中标候选人的推荐以及与评标有关的其他情况等行为的行政处罚</w:t>
            </w:r>
          </w:p>
        </w:tc>
        <w:tc>
          <w:tcPr>
            <w:tcW w:w="2168" w:type="pct"/>
            <w:vMerge w:val="restart"/>
            <w:noWrap w:val="0"/>
            <w:tcMar>
              <w:top w:w="0" w:type="dxa"/>
              <w:left w:w="0" w:type="dxa"/>
              <w:bottom w:w="0" w:type="dxa"/>
              <w:right w:w="0" w:type="dxa"/>
            </w:tcMar>
            <w:vAlign w:val="center"/>
          </w:tcPr>
          <w:p w14:paraId="2423121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《中华人民共和国招标投标法》第五十六条 评标委员会成员收受投标人的财物或者其他好处的，评标委员会成员或者参加评标的有关工作人员向他人透露对投标文件的评审和比较、中标候选人的推荐以及与评标有关的其他情况的，给予警告，没收收受的财物，可以并处三千元以上五万元以下的罚款，对有所列违法行为的评标委员会成员取消担任评标委员会成员的资格，不得再参加任何依法必须进行招标的项目的评标；构成犯罪的，依法追究刑事责任。</w:t>
            </w:r>
          </w:p>
          <w:p w14:paraId="1EF56C0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《中华人民共和国招标投标法实施条例》第七十二条 评标委员会成员收受投标人的财物或者其他好处的，没收收受的财物，处3000元以上5万元以下的罚款，取消担任评标委员会成员的资格，不得再参加依法必须进行招标的项目的评标；构成犯罪的，依法追究刑事责任。</w:t>
            </w:r>
          </w:p>
          <w:p w14:paraId="4E5851E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《评标委员会和评标方法暂行规定》第五十四条 评标委员会成员收受投标人的财物或者其他好处的，评标委员会成员或者与评标活动有关的工作人员向他人透露对投标文件的评审和比较、中标候选人的推荐以及与评标有关的其他情况的，给予警告，没收收受的财物，可以并处三千元以上五万元以下的罚款；对有所列违法行为的评标委员会成员取消担任评标委员会成员的资格，不得再参加任何依法必须进行招标项目的评标；构成犯罪的，依法追究刑事责任。</w:t>
            </w:r>
          </w:p>
          <w:p w14:paraId="61C5C5D4">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《工程建设项目施工招标投标办法》第七十七条 评标委员会成员收受投标人的财物或者其他好处的，没收收受的财物，可以并处三千元以上五万元以下的罚款，取消担任评标委员会成员的资格并予以公告，不得再参加依法必须进行招标的项目的评标；构成犯罪的，依法追究刑事责任。</w:t>
            </w:r>
          </w:p>
        </w:tc>
        <w:tc>
          <w:tcPr>
            <w:tcW w:w="491" w:type="pct"/>
            <w:vMerge w:val="restart"/>
            <w:noWrap w:val="0"/>
            <w:tcMar>
              <w:top w:w="0" w:type="dxa"/>
              <w:left w:w="0" w:type="dxa"/>
              <w:bottom w:w="0" w:type="dxa"/>
              <w:right w:w="0" w:type="dxa"/>
            </w:tcMar>
            <w:vAlign w:val="center"/>
          </w:tcPr>
          <w:p w14:paraId="5946D764">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水利领域评标委员会成员收受投标人的财物或者其他好处，评标委员会成员或者与评标活动有关的工作人员向他人透露对投标文件的评审和比较、中标候选人的推荐以及与评标有关的其他情况的</w:t>
            </w:r>
          </w:p>
        </w:tc>
        <w:tc>
          <w:tcPr>
            <w:tcW w:w="174" w:type="pct"/>
            <w:noWrap w:val="0"/>
            <w:tcMar>
              <w:top w:w="0" w:type="dxa"/>
              <w:left w:w="0" w:type="dxa"/>
              <w:bottom w:w="0" w:type="dxa"/>
              <w:right w:w="0" w:type="dxa"/>
            </w:tcMar>
            <w:vAlign w:val="center"/>
          </w:tcPr>
          <w:p w14:paraId="788CE339">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轻微</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1895241B">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3B94B440">
            <w:pPr>
              <w:spacing w:line="260" w:lineRule="exact"/>
              <w:rPr>
                <w:rFonts w:hint="eastAsia" w:ascii="宋体" w:hAnsi="宋体" w:eastAsia="宋体" w:cs="宋体"/>
                <w:color w:val="000000"/>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35226BA8">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3B1E50C6">
            <w:pPr>
              <w:spacing w:line="260" w:lineRule="exact"/>
              <w:rPr>
                <w:rFonts w:hint="eastAsia" w:ascii="宋体" w:hAnsi="宋体" w:eastAsia="宋体" w:cs="宋体"/>
                <w:color w:val="000000"/>
                <w:kern w:val="2"/>
                <w:sz w:val="18"/>
                <w:szCs w:val="18"/>
                <w:vertAlign w:val="baseline"/>
                <w:lang w:val="en-US" w:eastAsia="zh-CN" w:bidi="ar-SA"/>
              </w:rPr>
            </w:pPr>
          </w:p>
        </w:tc>
        <w:tc>
          <w:tcPr>
            <w:tcW w:w="158" w:type="pct"/>
            <w:vMerge w:val="restart"/>
            <w:noWrap w:val="0"/>
            <w:tcMar>
              <w:top w:w="0" w:type="dxa"/>
              <w:left w:w="0" w:type="dxa"/>
              <w:bottom w:w="0" w:type="dxa"/>
              <w:right w:w="0" w:type="dxa"/>
            </w:tcMar>
            <w:vAlign w:val="center"/>
          </w:tcPr>
          <w:p w14:paraId="0DB27D00">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63DB61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60302ED9">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563214C0">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6D05137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1C983A8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50274CC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较轻</w:t>
            </w:r>
          </w:p>
        </w:tc>
        <w:tc>
          <w:tcPr>
            <w:tcW w:w="561" w:type="pct"/>
            <w:noWrap w:val="0"/>
            <w:tcMar>
              <w:top w:w="0" w:type="dxa"/>
              <w:left w:w="0" w:type="dxa"/>
              <w:bottom w:w="0" w:type="dxa"/>
              <w:right w:w="0" w:type="dxa"/>
            </w:tcMar>
            <w:vAlign w:val="center"/>
          </w:tcPr>
          <w:p w14:paraId="74DA8D8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sz w:val="18"/>
                <w:szCs w:val="18"/>
                <w:vertAlign w:val="baseline"/>
              </w:rPr>
              <w:t>及时改正，且没有造成危害后果的</w:t>
            </w:r>
          </w:p>
        </w:tc>
        <w:tc>
          <w:tcPr>
            <w:tcW w:w="873" w:type="pct"/>
            <w:noWrap w:val="0"/>
            <w:tcMar>
              <w:top w:w="0" w:type="dxa"/>
              <w:left w:w="0" w:type="dxa"/>
              <w:bottom w:w="0" w:type="dxa"/>
              <w:right w:w="0" w:type="dxa"/>
            </w:tcMar>
            <w:vAlign w:val="center"/>
          </w:tcPr>
          <w:p w14:paraId="39E2FF6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给予警告；没收收受的财物</w:t>
            </w:r>
          </w:p>
        </w:tc>
        <w:tc>
          <w:tcPr>
            <w:tcW w:w="158" w:type="pct"/>
            <w:vMerge w:val="continue"/>
            <w:noWrap w:val="0"/>
            <w:tcMar>
              <w:top w:w="0" w:type="dxa"/>
              <w:left w:w="0" w:type="dxa"/>
              <w:bottom w:w="0" w:type="dxa"/>
              <w:right w:w="0" w:type="dxa"/>
            </w:tcMar>
            <w:vAlign w:val="center"/>
          </w:tcPr>
          <w:p w14:paraId="5BBACF8B">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074A1E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550E90A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7E38F38F">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6393A79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765FFED4">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568CADBD">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一般</w:t>
            </w:r>
          </w:p>
        </w:tc>
        <w:tc>
          <w:tcPr>
            <w:tcW w:w="561" w:type="pct"/>
            <w:noWrap w:val="0"/>
            <w:tcMar>
              <w:top w:w="0" w:type="dxa"/>
              <w:left w:w="0" w:type="dxa"/>
              <w:bottom w:w="0" w:type="dxa"/>
              <w:right w:w="0" w:type="dxa"/>
            </w:tcMar>
            <w:vAlign w:val="center"/>
          </w:tcPr>
          <w:p w14:paraId="36174B34">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sz w:val="18"/>
                <w:szCs w:val="18"/>
                <w:vertAlign w:val="baseline"/>
              </w:rPr>
              <w:t>尚未组织评标确定中标人，或其他未影响中标结果的</w:t>
            </w:r>
          </w:p>
        </w:tc>
        <w:tc>
          <w:tcPr>
            <w:tcW w:w="873" w:type="pct"/>
            <w:noWrap w:val="0"/>
            <w:tcMar>
              <w:top w:w="0" w:type="dxa"/>
              <w:left w:w="0" w:type="dxa"/>
              <w:bottom w:w="0" w:type="dxa"/>
              <w:right w:w="0" w:type="dxa"/>
            </w:tcMar>
            <w:vAlign w:val="center"/>
          </w:tcPr>
          <w:p w14:paraId="176598F7">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给予警告；没收收受的财物；并处3千元以上1.5万元以下的罚款</w:t>
            </w:r>
          </w:p>
        </w:tc>
        <w:tc>
          <w:tcPr>
            <w:tcW w:w="158" w:type="pct"/>
            <w:vMerge w:val="continue"/>
            <w:noWrap w:val="0"/>
            <w:tcMar>
              <w:top w:w="0" w:type="dxa"/>
              <w:left w:w="0" w:type="dxa"/>
              <w:bottom w:w="0" w:type="dxa"/>
              <w:right w:w="0" w:type="dxa"/>
            </w:tcMar>
            <w:vAlign w:val="center"/>
          </w:tcPr>
          <w:p w14:paraId="0B30A14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165C21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32F63AFA">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3149646B">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2F6FE4C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02FEEEA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39635958">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较重</w:t>
            </w:r>
          </w:p>
        </w:tc>
        <w:tc>
          <w:tcPr>
            <w:tcW w:w="561" w:type="pct"/>
            <w:noWrap w:val="0"/>
            <w:tcMar>
              <w:top w:w="0" w:type="dxa"/>
              <w:left w:w="0" w:type="dxa"/>
              <w:bottom w:w="0" w:type="dxa"/>
              <w:right w:w="0" w:type="dxa"/>
            </w:tcMar>
            <w:vAlign w:val="center"/>
          </w:tcPr>
          <w:p w14:paraId="10D21F6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已组织评标确定中标人的</w:t>
            </w:r>
          </w:p>
        </w:tc>
        <w:tc>
          <w:tcPr>
            <w:tcW w:w="873" w:type="pct"/>
            <w:noWrap w:val="0"/>
            <w:tcMar>
              <w:top w:w="0" w:type="dxa"/>
              <w:left w:w="0" w:type="dxa"/>
              <w:bottom w:w="0" w:type="dxa"/>
              <w:right w:w="0" w:type="dxa"/>
            </w:tcMar>
            <w:vAlign w:val="center"/>
          </w:tcPr>
          <w:p w14:paraId="108F8B97">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给予警告；没收收受的财物；并处1.5万元以上3.5万元以下的罚款</w:t>
            </w:r>
          </w:p>
        </w:tc>
        <w:tc>
          <w:tcPr>
            <w:tcW w:w="158" w:type="pct"/>
            <w:vMerge w:val="continue"/>
            <w:noWrap w:val="0"/>
            <w:tcMar>
              <w:top w:w="0" w:type="dxa"/>
              <w:left w:w="0" w:type="dxa"/>
              <w:bottom w:w="0" w:type="dxa"/>
              <w:right w:w="0" w:type="dxa"/>
            </w:tcMar>
            <w:vAlign w:val="center"/>
          </w:tcPr>
          <w:p w14:paraId="2177624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622455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26567A3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41142C71">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0E4ECB8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7087228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6BD087B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严重</w:t>
            </w:r>
          </w:p>
        </w:tc>
        <w:tc>
          <w:tcPr>
            <w:tcW w:w="561" w:type="pct"/>
            <w:noWrap w:val="0"/>
            <w:tcMar>
              <w:top w:w="0" w:type="dxa"/>
              <w:left w:w="0" w:type="dxa"/>
              <w:bottom w:w="0" w:type="dxa"/>
              <w:right w:w="0" w:type="dxa"/>
            </w:tcMar>
            <w:vAlign w:val="center"/>
          </w:tcPr>
          <w:p w14:paraId="41AA432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已组织评标确定中标人，且造成严重后果的；3年内2次以上同类型违法的</w:t>
            </w:r>
          </w:p>
        </w:tc>
        <w:tc>
          <w:tcPr>
            <w:tcW w:w="873" w:type="pct"/>
            <w:noWrap w:val="0"/>
            <w:tcMar>
              <w:top w:w="0" w:type="dxa"/>
              <w:left w:w="0" w:type="dxa"/>
              <w:bottom w:w="0" w:type="dxa"/>
              <w:right w:w="0" w:type="dxa"/>
            </w:tcMar>
            <w:vAlign w:val="center"/>
          </w:tcPr>
          <w:p w14:paraId="7936504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给予警告；没收收受的财物；并处3.5万元以上5万元以下的罚款</w:t>
            </w:r>
          </w:p>
        </w:tc>
        <w:tc>
          <w:tcPr>
            <w:tcW w:w="158" w:type="pct"/>
            <w:vMerge w:val="continue"/>
            <w:noWrap w:val="0"/>
            <w:tcMar>
              <w:top w:w="0" w:type="dxa"/>
              <w:left w:w="0" w:type="dxa"/>
              <w:bottom w:w="0" w:type="dxa"/>
              <w:right w:w="0" w:type="dxa"/>
            </w:tcMar>
            <w:vAlign w:val="center"/>
          </w:tcPr>
          <w:p w14:paraId="21E45D7A">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0E1195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restart"/>
            <w:noWrap w:val="0"/>
            <w:tcMar>
              <w:top w:w="0" w:type="dxa"/>
              <w:left w:w="0" w:type="dxa"/>
              <w:bottom w:w="0" w:type="dxa"/>
              <w:right w:w="0" w:type="dxa"/>
            </w:tcMar>
            <w:vAlign w:val="center"/>
          </w:tcPr>
          <w:p w14:paraId="680E703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default" w:ascii="宋体" w:hAnsi="宋体" w:eastAsia="宋体" w:cs="宋体"/>
                <w:color w:val="000000"/>
                <w:sz w:val="18"/>
                <w:szCs w:val="18"/>
                <w:shd w:val="clear" w:color="auto" w:fill="auto"/>
                <w:vertAlign w:val="baseline"/>
                <w:lang w:val="en-US" w:eastAsia="zh-CN"/>
              </w:rPr>
            </w:pPr>
            <w:r>
              <w:rPr>
                <w:rFonts w:hint="eastAsia" w:ascii="宋体" w:hAnsi="宋体" w:eastAsia="宋体" w:cs="宋体"/>
                <w:color w:val="000000"/>
                <w:sz w:val="18"/>
                <w:szCs w:val="18"/>
                <w:shd w:val="clear" w:color="auto" w:fill="auto"/>
                <w:vertAlign w:val="baseline"/>
                <w:lang w:val="en-US" w:eastAsia="zh-CN"/>
              </w:rPr>
              <w:t>135</w:t>
            </w:r>
          </w:p>
        </w:tc>
        <w:tc>
          <w:tcPr>
            <w:tcW w:w="415" w:type="pct"/>
            <w:vMerge w:val="restart"/>
            <w:noWrap w:val="0"/>
            <w:tcMar>
              <w:top w:w="0" w:type="dxa"/>
              <w:left w:w="0" w:type="dxa"/>
              <w:bottom w:w="0" w:type="dxa"/>
              <w:right w:w="0" w:type="dxa"/>
            </w:tcMar>
            <w:vAlign w:val="center"/>
          </w:tcPr>
          <w:p w14:paraId="4DC630CB">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对水利领域中标人不履行与招标人订立的合同，不按照与招标人订立的合同履行义务等行为的行政处罚</w:t>
            </w:r>
          </w:p>
        </w:tc>
        <w:tc>
          <w:tcPr>
            <w:tcW w:w="2168" w:type="pct"/>
            <w:vMerge w:val="restart"/>
            <w:noWrap w:val="0"/>
            <w:tcMar>
              <w:top w:w="0" w:type="dxa"/>
              <w:left w:w="0" w:type="dxa"/>
              <w:bottom w:w="0" w:type="dxa"/>
              <w:right w:w="0" w:type="dxa"/>
            </w:tcMar>
            <w:vAlign w:val="center"/>
          </w:tcPr>
          <w:p w14:paraId="32C4C95C">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《中华人民共和国招标投标法》第六十条 中标人不履行与招标人订立的合同的，履约保证金不予退还，给招标人造成的损失超过履约保证金数额的，还应当对超过部分予以赔偿；没有提交履约保证金的，应当对招标人的损失承担赔偿责任。</w:t>
            </w:r>
          </w:p>
          <w:p w14:paraId="4C0F252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中标人不按照与招标人订立的合同履行义务，情节严重的，取消其二年至五年内参加依法必须进行招标的项目的投标资格并予以公告，直至由工商行政管理机关吊销营业执照。</w:t>
            </w:r>
          </w:p>
          <w:p w14:paraId="01E27E7C">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因不可抗力不能履行合同的，不适用前两款规定。</w:t>
            </w:r>
          </w:p>
          <w:p w14:paraId="330D923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《中华人民共和国招标投标法实施条例》第七十四条 中标人无正当理由不与招标人订立合同，在签订合同时向招标人提出附加条件，或者不按照招标文件要求提交履约保证金的，取消其中标资格，投标保证金不予退还。对依法必须进行招标的项目的中标人，由有关行政监督部门责令改正，可以处中标项目金额10‰以下的罚款。</w:t>
            </w:r>
          </w:p>
          <w:p w14:paraId="659620C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《评标委员会和评标方法暂行规定》第五十七条 中标人无正当理由不与招标人订立合同，在签订合同时向招标人提出附加条件，或者不按照招标文件要求提交履约保证金的，取消其中标资格，投标保证金不予退还。对依法必须进行招标的项目的中标人，由有关行政监督部门责令改正，可以处中标项目金额10‰以下的罚款。</w:t>
            </w:r>
          </w:p>
          <w:p w14:paraId="0714FFC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《工程建设项目货物招标投标办法》第五十八条第二款 中标通知书发出后，中标人放弃中标项目的，无正当理由不与招标人签订合同的，在签订合同时向招标人提出附加条件或者更改合同实质性内容的，或者拒不提交所要求的履约保证金的，取消其中标资格，投标保证金不予退还；给招标人的损失超过投标保证金数额的，中标人应当对超过部分予以赔偿；没有提交投标保证金的，应当对招标人的损失承担赔偿责任。对依法必须进行招标的项目的中标人，由有关行政监督部门责令改正，可以处中标金额千分之十以下罚款。</w:t>
            </w:r>
          </w:p>
          <w:p w14:paraId="42DAAB2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《工程建设项目施工招标投标办法》第八十一条 中标通知书发出后，中标人放弃中标项目的，无正当理由不与招标人签订合同的，在签订合同时向招标人提出附加条件或者更改合同实质性内容的，或者拒不提交所要求的履约保证金的，取消其中标资格，投标保证金不予退还；给招标人的损失超过投标保证金数额的，中标人应当对超过部分予以赔偿；没有提交投标保证金的，应当对招标人的损失承担赔偿责任。对依法必须进行施工招标的项目的中标人，由有关行政监督部门责令改正，可以处中标金额千分之十以下罚款。</w:t>
            </w:r>
          </w:p>
          <w:p w14:paraId="2D96790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第八十四条 中标人不履行与招标人订立的合同的，履约保证金不予退还，给招标人造成的损失超过履约保证金数额的，还应当对超过部分予以赔偿；没有提交履约保证金的，应当对招标人的损失承担赔偿责任。</w:t>
            </w:r>
          </w:p>
          <w:p w14:paraId="5EFC004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中标人不按照与招标人订立的合同履行义务，情节严重的，有关行政监督部门取消其二至五年参加招标项目的投标资格并予以公告，直至由工商行政管理机关吊销营业执照。</w:t>
            </w:r>
          </w:p>
          <w:p w14:paraId="5282F06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因不可抗力不能履行合同的，不适用前两款规定。</w:t>
            </w:r>
          </w:p>
        </w:tc>
        <w:tc>
          <w:tcPr>
            <w:tcW w:w="491" w:type="pct"/>
            <w:vMerge w:val="restart"/>
            <w:noWrap w:val="0"/>
            <w:tcMar>
              <w:top w:w="0" w:type="dxa"/>
              <w:left w:w="0" w:type="dxa"/>
              <w:bottom w:w="0" w:type="dxa"/>
              <w:right w:w="0" w:type="dxa"/>
            </w:tcMar>
            <w:vAlign w:val="center"/>
          </w:tcPr>
          <w:p w14:paraId="68C0486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水利领域中标人不履行与招标人订立的合同，不按照与招标人订立的合同履行义务的</w:t>
            </w:r>
          </w:p>
        </w:tc>
        <w:tc>
          <w:tcPr>
            <w:tcW w:w="174" w:type="pct"/>
            <w:noWrap w:val="0"/>
            <w:tcMar>
              <w:top w:w="0" w:type="dxa"/>
              <w:left w:w="0" w:type="dxa"/>
              <w:bottom w:w="0" w:type="dxa"/>
              <w:right w:w="0" w:type="dxa"/>
            </w:tcMar>
            <w:vAlign w:val="center"/>
          </w:tcPr>
          <w:p w14:paraId="10953498">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轻微</w:t>
            </w:r>
          </w:p>
        </w:tc>
        <w:tc>
          <w:tcPr>
            <w:tcW w:w="561" w:type="pct"/>
            <w:noWrap w:val="0"/>
            <w:tcMar>
              <w:top w:w="0" w:type="dxa"/>
              <w:left w:w="0" w:type="dxa"/>
              <w:bottom w:w="0" w:type="dxa"/>
              <w:right w:w="0" w:type="dxa"/>
            </w:tcMar>
            <w:vAlign w:val="center"/>
          </w:tcPr>
          <w:p w14:paraId="103CE6F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t>及时改正，且没有造成危害后果的</w:t>
            </w:r>
          </w:p>
        </w:tc>
        <w:tc>
          <w:tcPr>
            <w:tcW w:w="873" w:type="pct"/>
            <w:noWrap w:val="0"/>
            <w:tcMar>
              <w:top w:w="0" w:type="dxa"/>
              <w:left w:w="0" w:type="dxa"/>
              <w:bottom w:w="0" w:type="dxa"/>
              <w:right w:w="0" w:type="dxa"/>
            </w:tcMar>
            <w:vAlign w:val="center"/>
          </w:tcPr>
          <w:p w14:paraId="0840DA0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highlight w:val="none"/>
                <w:vertAlign w:val="baseline"/>
                <w:lang w:val="en-US" w:eastAsia="zh-CN" w:bidi="ar-SA"/>
              </w:rPr>
            </w:pPr>
            <w:r>
              <w:rPr>
                <w:rFonts w:hint="eastAsia" w:ascii="宋体" w:hAnsi="宋体" w:eastAsia="宋体" w:cs="宋体"/>
                <w:color w:val="000000"/>
                <w:kern w:val="2"/>
                <w:sz w:val="18"/>
                <w:szCs w:val="18"/>
                <w:highlight w:val="none"/>
                <w:vertAlign w:val="baseline"/>
                <w:lang w:val="en-US" w:eastAsia="zh-CN" w:bidi="ar-SA"/>
              </w:rPr>
              <w:t>不予行政处罚</w:t>
            </w:r>
          </w:p>
        </w:tc>
        <w:tc>
          <w:tcPr>
            <w:tcW w:w="158" w:type="pct"/>
            <w:vMerge w:val="restart"/>
            <w:noWrap w:val="0"/>
            <w:tcMar>
              <w:top w:w="0" w:type="dxa"/>
              <w:left w:w="0" w:type="dxa"/>
              <w:bottom w:w="0" w:type="dxa"/>
              <w:right w:w="0" w:type="dxa"/>
            </w:tcMar>
            <w:vAlign w:val="center"/>
          </w:tcPr>
          <w:p w14:paraId="4C2D68F8">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33CAA1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56CE4AE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5710DB78">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74D10B27">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69B6143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06456C2B">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较轻</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60F1B3A8">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3B0D404C">
            <w:pPr>
              <w:spacing w:line="260" w:lineRule="exact"/>
              <w:rPr>
                <w:rFonts w:hint="eastAsia" w:ascii="宋体" w:hAnsi="宋体" w:eastAsia="宋体" w:cs="宋体"/>
                <w:b/>
                <w:bCs/>
                <w:color w:val="000000"/>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730202F1">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555497AC">
            <w:pPr>
              <w:spacing w:line="260" w:lineRule="exact"/>
              <w:rPr>
                <w:rFonts w:hint="eastAsia" w:ascii="宋体" w:hAnsi="宋体" w:eastAsia="宋体" w:cs="宋体"/>
                <w:b/>
                <w:bCs/>
                <w:color w:val="000000"/>
                <w:kern w:val="2"/>
                <w:sz w:val="18"/>
                <w:szCs w:val="18"/>
                <w:vertAlign w:val="baseline"/>
                <w:lang w:val="en-US" w:eastAsia="zh-CN" w:bidi="ar-SA"/>
              </w:rPr>
            </w:pPr>
          </w:p>
        </w:tc>
        <w:tc>
          <w:tcPr>
            <w:tcW w:w="158" w:type="pct"/>
            <w:vMerge w:val="continue"/>
            <w:noWrap w:val="0"/>
            <w:tcMar>
              <w:top w:w="0" w:type="dxa"/>
              <w:left w:w="0" w:type="dxa"/>
              <w:bottom w:w="0" w:type="dxa"/>
              <w:right w:w="0" w:type="dxa"/>
            </w:tcMar>
            <w:vAlign w:val="center"/>
          </w:tcPr>
          <w:p w14:paraId="102B082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05DAB1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3A8BCD6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4353E6EF">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210B787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0727039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347DCEED">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一般</w:t>
            </w:r>
          </w:p>
        </w:tc>
        <w:tc>
          <w:tcPr>
            <w:tcW w:w="561" w:type="pct"/>
            <w:noWrap w:val="0"/>
            <w:tcMar>
              <w:top w:w="0" w:type="dxa"/>
              <w:left w:w="0" w:type="dxa"/>
              <w:bottom w:w="0" w:type="dxa"/>
              <w:right w:w="0" w:type="dxa"/>
            </w:tcMar>
            <w:vAlign w:val="center"/>
          </w:tcPr>
          <w:p w14:paraId="2BE3FB31">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sz w:val="18"/>
                <w:szCs w:val="18"/>
                <w:vertAlign w:val="baseline"/>
              </w:rPr>
              <w:t>无正当理由，自中标通知书发出之</w:t>
            </w:r>
            <w:r>
              <w:rPr>
                <w:rFonts w:hint="eastAsia" w:ascii="宋体" w:hAnsi="宋体" w:eastAsia="宋体" w:cs="宋体"/>
                <w:color w:val="000000"/>
                <w:sz w:val="18"/>
                <w:szCs w:val="18"/>
                <w:vertAlign w:val="baseline"/>
                <w:lang w:eastAsia="zh-CN"/>
              </w:rPr>
              <w:t>日</w:t>
            </w:r>
            <w:r>
              <w:rPr>
                <w:rFonts w:hint="eastAsia" w:ascii="宋体" w:hAnsi="宋体" w:eastAsia="宋体" w:cs="宋体"/>
                <w:color w:val="000000"/>
                <w:sz w:val="18"/>
                <w:szCs w:val="18"/>
                <w:vertAlign w:val="baseline"/>
              </w:rPr>
              <w:t>起30</w:t>
            </w:r>
            <w:r>
              <w:rPr>
                <w:rFonts w:hint="eastAsia" w:ascii="宋体" w:hAnsi="宋体" w:eastAsia="宋体" w:cs="宋体"/>
                <w:color w:val="000000"/>
                <w:sz w:val="18"/>
                <w:szCs w:val="18"/>
                <w:vertAlign w:val="baseline"/>
                <w:lang w:eastAsia="zh-CN"/>
              </w:rPr>
              <w:t>日</w:t>
            </w:r>
            <w:r>
              <w:rPr>
                <w:rFonts w:hint="eastAsia" w:ascii="宋体" w:hAnsi="宋体" w:eastAsia="宋体" w:cs="宋体"/>
                <w:color w:val="000000"/>
                <w:sz w:val="18"/>
                <w:szCs w:val="18"/>
                <w:vertAlign w:val="baseline"/>
              </w:rPr>
              <w:t>以上60</w:t>
            </w:r>
            <w:r>
              <w:rPr>
                <w:rFonts w:hint="eastAsia" w:ascii="宋体" w:hAnsi="宋体" w:eastAsia="宋体" w:cs="宋体"/>
                <w:color w:val="000000"/>
                <w:sz w:val="18"/>
                <w:szCs w:val="18"/>
                <w:vertAlign w:val="baseline"/>
                <w:lang w:eastAsia="zh-CN"/>
              </w:rPr>
              <w:t>日</w:t>
            </w:r>
            <w:r>
              <w:rPr>
                <w:rFonts w:hint="eastAsia" w:ascii="宋体" w:hAnsi="宋体" w:eastAsia="宋体" w:cs="宋体"/>
                <w:color w:val="000000"/>
                <w:sz w:val="18"/>
                <w:szCs w:val="18"/>
                <w:vertAlign w:val="baseline"/>
              </w:rPr>
              <w:t>以内订立合同的；造成其他轻微危害后果的</w:t>
            </w:r>
          </w:p>
        </w:tc>
        <w:tc>
          <w:tcPr>
            <w:tcW w:w="873" w:type="pct"/>
            <w:noWrap w:val="0"/>
            <w:tcMar>
              <w:top w:w="0" w:type="dxa"/>
              <w:left w:w="0" w:type="dxa"/>
              <w:bottom w:w="0" w:type="dxa"/>
              <w:right w:w="0" w:type="dxa"/>
            </w:tcMar>
            <w:vAlign w:val="center"/>
          </w:tcPr>
          <w:p w14:paraId="49B0040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处中标项目金额3‰以下的罚款</w:t>
            </w:r>
          </w:p>
        </w:tc>
        <w:tc>
          <w:tcPr>
            <w:tcW w:w="158" w:type="pct"/>
            <w:vMerge w:val="continue"/>
            <w:noWrap w:val="0"/>
            <w:tcMar>
              <w:top w:w="0" w:type="dxa"/>
              <w:left w:w="0" w:type="dxa"/>
              <w:bottom w:w="0" w:type="dxa"/>
              <w:right w:w="0" w:type="dxa"/>
            </w:tcMar>
            <w:vAlign w:val="center"/>
          </w:tcPr>
          <w:p w14:paraId="7D5A6FB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7F74B3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798A2D1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316FFF50">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3D47F43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0ACD6EC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5696FDD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较重</w:t>
            </w:r>
          </w:p>
        </w:tc>
        <w:tc>
          <w:tcPr>
            <w:tcW w:w="561" w:type="pct"/>
            <w:noWrap w:val="0"/>
            <w:tcMar>
              <w:top w:w="0" w:type="dxa"/>
              <w:left w:w="0" w:type="dxa"/>
              <w:bottom w:w="0" w:type="dxa"/>
              <w:right w:w="0" w:type="dxa"/>
            </w:tcMar>
            <w:vAlign w:val="center"/>
          </w:tcPr>
          <w:p w14:paraId="206D8FBB">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无正当理由，自中标通知书发出之</w:t>
            </w:r>
            <w:r>
              <w:rPr>
                <w:rFonts w:hint="eastAsia" w:ascii="宋体" w:hAnsi="宋体" w:eastAsia="宋体" w:cs="宋体"/>
                <w:color w:val="000000"/>
                <w:sz w:val="18"/>
                <w:szCs w:val="18"/>
                <w:vertAlign w:val="baseline"/>
                <w:lang w:eastAsia="zh-CN"/>
              </w:rPr>
              <w:t>日</w:t>
            </w:r>
            <w:r>
              <w:rPr>
                <w:rFonts w:hint="eastAsia" w:ascii="宋体" w:hAnsi="宋体" w:eastAsia="宋体" w:cs="宋体"/>
                <w:color w:val="000000"/>
                <w:sz w:val="18"/>
                <w:szCs w:val="18"/>
                <w:vertAlign w:val="baseline"/>
              </w:rPr>
              <w:t>起60</w:t>
            </w:r>
            <w:r>
              <w:rPr>
                <w:rFonts w:hint="eastAsia" w:ascii="宋体" w:hAnsi="宋体" w:eastAsia="宋体" w:cs="宋体"/>
                <w:color w:val="000000"/>
                <w:sz w:val="18"/>
                <w:szCs w:val="18"/>
                <w:vertAlign w:val="baseline"/>
                <w:lang w:eastAsia="zh-CN"/>
              </w:rPr>
              <w:t>日</w:t>
            </w:r>
            <w:r>
              <w:rPr>
                <w:rFonts w:hint="eastAsia" w:ascii="宋体" w:hAnsi="宋体" w:eastAsia="宋体" w:cs="宋体"/>
                <w:color w:val="000000"/>
                <w:sz w:val="18"/>
                <w:szCs w:val="18"/>
                <w:vertAlign w:val="baseline"/>
              </w:rPr>
              <w:t>以上90</w:t>
            </w:r>
            <w:r>
              <w:rPr>
                <w:rFonts w:hint="eastAsia" w:ascii="宋体" w:hAnsi="宋体" w:eastAsia="宋体" w:cs="宋体"/>
                <w:color w:val="000000"/>
                <w:sz w:val="18"/>
                <w:szCs w:val="18"/>
                <w:vertAlign w:val="baseline"/>
                <w:lang w:eastAsia="zh-CN"/>
              </w:rPr>
              <w:t>日</w:t>
            </w:r>
            <w:r>
              <w:rPr>
                <w:rFonts w:hint="eastAsia" w:ascii="宋体" w:hAnsi="宋体" w:eastAsia="宋体" w:cs="宋体"/>
                <w:color w:val="000000"/>
                <w:sz w:val="18"/>
                <w:szCs w:val="18"/>
                <w:vertAlign w:val="baseline"/>
              </w:rPr>
              <w:t>以内订立合同的；造成其他一般危害后果的</w:t>
            </w:r>
          </w:p>
        </w:tc>
        <w:tc>
          <w:tcPr>
            <w:tcW w:w="873" w:type="pct"/>
            <w:noWrap w:val="0"/>
            <w:tcMar>
              <w:top w:w="0" w:type="dxa"/>
              <w:left w:w="0" w:type="dxa"/>
              <w:bottom w:w="0" w:type="dxa"/>
              <w:right w:w="0" w:type="dxa"/>
            </w:tcMar>
            <w:vAlign w:val="center"/>
          </w:tcPr>
          <w:p w14:paraId="7926094C">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处中标项目金额3‰以上7‰以下的罚款</w:t>
            </w:r>
          </w:p>
        </w:tc>
        <w:tc>
          <w:tcPr>
            <w:tcW w:w="158" w:type="pct"/>
            <w:vMerge w:val="continue"/>
            <w:noWrap w:val="0"/>
            <w:tcMar>
              <w:top w:w="0" w:type="dxa"/>
              <w:left w:w="0" w:type="dxa"/>
              <w:bottom w:w="0" w:type="dxa"/>
              <w:right w:w="0" w:type="dxa"/>
            </w:tcMar>
            <w:vAlign w:val="center"/>
          </w:tcPr>
          <w:p w14:paraId="7637A1BB">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25260E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8500" w:hRule="atLeast"/>
          <w:jc w:val="center"/>
        </w:trPr>
        <w:tc>
          <w:tcPr>
            <w:tcW w:w="156" w:type="pct"/>
            <w:vMerge w:val="continue"/>
            <w:noWrap w:val="0"/>
            <w:tcMar>
              <w:top w:w="0" w:type="dxa"/>
              <w:left w:w="0" w:type="dxa"/>
              <w:bottom w:w="0" w:type="dxa"/>
              <w:right w:w="0" w:type="dxa"/>
            </w:tcMar>
            <w:vAlign w:val="center"/>
          </w:tcPr>
          <w:p w14:paraId="4FEA7CE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33B125C7">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5DCD320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245A96A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1C4BE1BB">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严重</w:t>
            </w:r>
          </w:p>
        </w:tc>
        <w:tc>
          <w:tcPr>
            <w:tcW w:w="561" w:type="pct"/>
            <w:noWrap w:val="0"/>
            <w:tcMar>
              <w:top w:w="0" w:type="dxa"/>
              <w:left w:w="0" w:type="dxa"/>
              <w:bottom w:w="0" w:type="dxa"/>
              <w:right w:w="0" w:type="dxa"/>
            </w:tcMar>
            <w:vAlign w:val="center"/>
          </w:tcPr>
          <w:p w14:paraId="3BC8EEA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无正当理由，自中标通知书发出之</w:t>
            </w:r>
            <w:r>
              <w:rPr>
                <w:rFonts w:hint="eastAsia" w:ascii="宋体" w:hAnsi="宋体" w:eastAsia="宋体" w:cs="宋体"/>
                <w:color w:val="000000"/>
                <w:sz w:val="18"/>
                <w:szCs w:val="18"/>
                <w:vertAlign w:val="baseline"/>
                <w:lang w:eastAsia="zh-CN"/>
              </w:rPr>
              <w:t>日</w:t>
            </w:r>
            <w:r>
              <w:rPr>
                <w:rFonts w:hint="eastAsia" w:ascii="宋体" w:hAnsi="宋体" w:eastAsia="宋体" w:cs="宋体"/>
                <w:color w:val="000000"/>
                <w:sz w:val="18"/>
                <w:szCs w:val="18"/>
                <w:vertAlign w:val="baseline"/>
              </w:rPr>
              <w:t>起90</w:t>
            </w:r>
            <w:r>
              <w:rPr>
                <w:rFonts w:hint="eastAsia" w:ascii="宋体" w:hAnsi="宋体" w:eastAsia="宋体" w:cs="宋体"/>
                <w:color w:val="000000"/>
                <w:sz w:val="18"/>
                <w:szCs w:val="18"/>
                <w:vertAlign w:val="baseline"/>
                <w:lang w:eastAsia="zh-CN"/>
              </w:rPr>
              <w:t>日</w:t>
            </w:r>
            <w:r>
              <w:rPr>
                <w:rFonts w:hint="eastAsia" w:ascii="宋体" w:hAnsi="宋体" w:eastAsia="宋体" w:cs="宋体"/>
                <w:color w:val="000000"/>
                <w:sz w:val="18"/>
                <w:szCs w:val="18"/>
                <w:vertAlign w:val="baseline"/>
              </w:rPr>
              <w:t>以上未订立合同的；造成其他严重危害后果的</w:t>
            </w:r>
          </w:p>
        </w:tc>
        <w:tc>
          <w:tcPr>
            <w:tcW w:w="873" w:type="pct"/>
            <w:noWrap w:val="0"/>
            <w:tcMar>
              <w:top w:w="0" w:type="dxa"/>
              <w:left w:w="0" w:type="dxa"/>
              <w:bottom w:w="0" w:type="dxa"/>
              <w:right w:w="0" w:type="dxa"/>
            </w:tcMar>
            <w:vAlign w:val="center"/>
          </w:tcPr>
          <w:p w14:paraId="3B45A7F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处中标项目金额7‰以上10‰以下的罚款</w:t>
            </w:r>
          </w:p>
        </w:tc>
        <w:tc>
          <w:tcPr>
            <w:tcW w:w="158" w:type="pct"/>
            <w:vMerge w:val="continue"/>
            <w:noWrap w:val="0"/>
            <w:tcMar>
              <w:top w:w="0" w:type="dxa"/>
              <w:left w:w="0" w:type="dxa"/>
              <w:bottom w:w="0" w:type="dxa"/>
              <w:right w:w="0" w:type="dxa"/>
            </w:tcMar>
            <w:vAlign w:val="center"/>
          </w:tcPr>
          <w:p w14:paraId="2D27276B">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3E866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restart"/>
            <w:noWrap w:val="0"/>
            <w:tcMar>
              <w:top w:w="0" w:type="dxa"/>
              <w:left w:w="0" w:type="dxa"/>
              <w:bottom w:w="0" w:type="dxa"/>
              <w:right w:w="0" w:type="dxa"/>
            </w:tcMar>
            <w:vAlign w:val="center"/>
          </w:tcPr>
          <w:p w14:paraId="5CA268F9">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default" w:ascii="宋体" w:hAnsi="宋体" w:eastAsia="宋体" w:cs="宋体"/>
                <w:color w:val="000000"/>
                <w:sz w:val="18"/>
                <w:szCs w:val="18"/>
                <w:shd w:val="clear" w:color="auto" w:fill="auto"/>
                <w:vertAlign w:val="baseline"/>
                <w:lang w:val="en-US" w:eastAsia="zh-CN"/>
              </w:rPr>
            </w:pPr>
            <w:r>
              <w:rPr>
                <w:rFonts w:hint="eastAsia" w:ascii="宋体" w:hAnsi="宋体" w:eastAsia="宋体" w:cs="宋体"/>
                <w:color w:val="000000"/>
                <w:sz w:val="18"/>
                <w:szCs w:val="18"/>
                <w:shd w:val="clear" w:color="auto" w:fill="auto"/>
                <w:vertAlign w:val="baseline"/>
                <w:lang w:val="en-US" w:eastAsia="zh-CN"/>
              </w:rPr>
              <w:t>136</w:t>
            </w:r>
          </w:p>
        </w:tc>
        <w:tc>
          <w:tcPr>
            <w:tcW w:w="415" w:type="pct"/>
            <w:vMerge w:val="restart"/>
            <w:noWrap w:val="0"/>
            <w:tcMar>
              <w:top w:w="0" w:type="dxa"/>
              <w:left w:w="0" w:type="dxa"/>
              <w:bottom w:w="0" w:type="dxa"/>
              <w:right w:w="0" w:type="dxa"/>
            </w:tcMar>
            <w:vAlign w:val="center"/>
          </w:tcPr>
          <w:p w14:paraId="43BC8EC8">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对施工总承包单位、分包单位未实行劳动用工实名制管理，建设单位未依法提供工程款支付担保行为的处罚</w:t>
            </w:r>
          </w:p>
        </w:tc>
        <w:tc>
          <w:tcPr>
            <w:tcW w:w="2168" w:type="pct"/>
            <w:vMerge w:val="restart"/>
            <w:noWrap w:val="0"/>
            <w:tcMar>
              <w:top w:w="0" w:type="dxa"/>
              <w:left w:w="0" w:type="dxa"/>
              <w:bottom w:w="0" w:type="dxa"/>
              <w:right w:w="0" w:type="dxa"/>
            </w:tcMar>
            <w:vAlign w:val="center"/>
          </w:tcPr>
          <w:p w14:paraId="79385D9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《保障农民工工资支付条例》第五十五条 有下列情形之一的，由人力资源社会保障行政部门、相关行业工程建设主管部门按照职责责令限期改正；逾期不改正的，责令项目停工，并处5万元以上10万元以下的罚款；情节严重的，给予施工单位限制承接新工程、降低资质等级、吊销资质证书等处罚：</w:t>
            </w:r>
          </w:p>
          <w:p w14:paraId="5DEEE7B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（三）施工总承包单位、分包单位未实行劳动用工实名制管理。</w:t>
            </w:r>
          </w:p>
          <w:p w14:paraId="7E10F94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第五十七条 有下列情形之一的，由人力资源社会保障行政部门、相关行业工程建设主管部门按照职责责令限期改正；逾期不改正的，责令项目停工，并处5万元以上10万元以下的罚款：</w:t>
            </w:r>
          </w:p>
          <w:p w14:paraId="6CDA385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（一）建设单位未依法提供工程款支付担保。</w:t>
            </w:r>
          </w:p>
        </w:tc>
        <w:tc>
          <w:tcPr>
            <w:tcW w:w="491" w:type="pct"/>
            <w:vMerge w:val="restart"/>
            <w:noWrap w:val="0"/>
            <w:tcMar>
              <w:top w:w="0" w:type="dxa"/>
              <w:left w:w="0" w:type="dxa"/>
              <w:bottom w:w="0" w:type="dxa"/>
              <w:right w:w="0" w:type="dxa"/>
            </w:tcMar>
            <w:vAlign w:val="center"/>
          </w:tcPr>
          <w:p w14:paraId="7AE2FA9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施工总承包单位、分包单位未实行劳动用工实名制管理的</w:t>
            </w:r>
          </w:p>
        </w:tc>
        <w:tc>
          <w:tcPr>
            <w:tcW w:w="174" w:type="pct"/>
            <w:noWrap w:val="0"/>
            <w:tcMar>
              <w:top w:w="0" w:type="dxa"/>
              <w:left w:w="0" w:type="dxa"/>
              <w:bottom w:w="0" w:type="dxa"/>
              <w:right w:w="0" w:type="dxa"/>
            </w:tcMar>
            <w:vAlign w:val="center"/>
          </w:tcPr>
          <w:p w14:paraId="0F902DAA">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轻微</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18390C47">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68561484">
            <w:pPr>
              <w:spacing w:line="260" w:lineRule="exact"/>
              <w:rPr>
                <w:rFonts w:hint="eastAsia" w:ascii="宋体" w:hAnsi="宋体" w:eastAsia="宋体" w:cs="宋体"/>
                <w:color w:val="000000"/>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017F1281">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4C652F7A">
            <w:pPr>
              <w:spacing w:line="260" w:lineRule="exact"/>
              <w:rPr>
                <w:rFonts w:hint="eastAsia" w:ascii="宋体" w:hAnsi="宋体" w:eastAsia="宋体" w:cs="宋体"/>
                <w:color w:val="000000"/>
                <w:kern w:val="2"/>
                <w:sz w:val="18"/>
                <w:szCs w:val="18"/>
                <w:vertAlign w:val="baseline"/>
                <w:lang w:val="en-US" w:eastAsia="zh-CN" w:bidi="ar-SA"/>
              </w:rPr>
            </w:pPr>
          </w:p>
        </w:tc>
        <w:tc>
          <w:tcPr>
            <w:tcW w:w="158" w:type="pct"/>
            <w:vMerge w:val="restart"/>
            <w:noWrap w:val="0"/>
            <w:tcMar>
              <w:top w:w="0" w:type="dxa"/>
              <w:left w:w="0" w:type="dxa"/>
              <w:bottom w:w="0" w:type="dxa"/>
              <w:right w:w="0" w:type="dxa"/>
            </w:tcMar>
            <w:vAlign w:val="center"/>
          </w:tcPr>
          <w:p w14:paraId="5265E4ED">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35D385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319BA77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38A3BF20">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6793A80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76F61F8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1532AC28">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较轻</w:t>
            </w:r>
          </w:p>
        </w:tc>
        <w:tc>
          <w:tcPr>
            <w:tcW w:w="561" w:type="pct"/>
            <w:noWrap w:val="0"/>
            <w:tcMar>
              <w:top w:w="0" w:type="dxa"/>
              <w:left w:w="0" w:type="dxa"/>
              <w:bottom w:w="0" w:type="dxa"/>
              <w:right w:w="0" w:type="dxa"/>
            </w:tcMar>
            <w:vAlign w:val="center"/>
          </w:tcPr>
          <w:p w14:paraId="780B83C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尚未发生拖欠工资行为的</w:t>
            </w:r>
          </w:p>
        </w:tc>
        <w:tc>
          <w:tcPr>
            <w:tcW w:w="873" w:type="pct"/>
            <w:noWrap w:val="0"/>
            <w:tcMar>
              <w:top w:w="0" w:type="dxa"/>
              <w:left w:w="0" w:type="dxa"/>
              <w:bottom w:w="0" w:type="dxa"/>
              <w:right w:w="0" w:type="dxa"/>
            </w:tcMar>
            <w:vAlign w:val="center"/>
          </w:tcPr>
          <w:p w14:paraId="5D2F6A8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处5万元以上8万元以下罚款</w:t>
            </w:r>
          </w:p>
        </w:tc>
        <w:tc>
          <w:tcPr>
            <w:tcW w:w="158" w:type="pct"/>
            <w:vMerge w:val="continue"/>
            <w:noWrap w:val="0"/>
            <w:tcMar>
              <w:top w:w="0" w:type="dxa"/>
              <w:left w:w="0" w:type="dxa"/>
              <w:bottom w:w="0" w:type="dxa"/>
              <w:right w:w="0" w:type="dxa"/>
            </w:tcMar>
            <w:vAlign w:val="center"/>
          </w:tcPr>
          <w:p w14:paraId="68BF09F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2B86B1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3E0F378B">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5CF3C411">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3A598EFC">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7B5889C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15DD396D">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一般</w:t>
            </w:r>
          </w:p>
        </w:tc>
        <w:tc>
          <w:tcPr>
            <w:tcW w:w="561" w:type="pct"/>
            <w:noWrap w:val="0"/>
            <w:tcMar>
              <w:top w:w="0" w:type="dxa"/>
              <w:left w:w="0" w:type="dxa"/>
              <w:bottom w:w="0" w:type="dxa"/>
              <w:right w:w="0" w:type="dxa"/>
            </w:tcMar>
            <w:vAlign w:val="center"/>
          </w:tcPr>
          <w:p w14:paraId="7BA98C2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发生拖欠工资行为的</w:t>
            </w:r>
          </w:p>
        </w:tc>
        <w:tc>
          <w:tcPr>
            <w:tcW w:w="873" w:type="pct"/>
            <w:noWrap w:val="0"/>
            <w:tcMar>
              <w:top w:w="0" w:type="dxa"/>
              <w:left w:w="0" w:type="dxa"/>
              <w:bottom w:w="0" w:type="dxa"/>
              <w:right w:w="0" w:type="dxa"/>
            </w:tcMar>
            <w:vAlign w:val="center"/>
          </w:tcPr>
          <w:p w14:paraId="65418DD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处8万元以上10万元以下罚款</w:t>
            </w:r>
          </w:p>
        </w:tc>
        <w:tc>
          <w:tcPr>
            <w:tcW w:w="158" w:type="pct"/>
            <w:vMerge w:val="continue"/>
            <w:noWrap w:val="0"/>
            <w:tcMar>
              <w:top w:w="0" w:type="dxa"/>
              <w:left w:w="0" w:type="dxa"/>
              <w:bottom w:w="0" w:type="dxa"/>
              <w:right w:w="0" w:type="dxa"/>
            </w:tcMar>
            <w:vAlign w:val="center"/>
          </w:tcPr>
          <w:p w14:paraId="39C5E98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0B63F5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275" w:hRule="atLeast"/>
          <w:jc w:val="center"/>
        </w:trPr>
        <w:tc>
          <w:tcPr>
            <w:tcW w:w="156" w:type="pct"/>
            <w:vMerge w:val="continue"/>
            <w:noWrap w:val="0"/>
            <w:tcMar>
              <w:top w:w="0" w:type="dxa"/>
              <w:left w:w="0" w:type="dxa"/>
              <w:bottom w:w="0" w:type="dxa"/>
              <w:right w:w="0" w:type="dxa"/>
            </w:tcMar>
            <w:vAlign w:val="center"/>
          </w:tcPr>
          <w:p w14:paraId="25BD1CC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452EA0BB">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71E595F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2B5B59E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781D8A4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较重</w:t>
            </w:r>
          </w:p>
        </w:tc>
        <w:tc>
          <w:tcPr>
            <w:tcW w:w="561" w:type="pct"/>
            <w:noWrap w:val="0"/>
            <w:tcMar>
              <w:top w:w="0" w:type="dxa"/>
              <w:left w:w="0" w:type="dxa"/>
              <w:bottom w:w="0" w:type="dxa"/>
              <w:right w:w="0" w:type="dxa"/>
            </w:tcMar>
            <w:vAlign w:val="center"/>
          </w:tcPr>
          <w:p w14:paraId="5C80692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发生拖欠工资行为，且存在转包、违法分包、挂靠、出借资质等违法行为的</w:t>
            </w:r>
          </w:p>
        </w:tc>
        <w:tc>
          <w:tcPr>
            <w:tcW w:w="873" w:type="pct"/>
            <w:noWrap w:val="0"/>
            <w:tcMar>
              <w:top w:w="0" w:type="dxa"/>
              <w:left w:w="0" w:type="dxa"/>
              <w:bottom w:w="0" w:type="dxa"/>
              <w:right w:w="0" w:type="dxa"/>
            </w:tcMar>
            <w:vAlign w:val="center"/>
          </w:tcPr>
          <w:p w14:paraId="1E9AE60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处10万元罚款；降低资质等级</w:t>
            </w:r>
          </w:p>
        </w:tc>
        <w:tc>
          <w:tcPr>
            <w:tcW w:w="158" w:type="pct"/>
            <w:vMerge w:val="continue"/>
            <w:noWrap w:val="0"/>
            <w:tcMar>
              <w:top w:w="0" w:type="dxa"/>
              <w:left w:w="0" w:type="dxa"/>
              <w:bottom w:w="0" w:type="dxa"/>
              <w:right w:w="0" w:type="dxa"/>
            </w:tcMar>
            <w:vAlign w:val="center"/>
          </w:tcPr>
          <w:p w14:paraId="04BB95A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2E031D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876" w:hRule="atLeast"/>
          <w:jc w:val="center"/>
        </w:trPr>
        <w:tc>
          <w:tcPr>
            <w:tcW w:w="156" w:type="pct"/>
            <w:vMerge w:val="continue"/>
            <w:noWrap w:val="0"/>
            <w:tcMar>
              <w:top w:w="0" w:type="dxa"/>
              <w:left w:w="0" w:type="dxa"/>
              <w:bottom w:w="0" w:type="dxa"/>
              <w:right w:w="0" w:type="dxa"/>
            </w:tcMar>
            <w:vAlign w:val="center"/>
          </w:tcPr>
          <w:p w14:paraId="236D2F78">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56A957E7">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5725F9F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652CEE2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7A84A8B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严重</w:t>
            </w:r>
          </w:p>
        </w:tc>
        <w:tc>
          <w:tcPr>
            <w:tcW w:w="561" w:type="pct"/>
            <w:noWrap w:val="0"/>
            <w:tcMar>
              <w:top w:w="0" w:type="dxa"/>
              <w:left w:w="0" w:type="dxa"/>
              <w:bottom w:w="0" w:type="dxa"/>
              <w:right w:w="0" w:type="dxa"/>
            </w:tcMar>
            <w:vAlign w:val="center"/>
          </w:tcPr>
          <w:p w14:paraId="0EF5882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发生拖欠工资行为，且2年内发生2次及以上转包、违法分包、挂靠、出借资质等违法行为或因转包、违法分包、挂靠、出借资质等违法行为导致发生质量安全事故的；构成拒不支付劳动报酬罪的；造成严重社会影响的</w:t>
            </w:r>
          </w:p>
        </w:tc>
        <w:tc>
          <w:tcPr>
            <w:tcW w:w="873" w:type="pct"/>
            <w:noWrap w:val="0"/>
            <w:tcMar>
              <w:top w:w="0" w:type="dxa"/>
              <w:left w:w="0" w:type="dxa"/>
              <w:bottom w:w="0" w:type="dxa"/>
              <w:right w:w="0" w:type="dxa"/>
            </w:tcMar>
            <w:vAlign w:val="center"/>
          </w:tcPr>
          <w:p w14:paraId="165D3ED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处10万元罚款；吊销资质证书</w:t>
            </w:r>
          </w:p>
        </w:tc>
        <w:tc>
          <w:tcPr>
            <w:tcW w:w="158" w:type="pct"/>
            <w:vMerge w:val="continue"/>
            <w:noWrap w:val="0"/>
            <w:tcMar>
              <w:top w:w="0" w:type="dxa"/>
              <w:left w:w="0" w:type="dxa"/>
              <w:bottom w:w="0" w:type="dxa"/>
              <w:right w:w="0" w:type="dxa"/>
            </w:tcMar>
            <w:vAlign w:val="center"/>
          </w:tcPr>
          <w:p w14:paraId="13DFAF19">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36266E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0B2A93F5">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4B276C91">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7FA32D5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restart"/>
            <w:noWrap w:val="0"/>
            <w:tcMar>
              <w:top w:w="0" w:type="dxa"/>
              <w:left w:w="0" w:type="dxa"/>
              <w:bottom w:w="0" w:type="dxa"/>
              <w:right w:w="0" w:type="dxa"/>
            </w:tcMar>
            <w:vAlign w:val="center"/>
          </w:tcPr>
          <w:p w14:paraId="7E9DF9B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建设单位未依法提供工程款支付担保的</w:t>
            </w:r>
          </w:p>
        </w:tc>
        <w:tc>
          <w:tcPr>
            <w:tcW w:w="174" w:type="pct"/>
            <w:noWrap w:val="0"/>
            <w:tcMar>
              <w:top w:w="0" w:type="dxa"/>
              <w:left w:w="0" w:type="dxa"/>
              <w:bottom w:w="0" w:type="dxa"/>
              <w:right w:w="0" w:type="dxa"/>
            </w:tcMar>
            <w:vAlign w:val="center"/>
          </w:tcPr>
          <w:p w14:paraId="3411410A">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轻微</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240ADAB2">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155BB196">
            <w:pPr>
              <w:spacing w:line="260" w:lineRule="exact"/>
              <w:rPr>
                <w:rFonts w:hint="eastAsia" w:ascii="宋体" w:hAnsi="宋体" w:eastAsia="宋体" w:cs="宋体"/>
                <w:color w:val="000000"/>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7B1DB683">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5244E39E">
            <w:pPr>
              <w:spacing w:line="260" w:lineRule="exact"/>
              <w:rPr>
                <w:rFonts w:hint="eastAsia" w:ascii="宋体" w:hAnsi="宋体" w:eastAsia="宋体" w:cs="宋体"/>
                <w:color w:val="000000"/>
                <w:kern w:val="2"/>
                <w:sz w:val="18"/>
                <w:szCs w:val="18"/>
                <w:vertAlign w:val="baseline"/>
                <w:lang w:val="en-US" w:eastAsia="zh-CN" w:bidi="ar-SA"/>
              </w:rPr>
            </w:pPr>
          </w:p>
        </w:tc>
        <w:tc>
          <w:tcPr>
            <w:tcW w:w="158" w:type="pct"/>
            <w:vMerge w:val="restart"/>
            <w:noWrap w:val="0"/>
            <w:tcMar>
              <w:top w:w="0" w:type="dxa"/>
              <w:left w:w="0" w:type="dxa"/>
              <w:bottom w:w="0" w:type="dxa"/>
              <w:right w:w="0" w:type="dxa"/>
            </w:tcMar>
            <w:vAlign w:val="center"/>
          </w:tcPr>
          <w:p w14:paraId="3722B36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1DCC07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654869E9">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321F36D6">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1923999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3AE3DEF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40CD6B48">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较轻</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770242F9">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3F184CDB">
            <w:pPr>
              <w:spacing w:line="260" w:lineRule="exact"/>
              <w:rPr>
                <w:rFonts w:hint="eastAsia" w:ascii="宋体" w:hAnsi="宋体" w:eastAsia="宋体" w:cs="宋体"/>
                <w:color w:val="000000"/>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3DD5D809">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2E80AEE9">
            <w:pPr>
              <w:spacing w:line="260" w:lineRule="exact"/>
              <w:rPr>
                <w:rFonts w:hint="eastAsia" w:ascii="宋体" w:hAnsi="宋体" w:eastAsia="宋体" w:cs="宋体"/>
                <w:color w:val="000000"/>
                <w:kern w:val="2"/>
                <w:sz w:val="18"/>
                <w:szCs w:val="18"/>
                <w:vertAlign w:val="baseline"/>
                <w:lang w:val="en-US" w:eastAsia="zh-CN" w:bidi="ar-SA"/>
              </w:rPr>
            </w:pPr>
          </w:p>
        </w:tc>
        <w:tc>
          <w:tcPr>
            <w:tcW w:w="158" w:type="pct"/>
            <w:vMerge w:val="continue"/>
            <w:noWrap w:val="0"/>
            <w:tcMar>
              <w:top w:w="0" w:type="dxa"/>
              <w:left w:w="0" w:type="dxa"/>
              <w:bottom w:w="0" w:type="dxa"/>
              <w:right w:w="0" w:type="dxa"/>
            </w:tcMar>
            <w:vAlign w:val="center"/>
          </w:tcPr>
          <w:p w14:paraId="0C9268F0">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046441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24AF7239">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3D964BBE">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2385A76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4CCAB09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609891F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一般</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49CB3B41">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5757B381">
            <w:pPr>
              <w:spacing w:line="260" w:lineRule="exact"/>
              <w:rPr>
                <w:rFonts w:hint="eastAsia" w:ascii="宋体" w:hAnsi="宋体" w:eastAsia="宋体" w:cs="宋体"/>
                <w:color w:val="000000"/>
                <w:sz w:val="18"/>
                <w:szCs w:val="18"/>
                <w:vertAlign w:val="baseline"/>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0D81B8EC">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0302BDE4">
            <w:pPr>
              <w:spacing w:line="260" w:lineRule="exact"/>
              <w:rPr>
                <w:rFonts w:hint="eastAsia" w:ascii="宋体" w:hAnsi="宋体" w:eastAsia="宋体" w:cs="宋体"/>
                <w:color w:val="000000"/>
                <w:kern w:val="2"/>
                <w:sz w:val="18"/>
                <w:szCs w:val="18"/>
                <w:vertAlign w:val="baseline"/>
                <w:lang w:val="en-US" w:eastAsia="zh-CN" w:bidi="ar-SA"/>
              </w:rPr>
            </w:pPr>
          </w:p>
        </w:tc>
        <w:tc>
          <w:tcPr>
            <w:tcW w:w="158" w:type="pct"/>
            <w:vMerge w:val="continue"/>
            <w:noWrap w:val="0"/>
            <w:tcMar>
              <w:top w:w="0" w:type="dxa"/>
              <w:left w:w="0" w:type="dxa"/>
              <w:bottom w:w="0" w:type="dxa"/>
              <w:right w:w="0" w:type="dxa"/>
            </w:tcMar>
            <w:vAlign w:val="center"/>
          </w:tcPr>
          <w:p w14:paraId="6B7ABE8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4EC99E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continue"/>
            <w:noWrap w:val="0"/>
            <w:tcMar>
              <w:top w:w="0" w:type="dxa"/>
              <w:left w:w="0" w:type="dxa"/>
              <w:bottom w:w="0" w:type="dxa"/>
              <w:right w:w="0" w:type="dxa"/>
            </w:tcMar>
            <w:vAlign w:val="center"/>
          </w:tcPr>
          <w:p w14:paraId="186F6FE5">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3D13E8EB">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19403D0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0DDB3BB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1E347948">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较重</w:t>
            </w:r>
          </w:p>
        </w:tc>
        <w:tc>
          <w:tcPr>
            <w:tcW w:w="561" w:type="pct"/>
            <w:noWrap w:val="0"/>
            <w:tcMar>
              <w:top w:w="0" w:type="dxa"/>
              <w:left w:w="0" w:type="dxa"/>
              <w:bottom w:w="0" w:type="dxa"/>
              <w:right w:w="0" w:type="dxa"/>
            </w:tcMar>
            <w:vAlign w:val="center"/>
          </w:tcPr>
          <w:p w14:paraId="202BFEF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发生拖欠工资行为，且存在转包、违法分包、挂靠、出借资质等违法行为的</w:t>
            </w:r>
          </w:p>
        </w:tc>
        <w:tc>
          <w:tcPr>
            <w:tcW w:w="873" w:type="pct"/>
            <w:noWrap w:val="0"/>
            <w:tcMar>
              <w:top w:w="0" w:type="dxa"/>
              <w:left w:w="0" w:type="dxa"/>
              <w:bottom w:w="0" w:type="dxa"/>
              <w:right w:w="0" w:type="dxa"/>
            </w:tcMar>
            <w:vAlign w:val="center"/>
          </w:tcPr>
          <w:p w14:paraId="0207EF6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降低资质等级</w:t>
            </w:r>
          </w:p>
        </w:tc>
        <w:tc>
          <w:tcPr>
            <w:tcW w:w="158" w:type="pct"/>
            <w:vMerge w:val="continue"/>
            <w:noWrap w:val="0"/>
            <w:tcMar>
              <w:top w:w="0" w:type="dxa"/>
              <w:left w:w="0" w:type="dxa"/>
              <w:bottom w:w="0" w:type="dxa"/>
              <w:right w:w="0" w:type="dxa"/>
            </w:tcMar>
            <w:vAlign w:val="center"/>
          </w:tcPr>
          <w:p w14:paraId="32106EDB">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4396B1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921" w:hRule="atLeast"/>
          <w:jc w:val="center"/>
        </w:trPr>
        <w:tc>
          <w:tcPr>
            <w:tcW w:w="156" w:type="pct"/>
            <w:vMerge w:val="continue"/>
            <w:noWrap w:val="0"/>
            <w:tcMar>
              <w:top w:w="0" w:type="dxa"/>
              <w:left w:w="0" w:type="dxa"/>
              <w:bottom w:w="0" w:type="dxa"/>
              <w:right w:w="0" w:type="dxa"/>
            </w:tcMar>
            <w:vAlign w:val="center"/>
          </w:tcPr>
          <w:p w14:paraId="5A21C1CC">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66496ACE">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74ED3B0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noWrap w:val="0"/>
            <w:tcMar>
              <w:top w:w="0" w:type="dxa"/>
              <w:left w:w="0" w:type="dxa"/>
              <w:bottom w:w="0" w:type="dxa"/>
              <w:right w:w="0" w:type="dxa"/>
            </w:tcMar>
            <w:vAlign w:val="center"/>
          </w:tcPr>
          <w:p w14:paraId="50421E8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建设单位未依法提供工程款支付担保的</w:t>
            </w:r>
          </w:p>
        </w:tc>
        <w:tc>
          <w:tcPr>
            <w:tcW w:w="174" w:type="pct"/>
            <w:noWrap w:val="0"/>
            <w:tcMar>
              <w:top w:w="0" w:type="dxa"/>
              <w:left w:w="0" w:type="dxa"/>
              <w:bottom w:w="0" w:type="dxa"/>
              <w:right w:w="0" w:type="dxa"/>
            </w:tcMar>
            <w:vAlign w:val="center"/>
          </w:tcPr>
          <w:p w14:paraId="62E5EF90">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严重</w:t>
            </w:r>
          </w:p>
        </w:tc>
        <w:tc>
          <w:tcPr>
            <w:tcW w:w="561" w:type="pct"/>
            <w:noWrap w:val="0"/>
            <w:tcMar>
              <w:top w:w="0" w:type="dxa"/>
              <w:left w:w="0" w:type="dxa"/>
              <w:bottom w:w="0" w:type="dxa"/>
              <w:right w:w="0" w:type="dxa"/>
            </w:tcMar>
            <w:vAlign w:val="center"/>
          </w:tcPr>
          <w:p w14:paraId="5699FDC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rPr>
            </w:pPr>
            <w:r>
              <w:rPr>
                <w:rFonts w:hint="eastAsia" w:ascii="宋体" w:hAnsi="宋体" w:eastAsia="宋体" w:cs="宋体"/>
                <w:color w:val="000000"/>
                <w:sz w:val="18"/>
                <w:szCs w:val="18"/>
                <w:vertAlign w:val="baseline"/>
              </w:rPr>
              <w:t>发生拖欠工资行为，且2年内发生2次及以上转包、违法分包、挂靠、出借资质等违法行为或因转包、违法分包、挂靠、出借资质等违法行为导致发生质量安全事故的；构成拒不支付劳动报酬罪的；造成严重社会影响的</w:t>
            </w:r>
          </w:p>
        </w:tc>
        <w:tc>
          <w:tcPr>
            <w:tcW w:w="873" w:type="pct"/>
            <w:noWrap w:val="0"/>
            <w:tcMar>
              <w:top w:w="0" w:type="dxa"/>
              <w:left w:w="0" w:type="dxa"/>
              <w:bottom w:w="0" w:type="dxa"/>
              <w:right w:w="0" w:type="dxa"/>
            </w:tcMar>
            <w:vAlign w:val="center"/>
          </w:tcPr>
          <w:p w14:paraId="5F3AAF9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kern w:val="2"/>
                <w:sz w:val="18"/>
                <w:szCs w:val="18"/>
                <w:vertAlign w:val="baseline"/>
                <w:lang w:val="en-US" w:eastAsia="zh-CN" w:bidi="ar-SA"/>
              </w:rPr>
              <w:t>吊销资质证书</w:t>
            </w:r>
          </w:p>
        </w:tc>
        <w:tc>
          <w:tcPr>
            <w:tcW w:w="158" w:type="pct"/>
            <w:vMerge w:val="continue"/>
            <w:noWrap w:val="0"/>
            <w:tcMar>
              <w:top w:w="0" w:type="dxa"/>
              <w:left w:w="0" w:type="dxa"/>
              <w:bottom w:w="0" w:type="dxa"/>
              <w:right w:w="0" w:type="dxa"/>
            </w:tcMar>
            <w:vAlign w:val="center"/>
          </w:tcPr>
          <w:p w14:paraId="4E2AA335">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1AFA90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restart"/>
            <w:noWrap w:val="0"/>
            <w:tcMar>
              <w:top w:w="0" w:type="dxa"/>
              <w:left w:w="0" w:type="dxa"/>
              <w:bottom w:w="0" w:type="dxa"/>
              <w:right w:w="0" w:type="dxa"/>
            </w:tcMar>
            <w:vAlign w:val="center"/>
          </w:tcPr>
          <w:p w14:paraId="3A27B5FA">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r>
              <w:rPr>
                <w:rFonts w:hint="eastAsia" w:ascii="宋体" w:hAnsi="宋体" w:eastAsia="宋体" w:cs="宋体"/>
                <w:color w:val="000000"/>
                <w:sz w:val="18"/>
                <w:szCs w:val="18"/>
                <w:shd w:val="clear" w:color="auto" w:fill="auto"/>
                <w:vertAlign w:val="baseline"/>
                <w:lang w:val="en-US" w:eastAsia="zh-CN"/>
              </w:rPr>
              <w:t>137</w:t>
            </w:r>
          </w:p>
        </w:tc>
        <w:tc>
          <w:tcPr>
            <w:tcW w:w="415" w:type="pct"/>
            <w:vMerge w:val="restart"/>
            <w:noWrap w:val="0"/>
            <w:tcMar>
              <w:top w:w="0" w:type="dxa"/>
              <w:left w:w="0" w:type="dxa"/>
              <w:bottom w:w="0" w:type="dxa"/>
              <w:right w:w="0" w:type="dxa"/>
            </w:tcMar>
            <w:vAlign w:val="center"/>
          </w:tcPr>
          <w:p w14:paraId="6F3F07C3">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auto"/>
                <w:sz w:val="18"/>
                <w:szCs w:val="18"/>
                <w:vertAlign w:val="baseline"/>
                <w:lang w:val="en-US" w:eastAsia="zh-CN"/>
              </w:rPr>
              <w:t>对被许可人以欺骗、贿赂等不正当手段取得水行政许可行为的行政处罚</w:t>
            </w:r>
          </w:p>
        </w:tc>
        <w:tc>
          <w:tcPr>
            <w:tcW w:w="2168" w:type="pct"/>
            <w:vMerge w:val="restart"/>
            <w:noWrap w:val="0"/>
            <w:tcMar>
              <w:top w:w="0" w:type="dxa"/>
              <w:left w:w="0" w:type="dxa"/>
              <w:bottom w:w="0" w:type="dxa"/>
              <w:right w:w="0" w:type="dxa"/>
            </w:tcMar>
            <w:vAlign w:val="center"/>
          </w:tcPr>
          <w:p w14:paraId="303D0E5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《中华人民共和国行政许可法》第六十九条第二款 被许可人以欺骗、贿赂等不正当手段取得行政许可的，应当予以撤销。</w:t>
            </w:r>
          </w:p>
          <w:p w14:paraId="2FDBBBF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第六十九条第三款 依照前两款的规定撤销行政许可，可能对公共利益造成重大损害的，不予撤销。</w:t>
            </w:r>
          </w:p>
          <w:p w14:paraId="7D7DADB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 xml:space="preserve">第七十九条 被许可人以欺骗、贿赂等不正当手段取得行政许可的，行政机关应当依法给予行政处罚；取得的行政许可属于直接关系公共安全、人身健康、生命财产安全事项的，申请人在三年内不得再次申请该行政许可；构成犯罪的，依法追究刑事责任。 </w:t>
            </w:r>
          </w:p>
          <w:p w14:paraId="25CCA0A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《水行政许可实施办法》第五十六条 被许可人以欺骗、贿赂等不正当手段取得水行政许可的，除可能对公共利益造成重大损害的，水行政许可实施机关应当予以撤销，并给予警告。被许可人从事非经营活动的，可以处一千元以下罚款；被许可人从事经营活动，有违法所得的，可以处违法所得三倍以下罚款，但是最高不得超过三万元，没有违法所得的，可以处一万元以下罚款，法律、法规另有规定的除外。取得的水行政许可属于直接关系防洪安全、水利工程安全、水生态环境安全、人民群众生命财产安全事项的，申请人在三年内不得再次申请该水行政许可；构成犯罪的，依法追究刑事责任。</w:t>
            </w:r>
          </w:p>
          <w:p w14:paraId="0B95515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《勘察设计注册工程师管理规定》第二十九条 以欺骗、贿赂等不正当手段取得注册证书的，由负责审批的部门撤销其注册，3年内不得再次申请注册；并由县级以上人民政府住房城乡建设主管部门或者有关部门处以罚款，其中没有违法所得的，处以1万元以下的罚款；有违法所得的，处以违法所得3倍以下且不超过3万元的罚款；构成犯罪的，依法追究刑事责任。</w:t>
            </w:r>
          </w:p>
        </w:tc>
        <w:tc>
          <w:tcPr>
            <w:tcW w:w="491" w:type="pct"/>
            <w:vMerge w:val="restart"/>
            <w:noWrap w:val="0"/>
            <w:tcMar>
              <w:top w:w="0" w:type="dxa"/>
              <w:left w:w="0" w:type="dxa"/>
              <w:bottom w:w="0" w:type="dxa"/>
              <w:right w:w="0" w:type="dxa"/>
            </w:tcMar>
            <w:vAlign w:val="center"/>
          </w:tcPr>
          <w:p w14:paraId="319B34D7">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被许可人以欺骗、贿赂等不正当手段取得水行政许可的</w:t>
            </w:r>
          </w:p>
        </w:tc>
        <w:tc>
          <w:tcPr>
            <w:tcW w:w="174" w:type="pct"/>
            <w:noWrap w:val="0"/>
            <w:tcMar>
              <w:top w:w="0" w:type="dxa"/>
              <w:left w:w="0" w:type="dxa"/>
              <w:bottom w:w="0" w:type="dxa"/>
              <w:right w:w="0" w:type="dxa"/>
            </w:tcMar>
            <w:vAlign w:val="center"/>
          </w:tcPr>
          <w:p w14:paraId="2418393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轻微</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2883A682">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70452B26">
            <w:pPr>
              <w:spacing w:line="260" w:lineRule="exact"/>
              <w:rPr>
                <w:rFonts w:hint="eastAsia" w:ascii="宋体" w:hAnsi="宋体" w:eastAsia="宋体" w:cs="宋体"/>
                <w:color w:val="000000"/>
                <w:sz w:val="18"/>
                <w:szCs w:val="18"/>
                <w:highlight w:val="yellow"/>
                <w:vertAlign w:val="baseline"/>
                <w:lang w:val="en-US" w:eastAsia="zh-CN"/>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1373D947">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1AFDA0C7">
            <w:pPr>
              <w:spacing w:line="260" w:lineRule="exact"/>
              <w:rPr>
                <w:rFonts w:hint="eastAsia" w:ascii="宋体" w:hAnsi="宋体" w:eastAsia="宋体" w:cs="宋体"/>
                <w:color w:val="000000"/>
                <w:sz w:val="18"/>
                <w:szCs w:val="18"/>
                <w:highlight w:val="yellow"/>
                <w:vertAlign w:val="baseline"/>
                <w:lang w:val="en-US" w:eastAsia="zh-CN"/>
              </w:rPr>
            </w:pPr>
          </w:p>
        </w:tc>
        <w:tc>
          <w:tcPr>
            <w:tcW w:w="158" w:type="pct"/>
            <w:vMerge w:val="restart"/>
            <w:noWrap w:val="0"/>
            <w:tcMar>
              <w:top w:w="0" w:type="dxa"/>
              <w:left w:w="0" w:type="dxa"/>
              <w:bottom w:w="0" w:type="dxa"/>
              <w:right w:w="0" w:type="dxa"/>
            </w:tcMar>
            <w:vAlign w:val="center"/>
          </w:tcPr>
          <w:p w14:paraId="4F7D73B0">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0A567F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94" w:hRule="atLeast"/>
          <w:jc w:val="center"/>
        </w:trPr>
        <w:tc>
          <w:tcPr>
            <w:tcW w:w="156" w:type="pct"/>
            <w:vMerge w:val="continue"/>
            <w:noWrap w:val="0"/>
            <w:tcMar>
              <w:top w:w="0" w:type="dxa"/>
              <w:left w:w="0" w:type="dxa"/>
              <w:bottom w:w="0" w:type="dxa"/>
              <w:right w:w="0" w:type="dxa"/>
            </w:tcMar>
            <w:vAlign w:val="center"/>
          </w:tcPr>
          <w:p w14:paraId="683010E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0165FAF6">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255AEC3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22B2030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vMerge w:val="restart"/>
            <w:noWrap w:val="0"/>
            <w:tcMar>
              <w:top w:w="0" w:type="dxa"/>
              <w:left w:w="0" w:type="dxa"/>
              <w:bottom w:w="0" w:type="dxa"/>
              <w:right w:w="0" w:type="dxa"/>
            </w:tcMar>
            <w:vAlign w:val="center"/>
          </w:tcPr>
          <w:p w14:paraId="2DDC7C2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较轻</w:t>
            </w:r>
          </w:p>
        </w:tc>
        <w:tc>
          <w:tcPr>
            <w:tcW w:w="561" w:type="pct"/>
            <w:noWrap w:val="0"/>
            <w:tcMar>
              <w:top w:w="0" w:type="dxa"/>
              <w:left w:w="0" w:type="dxa"/>
              <w:bottom w:w="0" w:type="dxa"/>
              <w:right w:w="0" w:type="dxa"/>
            </w:tcMar>
            <w:vAlign w:val="center"/>
          </w:tcPr>
          <w:p w14:paraId="5080BD8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highlight w:val="none"/>
                <w:vertAlign w:val="baseline"/>
                <w:lang w:val="en-US" w:eastAsia="zh-CN" w:bidi="ar-SA"/>
              </w:rPr>
            </w:pPr>
            <w:r>
              <w:rPr>
                <w:rFonts w:hint="eastAsia" w:ascii="宋体" w:hAnsi="宋体" w:eastAsia="宋体" w:cs="宋体"/>
                <w:color w:val="000000"/>
                <w:sz w:val="18"/>
                <w:szCs w:val="18"/>
                <w:highlight w:val="none"/>
                <w:vertAlign w:val="baseline"/>
                <w:lang w:val="en-US" w:eastAsia="zh-CN"/>
              </w:rPr>
              <w:t>从事非经营性活动的</w:t>
            </w:r>
          </w:p>
        </w:tc>
        <w:tc>
          <w:tcPr>
            <w:tcW w:w="873" w:type="pct"/>
            <w:noWrap w:val="0"/>
            <w:tcMar>
              <w:top w:w="0" w:type="dxa"/>
              <w:left w:w="0" w:type="dxa"/>
              <w:bottom w:w="0" w:type="dxa"/>
              <w:right w:w="0" w:type="dxa"/>
            </w:tcMar>
            <w:vAlign w:val="center"/>
          </w:tcPr>
          <w:p w14:paraId="4C0F144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highlight w:val="none"/>
                <w:vertAlign w:val="baseline"/>
                <w:lang w:val="en-US" w:eastAsia="zh-CN" w:bidi="ar-SA"/>
              </w:rPr>
            </w:pPr>
            <w:r>
              <w:rPr>
                <w:rFonts w:hint="eastAsia" w:ascii="宋体" w:hAnsi="宋体" w:eastAsia="宋体" w:cs="宋体"/>
                <w:color w:val="000000"/>
                <w:sz w:val="18"/>
                <w:szCs w:val="18"/>
                <w:highlight w:val="none"/>
                <w:vertAlign w:val="baseline"/>
                <w:lang w:val="en-US" w:eastAsia="zh-CN"/>
              </w:rPr>
              <w:t>撤销水行政许可，给予警告，处1千元以下的罚款</w:t>
            </w:r>
          </w:p>
        </w:tc>
        <w:tc>
          <w:tcPr>
            <w:tcW w:w="158" w:type="pct"/>
            <w:vMerge w:val="continue"/>
            <w:noWrap w:val="0"/>
            <w:tcMar>
              <w:top w:w="0" w:type="dxa"/>
              <w:left w:w="0" w:type="dxa"/>
              <w:bottom w:w="0" w:type="dxa"/>
              <w:right w:w="0" w:type="dxa"/>
            </w:tcMar>
            <w:vAlign w:val="center"/>
          </w:tcPr>
          <w:p w14:paraId="2907DE1D">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18F9C7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66" w:hRule="atLeast"/>
          <w:jc w:val="center"/>
        </w:trPr>
        <w:tc>
          <w:tcPr>
            <w:tcW w:w="156" w:type="pct"/>
            <w:vMerge w:val="continue"/>
            <w:noWrap w:val="0"/>
            <w:tcMar>
              <w:top w:w="0" w:type="dxa"/>
              <w:left w:w="0" w:type="dxa"/>
              <w:bottom w:w="0" w:type="dxa"/>
              <w:right w:w="0" w:type="dxa"/>
            </w:tcMar>
            <w:vAlign w:val="center"/>
          </w:tcPr>
          <w:p w14:paraId="20F8E05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rPr>
            </w:pPr>
          </w:p>
        </w:tc>
        <w:tc>
          <w:tcPr>
            <w:tcW w:w="415" w:type="pct"/>
            <w:vMerge w:val="continue"/>
            <w:noWrap w:val="0"/>
            <w:tcMar>
              <w:top w:w="0" w:type="dxa"/>
              <w:left w:w="0" w:type="dxa"/>
              <w:bottom w:w="0" w:type="dxa"/>
              <w:right w:w="0" w:type="dxa"/>
            </w:tcMar>
            <w:vAlign w:val="center"/>
          </w:tcPr>
          <w:p w14:paraId="6FA966D4">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rPr>
            </w:pPr>
          </w:p>
        </w:tc>
        <w:tc>
          <w:tcPr>
            <w:tcW w:w="2168" w:type="pct"/>
            <w:vMerge w:val="continue"/>
            <w:noWrap w:val="0"/>
            <w:tcMar>
              <w:top w:w="0" w:type="dxa"/>
              <w:left w:w="0" w:type="dxa"/>
              <w:bottom w:w="0" w:type="dxa"/>
              <w:right w:w="0" w:type="dxa"/>
            </w:tcMar>
            <w:vAlign w:val="center"/>
          </w:tcPr>
          <w:p w14:paraId="28855E2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rPr>
            </w:pPr>
          </w:p>
        </w:tc>
        <w:tc>
          <w:tcPr>
            <w:tcW w:w="491" w:type="pct"/>
            <w:vMerge w:val="continue"/>
            <w:noWrap w:val="0"/>
            <w:tcMar>
              <w:top w:w="0" w:type="dxa"/>
              <w:left w:w="0" w:type="dxa"/>
              <w:bottom w:w="0" w:type="dxa"/>
              <w:right w:w="0" w:type="dxa"/>
            </w:tcMar>
            <w:vAlign w:val="center"/>
          </w:tcPr>
          <w:p w14:paraId="49961AD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rPr>
            </w:pPr>
          </w:p>
        </w:tc>
        <w:tc>
          <w:tcPr>
            <w:tcW w:w="174" w:type="pct"/>
            <w:vMerge w:val="continue"/>
            <w:noWrap w:val="0"/>
            <w:tcMar>
              <w:top w:w="0" w:type="dxa"/>
              <w:left w:w="0" w:type="dxa"/>
              <w:bottom w:w="0" w:type="dxa"/>
              <w:right w:w="0" w:type="dxa"/>
            </w:tcMar>
            <w:vAlign w:val="center"/>
          </w:tcPr>
          <w:p w14:paraId="734AAB4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rPr>
            </w:pPr>
          </w:p>
        </w:tc>
        <w:tc>
          <w:tcPr>
            <w:tcW w:w="561" w:type="pct"/>
            <w:noWrap w:val="0"/>
            <w:tcMar>
              <w:top w:w="0" w:type="dxa"/>
              <w:left w:w="0" w:type="dxa"/>
              <w:bottom w:w="0" w:type="dxa"/>
              <w:right w:w="0" w:type="dxa"/>
            </w:tcMar>
            <w:vAlign w:val="center"/>
          </w:tcPr>
          <w:p w14:paraId="1FA2AE1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sz w:val="18"/>
                <w:szCs w:val="18"/>
                <w:vertAlign w:val="baseline"/>
                <w:lang w:val="en-US" w:eastAsia="zh-CN"/>
              </w:rPr>
              <w:t>从事经营性活动没有违法所得的</w:t>
            </w:r>
          </w:p>
        </w:tc>
        <w:tc>
          <w:tcPr>
            <w:tcW w:w="873" w:type="pct"/>
            <w:noWrap w:val="0"/>
            <w:tcMar>
              <w:top w:w="0" w:type="dxa"/>
              <w:left w:w="0" w:type="dxa"/>
              <w:bottom w:w="0" w:type="dxa"/>
              <w:right w:w="0" w:type="dxa"/>
            </w:tcMar>
            <w:vAlign w:val="center"/>
          </w:tcPr>
          <w:p w14:paraId="3E4EDE7C">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sz w:val="18"/>
                <w:szCs w:val="18"/>
                <w:vertAlign w:val="baseline"/>
                <w:lang w:val="en-US" w:eastAsia="zh-CN"/>
              </w:rPr>
              <w:t>撤销水行政许可，给予警告，可以处1万元以下罚款</w:t>
            </w:r>
          </w:p>
        </w:tc>
        <w:tc>
          <w:tcPr>
            <w:tcW w:w="158" w:type="pct"/>
            <w:vMerge w:val="continue"/>
            <w:noWrap w:val="0"/>
            <w:tcMar>
              <w:top w:w="0" w:type="dxa"/>
              <w:left w:w="0" w:type="dxa"/>
              <w:bottom w:w="0" w:type="dxa"/>
              <w:right w:w="0" w:type="dxa"/>
            </w:tcMar>
            <w:vAlign w:val="center"/>
          </w:tcPr>
          <w:p w14:paraId="2DD5869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lang w:val="en-US" w:eastAsia="zh-CN"/>
              </w:rPr>
            </w:pPr>
          </w:p>
        </w:tc>
      </w:tr>
      <w:tr w14:paraId="68FFAB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074" w:hRule="atLeast"/>
          <w:jc w:val="center"/>
        </w:trPr>
        <w:tc>
          <w:tcPr>
            <w:tcW w:w="156" w:type="pct"/>
            <w:vMerge w:val="continue"/>
            <w:noWrap w:val="0"/>
            <w:tcMar>
              <w:top w:w="0" w:type="dxa"/>
              <w:left w:w="0" w:type="dxa"/>
              <w:bottom w:w="0" w:type="dxa"/>
              <w:right w:w="0" w:type="dxa"/>
            </w:tcMar>
            <w:vAlign w:val="center"/>
          </w:tcPr>
          <w:p w14:paraId="4730F5D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63D0CF1E">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56F8946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329F2727">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080B8BEC">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一般</w:t>
            </w:r>
          </w:p>
        </w:tc>
        <w:tc>
          <w:tcPr>
            <w:tcW w:w="561" w:type="pct"/>
            <w:noWrap w:val="0"/>
            <w:tcMar>
              <w:top w:w="0" w:type="dxa"/>
              <w:left w:w="0" w:type="dxa"/>
              <w:bottom w:w="0" w:type="dxa"/>
              <w:right w:w="0" w:type="dxa"/>
            </w:tcMar>
            <w:vAlign w:val="center"/>
          </w:tcPr>
          <w:p w14:paraId="5FE397B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从事经营性活动有违法所得，违法所得在五千元以下的</w:t>
            </w:r>
          </w:p>
        </w:tc>
        <w:tc>
          <w:tcPr>
            <w:tcW w:w="873" w:type="pct"/>
            <w:noWrap w:val="0"/>
            <w:tcMar>
              <w:top w:w="0" w:type="dxa"/>
              <w:left w:w="0" w:type="dxa"/>
              <w:bottom w:w="0" w:type="dxa"/>
              <w:right w:w="0" w:type="dxa"/>
            </w:tcMar>
            <w:vAlign w:val="center"/>
          </w:tcPr>
          <w:p w14:paraId="241A8FC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撤销水行政许可，并给予警告，处违法所得1倍的罚款</w:t>
            </w:r>
          </w:p>
        </w:tc>
        <w:tc>
          <w:tcPr>
            <w:tcW w:w="158" w:type="pct"/>
            <w:vMerge w:val="continue"/>
            <w:noWrap w:val="0"/>
            <w:tcMar>
              <w:top w:w="0" w:type="dxa"/>
              <w:left w:w="0" w:type="dxa"/>
              <w:bottom w:w="0" w:type="dxa"/>
              <w:right w:w="0" w:type="dxa"/>
            </w:tcMar>
            <w:vAlign w:val="center"/>
          </w:tcPr>
          <w:p w14:paraId="0683EB8C">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126F9F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261" w:hRule="atLeast"/>
          <w:jc w:val="center"/>
        </w:trPr>
        <w:tc>
          <w:tcPr>
            <w:tcW w:w="156" w:type="pct"/>
            <w:vMerge w:val="continue"/>
            <w:noWrap w:val="0"/>
            <w:tcMar>
              <w:top w:w="0" w:type="dxa"/>
              <w:left w:w="0" w:type="dxa"/>
              <w:bottom w:w="0" w:type="dxa"/>
              <w:right w:w="0" w:type="dxa"/>
            </w:tcMar>
            <w:vAlign w:val="center"/>
          </w:tcPr>
          <w:p w14:paraId="244AAD5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030DD818">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25E6800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7A1C0DD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3C1596B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较重</w:t>
            </w:r>
          </w:p>
        </w:tc>
        <w:tc>
          <w:tcPr>
            <w:tcW w:w="561" w:type="pct"/>
            <w:noWrap w:val="0"/>
            <w:tcMar>
              <w:top w:w="0" w:type="dxa"/>
              <w:left w:w="0" w:type="dxa"/>
              <w:bottom w:w="0" w:type="dxa"/>
              <w:right w:w="0" w:type="dxa"/>
            </w:tcMar>
            <w:vAlign w:val="center"/>
          </w:tcPr>
          <w:p w14:paraId="620DECD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从事经营性活动有违法所得，违法所得在五千元以上一万元以下的</w:t>
            </w:r>
          </w:p>
        </w:tc>
        <w:tc>
          <w:tcPr>
            <w:tcW w:w="873" w:type="pct"/>
            <w:noWrap w:val="0"/>
            <w:tcMar>
              <w:top w:w="0" w:type="dxa"/>
              <w:left w:w="0" w:type="dxa"/>
              <w:bottom w:w="0" w:type="dxa"/>
              <w:right w:w="0" w:type="dxa"/>
            </w:tcMar>
            <w:vAlign w:val="center"/>
          </w:tcPr>
          <w:p w14:paraId="65EA1057">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撤销水行政许可，并给予警告，处违法所得1倍以上2倍以下的罚款</w:t>
            </w:r>
          </w:p>
        </w:tc>
        <w:tc>
          <w:tcPr>
            <w:tcW w:w="158" w:type="pct"/>
            <w:vMerge w:val="continue"/>
            <w:noWrap w:val="0"/>
            <w:tcMar>
              <w:top w:w="0" w:type="dxa"/>
              <w:left w:w="0" w:type="dxa"/>
              <w:bottom w:w="0" w:type="dxa"/>
              <w:right w:w="0" w:type="dxa"/>
            </w:tcMar>
            <w:vAlign w:val="center"/>
          </w:tcPr>
          <w:p w14:paraId="28FAC4E9">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68D260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137" w:hRule="atLeast"/>
          <w:jc w:val="center"/>
        </w:trPr>
        <w:tc>
          <w:tcPr>
            <w:tcW w:w="156" w:type="pct"/>
            <w:vMerge w:val="continue"/>
            <w:noWrap w:val="0"/>
            <w:tcMar>
              <w:top w:w="0" w:type="dxa"/>
              <w:left w:w="0" w:type="dxa"/>
              <w:bottom w:w="0" w:type="dxa"/>
              <w:right w:w="0" w:type="dxa"/>
            </w:tcMar>
            <w:vAlign w:val="center"/>
          </w:tcPr>
          <w:p w14:paraId="7160474C">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3B7BF956">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10E9965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233ECC7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2E3EBDA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严重</w:t>
            </w:r>
          </w:p>
        </w:tc>
        <w:tc>
          <w:tcPr>
            <w:tcW w:w="561" w:type="pct"/>
            <w:noWrap w:val="0"/>
            <w:tcMar>
              <w:top w:w="0" w:type="dxa"/>
              <w:left w:w="0" w:type="dxa"/>
              <w:bottom w:w="0" w:type="dxa"/>
              <w:right w:w="0" w:type="dxa"/>
            </w:tcMar>
            <w:vAlign w:val="center"/>
          </w:tcPr>
          <w:p w14:paraId="1C80A584">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从事经营性活动有违法所得，违法所得在一万元以上的</w:t>
            </w:r>
          </w:p>
        </w:tc>
        <w:tc>
          <w:tcPr>
            <w:tcW w:w="873" w:type="pct"/>
            <w:noWrap w:val="0"/>
            <w:tcMar>
              <w:top w:w="0" w:type="dxa"/>
              <w:left w:w="0" w:type="dxa"/>
              <w:bottom w:w="0" w:type="dxa"/>
              <w:right w:w="0" w:type="dxa"/>
            </w:tcMar>
            <w:vAlign w:val="center"/>
          </w:tcPr>
          <w:p w14:paraId="571B7D4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水行政许可撤销，并给予警告，可以处违法所得2倍以上3倍以下的罚款，但最高额不超过3万元</w:t>
            </w:r>
          </w:p>
        </w:tc>
        <w:tc>
          <w:tcPr>
            <w:tcW w:w="158" w:type="pct"/>
            <w:vMerge w:val="continue"/>
            <w:noWrap w:val="0"/>
            <w:tcMar>
              <w:top w:w="0" w:type="dxa"/>
              <w:left w:w="0" w:type="dxa"/>
              <w:bottom w:w="0" w:type="dxa"/>
              <w:right w:w="0" w:type="dxa"/>
            </w:tcMar>
            <w:vAlign w:val="center"/>
          </w:tcPr>
          <w:p w14:paraId="4F85CC6A">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39611C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561" w:hRule="atLeast"/>
          <w:jc w:val="center"/>
        </w:trPr>
        <w:tc>
          <w:tcPr>
            <w:tcW w:w="156" w:type="pct"/>
            <w:noWrap w:val="0"/>
            <w:tcMar>
              <w:top w:w="0" w:type="dxa"/>
              <w:left w:w="0" w:type="dxa"/>
              <w:bottom w:w="0" w:type="dxa"/>
              <w:right w:w="0" w:type="dxa"/>
            </w:tcMar>
            <w:vAlign w:val="center"/>
          </w:tcPr>
          <w:p w14:paraId="44AED299">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r>
              <w:rPr>
                <w:rFonts w:hint="eastAsia" w:ascii="宋体" w:hAnsi="宋体" w:eastAsia="宋体" w:cs="宋体"/>
                <w:color w:val="000000"/>
                <w:sz w:val="18"/>
                <w:szCs w:val="18"/>
                <w:shd w:val="clear" w:color="auto" w:fill="auto"/>
                <w:vertAlign w:val="baseline"/>
                <w:lang w:val="en-US" w:eastAsia="zh-CN"/>
              </w:rPr>
              <w:t>138</w:t>
            </w:r>
          </w:p>
        </w:tc>
        <w:tc>
          <w:tcPr>
            <w:tcW w:w="415" w:type="pct"/>
            <w:noWrap w:val="0"/>
            <w:tcMar>
              <w:top w:w="0" w:type="dxa"/>
              <w:left w:w="0" w:type="dxa"/>
              <w:bottom w:w="0" w:type="dxa"/>
              <w:right w:w="0" w:type="dxa"/>
            </w:tcMar>
            <w:vAlign w:val="center"/>
          </w:tcPr>
          <w:p w14:paraId="59B6CA4E">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auto"/>
                <w:sz w:val="18"/>
                <w:szCs w:val="18"/>
                <w:vertAlign w:val="baseline"/>
                <w:lang w:val="en-US" w:eastAsia="zh-CN"/>
              </w:rPr>
              <w:t>对水行政许可申请人隐瞒有关情况或者提供虚假材料申请水行政许可行为的行政处罚</w:t>
            </w:r>
          </w:p>
        </w:tc>
        <w:tc>
          <w:tcPr>
            <w:tcW w:w="2168" w:type="pct"/>
            <w:noWrap w:val="0"/>
            <w:tcMar>
              <w:top w:w="0" w:type="dxa"/>
              <w:left w:w="0" w:type="dxa"/>
              <w:bottom w:w="0" w:type="dxa"/>
              <w:right w:w="0" w:type="dxa"/>
            </w:tcMar>
            <w:vAlign w:val="center"/>
          </w:tcPr>
          <w:p w14:paraId="385CA90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《中华人民共和国行政许可法》第七十八条 行政许可申请人隐瞒有关情况或者提供虚假材料申请行政许可的，行政机关不予受理或者不予行政许可，并给予警告；行政许可申请属于直接关系公共安全、人身健康、生命财产安全事项的，申请人在一年内不得再次申请该行政许可。</w:t>
            </w:r>
          </w:p>
          <w:p w14:paraId="72675FBC">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《水行政许可实施办法》第五十五条 水行政许可申请人隐瞒有关情况或者提供虚假材料申请水行政许可的，水行政许可实施机关应当不予受理或者不予水行政许可，并给予警告；水行政许可申请属于直接关系防洪安全、水利工程安全、水生态环境安全、人民群众生命财产安全事项的，申请人在一年内不得再次申请该水行政许可。</w:t>
            </w:r>
          </w:p>
        </w:tc>
        <w:tc>
          <w:tcPr>
            <w:tcW w:w="491" w:type="pct"/>
            <w:noWrap w:val="0"/>
            <w:tcMar>
              <w:top w:w="0" w:type="dxa"/>
              <w:left w:w="0" w:type="dxa"/>
              <w:bottom w:w="0" w:type="dxa"/>
              <w:right w:w="0" w:type="dxa"/>
            </w:tcMar>
            <w:vAlign w:val="center"/>
          </w:tcPr>
          <w:p w14:paraId="4A02760C">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水行政许可申请人隐瞒有关情况或者提供虚假材料申请水行政许可的</w:t>
            </w:r>
          </w:p>
        </w:tc>
        <w:tc>
          <w:tcPr>
            <w:tcW w:w="1610" w:type="pct"/>
            <w:gridSpan w:val="3"/>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50616D6B">
            <w:pPr>
              <w:snapToGrid w:val="0"/>
              <w:spacing w:line="260" w:lineRule="exact"/>
              <w:jc w:val="center"/>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2749B70A">
            <w:pPr>
              <w:spacing w:line="260" w:lineRule="exact"/>
              <w:jc w:val="center"/>
              <w:rPr>
                <w:rFonts w:hint="eastAsia" w:ascii="宋体" w:hAnsi="宋体" w:eastAsia="宋体" w:cs="宋体"/>
                <w:color w:val="000000"/>
                <w:kern w:val="2"/>
                <w:sz w:val="18"/>
                <w:szCs w:val="18"/>
                <w:highlight w:val="yellow"/>
                <w:vertAlign w:val="baseline"/>
                <w:lang w:val="en-US" w:eastAsia="zh-CN" w:bidi="ar-SA"/>
              </w:rPr>
            </w:pPr>
          </w:p>
        </w:tc>
        <w:tc>
          <w:tcPr>
            <w:tcW w:w="158"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59CA73A6">
            <w:pPr>
              <w:snapToGrid w:val="0"/>
              <w:spacing w:line="260" w:lineRule="exact"/>
              <w:jc w:val="center"/>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761490C3">
            <w:pPr>
              <w:spacing w:line="260" w:lineRule="exact"/>
              <w:jc w:val="center"/>
              <w:rPr>
                <w:rFonts w:hint="eastAsia" w:ascii="宋体" w:hAnsi="宋体" w:eastAsia="宋体" w:cs="宋体"/>
                <w:color w:val="000000"/>
                <w:sz w:val="18"/>
                <w:szCs w:val="18"/>
                <w:vertAlign w:val="baseline"/>
              </w:rPr>
            </w:pPr>
          </w:p>
        </w:tc>
      </w:tr>
      <w:tr w14:paraId="7DD59A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56" w:type="pct"/>
            <w:vMerge w:val="restart"/>
            <w:noWrap w:val="0"/>
            <w:tcMar>
              <w:top w:w="0" w:type="dxa"/>
              <w:left w:w="0" w:type="dxa"/>
              <w:bottom w:w="0" w:type="dxa"/>
              <w:right w:w="0" w:type="dxa"/>
            </w:tcMar>
            <w:vAlign w:val="center"/>
          </w:tcPr>
          <w:p w14:paraId="6BACE9D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r>
              <w:rPr>
                <w:rFonts w:hint="eastAsia" w:ascii="宋体" w:hAnsi="宋体" w:eastAsia="宋体" w:cs="宋体"/>
                <w:color w:val="000000"/>
                <w:sz w:val="18"/>
                <w:szCs w:val="18"/>
                <w:shd w:val="clear" w:color="auto" w:fill="auto"/>
                <w:vertAlign w:val="baseline"/>
                <w:lang w:val="en-US" w:eastAsia="zh-CN"/>
              </w:rPr>
              <w:t>139</w:t>
            </w:r>
          </w:p>
        </w:tc>
        <w:tc>
          <w:tcPr>
            <w:tcW w:w="415" w:type="pct"/>
            <w:vMerge w:val="restart"/>
            <w:noWrap w:val="0"/>
            <w:tcMar>
              <w:top w:w="0" w:type="dxa"/>
              <w:left w:w="0" w:type="dxa"/>
              <w:bottom w:w="0" w:type="dxa"/>
              <w:right w:w="0" w:type="dxa"/>
            </w:tcMar>
            <w:vAlign w:val="center"/>
          </w:tcPr>
          <w:p w14:paraId="3ADF95F7">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auto"/>
                <w:sz w:val="18"/>
                <w:szCs w:val="18"/>
                <w:vertAlign w:val="baseline"/>
                <w:lang w:val="en-US" w:eastAsia="zh-CN"/>
              </w:rPr>
              <w:t>对被许可人涂改、倒卖、出租、出借水行政许可证件，或者以其他形式非法转让水行政许可等行为的行政处罚</w:t>
            </w:r>
          </w:p>
        </w:tc>
        <w:tc>
          <w:tcPr>
            <w:tcW w:w="2168" w:type="pct"/>
            <w:vMerge w:val="restart"/>
            <w:noWrap w:val="0"/>
            <w:tcMar>
              <w:top w:w="0" w:type="dxa"/>
              <w:left w:w="0" w:type="dxa"/>
              <w:bottom w:w="0" w:type="dxa"/>
              <w:right w:w="0" w:type="dxa"/>
            </w:tcMar>
            <w:vAlign w:val="center"/>
          </w:tcPr>
          <w:p w14:paraId="3AE0AF6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《中华人民共和国行政许可法》第八十条 被许可人有下列行为之一的，行政机关应当依法给予行政处罚；构成犯罪的，依法追究刑事责任：</w:t>
            </w:r>
          </w:p>
          <w:p w14:paraId="239F3B0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（一）涂改、倒卖、出租、出借行政许可证件，或者以其他形式非法转让行政许可的；</w:t>
            </w:r>
          </w:p>
          <w:p w14:paraId="2F20E8A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（二）超越行政许可范围进行活动的；</w:t>
            </w:r>
          </w:p>
          <w:p w14:paraId="7A6555EC">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（三）向负责监督检查的行政机关隐瞒有关情况、提供虚假材料或者拒绝提供反映其活动情况的真实材料的；</w:t>
            </w:r>
          </w:p>
          <w:p w14:paraId="2B1B4DC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（四）法律、法规、规章规定的其他违法行为。</w:t>
            </w:r>
          </w:p>
          <w:p w14:paraId="6F3F1C1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《水行政许可实施办法》第五十七条 被许可人有《行政许可法》第八十条规定的行为之一的，水行政许可实施机关根据情节轻重，应当给予警告或者降低水行政许可资格（质）等级。被许可人从事非经营活动的，可以处一千元以下罚款；被许可人从事经营活动，有违法所得的，可以处违法所得三倍以下罚款，但是最高不得超过三万元，没有违法所得的，可以处一万元以下罚款，法律、法规另有规定的除外；构成犯罪的，依法追究刑事责任。</w:t>
            </w:r>
          </w:p>
        </w:tc>
        <w:tc>
          <w:tcPr>
            <w:tcW w:w="491" w:type="pct"/>
            <w:vMerge w:val="restart"/>
            <w:noWrap w:val="0"/>
            <w:tcMar>
              <w:top w:w="0" w:type="dxa"/>
              <w:left w:w="0" w:type="dxa"/>
              <w:bottom w:w="0" w:type="dxa"/>
              <w:right w:w="0" w:type="dxa"/>
            </w:tcMar>
            <w:vAlign w:val="center"/>
          </w:tcPr>
          <w:p w14:paraId="45B6AD0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被许可人涂改、倒卖、出租、出借水行政许可证件，或者以其他形式非法转让水行政许可的</w:t>
            </w:r>
          </w:p>
        </w:tc>
        <w:tc>
          <w:tcPr>
            <w:tcW w:w="174" w:type="pct"/>
            <w:noWrap w:val="0"/>
            <w:tcMar>
              <w:top w:w="0" w:type="dxa"/>
              <w:left w:w="0" w:type="dxa"/>
              <w:bottom w:w="0" w:type="dxa"/>
              <w:right w:w="0" w:type="dxa"/>
            </w:tcMar>
            <w:vAlign w:val="center"/>
          </w:tcPr>
          <w:p w14:paraId="07EA7759">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轻微</w:t>
            </w:r>
          </w:p>
        </w:tc>
        <w:tc>
          <w:tcPr>
            <w:tcW w:w="561"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33F00F68">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427ACCB0">
            <w:pPr>
              <w:spacing w:line="260" w:lineRule="exact"/>
              <w:rPr>
                <w:rFonts w:hint="eastAsia" w:ascii="宋体" w:hAnsi="宋体" w:eastAsia="宋体" w:cs="宋体"/>
                <w:color w:val="000000"/>
                <w:kern w:val="2"/>
                <w:sz w:val="18"/>
                <w:szCs w:val="18"/>
                <w:highlight w:val="yellow"/>
                <w:vertAlign w:val="baseline"/>
                <w:lang w:val="en-US" w:eastAsia="zh-CN" w:bidi="ar-SA"/>
              </w:rPr>
            </w:pPr>
          </w:p>
        </w:tc>
        <w:tc>
          <w:tcPr>
            <w:tcW w:w="873"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4F42D103">
            <w:pPr>
              <w:snapToGrid w:val="0"/>
              <w:spacing w:line="260" w:lineRule="exact"/>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13F052F3">
            <w:pPr>
              <w:spacing w:line="260" w:lineRule="exact"/>
              <w:rPr>
                <w:rFonts w:hint="eastAsia" w:ascii="宋体" w:hAnsi="宋体" w:eastAsia="宋体" w:cs="宋体"/>
                <w:color w:val="000000"/>
                <w:kern w:val="2"/>
                <w:sz w:val="18"/>
                <w:szCs w:val="18"/>
                <w:highlight w:val="yellow"/>
                <w:vertAlign w:val="baseline"/>
                <w:lang w:val="en-US" w:eastAsia="zh-CN" w:bidi="ar-SA"/>
              </w:rPr>
            </w:pPr>
          </w:p>
        </w:tc>
        <w:tc>
          <w:tcPr>
            <w:tcW w:w="158" w:type="pct"/>
            <w:vMerge w:val="restart"/>
            <w:noWrap w:val="0"/>
            <w:tcMar>
              <w:top w:w="0" w:type="dxa"/>
              <w:left w:w="0" w:type="dxa"/>
              <w:bottom w:w="0" w:type="dxa"/>
              <w:right w:w="0" w:type="dxa"/>
            </w:tcMar>
            <w:vAlign w:val="center"/>
          </w:tcPr>
          <w:p w14:paraId="73C5E51B">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75C07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716" w:hRule="atLeast"/>
          <w:jc w:val="center"/>
        </w:trPr>
        <w:tc>
          <w:tcPr>
            <w:tcW w:w="156" w:type="pct"/>
            <w:vMerge w:val="continue"/>
            <w:noWrap w:val="0"/>
            <w:tcMar>
              <w:top w:w="0" w:type="dxa"/>
              <w:left w:w="0" w:type="dxa"/>
              <w:bottom w:w="0" w:type="dxa"/>
              <w:right w:w="0" w:type="dxa"/>
            </w:tcMar>
            <w:vAlign w:val="center"/>
          </w:tcPr>
          <w:p w14:paraId="0D79461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77C6A395">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3208CD2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2A36E33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vMerge w:val="restart"/>
            <w:noWrap w:val="0"/>
            <w:tcMar>
              <w:top w:w="0" w:type="dxa"/>
              <w:left w:w="0" w:type="dxa"/>
              <w:bottom w:w="0" w:type="dxa"/>
              <w:right w:w="0" w:type="dxa"/>
            </w:tcMar>
            <w:vAlign w:val="center"/>
          </w:tcPr>
          <w:p w14:paraId="23748AE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较轻</w:t>
            </w:r>
          </w:p>
        </w:tc>
        <w:tc>
          <w:tcPr>
            <w:tcW w:w="561" w:type="pct"/>
            <w:noWrap w:val="0"/>
            <w:tcMar>
              <w:top w:w="0" w:type="dxa"/>
              <w:left w:w="0" w:type="dxa"/>
              <w:bottom w:w="0" w:type="dxa"/>
              <w:right w:w="0" w:type="dxa"/>
            </w:tcMar>
            <w:vAlign w:val="center"/>
          </w:tcPr>
          <w:p w14:paraId="24A4FFD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highlight w:val="none"/>
                <w:vertAlign w:val="baseline"/>
                <w:lang w:val="en-US" w:eastAsia="zh-CN" w:bidi="ar-SA"/>
              </w:rPr>
            </w:pPr>
            <w:r>
              <w:rPr>
                <w:rFonts w:hint="eastAsia" w:ascii="宋体" w:hAnsi="宋体" w:eastAsia="宋体" w:cs="宋体"/>
                <w:color w:val="000000"/>
                <w:sz w:val="18"/>
                <w:szCs w:val="18"/>
                <w:highlight w:val="none"/>
                <w:vertAlign w:val="baseline"/>
                <w:lang w:val="en-US" w:eastAsia="zh-CN"/>
              </w:rPr>
              <w:t>从事非经营性活动未造成危害后果的</w:t>
            </w:r>
          </w:p>
        </w:tc>
        <w:tc>
          <w:tcPr>
            <w:tcW w:w="873" w:type="pct"/>
            <w:noWrap w:val="0"/>
            <w:tcMar>
              <w:top w:w="0" w:type="dxa"/>
              <w:left w:w="0" w:type="dxa"/>
              <w:bottom w:w="0" w:type="dxa"/>
              <w:right w:w="0" w:type="dxa"/>
            </w:tcMar>
            <w:vAlign w:val="center"/>
          </w:tcPr>
          <w:p w14:paraId="5EDE7EA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highlight w:val="none"/>
                <w:vertAlign w:val="baseline"/>
                <w:lang w:val="en-US" w:eastAsia="zh-CN" w:bidi="ar-SA"/>
              </w:rPr>
            </w:pPr>
            <w:r>
              <w:rPr>
                <w:rFonts w:hint="eastAsia" w:ascii="宋体" w:hAnsi="宋体" w:eastAsia="宋体" w:cs="宋体"/>
                <w:color w:val="000000"/>
                <w:sz w:val="18"/>
                <w:szCs w:val="18"/>
                <w:highlight w:val="none"/>
                <w:vertAlign w:val="baseline"/>
                <w:lang w:val="en-US" w:eastAsia="zh-CN"/>
              </w:rPr>
              <w:t>给予警告，处1千元以下罚款</w:t>
            </w:r>
          </w:p>
        </w:tc>
        <w:tc>
          <w:tcPr>
            <w:tcW w:w="158" w:type="pct"/>
            <w:vMerge w:val="continue"/>
            <w:noWrap w:val="0"/>
            <w:tcMar>
              <w:top w:w="0" w:type="dxa"/>
              <w:left w:w="0" w:type="dxa"/>
              <w:bottom w:w="0" w:type="dxa"/>
              <w:right w:w="0" w:type="dxa"/>
            </w:tcMar>
            <w:vAlign w:val="center"/>
          </w:tcPr>
          <w:p w14:paraId="7C513FF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57C8A6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97" w:hRule="atLeast"/>
          <w:jc w:val="center"/>
        </w:trPr>
        <w:tc>
          <w:tcPr>
            <w:tcW w:w="156" w:type="pct"/>
            <w:vMerge w:val="continue"/>
            <w:noWrap w:val="0"/>
            <w:tcMar>
              <w:top w:w="0" w:type="dxa"/>
              <w:left w:w="0" w:type="dxa"/>
              <w:bottom w:w="0" w:type="dxa"/>
              <w:right w:w="0" w:type="dxa"/>
            </w:tcMar>
            <w:vAlign w:val="center"/>
          </w:tcPr>
          <w:p w14:paraId="5816A2F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rPr>
            </w:pPr>
          </w:p>
        </w:tc>
        <w:tc>
          <w:tcPr>
            <w:tcW w:w="415" w:type="pct"/>
            <w:vMerge w:val="continue"/>
            <w:noWrap w:val="0"/>
            <w:tcMar>
              <w:top w:w="0" w:type="dxa"/>
              <w:left w:w="0" w:type="dxa"/>
              <w:bottom w:w="0" w:type="dxa"/>
              <w:right w:w="0" w:type="dxa"/>
            </w:tcMar>
            <w:vAlign w:val="center"/>
          </w:tcPr>
          <w:p w14:paraId="76DAD6B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rPr>
            </w:pPr>
          </w:p>
        </w:tc>
        <w:tc>
          <w:tcPr>
            <w:tcW w:w="2168" w:type="pct"/>
            <w:vMerge w:val="continue"/>
            <w:noWrap w:val="0"/>
            <w:tcMar>
              <w:top w:w="0" w:type="dxa"/>
              <w:left w:w="0" w:type="dxa"/>
              <w:bottom w:w="0" w:type="dxa"/>
              <w:right w:w="0" w:type="dxa"/>
            </w:tcMar>
            <w:vAlign w:val="center"/>
          </w:tcPr>
          <w:p w14:paraId="3AF9D24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rPr>
            </w:pPr>
          </w:p>
        </w:tc>
        <w:tc>
          <w:tcPr>
            <w:tcW w:w="491" w:type="pct"/>
            <w:vMerge w:val="continue"/>
            <w:noWrap w:val="0"/>
            <w:tcMar>
              <w:top w:w="0" w:type="dxa"/>
              <w:left w:w="0" w:type="dxa"/>
              <w:bottom w:w="0" w:type="dxa"/>
              <w:right w:w="0" w:type="dxa"/>
            </w:tcMar>
            <w:vAlign w:val="center"/>
          </w:tcPr>
          <w:p w14:paraId="568675A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18"/>
                <w:szCs w:val="18"/>
              </w:rPr>
            </w:pPr>
          </w:p>
        </w:tc>
        <w:tc>
          <w:tcPr>
            <w:tcW w:w="174" w:type="pct"/>
            <w:vMerge w:val="continue"/>
            <w:noWrap w:val="0"/>
            <w:tcMar>
              <w:top w:w="0" w:type="dxa"/>
              <w:left w:w="0" w:type="dxa"/>
              <w:bottom w:w="0" w:type="dxa"/>
              <w:right w:w="0" w:type="dxa"/>
            </w:tcMar>
            <w:vAlign w:val="center"/>
          </w:tcPr>
          <w:p w14:paraId="1130E080">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18"/>
                <w:szCs w:val="18"/>
              </w:rPr>
            </w:pPr>
          </w:p>
        </w:tc>
        <w:tc>
          <w:tcPr>
            <w:tcW w:w="561" w:type="pct"/>
            <w:noWrap w:val="0"/>
            <w:tcMar>
              <w:top w:w="0" w:type="dxa"/>
              <w:left w:w="0" w:type="dxa"/>
              <w:bottom w:w="0" w:type="dxa"/>
              <w:right w:w="0" w:type="dxa"/>
            </w:tcMar>
            <w:vAlign w:val="center"/>
          </w:tcPr>
          <w:p w14:paraId="467C7AD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sz w:val="18"/>
                <w:szCs w:val="18"/>
                <w:vertAlign w:val="baseline"/>
                <w:lang w:val="en-US" w:eastAsia="zh-CN"/>
              </w:rPr>
              <w:t>从事经营性活动没有违法所得，未造成危害后果的</w:t>
            </w:r>
          </w:p>
        </w:tc>
        <w:tc>
          <w:tcPr>
            <w:tcW w:w="873" w:type="pct"/>
            <w:noWrap w:val="0"/>
            <w:tcMar>
              <w:top w:w="0" w:type="dxa"/>
              <w:left w:w="0" w:type="dxa"/>
              <w:bottom w:w="0" w:type="dxa"/>
              <w:right w:w="0" w:type="dxa"/>
            </w:tcMar>
            <w:vAlign w:val="center"/>
          </w:tcPr>
          <w:p w14:paraId="636AE9B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sz w:val="18"/>
                <w:szCs w:val="18"/>
                <w:vertAlign w:val="baseline"/>
                <w:lang w:val="en-US" w:eastAsia="zh-CN"/>
              </w:rPr>
              <w:t>给予警告，处1万元以下罚款</w:t>
            </w:r>
          </w:p>
        </w:tc>
        <w:tc>
          <w:tcPr>
            <w:tcW w:w="158" w:type="pct"/>
            <w:vMerge w:val="continue"/>
            <w:noWrap w:val="0"/>
            <w:tcMar>
              <w:top w:w="0" w:type="dxa"/>
              <w:left w:w="0" w:type="dxa"/>
              <w:bottom w:w="0" w:type="dxa"/>
              <w:right w:w="0" w:type="dxa"/>
            </w:tcMar>
            <w:vAlign w:val="center"/>
          </w:tcPr>
          <w:p w14:paraId="286E471D">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lang w:val="en-US" w:eastAsia="zh-CN"/>
              </w:rPr>
            </w:pPr>
          </w:p>
        </w:tc>
      </w:tr>
      <w:tr w14:paraId="7768B1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143" w:hRule="atLeast"/>
          <w:jc w:val="center"/>
        </w:trPr>
        <w:tc>
          <w:tcPr>
            <w:tcW w:w="156" w:type="pct"/>
            <w:vMerge w:val="continue"/>
            <w:noWrap w:val="0"/>
            <w:tcMar>
              <w:top w:w="0" w:type="dxa"/>
              <w:left w:w="0" w:type="dxa"/>
              <w:bottom w:w="0" w:type="dxa"/>
              <w:right w:w="0" w:type="dxa"/>
            </w:tcMar>
            <w:vAlign w:val="center"/>
          </w:tcPr>
          <w:p w14:paraId="4B15D8DA">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13094F4F">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42FB8EA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5521A1B7">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2BFF78B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一般</w:t>
            </w:r>
          </w:p>
        </w:tc>
        <w:tc>
          <w:tcPr>
            <w:tcW w:w="561" w:type="pct"/>
            <w:noWrap w:val="0"/>
            <w:tcMar>
              <w:top w:w="0" w:type="dxa"/>
              <w:left w:w="0" w:type="dxa"/>
              <w:bottom w:w="0" w:type="dxa"/>
              <w:right w:w="0" w:type="dxa"/>
            </w:tcMar>
            <w:vAlign w:val="center"/>
          </w:tcPr>
          <w:p w14:paraId="7BE3AA8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sz w:val="18"/>
                <w:szCs w:val="18"/>
                <w:vertAlign w:val="baseline"/>
                <w:lang w:val="en-US" w:eastAsia="zh-CN"/>
              </w:rPr>
              <w:t>从事经营性活动有违法所得，违法所得在五千元以下的，或者造成轻微危害后果的</w:t>
            </w:r>
          </w:p>
        </w:tc>
        <w:tc>
          <w:tcPr>
            <w:tcW w:w="873" w:type="pct"/>
            <w:noWrap w:val="0"/>
            <w:tcMar>
              <w:top w:w="0" w:type="dxa"/>
              <w:left w:w="0" w:type="dxa"/>
              <w:bottom w:w="0" w:type="dxa"/>
              <w:right w:w="0" w:type="dxa"/>
            </w:tcMar>
            <w:vAlign w:val="center"/>
          </w:tcPr>
          <w:p w14:paraId="24C3D404">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sz w:val="18"/>
                <w:szCs w:val="18"/>
                <w:vertAlign w:val="baseline"/>
                <w:lang w:val="en-US" w:eastAsia="zh-CN"/>
              </w:rPr>
              <w:t>给予警告，处违法所得1倍的罚款</w:t>
            </w:r>
          </w:p>
        </w:tc>
        <w:tc>
          <w:tcPr>
            <w:tcW w:w="158" w:type="pct"/>
            <w:vMerge w:val="continue"/>
            <w:noWrap w:val="0"/>
            <w:tcMar>
              <w:top w:w="0" w:type="dxa"/>
              <w:left w:w="0" w:type="dxa"/>
              <w:bottom w:w="0" w:type="dxa"/>
              <w:right w:w="0" w:type="dxa"/>
            </w:tcMar>
            <w:vAlign w:val="center"/>
          </w:tcPr>
          <w:p w14:paraId="32CAA4E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723DCF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471" w:hRule="atLeast"/>
          <w:jc w:val="center"/>
        </w:trPr>
        <w:tc>
          <w:tcPr>
            <w:tcW w:w="156" w:type="pct"/>
            <w:vMerge w:val="continue"/>
            <w:noWrap w:val="0"/>
            <w:tcMar>
              <w:top w:w="0" w:type="dxa"/>
              <w:left w:w="0" w:type="dxa"/>
              <w:bottom w:w="0" w:type="dxa"/>
              <w:right w:w="0" w:type="dxa"/>
            </w:tcMar>
            <w:vAlign w:val="center"/>
          </w:tcPr>
          <w:p w14:paraId="2C5D688C">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60FF0057">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10FBF64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26BA51C4">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4BA588AC">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较重</w:t>
            </w:r>
          </w:p>
        </w:tc>
        <w:tc>
          <w:tcPr>
            <w:tcW w:w="561" w:type="pct"/>
            <w:noWrap w:val="0"/>
            <w:tcMar>
              <w:top w:w="0" w:type="dxa"/>
              <w:left w:w="0" w:type="dxa"/>
              <w:bottom w:w="0" w:type="dxa"/>
              <w:right w:w="0" w:type="dxa"/>
            </w:tcMar>
            <w:vAlign w:val="center"/>
          </w:tcPr>
          <w:p w14:paraId="318AD81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sz w:val="18"/>
                <w:szCs w:val="18"/>
                <w:vertAlign w:val="baseline"/>
                <w:lang w:val="en-US" w:eastAsia="zh-CN"/>
              </w:rPr>
              <w:t>从事经营性活动有违法所得，违法所得在五千元以上一万元以下的，或者造成严重危害后果的</w:t>
            </w:r>
          </w:p>
        </w:tc>
        <w:tc>
          <w:tcPr>
            <w:tcW w:w="873" w:type="pct"/>
            <w:noWrap w:val="0"/>
            <w:tcMar>
              <w:top w:w="0" w:type="dxa"/>
              <w:left w:w="0" w:type="dxa"/>
              <w:bottom w:w="0" w:type="dxa"/>
              <w:right w:w="0" w:type="dxa"/>
            </w:tcMar>
            <w:vAlign w:val="center"/>
          </w:tcPr>
          <w:p w14:paraId="4B235A3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sz w:val="18"/>
                <w:szCs w:val="18"/>
                <w:vertAlign w:val="baseline"/>
                <w:lang w:val="en-US" w:eastAsia="zh-CN"/>
              </w:rPr>
              <w:t>降低水行政许可资格（质）一个等级，处违法所得1倍以上2倍以下的罚款</w:t>
            </w:r>
          </w:p>
        </w:tc>
        <w:tc>
          <w:tcPr>
            <w:tcW w:w="158" w:type="pct"/>
            <w:vMerge w:val="continue"/>
            <w:noWrap w:val="0"/>
            <w:tcMar>
              <w:top w:w="0" w:type="dxa"/>
              <w:left w:w="0" w:type="dxa"/>
              <w:bottom w:w="0" w:type="dxa"/>
              <w:right w:w="0" w:type="dxa"/>
            </w:tcMar>
            <w:vAlign w:val="center"/>
          </w:tcPr>
          <w:p w14:paraId="4CC62E20">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0681A9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70" w:hRule="atLeast"/>
          <w:jc w:val="center"/>
        </w:trPr>
        <w:tc>
          <w:tcPr>
            <w:tcW w:w="156" w:type="pct"/>
            <w:vMerge w:val="continue"/>
            <w:noWrap w:val="0"/>
            <w:tcMar>
              <w:top w:w="0" w:type="dxa"/>
              <w:left w:w="0" w:type="dxa"/>
              <w:bottom w:w="0" w:type="dxa"/>
              <w:right w:w="0" w:type="dxa"/>
            </w:tcMar>
            <w:vAlign w:val="center"/>
          </w:tcPr>
          <w:p w14:paraId="1A87E17C">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shd w:val="clear" w:color="auto" w:fill="auto"/>
                <w:vertAlign w:val="baseline"/>
                <w:lang w:val="en-US" w:eastAsia="zh-CN"/>
              </w:rPr>
            </w:pPr>
          </w:p>
        </w:tc>
        <w:tc>
          <w:tcPr>
            <w:tcW w:w="415" w:type="pct"/>
            <w:vMerge w:val="continue"/>
            <w:noWrap w:val="0"/>
            <w:tcMar>
              <w:top w:w="0" w:type="dxa"/>
              <w:left w:w="0" w:type="dxa"/>
              <w:bottom w:w="0" w:type="dxa"/>
              <w:right w:w="0" w:type="dxa"/>
            </w:tcMar>
            <w:vAlign w:val="center"/>
          </w:tcPr>
          <w:p w14:paraId="67B6E87F">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2168" w:type="pct"/>
            <w:vMerge w:val="continue"/>
            <w:noWrap w:val="0"/>
            <w:tcMar>
              <w:top w:w="0" w:type="dxa"/>
              <w:left w:w="0" w:type="dxa"/>
              <w:bottom w:w="0" w:type="dxa"/>
              <w:right w:w="0" w:type="dxa"/>
            </w:tcMar>
            <w:vAlign w:val="center"/>
          </w:tcPr>
          <w:p w14:paraId="7E0B175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491" w:type="pct"/>
            <w:vMerge w:val="continue"/>
            <w:noWrap w:val="0"/>
            <w:tcMar>
              <w:top w:w="0" w:type="dxa"/>
              <w:left w:w="0" w:type="dxa"/>
              <w:bottom w:w="0" w:type="dxa"/>
              <w:right w:w="0" w:type="dxa"/>
            </w:tcMar>
            <w:vAlign w:val="center"/>
          </w:tcPr>
          <w:p w14:paraId="550868E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p>
        </w:tc>
        <w:tc>
          <w:tcPr>
            <w:tcW w:w="174" w:type="pct"/>
            <w:noWrap w:val="0"/>
            <w:tcMar>
              <w:top w:w="0" w:type="dxa"/>
              <w:left w:w="0" w:type="dxa"/>
              <w:bottom w:w="0" w:type="dxa"/>
              <w:right w:w="0" w:type="dxa"/>
            </w:tcMar>
            <w:vAlign w:val="center"/>
          </w:tcPr>
          <w:p w14:paraId="13B53BC8">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kern w:val="2"/>
                <w:sz w:val="18"/>
                <w:szCs w:val="18"/>
                <w:vertAlign w:val="baseline"/>
                <w:lang w:val="en-US" w:eastAsia="zh-CN" w:bidi="ar-SA"/>
              </w:rPr>
            </w:pPr>
            <w:r>
              <w:rPr>
                <w:rFonts w:hint="eastAsia" w:ascii="宋体" w:hAnsi="宋体" w:eastAsia="宋体" w:cs="宋体"/>
                <w:sz w:val="18"/>
                <w:szCs w:val="18"/>
                <w:vertAlign w:val="baseline"/>
                <w:lang w:val="en-US" w:eastAsia="zh-CN"/>
              </w:rPr>
              <w:t>严重</w:t>
            </w:r>
          </w:p>
        </w:tc>
        <w:tc>
          <w:tcPr>
            <w:tcW w:w="561" w:type="pct"/>
            <w:noWrap w:val="0"/>
            <w:tcMar>
              <w:top w:w="0" w:type="dxa"/>
              <w:left w:w="0" w:type="dxa"/>
              <w:bottom w:w="0" w:type="dxa"/>
              <w:right w:w="0" w:type="dxa"/>
            </w:tcMar>
            <w:vAlign w:val="center"/>
          </w:tcPr>
          <w:p w14:paraId="2C0DFBD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sz w:val="18"/>
                <w:szCs w:val="18"/>
                <w:vertAlign w:val="baseline"/>
                <w:lang w:val="en-US" w:eastAsia="zh-CN"/>
              </w:rPr>
              <w:t>违法所得在一万元以上的，或者造成危害特别严重后果的</w:t>
            </w:r>
          </w:p>
        </w:tc>
        <w:tc>
          <w:tcPr>
            <w:tcW w:w="873" w:type="pct"/>
            <w:noWrap w:val="0"/>
            <w:tcMar>
              <w:top w:w="0" w:type="dxa"/>
              <w:left w:w="0" w:type="dxa"/>
              <w:bottom w:w="0" w:type="dxa"/>
              <w:right w:w="0" w:type="dxa"/>
            </w:tcMar>
            <w:vAlign w:val="center"/>
          </w:tcPr>
          <w:p w14:paraId="00F7455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sz w:val="18"/>
                <w:szCs w:val="18"/>
                <w:vertAlign w:val="baseline"/>
                <w:lang w:val="en-US" w:eastAsia="zh-CN"/>
              </w:rPr>
              <w:t>降低水行政许可资格（质）二个以上等级，处违法所得2倍以上3倍以下的罚款，但最高额不超过3万元</w:t>
            </w:r>
          </w:p>
        </w:tc>
        <w:tc>
          <w:tcPr>
            <w:tcW w:w="158" w:type="pct"/>
            <w:vMerge w:val="continue"/>
            <w:noWrap w:val="0"/>
            <w:tcMar>
              <w:top w:w="0" w:type="dxa"/>
              <w:left w:w="0" w:type="dxa"/>
              <w:bottom w:w="0" w:type="dxa"/>
              <w:right w:w="0" w:type="dxa"/>
            </w:tcMar>
            <w:vAlign w:val="center"/>
          </w:tcPr>
          <w:p w14:paraId="6C00B66A">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000000"/>
                <w:sz w:val="18"/>
                <w:szCs w:val="18"/>
                <w:vertAlign w:val="baseline"/>
              </w:rPr>
            </w:pPr>
          </w:p>
        </w:tc>
      </w:tr>
      <w:tr w14:paraId="5B873C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890" w:hRule="atLeast"/>
          <w:jc w:val="center"/>
        </w:trPr>
        <w:tc>
          <w:tcPr>
            <w:tcW w:w="156" w:type="pct"/>
            <w:noWrap w:val="0"/>
            <w:tcMar>
              <w:top w:w="0" w:type="dxa"/>
              <w:left w:w="0" w:type="dxa"/>
              <w:bottom w:w="0" w:type="dxa"/>
              <w:right w:w="0" w:type="dxa"/>
            </w:tcMar>
            <w:vAlign w:val="center"/>
          </w:tcPr>
          <w:p w14:paraId="68595EA9">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default" w:ascii="宋体" w:hAnsi="宋体" w:eastAsia="宋体" w:cs="宋体"/>
                <w:color w:val="000000"/>
                <w:sz w:val="18"/>
                <w:szCs w:val="18"/>
                <w:shd w:val="clear" w:color="auto" w:fill="auto"/>
                <w:vertAlign w:val="baseline"/>
                <w:lang w:val="en-US" w:eastAsia="zh-CN"/>
              </w:rPr>
            </w:pPr>
            <w:r>
              <w:rPr>
                <w:rFonts w:hint="eastAsia" w:ascii="宋体" w:hAnsi="宋体" w:eastAsia="宋体" w:cs="宋体"/>
                <w:color w:val="000000"/>
                <w:sz w:val="18"/>
                <w:szCs w:val="18"/>
                <w:shd w:val="clear" w:color="auto" w:fill="auto"/>
                <w:vertAlign w:val="baseline"/>
                <w:lang w:val="en-US" w:eastAsia="zh-CN"/>
              </w:rPr>
              <w:t>140</w:t>
            </w:r>
          </w:p>
        </w:tc>
        <w:tc>
          <w:tcPr>
            <w:tcW w:w="415" w:type="pct"/>
            <w:noWrap w:val="0"/>
            <w:tcMar>
              <w:top w:w="0" w:type="dxa"/>
              <w:left w:w="0" w:type="dxa"/>
              <w:bottom w:w="0" w:type="dxa"/>
              <w:right w:w="0" w:type="dxa"/>
            </w:tcMar>
            <w:vAlign w:val="center"/>
          </w:tcPr>
          <w:p w14:paraId="721570BC">
            <w:pPr>
              <w:keepNext w:val="0"/>
              <w:keepLines w:val="0"/>
              <w:pageBreakBefore w:val="0"/>
              <w:widowControl w:val="0"/>
              <w:shd w:val="clear" w:color="auto" w:fill="auto"/>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auto"/>
                <w:sz w:val="18"/>
                <w:szCs w:val="18"/>
                <w:vertAlign w:val="baseline"/>
                <w:lang w:val="en-US" w:eastAsia="zh-CN"/>
              </w:rPr>
              <w:t>对未经水行政许可擅自从事依法应取得水行政许可的活动行为的行政处罚</w:t>
            </w:r>
          </w:p>
        </w:tc>
        <w:tc>
          <w:tcPr>
            <w:tcW w:w="2168" w:type="pct"/>
            <w:noWrap w:val="0"/>
            <w:tcMar>
              <w:top w:w="0" w:type="dxa"/>
              <w:left w:w="0" w:type="dxa"/>
              <w:bottom w:w="0" w:type="dxa"/>
              <w:right w:w="0" w:type="dxa"/>
            </w:tcMar>
            <w:vAlign w:val="center"/>
          </w:tcPr>
          <w:p w14:paraId="3765B71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《水行政许可实施办法》第五十八条 公民、法人或者其他组织未经水行政许可，擅自从事依法应当取得水行政许可的活动的，水行政许可实施机关应当责令停止违法行为，并给予警告。当事人从事非经营活动的，可以处一千元以下罚款；当事人从事经营活动，有违法所得的，可以处违法所得三倍以下罚款，但是最高不得超过三万元，没有违法所得的，可以处一万元以下罚款，法律、法规另有规定的除外；构成犯罪的，依法追究刑事责任。</w:t>
            </w:r>
          </w:p>
        </w:tc>
        <w:tc>
          <w:tcPr>
            <w:tcW w:w="491" w:type="pct"/>
            <w:noWrap w:val="0"/>
            <w:tcMar>
              <w:top w:w="0" w:type="dxa"/>
              <w:left w:w="0" w:type="dxa"/>
              <w:bottom w:w="0" w:type="dxa"/>
              <w:right w:w="0" w:type="dxa"/>
            </w:tcMar>
            <w:vAlign w:val="center"/>
          </w:tcPr>
          <w:p w14:paraId="2A18159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sz w:val="18"/>
                <w:szCs w:val="18"/>
                <w:vertAlign w:val="baseline"/>
                <w:lang w:val="en-US" w:eastAsia="zh-CN"/>
              </w:rPr>
            </w:pPr>
            <w:r>
              <w:rPr>
                <w:rFonts w:hint="eastAsia" w:ascii="宋体" w:hAnsi="宋体" w:eastAsia="宋体" w:cs="宋体"/>
                <w:color w:val="000000"/>
                <w:sz w:val="18"/>
                <w:szCs w:val="18"/>
                <w:vertAlign w:val="baseline"/>
                <w:lang w:val="en-US" w:eastAsia="zh-CN"/>
              </w:rPr>
              <w:t>未经水行政许可，擅自从事依法应当取得水行政许可的活动的</w:t>
            </w:r>
          </w:p>
        </w:tc>
        <w:tc>
          <w:tcPr>
            <w:tcW w:w="1610" w:type="pct"/>
            <w:gridSpan w:val="3"/>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315ADB5E">
            <w:pPr>
              <w:snapToGrid w:val="0"/>
              <w:spacing w:line="260" w:lineRule="exact"/>
              <w:jc w:val="center"/>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374927FA">
            <w:pPr>
              <w:spacing w:line="260" w:lineRule="exact"/>
              <w:jc w:val="center"/>
              <w:rPr>
                <w:rFonts w:hint="eastAsia" w:ascii="宋体" w:hAnsi="宋体" w:eastAsia="宋体" w:cs="宋体"/>
                <w:color w:val="000000"/>
                <w:kern w:val="2"/>
                <w:sz w:val="18"/>
                <w:szCs w:val="18"/>
                <w:highlight w:val="yellow"/>
                <w:vertAlign w:val="baseline"/>
                <w:lang w:val="en-US" w:eastAsia="zh-CN" w:bidi="ar-SA"/>
              </w:rPr>
            </w:pPr>
          </w:p>
        </w:tc>
        <w:tc>
          <w:tcPr>
            <w:tcW w:w="158" w:type="pct"/>
            <w:noWrap w:val="0"/>
            <w:tcMar>
              <w:top w:w="0" w:type="dxa"/>
              <w:left w:w="0" w:type="dxa"/>
              <w:bottom w:w="0" w:type="dxa"/>
              <w:right w:w="0" w:type="dxa"/>
            </w:tcMar>
            <w:vAlign w:val="center"/>
            <mc:AlternateContent>
              <mc:Choice Requires="wpsCustomData">
                <wpsCustomData:diagonals>
                  <wpsCustomData:diagonal from="10000" to="30000">
                    <wpsCustomData:border w:val="single" w:color="auto" w:sz="4" w:space="0"/>
                  </wpsCustomData:diagonal>
                </wpsCustomData:diagonals>
              </mc:Choice>
            </mc:AlternateContent>
          </w:tcPr>
          <w:p w14:paraId="04D87A3B">
            <w:pPr>
              <w:snapToGrid w:val="0"/>
              <w:spacing w:line="260" w:lineRule="exact"/>
              <w:jc w:val="center"/>
              <mc:AlternateContent>
                <mc:Choice Requires="wpsCustomData">
                  <wpsCustomData:diagonalParaType/>
                </mc:Choice>
              </mc:AlternateContent>
              <w:rPr>
                <w:rStyle w:val="21"/>
                <w:rFonts w:hint="eastAsia" w:ascii="宋体" w:hAnsi="宋体" w:eastAsia="宋体" w:cs="宋体"/>
                <w:color w:val="auto"/>
                <w:sz w:val="18"/>
                <w:szCs w:val="18"/>
                <w:lang w:bidi="ar"/>
              </w:rPr>
            </w:pPr>
          </w:p>
          <w:p w14:paraId="34BFBE3D">
            <w:pPr>
              <w:spacing w:line="260" w:lineRule="exact"/>
              <w:jc w:val="center"/>
              <w:rPr>
                <w:rFonts w:hint="eastAsia" w:ascii="宋体" w:hAnsi="宋体" w:eastAsia="宋体" w:cs="宋体"/>
                <w:color w:val="000000"/>
                <w:sz w:val="18"/>
                <w:szCs w:val="18"/>
                <w:vertAlign w:val="baseline"/>
              </w:rPr>
            </w:pPr>
          </w:p>
        </w:tc>
      </w:tr>
    </w:tbl>
    <w:p w14:paraId="6AD0491A"/>
    <w:p w14:paraId="5FEBA666">
      <w:pPr>
        <w:spacing w:line="600" w:lineRule="exact"/>
        <w:rPr>
          <w:rFonts w:ascii="黑体" w:hAnsi="黑体" w:eastAsia="黑体" w:cs="黑体"/>
          <w:sz w:val="32"/>
          <w:szCs w:val="32"/>
        </w:rPr>
      </w:pPr>
    </w:p>
    <w:p w14:paraId="7B7EF08B">
      <w:pPr>
        <w:pStyle w:val="7"/>
        <w:wordWrap w:val="0"/>
        <w:jc w:val="right"/>
        <w:rPr>
          <w:rFonts w:hint="default"/>
          <w:lang w:val="en-US" w:eastAsia="zh-CN"/>
        </w:rPr>
        <w:sectPr>
          <w:pgSz w:w="16838" w:h="11905" w:orient="landscape"/>
          <w:pgMar w:top="1134" w:right="1134" w:bottom="1134" w:left="1134" w:header="851" w:footer="964" w:gutter="0"/>
          <w:pgNumType w:fmt="decimal"/>
          <w:cols w:space="0" w:num="1"/>
          <w:rtlGutter w:val="0"/>
          <w:docGrid w:type="lines" w:linePitch="321" w:charSpace="0"/>
        </w:sectPr>
      </w:pPr>
    </w:p>
    <w:p w14:paraId="2A5DA0DC">
      <w:pPr>
        <w:pStyle w:val="2"/>
        <w:rPr>
          <w:rFonts w:hint="default" w:ascii="仿宋_GB2312" w:hAnsi="仿宋_GB2312" w:eastAsia="仿宋_GB2312" w:cs="仿宋_GB2312"/>
          <w:kern w:val="2"/>
          <w:sz w:val="32"/>
          <w:szCs w:val="32"/>
          <w:lang w:val="en-US" w:eastAsia="zh-CN"/>
        </w:rPr>
      </w:pPr>
    </w:p>
    <w:p w14:paraId="333D60C1">
      <w:pPr>
        <w:pStyle w:val="2"/>
        <w:rPr>
          <w:rFonts w:hint="default" w:ascii="仿宋_GB2312" w:hAnsi="仿宋_GB2312" w:eastAsia="仿宋_GB2312" w:cs="仿宋_GB2312"/>
          <w:kern w:val="2"/>
          <w:sz w:val="32"/>
          <w:szCs w:val="32"/>
          <w:lang w:val="en-US" w:eastAsia="zh-CN"/>
        </w:rPr>
      </w:pPr>
    </w:p>
    <w:p w14:paraId="364497E2">
      <w:pPr>
        <w:pStyle w:val="2"/>
        <w:rPr>
          <w:rFonts w:hint="default" w:ascii="仿宋_GB2312" w:hAnsi="仿宋_GB2312" w:eastAsia="仿宋_GB2312" w:cs="仿宋_GB2312"/>
          <w:kern w:val="2"/>
          <w:sz w:val="32"/>
          <w:szCs w:val="32"/>
          <w:lang w:val="en-US" w:eastAsia="zh-CN"/>
        </w:rPr>
      </w:pPr>
    </w:p>
    <w:p w14:paraId="442F7653">
      <w:pPr>
        <w:pStyle w:val="2"/>
        <w:rPr>
          <w:rFonts w:hint="default" w:ascii="仿宋_GB2312" w:hAnsi="仿宋_GB2312" w:eastAsia="仿宋_GB2312" w:cs="仿宋_GB2312"/>
          <w:kern w:val="2"/>
          <w:sz w:val="32"/>
          <w:szCs w:val="32"/>
          <w:lang w:val="en-US" w:eastAsia="zh-CN"/>
        </w:rPr>
      </w:pPr>
    </w:p>
    <w:p w14:paraId="62B8E355">
      <w:pPr>
        <w:pStyle w:val="2"/>
        <w:rPr>
          <w:rFonts w:hint="default" w:ascii="仿宋_GB2312" w:hAnsi="仿宋_GB2312" w:eastAsia="仿宋_GB2312" w:cs="仿宋_GB2312"/>
          <w:kern w:val="2"/>
          <w:sz w:val="32"/>
          <w:szCs w:val="32"/>
          <w:lang w:val="en-US" w:eastAsia="zh-CN"/>
        </w:rPr>
      </w:pPr>
    </w:p>
    <w:p w14:paraId="158B8A0E">
      <w:pPr>
        <w:pStyle w:val="2"/>
        <w:rPr>
          <w:rFonts w:hint="default" w:ascii="仿宋_GB2312" w:hAnsi="仿宋_GB2312" w:eastAsia="仿宋_GB2312" w:cs="仿宋_GB2312"/>
          <w:kern w:val="2"/>
          <w:sz w:val="32"/>
          <w:szCs w:val="32"/>
          <w:lang w:val="en-US" w:eastAsia="zh-CN"/>
        </w:rPr>
      </w:pPr>
    </w:p>
    <w:p w14:paraId="7724EA66">
      <w:pPr>
        <w:pStyle w:val="2"/>
        <w:rPr>
          <w:rFonts w:hint="default" w:ascii="仿宋_GB2312" w:hAnsi="仿宋_GB2312" w:eastAsia="仿宋_GB2312" w:cs="仿宋_GB2312"/>
          <w:kern w:val="2"/>
          <w:sz w:val="32"/>
          <w:szCs w:val="32"/>
          <w:lang w:val="en-US" w:eastAsia="zh-CN"/>
        </w:rPr>
      </w:pPr>
    </w:p>
    <w:p w14:paraId="3CC68E65">
      <w:pPr>
        <w:pStyle w:val="2"/>
        <w:rPr>
          <w:rFonts w:hint="default" w:ascii="仿宋_GB2312" w:hAnsi="仿宋_GB2312" w:eastAsia="仿宋_GB2312" w:cs="仿宋_GB2312"/>
          <w:kern w:val="2"/>
          <w:sz w:val="32"/>
          <w:szCs w:val="32"/>
          <w:lang w:val="en-US" w:eastAsia="zh-CN"/>
        </w:rPr>
      </w:pPr>
    </w:p>
    <w:p w14:paraId="7B834AC0">
      <w:pPr>
        <w:pStyle w:val="2"/>
        <w:rPr>
          <w:rFonts w:hint="default" w:ascii="仿宋_GB2312" w:hAnsi="仿宋_GB2312" w:eastAsia="仿宋_GB2312" w:cs="仿宋_GB2312"/>
          <w:kern w:val="2"/>
          <w:sz w:val="32"/>
          <w:szCs w:val="32"/>
          <w:lang w:val="en-US" w:eastAsia="zh-CN"/>
        </w:rPr>
      </w:pPr>
    </w:p>
    <w:p w14:paraId="451B86E7">
      <w:pPr>
        <w:pStyle w:val="2"/>
        <w:rPr>
          <w:rFonts w:hint="default" w:ascii="仿宋_GB2312" w:hAnsi="仿宋_GB2312" w:eastAsia="仿宋_GB2312" w:cs="仿宋_GB2312"/>
          <w:kern w:val="2"/>
          <w:sz w:val="32"/>
          <w:szCs w:val="32"/>
          <w:lang w:val="en-US" w:eastAsia="zh-CN"/>
        </w:rPr>
      </w:pPr>
    </w:p>
    <w:p w14:paraId="089E2510">
      <w:pPr>
        <w:pStyle w:val="2"/>
        <w:rPr>
          <w:rFonts w:hint="default" w:ascii="仿宋_GB2312" w:hAnsi="仿宋_GB2312" w:eastAsia="仿宋_GB2312" w:cs="仿宋_GB2312"/>
          <w:kern w:val="2"/>
          <w:sz w:val="32"/>
          <w:szCs w:val="32"/>
          <w:lang w:val="en-US" w:eastAsia="zh-CN"/>
        </w:rPr>
      </w:pPr>
    </w:p>
    <w:p w14:paraId="06809EDB">
      <w:pPr>
        <w:pStyle w:val="2"/>
        <w:rPr>
          <w:rFonts w:hint="default" w:ascii="仿宋_GB2312" w:hAnsi="仿宋_GB2312" w:eastAsia="仿宋_GB2312" w:cs="仿宋_GB2312"/>
          <w:kern w:val="2"/>
          <w:sz w:val="32"/>
          <w:szCs w:val="32"/>
          <w:lang w:val="en-US" w:eastAsia="zh-CN"/>
        </w:rPr>
      </w:pPr>
    </w:p>
    <w:p w14:paraId="7489DE6C">
      <w:pPr>
        <w:pStyle w:val="2"/>
        <w:rPr>
          <w:rFonts w:hint="default" w:ascii="仿宋_GB2312" w:hAnsi="仿宋_GB2312" w:eastAsia="仿宋_GB2312" w:cs="仿宋_GB2312"/>
          <w:kern w:val="2"/>
          <w:sz w:val="32"/>
          <w:szCs w:val="32"/>
          <w:lang w:val="en-US" w:eastAsia="zh-CN"/>
        </w:rPr>
      </w:pPr>
    </w:p>
    <w:p w14:paraId="2ADEBC04">
      <w:pPr>
        <w:pStyle w:val="2"/>
        <w:rPr>
          <w:rFonts w:hint="default" w:ascii="仿宋_GB2312" w:hAnsi="仿宋_GB2312" w:eastAsia="仿宋_GB2312" w:cs="仿宋_GB2312"/>
          <w:kern w:val="2"/>
          <w:sz w:val="32"/>
          <w:szCs w:val="32"/>
          <w:lang w:val="en-US" w:eastAsia="zh-CN"/>
        </w:rPr>
      </w:pPr>
    </w:p>
    <w:p w14:paraId="1F436FDC">
      <w:pPr>
        <w:pStyle w:val="2"/>
        <w:rPr>
          <w:rFonts w:hint="default" w:ascii="仿宋_GB2312" w:hAnsi="仿宋_GB2312" w:eastAsia="仿宋_GB2312" w:cs="仿宋_GB2312"/>
          <w:kern w:val="2"/>
          <w:sz w:val="32"/>
          <w:szCs w:val="32"/>
          <w:lang w:val="en-US" w:eastAsia="zh-CN"/>
        </w:rPr>
      </w:pPr>
    </w:p>
    <w:p w14:paraId="66D2350A">
      <w:pPr>
        <w:pStyle w:val="2"/>
        <w:rPr>
          <w:rFonts w:hint="default" w:ascii="仿宋_GB2312" w:hAnsi="仿宋_GB2312" w:eastAsia="仿宋_GB2312" w:cs="仿宋_GB2312"/>
          <w:kern w:val="2"/>
          <w:sz w:val="32"/>
          <w:szCs w:val="32"/>
          <w:lang w:val="en-US" w:eastAsia="zh-CN"/>
        </w:rPr>
      </w:pPr>
    </w:p>
    <w:p w14:paraId="3D28C2E6">
      <w:pPr>
        <w:pStyle w:val="2"/>
        <w:rPr>
          <w:rFonts w:hint="default" w:ascii="仿宋_GB2312" w:hAnsi="仿宋_GB2312" w:eastAsia="仿宋_GB2312" w:cs="仿宋_GB2312"/>
          <w:kern w:val="2"/>
          <w:sz w:val="32"/>
          <w:szCs w:val="32"/>
          <w:lang w:val="en-US" w:eastAsia="zh-CN"/>
        </w:rPr>
      </w:pPr>
    </w:p>
    <w:p w14:paraId="29395EBD">
      <w:pPr>
        <w:pStyle w:val="2"/>
        <w:rPr>
          <w:rFonts w:hint="default" w:ascii="仿宋_GB2312" w:hAnsi="仿宋_GB2312" w:eastAsia="仿宋_GB2312" w:cs="仿宋_GB2312"/>
          <w:kern w:val="2"/>
          <w:sz w:val="32"/>
          <w:szCs w:val="32"/>
          <w:lang w:val="en-US" w:eastAsia="zh-CN"/>
        </w:rPr>
      </w:pPr>
    </w:p>
    <w:p w14:paraId="165A05FE">
      <w:pPr>
        <w:tabs>
          <w:tab w:val="left" w:pos="3402"/>
        </w:tabs>
        <w:spacing w:line="560" w:lineRule="exact"/>
        <w:ind w:firstLine="280" w:firstLineChars="100"/>
        <w:textAlignment w:val="bottom"/>
        <w:rPr>
          <w:rFonts w:hint="default" w:ascii="仿宋_GB2312" w:hAnsi="仿宋_GB2312" w:eastAsia="仿宋_GB2312" w:cs="仿宋_GB2312"/>
          <w:kern w:val="2"/>
          <w:sz w:val="28"/>
          <w:szCs w:val="28"/>
          <w:lang w:val="en-US" w:eastAsia="zh-CN"/>
        </w:rPr>
      </w:pPr>
      <w:r>
        <w:rPr>
          <w:rFonts w:hint="eastAsia" w:ascii="仿宋_GB2312" w:eastAsia="仿宋_GB2312"/>
          <w:color w:val="000000"/>
          <w:sz w:val="28"/>
          <w:szCs w:val="28"/>
        </w:rPr>
        <mc:AlternateContent>
          <mc:Choice Requires="wps">
            <w:drawing>
              <wp:anchor distT="0" distB="0" distL="114300" distR="114300" simplePos="0" relativeHeight="251660288" behindDoc="0" locked="0" layoutInCell="1" allowOverlap="1">
                <wp:simplePos x="0" y="0"/>
                <wp:positionH relativeFrom="column">
                  <wp:posOffset>-1270</wp:posOffset>
                </wp:positionH>
                <wp:positionV relativeFrom="paragraph">
                  <wp:posOffset>395605</wp:posOffset>
                </wp:positionV>
                <wp:extent cx="5615940" cy="0"/>
                <wp:effectExtent l="0" t="4445" r="0" b="5080"/>
                <wp:wrapNone/>
                <wp:docPr id="2" name="直接箭头连接符 2"/>
                <wp:cNvGraphicFramePr/>
                <a:graphic xmlns:a="http://schemas.openxmlformats.org/drawingml/2006/main">
                  <a:graphicData uri="http://schemas.microsoft.com/office/word/2010/wordprocessingShape">
                    <wps:wsp>
                      <wps:cNvCnPr/>
                      <wps:spPr>
                        <a:xfrm flipV="1">
                          <a:off x="0" y="0"/>
                          <a:ext cx="5615940" cy="0"/>
                        </a:xfrm>
                        <a:prstGeom prst="straightConnector1">
                          <a:avLst/>
                        </a:prstGeom>
                        <a:ln w="6350"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0.1pt;margin-top:31.15pt;height:0pt;width:442.2pt;z-index:251660288;mso-width-relative:page;mso-height-relative:page;" filled="f" stroked="t" coordsize="21600,21600" o:gfxdata="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IP3wCzUAAAABwEAAA8AAAAAAAAAAQAgAAAAIgAAAGRycy9kb3du&#10;cmV2LnhtbFBLAQIUABQAAAAIAIdO4kDWtWJgAwIAAPYDAAAOAAAAAAAAAAEAIAAAACMBAABkcnMv&#10;ZTJvRG9jLnhtbFBLBQYAAAAABgAGAFkBAACYBQAAAAA=&#10;">
                <v:fill on="f" focussize="0,0"/>
                <v:stroke weight="0.5pt" color="#000000" joinstyle="round"/>
                <v:imagedata o:title=""/>
                <o:lock v:ext="edit" aspectratio="f"/>
              </v:shape>
            </w:pict>
          </mc:Fallback>
        </mc:AlternateContent>
      </w:r>
      <w:r>
        <w:rPr>
          <w:rFonts w:hint="eastAsia" w:ascii="仿宋_GB2312" w:eastAsia="仿宋_GB2312"/>
          <w:color w:val="000000"/>
          <w:sz w:val="28"/>
          <w:szCs w:val="28"/>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28575</wp:posOffset>
                </wp:positionV>
                <wp:extent cx="5615940" cy="0"/>
                <wp:effectExtent l="0" t="4445" r="0" b="5080"/>
                <wp:wrapNone/>
                <wp:docPr id="1" name="直接箭头连接符 1"/>
                <wp:cNvGraphicFramePr/>
                <a:graphic xmlns:a="http://schemas.openxmlformats.org/drawingml/2006/main">
                  <a:graphicData uri="http://schemas.microsoft.com/office/word/2010/wordprocessingShape">
                    <wps:wsp>
                      <wps:cNvCnPr/>
                      <wps:spPr>
                        <a:xfrm flipV="1">
                          <a:off x="0" y="0"/>
                          <a:ext cx="5615940" cy="0"/>
                        </a:xfrm>
                        <a:prstGeom prst="straightConnector1">
                          <a:avLst/>
                        </a:prstGeom>
                        <a:ln w="6350"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0pt;margin-top:2.25pt;height:0pt;width:442.2pt;z-index:251659264;mso-width-relative:page;mso-height-relative:page;" filled="f" stroked="t" coordsize="21600,21600" o:gfxdata="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ChRxQ10wAAAAQBAAAPAAAAAAAAAAEAIAAAACIAAABkcnMvZG93bnJl&#10;di54bWxQSwECFAAUAAAACACHTuJAumjz0QICAAD2AwAADgAAAAAAAAABACAAAAAiAQAAZHJzL2Uy&#10;b0RvYy54bWxQSwUGAAAAAAYABgBZAQAAlgUAAAAA&#10;">
                <v:fill on="f" focussize="0,0"/>
                <v:stroke weight="0.5pt" color="#000000" joinstyle="round"/>
                <v:imagedata o:title=""/>
                <o:lock v:ext="edit" aspectratio="f"/>
              </v:shape>
            </w:pict>
          </mc:Fallback>
        </mc:AlternateContent>
      </w:r>
      <w:r>
        <w:rPr>
          <w:rFonts w:hint="eastAsia" w:ascii="仿宋_GB2312" w:hAnsi="仿宋" w:eastAsia="仿宋_GB2312"/>
          <w:color w:val="000000"/>
          <w:sz w:val="28"/>
          <w:szCs w:val="28"/>
        </w:rPr>
        <w:t xml:space="preserve">河北省水利厅办公室     </w:t>
      </w:r>
      <w:r>
        <w:rPr>
          <w:rFonts w:hint="eastAsia" w:ascii="仿宋_GB2312" w:eastAsia="仿宋_GB2312"/>
          <w:color w:val="000000"/>
          <w:sz w:val="28"/>
          <w:szCs w:val="28"/>
        </w:rPr>
        <w:t xml:space="preserve">  </w:t>
      </w:r>
      <w:r>
        <w:rPr>
          <w:rFonts w:hint="eastAsia" w:ascii="仿宋_GB2312" w:eastAsia="仿宋_GB2312"/>
          <w:color w:val="000000"/>
          <w:sz w:val="28"/>
          <w:szCs w:val="28"/>
          <w:lang w:val="en-US" w:eastAsia="zh-CN"/>
        </w:rPr>
        <w:t xml:space="preserve">  </w:t>
      </w:r>
      <w:r>
        <w:rPr>
          <w:rFonts w:hint="eastAsia" w:ascii="仿宋_GB2312" w:eastAsia="仿宋_GB2312"/>
          <w:color w:val="000000"/>
          <w:sz w:val="28"/>
          <w:szCs w:val="28"/>
        </w:rPr>
        <w:t xml:space="preserve">              202</w:t>
      </w:r>
      <w:r>
        <w:rPr>
          <w:rFonts w:hint="eastAsia" w:ascii="仿宋_GB2312" w:eastAsia="仿宋_GB2312"/>
          <w:color w:val="000000"/>
          <w:sz w:val="28"/>
          <w:szCs w:val="28"/>
          <w:lang w:val="en-US" w:eastAsia="zh-CN"/>
        </w:rPr>
        <w:t>6</w:t>
      </w:r>
      <w:r>
        <w:rPr>
          <w:rFonts w:hint="eastAsia" w:ascii="仿宋_GB2312" w:eastAsia="仿宋_GB2312"/>
          <w:color w:val="000000"/>
          <w:sz w:val="28"/>
          <w:szCs w:val="28"/>
        </w:rPr>
        <w:t>年</w:t>
      </w:r>
      <w:r>
        <w:rPr>
          <w:rFonts w:hint="eastAsia" w:ascii="仿宋_GB2312" w:eastAsia="仿宋_GB2312"/>
          <w:color w:val="000000"/>
          <w:sz w:val="28"/>
          <w:szCs w:val="28"/>
          <w:lang w:val="en-US" w:eastAsia="zh-CN"/>
        </w:rPr>
        <w:t>4</w:t>
      </w:r>
      <w:r>
        <w:rPr>
          <w:rFonts w:hint="eastAsia" w:ascii="仿宋_GB2312" w:eastAsia="仿宋_GB2312"/>
          <w:color w:val="000000"/>
          <w:sz w:val="28"/>
          <w:szCs w:val="28"/>
        </w:rPr>
        <w:t>月</w:t>
      </w:r>
      <w:r>
        <w:rPr>
          <w:rFonts w:hint="eastAsia" w:ascii="仿宋_GB2312" w:eastAsia="仿宋_GB2312"/>
          <w:color w:val="000000"/>
          <w:sz w:val="28"/>
          <w:szCs w:val="28"/>
          <w:lang w:val="en-US" w:eastAsia="zh-CN"/>
        </w:rPr>
        <w:t>3</w:t>
      </w:r>
      <w:r>
        <w:rPr>
          <w:rFonts w:hint="eastAsia" w:ascii="仿宋_GB2312" w:eastAsia="仿宋_GB2312"/>
          <w:color w:val="000000"/>
          <w:sz w:val="28"/>
          <w:szCs w:val="28"/>
        </w:rPr>
        <w:t>日印发</w:t>
      </w:r>
    </w:p>
    <w:sectPr>
      <w:footerReference r:id="rId17" w:type="default"/>
      <w:footerReference r:id="rId18" w:type="even"/>
      <w:pgSz w:w="11905" w:h="16838"/>
      <w:pgMar w:top="2098" w:right="1474" w:bottom="1984" w:left="1587" w:header="851" w:footer="1191" w:gutter="0"/>
      <w:pgNumType w:fmt="decimal"/>
      <w:cols w:space="0" w:num="1"/>
      <w:rtlGutter w:val="0"/>
      <w:docGrid w:type="lines" w:linePitch="33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17D9E3E7-8764-479E-AD36-C2473A9B6DE2}"/>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2" w:fontKey="{C8D0B681-11FE-411A-9288-38EBED56EFDD}"/>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 w:name="Cambria">
    <w:panose1 w:val="02040503050406030204"/>
    <w:charset w:val="00"/>
    <w:family w:val="roman"/>
    <w:pitch w:val="default"/>
    <w:sig w:usb0="E00006FF" w:usb1="420024FF" w:usb2="02000000" w:usb3="00000000" w:csb0="2000019F" w:csb1="00000000"/>
  </w:font>
  <w:font w:name="仿宋_GB2312">
    <w:panose1 w:val="02010609030101010101"/>
    <w:charset w:val="86"/>
    <w:family w:val="modern"/>
    <w:pitch w:val="default"/>
    <w:sig w:usb0="00000001" w:usb1="080E0000" w:usb2="00000000" w:usb3="00000000" w:csb0="00040000" w:csb1="00000000"/>
    <w:embedRegular r:id="rId3" w:fontKey="{2715C45F-F3AE-4F70-BDBD-CFF3215F03F6}"/>
  </w:font>
  <w:font w:name="方正小标宋简体">
    <w:panose1 w:val="03000509000000000000"/>
    <w:charset w:val="86"/>
    <w:family w:val="auto"/>
    <w:pitch w:val="default"/>
    <w:sig w:usb0="00000001" w:usb1="080E0000" w:usb2="00000000" w:usb3="00000000" w:csb0="00040000" w:csb1="00000000"/>
    <w:embedRegular r:id="rId4" w:fontKey="{7E1C76FD-B0F3-4975-BA90-E14F2549A342}"/>
  </w:font>
  <w:font w:name="仿宋">
    <w:panose1 w:val="02010609060101010101"/>
    <w:charset w:val="86"/>
    <w:family w:val="auto"/>
    <w:pitch w:val="default"/>
    <w:sig w:usb0="800002BF" w:usb1="38CF7CFA" w:usb2="00000016" w:usb3="00000000" w:csb0="00040001" w:csb1="00000000"/>
    <w:embedRegular r:id="rId5" w:fontKey="{96C809FA-466C-442E-B01D-0EE8FE085F3D}"/>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7B3050">
    <w:pPr>
      <w:pStyle w:val="8"/>
      <w:wordWrap w:val="0"/>
      <w:jc w:val="right"/>
      <w:rPr>
        <w:rFonts w:hint="default" w:eastAsia="宋体"/>
        <w:lang w:val="en-US" w:eastAsia="zh-CN"/>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PAGE   \* MERGEFORMAT</w:instrText>
    </w:r>
    <w:r>
      <w:rPr>
        <w:rFonts w:hint="eastAsia" w:ascii="宋体" w:hAnsi="宋体" w:eastAsia="宋体" w:cs="宋体"/>
        <w:sz w:val="28"/>
        <w:szCs w:val="28"/>
      </w:rPr>
      <w:fldChar w:fldCharType="separate"/>
    </w:r>
    <w:r>
      <w:rPr>
        <w:rFonts w:hint="eastAsia" w:ascii="宋体" w:hAnsi="宋体" w:eastAsia="宋体" w:cs="宋体"/>
        <w:sz w:val="28"/>
        <w:szCs w:val="28"/>
        <w:lang w:val="zh-CN"/>
      </w:rPr>
      <w:t>259</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r>
      <w:rPr>
        <w:rFonts w:hint="eastAsia" w:ascii="宋体" w:hAnsi="宋体" w:eastAsia="宋体" w:cs="宋体"/>
        <w:sz w:val="28"/>
        <w:szCs w:val="28"/>
        <w:lang w:val="en-US" w:eastAsia="zh-CN"/>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8F05DC">
    <w:pPr>
      <w:pStyle w:val="8"/>
      <w:ind w:firstLine="280" w:firstLineChars="100"/>
      <w:jc w:val="left"/>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PAGE   \* MERGEFORMAT</w:instrText>
    </w:r>
    <w:r>
      <w:rPr>
        <w:rFonts w:hint="eastAsia" w:ascii="宋体" w:hAnsi="宋体" w:eastAsia="宋体" w:cs="宋体"/>
        <w:sz w:val="28"/>
        <w:szCs w:val="28"/>
      </w:rPr>
      <w:fldChar w:fldCharType="separate"/>
    </w:r>
    <w:r>
      <w:rPr>
        <w:rFonts w:hint="eastAsia" w:ascii="宋体" w:hAnsi="宋体" w:eastAsia="宋体" w:cs="宋体"/>
        <w:sz w:val="28"/>
        <w:szCs w:val="28"/>
        <w:lang w:val="zh-CN"/>
      </w:rPr>
      <w:t>259</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267406">
    <w:pPr>
      <w:pStyle w:val="8"/>
      <w:wordWrap/>
      <w:jc w:val="center"/>
      <w:rPr>
        <w:rFonts w:hint="default" w:eastAsia="宋体"/>
        <w:lang w:val="en-US" w:eastAsia="zh-CN"/>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PAGE   \* MERGEFORMAT</w:instrText>
    </w:r>
    <w:r>
      <w:rPr>
        <w:rFonts w:hint="eastAsia" w:ascii="宋体" w:hAnsi="宋体" w:eastAsia="宋体" w:cs="宋体"/>
        <w:sz w:val="28"/>
        <w:szCs w:val="28"/>
      </w:rPr>
      <w:fldChar w:fldCharType="separate"/>
    </w:r>
    <w:r>
      <w:rPr>
        <w:rFonts w:hint="eastAsia" w:ascii="宋体" w:hAnsi="宋体" w:eastAsia="宋体" w:cs="宋体"/>
        <w:sz w:val="28"/>
        <w:szCs w:val="28"/>
        <w:lang w:val="zh-CN"/>
      </w:rPr>
      <w:t>259</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05A28F">
    <w:pPr>
      <w:pStyle w:val="8"/>
      <w:ind w:firstLine="280" w:firstLineChars="100"/>
      <w:jc w:val="cente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PAGE   \* MERGEFORMAT</w:instrText>
    </w:r>
    <w:r>
      <w:rPr>
        <w:rFonts w:hint="eastAsia" w:ascii="宋体" w:hAnsi="宋体" w:eastAsia="宋体" w:cs="宋体"/>
        <w:sz w:val="28"/>
        <w:szCs w:val="28"/>
      </w:rPr>
      <w:fldChar w:fldCharType="separate"/>
    </w:r>
    <w:r>
      <w:rPr>
        <w:rFonts w:hint="eastAsia" w:ascii="宋体" w:hAnsi="宋体" w:eastAsia="宋体" w:cs="宋体"/>
        <w:sz w:val="28"/>
        <w:szCs w:val="28"/>
        <w:lang w:val="zh-CN"/>
      </w:rPr>
      <w:t>259</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31C824">
    <w:pPr>
      <w:pStyle w:val="8"/>
      <w:jc w:val="cente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PAGE   \* MERGEFORMAT</w:instrText>
    </w:r>
    <w:r>
      <w:rPr>
        <w:rFonts w:hint="eastAsia" w:ascii="宋体" w:hAnsi="宋体" w:eastAsia="宋体" w:cs="宋体"/>
        <w:sz w:val="28"/>
        <w:szCs w:val="28"/>
      </w:rPr>
      <w:fldChar w:fldCharType="separate"/>
    </w:r>
    <w:r>
      <w:rPr>
        <w:rFonts w:hint="eastAsia" w:ascii="宋体" w:hAnsi="宋体" w:eastAsia="宋体" w:cs="宋体"/>
        <w:sz w:val="28"/>
        <w:szCs w:val="28"/>
        <w:lang w:val="zh-CN"/>
      </w:rPr>
      <w:t>259</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31BCAC">
    <w:pPr>
      <w:pStyle w:val="8"/>
      <w:jc w:val="cente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PAGE   \* MERGEFORMAT</w:instrText>
    </w:r>
    <w:r>
      <w:rPr>
        <w:rFonts w:hint="eastAsia" w:ascii="宋体" w:hAnsi="宋体" w:eastAsia="宋体" w:cs="宋体"/>
        <w:sz w:val="28"/>
        <w:szCs w:val="28"/>
      </w:rPr>
      <w:fldChar w:fldCharType="separate"/>
    </w:r>
    <w:r>
      <w:rPr>
        <w:rFonts w:hint="eastAsia" w:ascii="宋体" w:hAnsi="宋体" w:eastAsia="宋体" w:cs="宋体"/>
        <w:sz w:val="28"/>
        <w:szCs w:val="28"/>
        <w:lang w:val="zh-CN"/>
      </w:rPr>
      <w:t>259</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E78D13">
    <w:pPr>
      <w:pStyle w:val="8"/>
      <w:jc w:val="cente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PAGE   \* MERGEFORMAT</w:instrText>
    </w:r>
    <w:r>
      <w:rPr>
        <w:rFonts w:hint="eastAsia" w:ascii="宋体" w:hAnsi="宋体" w:eastAsia="宋体" w:cs="宋体"/>
        <w:sz w:val="28"/>
        <w:szCs w:val="28"/>
      </w:rPr>
      <w:fldChar w:fldCharType="separate"/>
    </w:r>
    <w:r>
      <w:rPr>
        <w:rFonts w:hint="eastAsia" w:ascii="宋体" w:hAnsi="宋体" w:eastAsia="宋体" w:cs="宋体"/>
        <w:sz w:val="28"/>
        <w:szCs w:val="28"/>
        <w:lang w:val="zh-CN"/>
      </w:rPr>
      <w:t>259</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98068D">
    <w:pPr>
      <w:pStyle w:val="8"/>
      <w:jc w:val="cente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PAGE   \* MERGEFORMAT</w:instrText>
    </w:r>
    <w:r>
      <w:rPr>
        <w:rFonts w:hint="eastAsia" w:ascii="宋体" w:hAnsi="宋体" w:eastAsia="宋体" w:cs="宋体"/>
        <w:sz w:val="28"/>
        <w:szCs w:val="28"/>
      </w:rPr>
      <w:fldChar w:fldCharType="separate"/>
    </w:r>
    <w:r>
      <w:rPr>
        <w:rFonts w:hint="eastAsia" w:ascii="宋体" w:hAnsi="宋体" w:eastAsia="宋体" w:cs="宋体"/>
        <w:sz w:val="28"/>
        <w:szCs w:val="28"/>
        <w:lang w:val="zh-CN"/>
      </w:rPr>
      <w:t>259</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C5A75C">
    <w:pPr>
      <w:pStyle w:val="8"/>
      <w:jc w:val="cente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PAGE   \* MERGEFORMAT</w:instrText>
    </w:r>
    <w:r>
      <w:rPr>
        <w:rFonts w:hint="eastAsia" w:ascii="宋体" w:hAnsi="宋体" w:eastAsia="宋体" w:cs="宋体"/>
        <w:sz w:val="28"/>
        <w:szCs w:val="28"/>
      </w:rPr>
      <w:fldChar w:fldCharType="separate"/>
    </w:r>
    <w:r>
      <w:rPr>
        <w:rFonts w:hint="eastAsia" w:ascii="宋体" w:hAnsi="宋体" w:eastAsia="宋体" w:cs="宋体"/>
        <w:sz w:val="28"/>
        <w:szCs w:val="28"/>
        <w:lang w:val="zh-CN"/>
      </w:rPr>
      <w:t>259</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AD9C8B">
    <w:pPr>
      <w:pStyle w:val="8"/>
      <w:jc w:val="cente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PAGE   \* MERGEFORMAT</w:instrText>
    </w:r>
    <w:r>
      <w:rPr>
        <w:rFonts w:hint="eastAsia" w:ascii="宋体" w:hAnsi="宋体" w:eastAsia="宋体" w:cs="宋体"/>
        <w:sz w:val="28"/>
        <w:szCs w:val="28"/>
      </w:rPr>
      <w:fldChar w:fldCharType="separate"/>
    </w:r>
    <w:r>
      <w:rPr>
        <w:rFonts w:hint="eastAsia" w:ascii="宋体" w:hAnsi="宋体" w:eastAsia="宋体" w:cs="宋体"/>
        <w:sz w:val="28"/>
        <w:szCs w:val="28"/>
        <w:lang w:val="zh-CN"/>
      </w:rPr>
      <w:t>259</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DC0587">
    <w:pPr>
      <w:pStyle w:val="8"/>
      <w:jc w:val="cente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PAGE   \* MERGEFORMAT</w:instrText>
    </w:r>
    <w:r>
      <w:rPr>
        <w:rFonts w:hint="eastAsia" w:ascii="宋体" w:hAnsi="宋体" w:eastAsia="宋体" w:cs="宋体"/>
        <w:sz w:val="28"/>
        <w:szCs w:val="28"/>
      </w:rPr>
      <w:fldChar w:fldCharType="separate"/>
    </w:r>
    <w:r>
      <w:rPr>
        <w:rFonts w:hint="eastAsia" w:ascii="宋体" w:hAnsi="宋体" w:eastAsia="宋体" w:cs="宋体"/>
        <w:sz w:val="28"/>
        <w:szCs w:val="28"/>
        <w:lang w:val="zh-CN"/>
      </w:rPr>
      <w:t>259</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8B6B28">
    <w:pPr>
      <w:pStyle w:val="8"/>
      <w:jc w:val="cente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PAGE   \* MERGEFORMAT</w:instrText>
    </w:r>
    <w:r>
      <w:rPr>
        <w:rFonts w:hint="eastAsia" w:ascii="宋体" w:hAnsi="宋体" w:eastAsia="宋体" w:cs="宋体"/>
        <w:sz w:val="28"/>
        <w:szCs w:val="28"/>
      </w:rPr>
      <w:fldChar w:fldCharType="separate"/>
    </w:r>
    <w:r>
      <w:rPr>
        <w:rFonts w:hint="eastAsia" w:ascii="宋体" w:hAnsi="宋体" w:eastAsia="宋体" w:cs="宋体"/>
        <w:sz w:val="28"/>
        <w:szCs w:val="28"/>
        <w:lang w:val="zh-CN"/>
      </w:rPr>
      <w:t>259</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07E4B9">
    <w:pPr>
      <w:pStyle w:val="8"/>
      <w:jc w:val="cente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PAGE   \* MERGEFORMAT</w:instrText>
    </w:r>
    <w:r>
      <w:rPr>
        <w:rFonts w:hint="eastAsia" w:ascii="宋体" w:hAnsi="宋体" w:eastAsia="宋体" w:cs="宋体"/>
        <w:sz w:val="28"/>
        <w:szCs w:val="28"/>
      </w:rPr>
      <w:fldChar w:fldCharType="separate"/>
    </w:r>
    <w:r>
      <w:rPr>
        <w:rFonts w:hint="eastAsia" w:ascii="宋体" w:hAnsi="宋体" w:eastAsia="宋体" w:cs="宋体"/>
        <w:sz w:val="28"/>
        <w:szCs w:val="28"/>
        <w:lang w:val="zh-CN"/>
      </w:rPr>
      <w:t>259</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D9A799">
    <w:pPr>
      <w:pStyle w:val="8"/>
      <w:jc w:val="cente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PAGE   \* MERGEFORMAT</w:instrText>
    </w:r>
    <w:r>
      <w:rPr>
        <w:rFonts w:hint="eastAsia" w:ascii="宋体" w:hAnsi="宋体" w:eastAsia="宋体" w:cs="宋体"/>
        <w:sz w:val="28"/>
        <w:szCs w:val="28"/>
      </w:rPr>
      <w:fldChar w:fldCharType="separate"/>
    </w:r>
    <w:r>
      <w:rPr>
        <w:rFonts w:hint="eastAsia" w:ascii="宋体" w:hAnsi="宋体" w:eastAsia="宋体" w:cs="宋体"/>
        <w:sz w:val="28"/>
        <w:szCs w:val="28"/>
        <w:lang w:val="zh-CN"/>
      </w:rPr>
      <w:t>259</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B028E7">
    <w:pPr>
      <w:pStyle w:val="8"/>
      <w:wordWrap w:val="0"/>
      <w:jc w:val="left"/>
      <w:rPr>
        <w:rFonts w:hint="default" w:eastAsia="宋体"/>
        <w:sz w:val="28"/>
        <w:szCs w:val="28"/>
        <w:lang w:val="en-US" w:eastAsia="zh-CN"/>
      </w:rPr>
    </w:pP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D0F6AA">
    <w:pPr>
      <w:pStyle w:val="8"/>
      <w:ind w:firstLine="180" w:firstLineChars="100"/>
      <w:jc w:val="left"/>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TrueTypeFonts/>
  <w:saveSubsetFonts/>
  <w:bordersDoNotSurroundHeader w:val="0"/>
  <w:bordersDoNotSurroundFooter w:val="0"/>
  <w:documentProtection w:enforcement="0"/>
  <w:defaultTabStop w:val="420"/>
  <w:evenAndOddHeaders w:val="1"/>
  <w:drawingGridVerticalSpacing w:val="160"/>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GZkNTU4YmE0NTQ1NWExZjhmNzliZjkwMDVkMjMwYjgifQ=="/>
    <w:docVar w:name="KGWebUrl" w:val="http://10.242.251.73:8089/OfficeServer?token=4b2030bd4d22a6265c791530c9d05669"/>
  </w:docVars>
  <w:rsids>
    <w:rsidRoot w:val="00882148"/>
    <w:rsid w:val="000311CA"/>
    <w:rsid w:val="000346BD"/>
    <w:rsid w:val="000C6594"/>
    <w:rsid w:val="0010057F"/>
    <w:rsid w:val="00122F1A"/>
    <w:rsid w:val="00155351"/>
    <w:rsid w:val="00165F6B"/>
    <w:rsid w:val="00201D18"/>
    <w:rsid w:val="00320798"/>
    <w:rsid w:val="00335CA4"/>
    <w:rsid w:val="004B2009"/>
    <w:rsid w:val="004F3484"/>
    <w:rsid w:val="00514205"/>
    <w:rsid w:val="00520EFD"/>
    <w:rsid w:val="005834DB"/>
    <w:rsid w:val="00593490"/>
    <w:rsid w:val="005A0B9B"/>
    <w:rsid w:val="005B39E3"/>
    <w:rsid w:val="006735E1"/>
    <w:rsid w:val="0069762C"/>
    <w:rsid w:val="00705289"/>
    <w:rsid w:val="00715489"/>
    <w:rsid w:val="007E71FE"/>
    <w:rsid w:val="00882148"/>
    <w:rsid w:val="008E784D"/>
    <w:rsid w:val="00937E31"/>
    <w:rsid w:val="009627AA"/>
    <w:rsid w:val="009F4B25"/>
    <w:rsid w:val="009F7B21"/>
    <w:rsid w:val="00A869DE"/>
    <w:rsid w:val="00B62ADC"/>
    <w:rsid w:val="00B64093"/>
    <w:rsid w:val="00B92AD8"/>
    <w:rsid w:val="00BF7EA6"/>
    <w:rsid w:val="00C46D13"/>
    <w:rsid w:val="00CE6550"/>
    <w:rsid w:val="00D07A92"/>
    <w:rsid w:val="00D9301B"/>
    <w:rsid w:val="00D94AB9"/>
    <w:rsid w:val="00DA00FD"/>
    <w:rsid w:val="00DB383B"/>
    <w:rsid w:val="00E51549"/>
    <w:rsid w:val="00E83A32"/>
    <w:rsid w:val="00EC0667"/>
    <w:rsid w:val="00EC3B33"/>
    <w:rsid w:val="00F1699F"/>
    <w:rsid w:val="00FD7962"/>
    <w:rsid w:val="01D17E11"/>
    <w:rsid w:val="0204247D"/>
    <w:rsid w:val="02D05560"/>
    <w:rsid w:val="02F27F8C"/>
    <w:rsid w:val="030449FF"/>
    <w:rsid w:val="03394EB3"/>
    <w:rsid w:val="03881E69"/>
    <w:rsid w:val="03911568"/>
    <w:rsid w:val="03AA689C"/>
    <w:rsid w:val="04830CA0"/>
    <w:rsid w:val="04E1057C"/>
    <w:rsid w:val="05595CE0"/>
    <w:rsid w:val="060C1C90"/>
    <w:rsid w:val="06400C4E"/>
    <w:rsid w:val="076A2F4C"/>
    <w:rsid w:val="07E86EA8"/>
    <w:rsid w:val="088129C4"/>
    <w:rsid w:val="08AF31BD"/>
    <w:rsid w:val="08CE0B51"/>
    <w:rsid w:val="08D37B58"/>
    <w:rsid w:val="093049EC"/>
    <w:rsid w:val="099472E7"/>
    <w:rsid w:val="09F91840"/>
    <w:rsid w:val="0A037FC9"/>
    <w:rsid w:val="0A5F65EF"/>
    <w:rsid w:val="0A682522"/>
    <w:rsid w:val="0A96708F"/>
    <w:rsid w:val="0A9B3772"/>
    <w:rsid w:val="0ACE4A7B"/>
    <w:rsid w:val="0BB62D53"/>
    <w:rsid w:val="0BF21886"/>
    <w:rsid w:val="0C931AD8"/>
    <w:rsid w:val="0CC779D3"/>
    <w:rsid w:val="0EAA5A1E"/>
    <w:rsid w:val="0EBE6504"/>
    <w:rsid w:val="0FC85F3C"/>
    <w:rsid w:val="0FDA5C70"/>
    <w:rsid w:val="105A290D"/>
    <w:rsid w:val="10856DCC"/>
    <w:rsid w:val="109F7CDC"/>
    <w:rsid w:val="10A818CA"/>
    <w:rsid w:val="10BA37A2"/>
    <w:rsid w:val="10C61D50"/>
    <w:rsid w:val="11084FF9"/>
    <w:rsid w:val="1131366D"/>
    <w:rsid w:val="11335637"/>
    <w:rsid w:val="11515DD9"/>
    <w:rsid w:val="11916802"/>
    <w:rsid w:val="127B0F06"/>
    <w:rsid w:val="12D07597"/>
    <w:rsid w:val="12D76496"/>
    <w:rsid w:val="13465E30"/>
    <w:rsid w:val="134F24D1"/>
    <w:rsid w:val="13CB12D1"/>
    <w:rsid w:val="13E72452"/>
    <w:rsid w:val="13F5799A"/>
    <w:rsid w:val="143E08AC"/>
    <w:rsid w:val="145653EB"/>
    <w:rsid w:val="146A2508"/>
    <w:rsid w:val="14ED0F85"/>
    <w:rsid w:val="159E5735"/>
    <w:rsid w:val="15A8156E"/>
    <w:rsid w:val="16533F2C"/>
    <w:rsid w:val="165C49E5"/>
    <w:rsid w:val="16F072C1"/>
    <w:rsid w:val="17292EA9"/>
    <w:rsid w:val="17302B35"/>
    <w:rsid w:val="179E3A27"/>
    <w:rsid w:val="180D4CD7"/>
    <w:rsid w:val="18383533"/>
    <w:rsid w:val="19677BB0"/>
    <w:rsid w:val="19942C8D"/>
    <w:rsid w:val="19A15E6A"/>
    <w:rsid w:val="19F80CA9"/>
    <w:rsid w:val="1A1A412A"/>
    <w:rsid w:val="1AAB65CD"/>
    <w:rsid w:val="1BB15E44"/>
    <w:rsid w:val="1BCC18A5"/>
    <w:rsid w:val="1C5B3C94"/>
    <w:rsid w:val="1C615A12"/>
    <w:rsid w:val="1CB4189C"/>
    <w:rsid w:val="1EB31B66"/>
    <w:rsid w:val="1EE91A2B"/>
    <w:rsid w:val="1EEE2B1C"/>
    <w:rsid w:val="1F811C64"/>
    <w:rsid w:val="206979A8"/>
    <w:rsid w:val="213F1DD6"/>
    <w:rsid w:val="213F625C"/>
    <w:rsid w:val="217A6B95"/>
    <w:rsid w:val="220F3557"/>
    <w:rsid w:val="22280ABD"/>
    <w:rsid w:val="22AD2D70"/>
    <w:rsid w:val="22DF322D"/>
    <w:rsid w:val="23587C62"/>
    <w:rsid w:val="23622054"/>
    <w:rsid w:val="23A233FC"/>
    <w:rsid w:val="24782AD4"/>
    <w:rsid w:val="24C43A0A"/>
    <w:rsid w:val="25B35BEF"/>
    <w:rsid w:val="25BA212F"/>
    <w:rsid w:val="25C06315"/>
    <w:rsid w:val="25D16D75"/>
    <w:rsid w:val="261A6A42"/>
    <w:rsid w:val="269A7680"/>
    <w:rsid w:val="27181100"/>
    <w:rsid w:val="277D5407"/>
    <w:rsid w:val="278E4F1E"/>
    <w:rsid w:val="28D9546B"/>
    <w:rsid w:val="28EB2659"/>
    <w:rsid w:val="2A467D32"/>
    <w:rsid w:val="2ACA3FF6"/>
    <w:rsid w:val="2B060862"/>
    <w:rsid w:val="2B15352D"/>
    <w:rsid w:val="2B3F1D11"/>
    <w:rsid w:val="2B6111BF"/>
    <w:rsid w:val="2B8E1652"/>
    <w:rsid w:val="2B9D6077"/>
    <w:rsid w:val="2BE9310A"/>
    <w:rsid w:val="2BFF7666"/>
    <w:rsid w:val="2C7A4FE5"/>
    <w:rsid w:val="2C87274F"/>
    <w:rsid w:val="2C951DEF"/>
    <w:rsid w:val="2C9662B4"/>
    <w:rsid w:val="2CED0939"/>
    <w:rsid w:val="2CF73565"/>
    <w:rsid w:val="2D065927"/>
    <w:rsid w:val="2D331D0D"/>
    <w:rsid w:val="2DDA60A5"/>
    <w:rsid w:val="2E307230"/>
    <w:rsid w:val="2E4610C5"/>
    <w:rsid w:val="2EAB0AAB"/>
    <w:rsid w:val="2EBC752D"/>
    <w:rsid w:val="2F15427C"/>
    <w:rsid w:val="2FCB53E9"/>
    <w:rsid w:val="2FFB1706"/>
    <w:rsid w:val="307F65FB"/>
    <w:rsid w:val="3112096E"/>
    <w:rsid w:val="311A1F18"/>
    <w:rsid w:val="31836B7D"/>
    <w:rsid w:val="319C4442"/>
    <w:rsid w:val="31F97D80"/>
    <w:rsid w:val="3251118A"/>
    <w:rsid w:val="32E75E2A"/>
    <w:rsid w:val="33833CFC"/>
    <w:rsid w:val="33D77C4D"/>
    <w:rsid w:val="34164C19"/>
    <w:rsid w:val="345066C8"/>
    <w:rsid w:val="349272BF"/>
    <w:rsid w:val="34DA79F4"/>
    <w:rsid w:val="355660E5"/>
    <w:rsid w:val="360D412F"/>
    <w:rsid w:val="37426BA0"/>
    <w:rsid w:val="374A0936"/>
    <w:rsid w:val="38434688"/>
    <w:rsid w:val="398C207A"/>
    <w:rsid w:val="399F745E"/>
    <w:rsid w:val="3A331955"/>
    <w:rsid w:val="3A620E28"/>
    <w:rsid w:val="3A696247"/>
    <w:rsid w:val="3AF143FE"/>
    <w:rsid w:val="3B0C057D"/>
    <w:rsid w:val="3B2A1853"/>
    <w:rsid w:val="3B8857F0"/>
    <w:rsid w:val="3BF05D4F"/>
    <w:rsid w:val="3BF20CEE"/>
    <w:rsid w:val="3C2D6992"/>
    <w:rsid w:val="3CA134EE"/>
    <w:rsid w:val="3CA3704E"/>
    <w:rsid w:val="3D396C6A"/>
    <w:rsid w:val="3D3A24DE"/>
    <w:rsid w:val="3D677C57"/>
    <w:rsid w:val="3D7B5E91"/>
    <w:rsid w:val="3DB72FC9"/>
    <w:rsid w:val="3DFD4754"/>
    <w:rsid w:val="3E1000FA"/>
    <w:rsid w:val="3E430EEE"/>
    <w:rsid w:val="3E687A39"/>
    <w:rsid w:val="3E812ADB"/>
    <w:rsid w:val="3ED100BA"/>
    <w:rsid w:val="3F223776"/>
    <w:rsid w:val="3F665F5C"/>
    <w:rsid w:val="3F794F45"/>
    <w:rsid w:val="405C1C05"/>
    <w:rsid w:val="406E7B8B"/>
    <w:rsid w:val="4121062A"/>
    <w:rsid w:val="41393CF5"/>
    <w:rsid w:val="415D04B7"/>
    <w:rsid w:val="41605725"/>
    <w:rsid w:val="419929E5"/>
    <w:rsid w:val="42EA48FB"/>
    <w:rsid w:val="43CF6164"/>
    <w:rsid w:val="43D1290A"/>
    <w:rsid w:val="43DD46A1"/>
    <w:rsid w:val="445B749E"/>
    <w:rsid w:val="447B395C"/>
    <w:rsid w:val="44A3147B"/>
    <w:rsid w:val="44C304A5"/>
    <w:rsid w:val="44E87C10"/>
    <w:rsid w:val="450C69F1"/>
    <w:rsid w:val="45285209"/>
    <w:rsid w:val="45A6752F"/>
    <w:rsid w:val="46905A5F"/>
    <w:rsid w:val="46BF3036"/>
    <w:rsid w:val="46D5738A"/>
    <w:rsid w:val="47412FF1"/>
    <w:rsid w:val="480C7833"/>
    <w:rsid w:val="48691363"/>
    <w:rsid w:val="48C52312"/>
    <w:rsid w:val="492D638D"/>
    <w:rsid w:val="49C5081B"/>
    <w:rsid w:val="4A757567"/>
    <w:rsid w:val="4AFD06E3"/>
    <w:rsid w:val="4B3F45FD"/>
    <w:rsid w:val="4B7122DD"/>
    <w:rsid w:val="4C327D7B"/>
    <w:rsid w:val="4CD82614"/>
    <w:rsid w:val="4CE2656B"/>
    <w:rsid w:val="4D106251"/>
    <w:rsid w:val="4D2271EB"/>
    <w:rsid w:val="4DAC0925"/>
    <w:rsid w:val="4E4F2DA9"/>
    <w:rsid w:val="4E821D07"/>
    <w:rsid w:val="4EBE3A8B"/>
    <w:rsid w:val="4EC72940"/>
    <w:rsid w:val="4EF34075"/>
    <w:rsid w:val="4F31425D"/>
    <w:rsid w:val="4F4860D8"/>
    <w:rsid w:val="4F850C9A"/>
    <w:rsid w:val="507B4F07"/>
    <w:rsid w:val="50DD710A"/>
    <w:rsid w:val="512C5624"/>
    <w:rsid w:val="514069D9"/>
    <w:rsid w:val="522606C5"/>
    <w:rsid w:val="52390FA7"/>
    <w:rsid w:val="524E5317"/>
    <w:rsid w:val="52946E07"/>
    <w:rsid w:val="529F4D0C"/>
    <w:rsid w:val="52A25DF6"/>
    <w:rsid w:val="532105A3"/>
    <w:rsid w:val="533D4580"/>
    <w:rsid w:val="537B7ABF"/>
    <w:rsid w:val="53B94C2F"/>
    <w:rsid w:val="541E0ABD"/>
    <w:rsid w:val="54A35BFD"/>
    <w:rsid w:val="54AE1ACF"/>
    <w:rsid w:val="54FA7FE7"/>
    <w:rsid w:val="555E75AF"/>
    <w:rsid w:val="5570405A"/>
    <w:rsid w:val="559A7000"/>
    <w:rsid w:val="561F5087"/>
    <w:rsid w:val="56467571"/>
    <w:rsid w:val="566F198B"/>
    <w:rsid w:val="56725887"/>
    <w:rsid w:val="56816334"/>
    <w:rsid w:val="56DC36BF"/>
    <w:rsid w:val="57AC5A53"/>
    <w:rsid w:val="57E53BB3"/>
    <w:rsid w:val="584E40D2"/>
    <w:rsid w:val="590A5CA9"/>
    <w:rsid w:val="59EF0D2F"/>
    <w:rsid w:val="5A355549"/>
    <w:rsid w:val="5A6C0805"/>
    <w:rsid w:val="5AC870C9"/>
    <w:rsid w:val="5B3752F1"/>
    <w:rsid w:val="5B54091C"/>
    <w:rsid w:val="5B744166"/>
    <w:rsid w:val="5BEB03FB"/>
    <w:rsid w:val="5C1B42CB"/>
    <w:rsid w:val="5D00789F"/>
    <w:rsid w:val="5D0C1BBA"/>
    <w:rsid w:val="5D9A56C3"/>
    <w:rsid w:val="5DA54794"/>
    <w:rsid w:val="5DC13151"/>
    <w:rsid w:val="5F3A4EA1"/>
    <w:rsid w:val="5F732E51"/>
    <w:rsid w:val="5FC66C44"/>
    <w:rsid w:val="5FDB0C3D"/>
    <w:rsid w:val="5FE61094"/>
    <w:rsid w:val="5FF23595"/>
    <w:rsid w:val="60523013"/>
    <w:rsid w:val="606F4818"/>
    <w:rsid w:val="60C969EB"/>
    <w:rsid w:val="60F7337C"/>
    <w:rsid w:val="611C2D57"/>
    <w:rsid w:val="61A42FB4"/>
    <w:rsid w:val="623C4F9B"/>
    <w:rsid w:val="62F12229"/>
    <w:rsid w:val="63D06CC5"/>
    <w:rsid w:val="640D3093"/>
    <w:rsid w:val="649255FD"/>
    <w:rsid w:val="64CE1249"/>
    <w:rsid w:val="64DB4E5F"/>
    <w:rsid w:val="64E841AB"/>
    <w:rsid w:val="65D75E74"/>
    <w:rsid w:val="65DA31EA"/>
    <w:rsid w:val="65DF15F8"/>
    <w:rsid w:val="65FB1716"/>
    <w:rsid w:val="660D4C01"/>
    <w:rsid w:val="661F3ECA"/>
    <w:rsid w:val="663E515C"/>
    <w:rsid w:val="664A412A"/>
    <w:rsid w:val="66794A10"/>
    <w:rsid w:val="6837444B"/>
    <w:rsid w:val="68701E42"/>
    <w:rsid w:val="68755967"/>
    <w:rsid w:val="690D3A73"/>
    <w:rsid w:val="6935500B"/>
    <w:rsid w:val="696379BF"/>
    <w:rsid w:val="699F55F6"/>
    <w:rsid w:val="6A164E34"/>
    <w:rsid w:val="6A2C4D0C"/>
    <w:rsid w:val="6A854D95"/>
    <w:rsid w:val="6A942672"/>
    <w:rsid w:val="6B0D0A53"/>
    <w:rsid w:val="6B3B04E6"/>
    <w:rsid w:val="6BA44170"/>
    <w:rsid w:val="6C7517D5"/>
    <w:rsid w:val="6C937EAD"/>
    <w:rsid w:val="6CB87914"/>
    <w:rsid w:val="6CCD7110"/>
    <w:rsid w:val="6CE10C19"/>
    <w:rsid w:val="6CF83CB4"/>
    <w:rsid w:val="6CFA53FE"/>
    <w:rsid w:val="6D93623D"/>
    <w:rsid w:val="6E192634"/>
    <w:rsid w:val="703956B7"/>
    <w:rsid w:val="704D516B"/>
    <w:rsid w:val="704F233D"/>
    <w:rsid w:val="706C041E"/>
    <w:rsid w:val="709223F1"/>
    <w:rsid w:val="70B73257"/>
    <w:rsid w:val="70CE2B42"/>
    <w:rsid w:val="70D250EC"/>
    <w:rsid w:val="710B4B8D"/>
    <w:rsid w:val="712D6D33"/>
    <w:rsid w:val="71DE349A"/>
    <w:rsid w:val="720E25EB"/>
    <w:rsid w:val="721D26F3"/>
    <w:rsid w:val="726A7902"/>
    <w:rsid w:val="728E1843"/>
    <w:rsid w:val="72F37330"/>
    <w:rsid w:val="73196D06"/>
    <w:rsid w:val="73586199"/>
    <w:rsid w:val="745B748A"/>
    <w:rsid w:val="74736F42"/>
    <w:rsid w:val="74EE1889"/>
    <w:rsid w:val="75377F70"/>
    <w:rsid w:val="75664E30"/>
    <w:rsid w:val="75B36462"/>
    <w:rsid w:val="75D60E9A"/>
    <w:rsid w:val="761D41D0"/>
    <w:rsid w:val="7747404F"/>
    <w:rsid w:val="77752FD1"/>
    <w:rsid w:val="77B6699F"/>
    <w:rsid w:val="77BA2649"/>
    <w:rsid w:val="77E8342F"/>
    <w:rsid w:val="786C7F30"/>
    <w:rsid w:val="78FE2D8D"/>
    <w:rsid w:val="79636DBB"/>
    <w:rsid w:val="79DD3B34"/>
    <w:rsid w:val="79E6309A"/>
    <w:rsid w:val="7A0712B5"/>
    <w:rsid w:val="7A966CC4"/>
    <w:rsid w:val="7B0536B4"/>
    <w:rsid w:val="7B724699"/>
    <w:rsid w:val="7B922E67"/>
    <w:rsid w:val="7C5F1B5A"/>
    <w:rsid w:val="7C717949"/>
    <w:rsid w:val="7C8D66C7"/>
    <w:rsid w:val="7CA360C7"/>
    <w:rsid w:val="7CC7600D"/>
    <w:rsid w:val="7D0E144C"/>
    <w:rsid w:val="7D48291D"/>
    <w:rsid w:val="7DA57A41"/>
    <w:rsid w:val="7E265025"/>
    <w:rsid w:val="7E67433D"/>
    <w:rsid w:val="7E905F9E"/>
    <w:rsid w:val="7EBA3A0E"/>
    <w:rsid w:val="7EC27586"/>
    <w:rsid w:val="7F6776A3"/>
    <w:rsid w:val="7F6D4413"/>
    <w:rsid w:val="7F8A164E"/>
    <w:rsid w:val="7FDE72B6"/>
    <w:rsid w:val="FD9F287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1"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qFormat="1" w:unhideWhenUsed="0" w:uiPriority="0" w:semiHidden="0" w:name="index 9"/>
    <w:lsdException w:uiPriority="39" w:name="toc 1"/>
    <w:lsdException w:qFormat="1" w:unhideWhenUsed="0" w:uiPriority="0"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1"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basedOn w:val="1"/>
    <w:next w:val="1"/>
    <w:qFormat/>
    <w:uiPriority w:val="1"/>
    <w:pPr>
      <w:ind w:left="558"/>
      <w:jc w:val="center"/>
      <w:outlineLvl w:val="0"/>
    </w:pPr>
    <w:rPr>
      <w:rFonts w:ascii="微软雅黑" w:hAnsi="微软雅黑" w:eastAsia="微软雅黑" w:cs="微软雅黑"/>
      <w:sz w:val="36"/>
      <w:szCs w:val="36"/>
    </w:rPr>
  </w:style>
  <w:style w:type="character" w:default="1" w:styleId="15">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2">
    <w:name w:val="Body Text"/>
    <w:basedOn w:val="1"/>
    <w:qFormat/>
    <w:uiPriority w:val="1"/>
    <w:rPr>
      <w:rFonts w:ascii="宋体" w:hAnsi="宋体" w:eastAsia="宋体" w:cs="宋体"/>
      <w:sz w:val="32"/>
      <w:szCs w:val="32"/>
    </w:rPr>
  </w:style>
  <w:style w:type="paragraph" w:styleId="4">
    <w:name w:val="annotation text"/>
    <w:basedOn w:val="1"/>
    <w:qFormat/>
    <w:uiPriority w:val="0"/>
    <w:pPr>
      <w:jc w:val="left"/>
    </w:pPr>
  </w:style>
  <w:style w:type="paragraph" w:styleId="5">
    <w:name w:val="Body Text Indent"/>
    <w:basedOn w:val="1"/>
    <w:qFormat/>
    <w:uiPriority w:val="99"/>
    <w:pPr>
      <w:spacing w:after="120"/>
      <w:ind w:left="420" w:leftChars="200"/>
    </w:pPr>
  </w:style>
  <w:style w:type="paragraph" w:styleId="6">
    <w:name w:val="Plain Text"/>
    <w:basedOn w:val="1"/>
    <w:next w:val="7"/>
    <w:qFormat/>
    <w:uiPriority w:val="0"/>
    <w:pPr>
      <w:jc w:val="left"/>
    </w:pPr>
    <w:rPr>
      <w:rFonts w:ascii="宋体" w:hAnsi="Courier New" w:eastAsia="宋体" w:cs="Arial"/>
      <w:kern w:val="0"/>
      <w:sz w:val="20"/>
    </w:rPr>
  </w:style>
  <w:style w:type="paragraph" w:styleId="7">
    <w:name w:val="index 9"/>
    <w:basedOn w:val="1"/>
    <w:next w:val="1"/>
    <w:qFormat/>
    <w:uiPriority w:val="0"/>
    <w:pPr>
      <w:ind w:left="3360"/>
    </w:pPr>
    <w:rPr>
      <w:rFonts w:ascii="Calibri" w:hAnsi="Calibri" w:eastAsia="宋体" w:cs="等线"/>
      <w:szCs w:val="21"/>
    </w:rPr>
  </w:style>
  <w:style w:type="paragraph" w:styleId="8">
    <w:name w:val="footer"/>
    <w:basedOn w:val="1"/>
    <w:unhideWhenUsed/>
    <w:qFormat/>
    <w:uiPriority w:val="99"/>
    <w:pPr>
      <w:tabs>
        <w:tab w:val="center" w:pos="4153"/>
        <w:tab w:val="right" w:pos="8306"/>
      </w:tabs>
      <w:snapToGrid w:val="0"/>
      <w:jc w:val="left"/>
    </w:pPr>
    <w:rPr>
      <w:sz w:val="18"/>
    </w:rPr>
  </w:style>
  <w:style w:type="paragraph" w:styleId="9">
    <w:name w:val="header"/>
    <w:basedOn w:val="1"/>
    <w:unhideWhenUsed/>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0">
    <w:name w:val="Normal (Web)"/>
    <w:basedOn w:val="1"/>
    <w:qFormat/>
    <w:uiPriority w:val="0"/>
    <w:pPr>
      <w:widowControl w:val="0"/>
      <w:spacing w:beforeAutospacing="1" w:afterAutospacing="1"/>
    </w:pPr>
    <w:rPr>
      <w:rFonts w:ascii="Calibri" w:hAnsi="Calibri" w:eastAsia="宋体" w:cs="Times New Roman"/>
      <w:sz w:val="24"/>
      <w:szCs w:val="24"/>
      <w:lang w:val="en-US" w:eastAsia="zh-CN" w:bidi="ar-SA"/>
    </w:rPr>
  </w:style>
  <w:style w:type="paragraph" w:styleId="11">
    <w:name w:val="Title"/>
    <w:basedOn w:val="1"/>
    <w:next w:val="1"/>
    <w:qFormat/>
    <w:uiPriority w:val="0"/>
    <w:pPr>
      <w:spacing w:before="240" w:after="60"/>
      <w:jc w:val="center"/>
      <w:outlineLvl w:val="0"/>
    </w:pPr>
    <w:rPr>
      <w:rFonts w:ascii="Cambria" w:hAnsi="Cambria"/>
      <w:b/>
      <w:bCs/>
      <w:kern w:val="0"/>
      <w:sz w:val="32"/>
      <w:szCs w:val="32"/>
    </w:rPr>
  </w:style>
  <w:style w:type="paragraph" w:styleId="12">
    <w:name w:val="Body Text First Indent 2"/>
    <w:basedOn w:val="5"/>
    <w:qFormat/>
    <w:uiPriority w:val="99"/>
    <w:pPr>
      <w:ind w:firstLine="420" w:firstLineChars="200"/>
    </w:pPr>
  </w:style>
  <w:style w:type="table" w:styleId="14">
    <w:name w:val="Table Grid"/>
    <w:basedOn w:val="1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Emphasis"/>
    <w:basedOn w:val="15"/>
    <w:qFormat/>
    <w:uiPriority w:val="20"/>
    <w:rPr>
      <w:i/>
    </w:rPr>
  </w:style>
  <w:style w:type="character" w:styleId="17">
    <w:name w:val="Hyperlink"/>
    <w:basedOn w:val="15"/>
    <w:qFormat/>
    <w:uiPriority w:val="0"/>
    <w:rPr>
      <w:color w:val="338DE6"/>
      <w:u w:val="none"/>
    </w:rPr>
  </w:style>
  <w:style w:type="paragraph" w:styleId="18">
    <w:name w:val="List Paragraph"/>
    <w:basedOn w:val="1"/>
    <w:qFormat/>
    <w:uiPriority w:val="34"/>
    <w:pPr>
      <w:ind w:firstLine="420" w:firstLineChars="200"/>
    </w:pPr>
  </w:style>
  <w:style w:type="paragraph" w:customStyle="1" w:styleId="19">
    <w:name w:val="Table Text"/>
    <w:basedOn w:val="1"/>
    <w:semiHidden/>
    <w:qFormat/>
    <w:uiPriority w:val="0"/>
    <w:rPr>
      <w:rFonts w:ascii="微软雅黑" w:hAnsi="微软雅黑" w:eastAsia="微软雅黑" w:cs="微软雅黑"/>
      <w:sz w:val="21"/>
      <w:szCs w:val="21"/>
      <w:lang w:val="en-US" w:eastAsia="en-US" w:bidi="ar-SA"/>
    </w:rPr>
  </w:style>
  <w:style w:type="character" w:customStyle="1" w:styleId="20">
    <w:name w:val="unnamed11"/>
    <w:qFormat/>
    <w:uiPriority w:val="0"/>
    <w:rPr>
      <w:rFonts w:hint="eastAsia" w:ascii="宋体" w:hAnsi="宋体" w:eastAsia="宋体"/>
      <w:sz w:val="21"/>
      <w:szCs w:val="21"/>
    </w:rPr>
  </w:style>
  <w:style w:type="character" w:customStyle="1" w:styleId="21">
    <w:name w:val="font41"/>
    <w:qFormat/>
    <w:uiPriority w:val="0"/>
    <w:rPr>
      <w:rFonts w:hint="eastAsia" w:ascii="宋体" w:hAnsi="宋体" w:eastAsia="宋体" w:cs="宋体"/>
      <w:color w:val="000000"/>
      <w:sz w:val="22"/>
      <w:szCs w:val="22"/>
      <w:u w:val="none"/>
    </w:rPr>
  </w:style>
  <w:style w:type="paragraph" w:customStyle="1" w:styleId="22">
    <w:name w:val="正文部分 Char Char Char"/>
    <w:basedOn w:val="2"/>
    <w:next w:val="23"/>
    <w:qFormat/>
    <w:uiPriority w:val="0"/>
    <w:pPr>
      <w:adjustRightInd w:val="0"/>
      <w:spacing w:line="460" w:lineRule="exact"/>
      <w:textAlignment w:val="baseline"/>
    </w:pPr>
    <w:rPr>
      <w:rFonts w:hAnsi="Calibri"/>
      <w:sz w:val="24"/>
    </w:rPr>
  </w:style>
  <w:style w:type="paragraph" w:customStyle="1" w:styleId="23">
    <w:name w:val="章标题"/>
    <w:basedOn w:val="11"/>
    <w:qFormat/>
    <w:uiPriority w:val="0"/>
    <w:pPr>
      <w:spacing w:line="360" w:lineRule="auto"/>
    </w:pPr>
  </w:style>
  <w:style w:type="paragraph" w:customStyle="1" w:styleId="24">
    <w:name w:val="正文-公1"/>
    <w:basedOn w:val="1"/>
    <w:next w:val="1"/>
    <w:qFormat/>
    <w:uiPriority w:val="0"/>
    <w:pPr>
      <w:ind w:firstLine="200" w:firstLineChars="200"/>
      <w:jc w:val="left"/>
    </w:pPr>
    <w:rPr>
      <w:rFonts w:eastAsia="仿宋_GB2312"/>
    </w:rPr>
  </w:style>
  <w:style w:type="character" w:customStyle="1" w:styleId="25">
    <w:name w:val="font61"/>
    <w:basedOn w:val="15"/>
    <w:qFormat/>
    <w:uiPriority w:val="0"/>
    <w:rPr>
      <w:rFonts w:hint="eastAsia" w:ascii="仿宋_GB2312" w:eastAsia="仿宋_GB2312" w:cs="仿宋_GB2312"/>
      <w:color w:val="000000"/>
      <w:sz w:val="16"/>
      <w:szCs w:val="16"/>
      <w:u w:val="none"/>
    </w:rPr>
  </w:style>
  <w:style w:type="character" w:customStyle="1" w:styleId="26">
    <w:name w:val="font11"/>
    <w:basedOn w:val="15"/>
    <w:qFormat/>
    <w:uiPriority w:val="0"/>
    <w:rPr>
      <w:rFonts w:hint="eastAsia" w:ascii="仿宋_GB2312" w:eastAsia="仿宋_GB2312" w:cs="仿宋_GB2312"/>
      <w:color w:val="000000"/>
      <w:sz w:val="16"/>
      <w:szCs w:val="16"/>
      <w:u w:val="none"/>
    </w:rPr>
  </w:style>
  <w:style w:type="character" w:customStyle="1" w:styleId="27">
    <w:name w:val="NormalCharacter"/>
    <w:qFormat/>
    <w:uiPriority w:val="0"/>
  </w:style>
  <w:style w:type="character" w:customStyle="1" w:styleId="28">
    <w:name w:val="font31"/>
    <w:qFormat/>
    <w:uiPriority w:val="0"/>
    <w:rPr>
      <w:rFonts w:hint="eastAsia" w:ascii="宋体" w:hAnsi="宋体" w:eastAsia="宋体" w:cs="宋体"/>
      <w:b/>
      <w:color w:val="00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7.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1" Type="http://schemas.openxmlformats.org/officeDocument/2006/relationships/fontTable" Target="fontTable.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theme" Target="theme/theme1.xml"/><Relationship Id="rId18" Type="http://schemas.openxmlformats.org/officeDocument/2006/relationships/footer" Target="footer16.xml"/><Relationship Id="rId17" Type="http://schemas.openxmlformats.org/officeDocument/2006/relationships/footer" Target="footer15.xml"/><Relationship Id="rId16" Type="http://schemas.openxmlformats.org/officeDocument/2006/relationships/footer" Target="footer14.xml"/><Relationship Id="rId15" Type="http://schemas.openxmlformats.org/officeDocument/2006/relationships/footer" Target="footer13.xml"/><Relationship Id="rId14" Type="http://schemas.openxmlformats.org/officeDocument/2006/relationships/footer" Target="footer12.xml"/><Relationship Id="rId13" Type="http://schemas.openxmlformats.org/officeDocument/2006/relationships/footer" Target="footer11.xml"/><Relationship Id="rId12" Type="http://schemas.openxmlformats.org/officeDocument/2006/relationships/footer" Target="footer10.xml"/><Relationship Id="rId11" Type="http://schemas.openxmlformats.org/officeDocument/2006/relationships/footer" Target="footer9.xml"/><Relationship Id="rId10" Type="http://schemas.openxmlformats.org/officeDocument/2006/relationships/footer" Target="footer8.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163</Pages>
  <Words>1168</Words>
  <Characters>1208</Characters>
  <Lines>20</Lines>
  <Paragraphs>5</Paragraphs>
  <TotalTime>0</TotalTime>
  <ScaleCrop>false</ScaleCrop>
  <LinksUpToDate>false</LinksUpToDate>
  <CharactersWithSpaces>1257</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2023-09-02T18:12:00Z</dcterms:created>
  <dc:creator>759551140@qq.com</dc:creator>
  <cp:lastModifiedBy>打字室3</cp:lastModifiedBy>
  <cp:lastPrinted>2026-04-03T08:12:00Z</cp:lastPrinted>
  <dcterms:modified xsi:type="dcterms:W3CDTF">2026-04-03T09:43:43Z</dcterms:modified>
  <dc:title>关于报送水行政执法标准化试点建设</dc:title>
  <cp:revision>29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8C5AAA9C9A0F4FE28D31EBD0B72E24A9_13</vt:lpwstr>
  </property>
  <property fmtid="{D5CDD505-2E9C-101B-9397-08002B2CF9AE}" pid="4" name="KSOTemplateDocerSaveRecord">
    <vt:lpwstr>eyJoZGlkIjoiNjY2ZDA3NjNiYzIwNzFlY2U3N2E2OTc1NzQ4NDljNzMiLCJ1c2VySWQiOiIyMzQ0MzQyNTEifQ==</vt:lpwstr>
  </property>
</Properties>
</file>