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rPr>
      </w:pPr>
    </w:p>
    <w:p>
      <w:pPr>
        <w:jc w:val="center"/>
        <w:rPr>
          <w:rFonts w:hint="eastAsia" w:ascii="黑体" w:hAnsi="黑体" w:eastAsia="黑体" w:cs="黑体"/>
          <w:sz w:val="44"/>
          <w:szCs w:val="44"/>
        </w:rPr>
      </w:pPr>
      <w:r>
        <w:rPr>
          <w:rFonts w:hint="eastAsia" w:ascii="黑体" w:hAnsi="黑体" w:eastAsia="黑体" w:cs="黑体"/>
          <w:sz w:val="44"/>
          <w:szCs w:val="44"/>
          <w:lang w:eastAsia="zh-CN"/>
        </w:rPr>
        <w:drawing>
          <wp:inline distT="0" distB="0" distL="114300" distR="114300">
            <wp:extent cx="5267960" cy="7447280"/>
            <wp:effectExtent l="0" t="0" r="8890" b="1270"/>
            <wp:docPr id="1" name="图片 1" descr="b67da05b2fa1c721cb1edf1967609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7da05b2fa1c721cb1edf1967609b6"/>
                    <pic:cNvPicPr>
                      <a:picLocks noChangeAspect="1"/>
                    </pic:cNvPicPr>
                  </pic:nvPicPr>
                  <pic:blipFill>
                    <a:blip r:embed="rId4"/>
                    <a:stretch>
                      <a:fillRect/>
                    </a:stretch>
                  </pic:blipFill>
                  <pic:spPr>
                    <a:xfrm>
                      <a:off x="0" y="0"/>
                      <a:ext cx="5267960" cy="7447280"/>
                    </a:xfrm>
                    <a:prstGeom prst="rect">
                      <a:avLst/>
                    </a:prstGeom>
                  </pic:spPr>
                </pic:pic>
              </a:graphicData>
            </a:graphic>
          </wp:inline>
        </w:drawing>
      </w:r>
    </w:p>
    <w:p>
      <w:pPr>
        <w:jc w:val="both"/>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r>
        <w:rPr>
          <w:rFonts w:hint="eastAsia" w:ascii="黑体" w:hAnsi="黑体" w:eastAsia="黑体" w:cs="黑体"/>
          <w:sz w:val="44"/>
          <w:szCs w:val="44"/>
        </w:rPr>
        <w:t>涞源县应急管理局</w:t>
      </w:r>
    </w:p>
    <w:p>
      <w:pPr>
        <w:jc w:val="center"/>
        <w:rPr>
          <w:rFonts w:hint="eastAsia" w:ascii="黑体" w:hAnsi="黑体" w:eastAsia="黑体" w:cs="黑体"/>
          <w:sz w:val="44"/>
          <w:szCs w:val="44"/>
        </w:rPr>
      </w:pPr>
      <w:r>
        <w:rPr>
          <w:rFonts w:hint="eastAsia" w:ascii="黑体" w:hAnsi="黑体" w:eastAsia="黑体" w:cs="黑体"/>
          <w:sz w:val="44"/>
          <w:szCs w:val="44"/>
        </w:rPr>
        <w:t>2023年度安全生产监督检查计划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为全面推进应急管理综合行政执法工作，落实安全生产监督检查职责，规范安全生产监督检查行为，依据《中华人民共和国安全生产法》、《应急管理行政执法人员依法履职管理规定》（应急管理部令第 9 号）、《安全生产监管年度执法工作计划编制办法》（安监总政法〔2017〕150 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非煤矿山安全监管部门年度监管执法计划编制办法（试行）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（矿安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168号</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要求，结合我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 xml:space="preserve"> 2023 年度安全生产工作部署，制定 2023 年度安全生产监督检查计划。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一、指导思想</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习近平新时代中国特色社会主义思想为指导，认真贯彻落实党的二十大精神，按照党中央“疫情要防住、经济要稳住、发展要安全”的要求，强化底线思维和红线意识，坚持人民至上，生命至上。深入学习贯彻习近平法治思想，全面实施依法治安，进一步提升防控重大事故风险能力，精准研判风险变化，及时有效防范应对，将优化营商环境和依法执法、服务执法有效结合起来，推动高质量发展和高水平安全动态平衡，推进安全生产风险专项整治，加强重点行业领域安全监管，坚决遏制事故发生，促进全县安全生产形势实现根本好转。为</w:t>
      </w:r>
      <w:r>
        <w:rPr>
          <w:rFonts w:hint="eastAsia" w:ascii="仿宋_GB2312" w:hAnsi="仿宋_GB2312" w:eastAsia="仿宋_GB2312" w:cs="仿宋_GB2312"/>
          <w:sz w:val="32"/>
          <w:szCs w:val="32"/>
          <w:lang w:eastAsia="zh-CN"/>
        </w:rPr>
        <w:t>建设经济强县，</w:t>
      </w:r>
      <w:r>
        <w:rPr>
          <w:rFonts w:hint="eastAsia" w:ascii="仿宋_GB2312" w:hAnsi="仿宋_GB2312" w:eastAsia="仿宋_GB2312" w:cs="仿宋_GB2312"/>
          <w:sz w:val="32"/>
          <w:szCs w:val="32"/>
        </w:rPr>
        <w:t>品质</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打造良好的安全生产环境。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二、工作目标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是全面贯彻落实党的二十大精神的开局之年，新冠病毒感染调整为“乙类乙管”，疫情防控策略做出重大调整，各监管股室、监察大队要综合运用信息化技术开展常态化监督检查，通过线上线下监管监察方式，对高风险矿井、高陡边坡露天矿山、重大危险源、涉粉尘爆炸企业、涉有限空间企业、涉氨涉氯企业等加强动态监管，严厉打击各种非法违法行为。坚持标本兼治，以从根本上消除事故隐患为目标，以更大力度，促使企业安全管理向本质安全转化。进一步优化营商环境，坚持依法治安，创新执法方式，全面提升安全生产行政执法质量和效能，为全县科学发展，安全发展提供保障。</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三、主要任务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强化普法宣传。按照“谁执法，谁普法”的要求，建立宣传机制。结合县、乡联合执法检查对企业人员重点开展普法宣传，做到以案普法，以案释法，提升企业主体责任意识，促使其主动落实日常管理措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强化业务培训。各执法组建立和完善培训机制，修订补充完善各行业执法模板，通过对县和乡镇（街道）基层执法人员开展专项业务知识培训，观摩执法、执法比武和现场执法指导培训，强化各级执法人员法制意识；进一步规范执法行为，规范执法程序，统一标准，健全执法台帐，基层执法人员的执法能力得到明显提升。</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规范执法，公正执法。严格落实行政执法全过程记录制度、重大执法决定法制审核制度、行政执法公示制度。严格规范行政执法程序、执法行为和执法文书使用，统一自由裁量标准，做好行政执法事前和事后公示。强化案件合法性审核，做到依法执法，公开执法，公正执法。</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（四）落实双随机制度，避免任性执法。为贯彻落实县政府进一步优化营商环境的要求，按照“双随机、一公开”检查机制，结合我县行业特点组织开展联合执法（含跨部门、内部）。</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（五）扎实开展专项执法，集中执法。根据不同时间节点，季节特点、行业特点开展矿山、危化、粉尘涉爆、有限空间、安全培训、评价机构等专项执法。</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（六）强化执法案例查处报送。在检查综合检查事项的基础上，重点围绕危化、工商贸行业重点检查事项（2020 版执法手册规定）开展执法检查；围绕安全评价机构、特种作业人员、涉行刑衔接违法行为和围绕企业主要负责人责任落实开展执法检查；查处一批重大故隐患，消除一批重大风险，防范大事故的发生，保质保量报送合格的典型执法案例。</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强化执法信息化。监督检查全部使用“互联网+监管”和“互联网+执法”系统端口，做到所有检查数据全部录入系统，以执法过程管控、人员管理、信息统计、智能执法为重点环节，实现执法裁量判定、统计分析、数据推送的实时在线和执法标准统一、隐患自查自报、跟踪整改到位、监管密切协同的目标。</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强化执法监督。深入推进行政执法监督机制，推进落实全过程监督机制，适时开展执法督导检查，案卷评查。对县监察执法工作进行监督指导，及时纠正执法过错。严格行政执法纪律，规范执法人员行为，加强执法过程控制，严格监督问责，保障监察执法行为依法、廉洁、高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四、监督检查人员数量和执法工作日安排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（一）监督检查人员数量。目前，县局在册执法人员为64 人。依据原国家安监总局《安全生产监管年度执法工作计划编制办法》（安监总政法〔2017〕150 号）的要求，县局纳入计算的行政执法人员的数量不少于 64×80%=51(人)。</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（二）总法定工作日：12750 天。2023 年全年共 365 天，有52 周，双休日 104 天，元旦、春节、清明、五一、端午、中秋、国庆等法定假日共计 11 天。国家法定工作日=365-104-11=250天。总法定工作日=国家法定工作日×执法人员数量=250×51=12750 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（三）其他行政执法工作日：2080 天（参考近 3 年确定）。主要包括实施行政许可（100天），开展安全生产综合监管、检查（500天），调查核实安全生产投诉举报（300 天），办理有关法律、法规、规章规定的登记、备案（180 天），开展安全生产宣传教育培训（500天），完成本级人民政府或者省厅、市局安排的执法工作任务（500 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（四）非执法工作日：4543 天。主要包括机关值班（1095天），学习、培训、考核、会议（1160 天），开展安全生产督导（200 天），检查指导下级应急管理部门工作（420 天），参加党群活动（1068 天），法定年休假、病假、事假（600 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（五）监督检查工作日：6136 天。执法检查工作日=总法定工作日-其他执法工作日-非执法工作日=6136 天。</w:t>
      </w:r>
    </w:p>
    <w:p>
      <w:pPr>
        <w:ind w:firstLine="320" w:firstLineChars="1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(六）检查时间安排见附表：3</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五、监督检查主要内容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根据《中华人民共和国安全生产法》和《河北省安全生产条例》，对生产经营单位要重点监督检查 20 项内容：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1.依法通过有关安全生产行政审批的情况;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2.主要负责人、安全管理人员、特种作业人员的安全生产教育和培训、考核和持证上岗情况;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3.建立和落实全员安全生产责任制、安全生产规章制度和操作规程、作业规程的情况;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4.按照国家规定提取和使用安全生产费用，安排用于配备劳动防护用品、进行安全生产教育和培训的经费，以及其他安全生产投入的情况;投保安全生产责任保险的情况；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5.依法设置安全生产管理机构和配备安全生产管理人员的情况;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6.危险物品的生产、储存单位以及矿山、金属冶炼单位配备或者聘用注册安全工程师的情况;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7.从业人员、被派遣劳动者和实习学生受到安全生产教育、培训及其教育培训档案的情况;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8.新建、改建、扩建工程项目的安全设施与主体工程同时设计、同时施工、同时投入生产和使用，以及按规定办理设计审查和竣工验收的情况;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9.在有较大危险因素的生产经营场所和有关设施、设备上，设置安全警示标志的情况;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10.安全设备的安装、维护、保养、定期检测的情况;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11.重大危险源登记建档、定期检测、评估、监控和制定应急预案的情况;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12.教育和督促从业人员严格执行本单位的安全生产规章制度和安全操作规程，并向从业人员如实告知作业场所和工作岗位存在的危险因素、防范措施以及事故应急措施的情况;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13.为从业人员提供符合国家标准或者行业标准的劳动防护用品，并监督、教育从业人员按照使用规则正确佩戴和使用的情况;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在同一作业区域内进行生产经营活动，可能危及对方生产安全的，与对方签订安全生产管理协议，明确各自的安全生产管理职责和应当采取的安全措施，并指定专职安全生产管理人员进行安全检查与协调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15.对承包单位、承租单位的安全生产工作实行统一协调、管理，定期进行安全检查，督促整改安全问题的情况;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16.安全风险分级管控和隐患排查治理双重预防工作机制落实情况；建立健全生产安全事故隐患排查治理制度，及时发现并消除事故隐患，如实记录事故隐患治理，以及向从业人员通报的情况;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17.制定、实施生产安全事故应急预案，定期组织应急预案演练，以及有关应急预案备案的情况;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18.危险物品的生产、经营、储存单位以及矿山、金属冶炼单位建立应急救援组织或者兼职救援队伍、签订应急救援协议，以及应急救援器材、设备和物资的配备、维护、保养的情况;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19.按照规定报告生产安全事故的情况;</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20.安全生产举报培训情况、生产经营单位内部举报奖励制度、内部举报奖励公示牌、安全生产举报奖励公告牌。</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.依法应当监督检查的其他情况。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六、重点检查安排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（一）重点检查单位范围。根据原国家安全监管总局《关于印发安全生产年度监督检查计划编制办法的通知》（安监总政法〔2017〕150 号）和《涞源县应急管理系统安全生产分类分级执法方案》要求，重点检查单位范围为：</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1.安全生产风险等级较高的生产经营单位：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（1）煤矿、金属非金属地下矿山，采场或者排土场边坡高度 200 米以上的露天矿山，建设在大型工矿生产经营单位、大型水源地、重要铁路和公路、水产基地和大型居民区等重要生产生活设施上游的尾矿库；</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（2）涉及重点监管危险化学品、重点监管危险化工工艺和危险化学品重大危险源的生产经营单位；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（3）烟花爆竹生产、批发单位；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（4）金属冶炼生产经营单位；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（5）涉爆粉尘、有限空间作业生产经营单位；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（6）安全生产标准化未达标的生产经营单位，安全生产风险分级管控和事故隐患排查治理落实不到位的生产经营单位。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2.近三年发生过造成人员死亡的生产安全事故的生产经营单位；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3.纳入安全生产失信行为联合惩戒对象的生产经营单位；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4.发现存在重大生产安全事故隐患的生产经营单位；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5.长时间停产后复工复产的单位；试生产的生产经营单位；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6.其他应当纳入重点检查安排的生产经营单位。</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（二）重点检查单位</w:t>
      </w:r>
      <w:r>
        <w:rPr>
          <w:rFonts w:hint="eastAsia" w:ascii="仿宋_GB2312" w:hAnsi="仿宋_GB2312" w:eastAsia="仿宋_GB2312" w:cs="仿宋_GB2312"/>
          <w:sz w:val="32"/>
          <w:szCs w:val="32"/>
          <w:lang w:eastAsia="zh-CN"/>
        </w:rPr>
        <w:t>数量、名称及检查频次。</w:t>
      </w:r>
      <w:r>
        <w:rPr>
          <w:rFonts w:hint="eastAsia" w:ascii="仿宋_GB2312" w:hAnsi="仿宋_GB2312" w:eastAsia="仿宋_GB2312" w:cs="仿宋_GB2312"/>
          <w:sz w:val="32"/>
          <w:szCs w:val="32"/>
        </w:rPr>
        <w:t>全年重点检查生产经营单位</w:t>
      </w:r>
      <w:r>
        <w:rPr>
          <w:rFonts w:hint="eastAsia" w:ascii="仿宋_GB2312" w:hAnsi="仿宋_GB2312" w:eastAsia="仿宋_GB2312" w:cs="仿宋_GB2312"/>
          <w:sz w:val="32"/>
          <w:szCs w:val="32"/>
          <w:lang w:val="en-US" w:eastAsia="zh-CN"/>
        </w:rPr>
        <w:t>292</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其中矿山企业</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 xml:space="preserve">；危险化学品企业 </w:t>
      </w:r>
      <w:r>
        <w:rPr>
          <w:rFonts w:hint="eastAsia" w:ascii="仿宋_GB2312" w:hAnsi="仿宋_GB2312" w:eastAsia="仿宋_GB2312" w:cs="仿宋_GB2312"/>
          <w:sz w:val="32"/>
          <w:szCs w:val="32"/>
          <w:lang w:val="en-US" w:eastAsia="zh-CN"/>
        </w:rPr>
        <w:t>44</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；工商贸企业</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 xml:space="preserve">。企业名单见附件 </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七、一般检查安排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（一）一般检查单位范围。根据原国家安全监管总局《关于印发安全生产年度监督检查计划编制办法的通知》（安监总政法〔2017〕150 号）和《保定市应急管理系统安全生产分类分级执法方案》要求，一般检查单位范围为：</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1.本部门负责监督检查的重点检查单位以外的生产经营单位；</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2.其他应当纳入一般检查安排的生产经营单位。</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（二）一般检查单位检查家</w:t>
      </w:r>
      <w:r>
        <w:rPr>
          <w:rFonts w:hint="eastAsia" w:ascii="仿宋_GB2312" w:hAnsi="仿宋_GB2312" w:eastAsia="仿宋_GB2312" w:cs="仿宋_GB2312"/>
          <w:sz w:val="32"/>
          <w:szCs w:val="32"/>
          <w:lang w:val="en-US" w:eastAsia="zh-CN"/>
        </w:rPr>
        <w:t>134</w:t>
      </w:r>
      <w:r>
        <w:rPr>
          <w:rFonts w:hint="eastAsia" w:ascii="仿宋_GB2312" w:hAnsi="仿宋_GB2312" w:eastAsia="仿宋_GB2312" w:cs="仿宋_GB2312"/>
          <w:sz w:val="32"/>
          <w:szCs w:val="32"/>
        </w:rPr>
        <w:t>次。全年一般检查生产经营单位</w:t>
      </w:r>
      <w:r>
        <w:rPr>
          <w:rFonts w:hint="eastAsia" w:ascii="仿宋_GB2312" w:hAnsi="仿宋_GB2312" w:eastAsia="仿宋_GB2312" w:cs="仿宋_GB2312"/>
          <w:sz w:val="32"/>
          <w:szCs w:val="32"/>
          <w:lang w:val="en-US" w:eastAsia="zh-CN"/>
        </w:rPr>
        <w:t>134</w:t>
      </w:r>
      <w:r>
        <w:rPr>
          <w:rFonts w:hint="eastAsia" w:ascii="仿宋_GB2312" w:hAnsi="仿宋_GB2312" w:eastAsia="仿宋_GB2312" w:cs="仿宋_GB2312"/>
          <w:sz w:val="32"/>
          <w:szCs w:val="32"/>
        </w:rPr>
        <w:t>家次，其中矿山企业</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家次、危险化学品（医药）企业</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家次、工商贸企业</w:t>
      </w:r>
      <w:r>
        <w:rPr>
          <w:rFonts w:hint="eastAsia" w:ascii="仿宋_GB2312" w:hAnsi="仿宋_GB2312" w:eastAsia="仿宋_GB2312" w:cs="仿宋_GB2312"/>
          <w:sz w:val="32"/>
          <w:szCs w:val="32"/>
          <w:lang w:val="en-US" w:eastAsia="zh-CN"/>
        </w:rPr>
        <w:t>113</w:t>
      </w:r>
      <w:r>
        <w:rPr>
          <w:rFonts w:hint="eastAsia" w:ascii="仿宋_GB2312" w:hAnsi="仿宋_GB2312" w:eastAsia="仿宋_GB2312" w:cs="仿宋_GB2312"/>
          <w:sz w:val="32"/>
          <w:szCs w:val="32"/>
        </w:rPr>
        <w:t xml:space="preserve">家次，企业名单见附件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对以上生产经营单位的监督检查，由相关股室（队）采取“双随机、一公开”抽查方式实施。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八、专项检查安排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对安全教育培训、中介机构、应急救援等专项检查，由各安全监察中队监察，结合工作重点具体实施专项检查工作，对于高危行业和规模以上企业以外企业的检查相关监察中队联合乡镇执法队共同开展。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九、监督检查有关要求</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（一）监督检查前的准备工作。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承担监督检查任务的股室（队）应根据县政府批准的年度监督检查计划，统筹考虑监督检查工作日数量、专业技术力量、执法检查装备等实际情况，以及分管行业（领域）阶段性安全生产特点规律，实施年度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承担监督检查任务的股室（队）应当明确每次具体监督检查任务，按照执法手册规定的综合检查事项和重点检查事项编制现场检查方案，实施“一企一策”精准检查，明确被监督检查单位基本信息、检查内容及检查方式等内容。</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（二）现场检查、现场处理和处罚。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1.执法人员应当按照现场检查方案，开展监督检查活动。根据有关法律法规，对监督检查中发现的安全生产违法行为或事故隐患，应当依法作出现场处理决定。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2.对监督检查中发现的安全隐患，按照“谁检查、谁负责”的原则，在规定的时间内对整改情况进行复查。</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3.对监督检查中发现的违法行为涉嫌违法的，应当依法处罚。</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（三）归档。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监督检查结束后，承办人应当将现场检查方案、现场检查记录、现场处理文书等一并归档。对于立案调查，实施行政股罚的，还应当将行政处罚告知书、行政处罚决定书、送达回执、处罚落实情况等及时归档。</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（四）备案、统计、督办。</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各承担监督检查任务的股室（队）应当严格执行既定的年度监督检查计划，由执法人员将本股室（队）监督检查计划填报至应急管理部安全生产行政执法统计系统，并将本股室的监督检查数据按照“24 小时”直报要求及时录入安全生产行政执法统计系统。各股室（队做好季度、年度总结，及时报给市局对应股室和本局综合业务股室；大队办公室做好局年度监督检查计划实施情况总结，政策法规做好监督检查计划的落实。</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（五）调整、报批程序。</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批准的年度监督检查计划，因工作需要进行部分调整或者变更的，由相关股室（队）书面提出具体调整或者变更意见，经主管领导同意，报请局主要领导批准后施行，并形成正式文件。年度监督检查计划重点检查单位的数量减少幅度超过计划10%，或者监督检查单位的数量减少幅度超过计划 20%，以及重点检查单位的范围作出变更的，应当重新核定相应工作量，并经局主要领导批准后，由政策法规股重新报县政府批准后向市应急管理厅备案。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十、保障措施</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领导。制定并落实年度监督检查计划，是贯彻执行《中华人民共和国安全生产法》和《河北省安全生产条例》，明晰各级安全生产监督管理部门监督检查职责的有效举措。局主要领导亲自研究部署执法工作，分管领导主抓工作落实，将监察执法纳入议事日程，加强调度，每季度至少召开一次专题会议研究部署相关工作。各承担监督检查任务的股室（队）对安全生监察执法工作要高站位，顾大局，高标准，严要求；要周密部署、具体安排、统一协调，为安全生产执法工作有力、有序、高效开展创造良好条件，提供有力的组织保障。</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配齐执法装备，做好执法准备。按照应急管理部执法装备配备有关要求，结合当前技术发展和执法工作实际需要，配齐执法装备。执法检查前，执法人员要认真对照现场检查方案，研究检查对象，带齐执法证件、执法记录仪、执法文书、等必备的执法装备，为依法有序开展执法工作做好充分准备。</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推进执法信息化。各承担监督检查任务的股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强化队伍建设，开展岗位练兵活动。因地制宜地开展形式多样的岗位练兵、能力比武活动，适时开展执法文书制作、执法数据录入、执法知识考试、执法装备使用演练、互联网+执法等形式多样的岗位练兵和系列技能竞赛，强化执法队伍实战能力建设。</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提升执法质量。加大执法力度，按计划抓好工作落实。强化其他执法措施、手段的应用，要加强案卷审核，对所有执法案卷实行统一审核、审批，做到违法事实清楚，证据确凿，使用法律正确，程序规范，自由裁量标准统一。</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坚持廉洁执法。执法人员要严格执行党风廉政建设相关规定，严格文明执法，依法行政，廉洁执法，公正公开执法，并接受监督检查对象的监督。执法人员要率先垂范、以上率下，从严要求，落实好一岗双责，把党风廉政建设贯穿执法全过程，加强工作作风建设，定期组织执法人员开展文明执法教育，及时查找执法人员在执法理念、作风、行为等方面存在的不足，坚决避免执法宽松软、只检查不处罚、避重就轻等现象。</w:t>
      </w:r>
    </w:p>
    <w:p>
      <w:pPr>
        <w:ind w:firstLine="320" w:firstLineChars="100"/>
        <w:rPr>
          <w:rFonts w:hint="eastAsia" w:ascii="仿宋_GB2312" w:hAnsi="仿宋_GB2312" w:eastAsia="仿宋_GB2312" w:cs="仿宋_GB2312"/>
          <w:sz w:val="32"/>
          <w:szCs w:val="32"/>
        </w:rPr>
      </w:pPr>
    </w:p>
    <w:p>
      <w:pPr>
        <w:ind w:firstLine="4640" w:firstLineChars="14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涞源县应急管理局</w:t>
      </w:r>
    </w:p>
    <w:p>
      <w:pPr>
        <w:ind w:firstLine="4800" w:firstLineChars="1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2023年2月3日</w:t>
      </w:r>
    </w:p>
    <w:p>
      <w:pPr>
        <w:ind w:firstLine="4800" w:firstLineChars="1500"/>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lang w:val="en-US" w:eastAsia="zh-CN"/>
        </w:rPr>
      </w:pPr>
    </w:p>
    <w:p>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tbl>
      <w:tblPr>
        <w:tblStyle w:val="7"/>
        <w:tblpPr w:leftFromText="180" w:rightFromText="180" w:vertAnchor="text" w:horzAnchor="page" w:tblpX="1237" w:tblpY="133"/>
        <w:tblOverlap w:val="never"/>
        <w:tblW w:w="9630" w:type="dxa"/>
        <w:tblInd w:w="0" w:type="dxa"/>
        <w:shd w:val="clear" w:color="auto" w:fill="auto"/>
        <w:tblLayout w:type="autofit"/>
        <w:tblCellMar>
          <w:top w:w="0" w:type="dxa"/>
          <w:left w:w="0" w:type="dxa"/>
          <w:bottom w:w="0" w:type="dxa"/>
          <w:right w:w="0" w:type="dxa"/>
        </w:tblCellMar>
      </w:tblPr>
      <w:tblGrid>
        <w:gridCol w:w="660"/>
        <w:gridCol w:w="3060"/>
        <w:gridCol w:w="2055"/>
        <w:gridCol w:w="1425"/>
        <w:gridCol w:w="1350"/>
        <w:gridCol w:w="1080"/>
      </w:tblGrid>
      <w:tr>
        <w:tblPrEx>
          <w:shd w:val="clear" w:color="auto" w:fill="auto"/>
          <w:tblCellMar>
            <w:top w:w="0" w:type="dxa"/>
            <w:left w:w="0" w:type="dxa"/>
            <w:bottom w:w="0" w:type="dxa"/>
            <w:right w:w="0" w:type="dxa"/>
          </w:tblCellMar>
        </w:tblPrEx>
        <w:trPr>
          <w:trHeight w:val="780" w:hRule="atLeast"/>
        </w:trPr>
        <w:tc>
          <w:tcPr>
            <w:tcW w:w="9630" w:type="dxa"/>
            <w:gridSpan w:val="6"/>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_GB2312" w:hAnsi="等线" w:eastAsia="仿宋_GB2312" w:cs="仿宋_GB2312"/>
                <w:b/>
                <w:i w:val="0"/>
                <w:color w:val="000000"/>
                <w:sz w:val="40"/>
                <w:szCs w:val="40"/>
                <w:u w:val="none"/>
              </w:rPr>
            </w:pPr>
            <w:r>
              <w:rPr>
                <w:rFonts w:hint="eastAsia" w:ascii="仿宋_GB2312" w:hAnsi="等线" w:eastAsia="仿宋_GB2312" w:cs="仿宋_GB2312"/>
                <w:b/>
                <w:i w:val="0"/>
                <w:color w:val="000000"/>
                <w:kern w:val="0"/>
                <w:sz w:val="40"/>
                <w:szCs w:val="40"/>
                <w:u w:val="none"/>
                <w:lang w:val="en-US" w:eastAsia="zh-CN" w:bidi="ar"/>
              </w:rPr>
              <w:t>重点检查企业名单</w:t>
            </w: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序号</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企业名称</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企业地址</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行业分类</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备注</w:t>
            </w: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涞源县奥瑞矿业有限公司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涞源县乌龙沟乡大庄村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涞源县窟窿沟矿业有限责任公司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涞源县南屯乡朱家庄</w:t>
            </w:r>
            <w:bookmarkStart w:id="0" w:name="_GoBack"/>
            <w:bookmarkEnd w:id="0"/>
            <w:r>
              <w:rPr>
                <w:rFonts w:hint="eastAsia" w:ascii="仿宋_GB2312" w:hAnsi="等线" w:eastAsia="仿宋_GB2312" w:cs="仿宋_GB2312"/>
                <w:i w:val="0"/>
                <w:color w:val="000000"/>
                <w:kern w:val="0"/>
                <w:sz w:val="28"/>
                <w:szCs w:val="28"/>
                <w:u w:val="none"/>
                <w:lang w:val="en-US" w:eastAsia="zh-CN" w:bidi="ar"/>
              </w:rPr>
              <w:t>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涞源县宏伟工贸有限公司张媳妇沟铁矿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涞源县杨家庄镇支家庄村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涞源县京源城矿业有限公司栓马庄铁矿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涞源县走马驿镇窑峪口村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涞源县鑫鑫矿业有限公司孤坟铁矿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涞源县水堡镇龙家庄村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涞源县京源城矿业有限公司旺儿沟铁矿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涞源县走马驿镇窑峪口村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露天开采</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涞源县冀恒矿业有限公司（支家庄铁矿）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涞源县杨家庄镇支家庄村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涞源县浩中宇矿业有限公司银山口铅锌矿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涞源县王安镇镇银山口村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涞源县碧成矿业有限公司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涞源县杨家庄镇浮图峪村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涞源县富隆矿业有限责任公司钾长石钼矿三采区</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涞源县走马驿镇窑峪口村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涞源县金谷矿业有限公司鲍家路金矿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涞源县王安镇鲍家路</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涞源县金豪矿业有限公司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涞源县乌龙沟乡大庄村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涞源县恒牛矿业有限公司硫铁矿</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涞源县乌龙沟大庄村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涞源县京源城矿业有限公司城子沟尾矿库-干堆</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涞源县走马驿镇窑峪口村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涞源鑫鑫矿业有限公司小马宗尾矿库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涞源县水堡镇龙家庄村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Style w:val="9"/>
                <w:rFonts w:hAnsi="等线"/>
                <w:lang w:val="en-US" w:eastAsia="zh-CN" w:bidi="ar"/>
              </w:rPr>
              <w:t>涞源鑫鑫矿业有限公司桃花咀尾矿库</w:t>
            </w:r>
            <w:r>
              <w:rPr>
                <w:rStyle w:val="10"/>
                <w:rFonts w:hAnsi="等线"/>
                <w:lang w:val="en-US" w:eastAsia="zh-CN" w:bidi="ar"/>
              </w:rPr>
              <w:t>-</w:t>
            </w:r>
            <w:r>
              <w:rPr>
                <w:rStyle w:val="9"/>
                <w:rFonts w:hAnsi="等线"/>
                <w:lang w:val="en-US" w:eastAsia="zh-CN" w:bidi="ar"/>
              </w:rPr>
              <w:t>头顶库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涞源县水堡镇龙家庄村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涞源县冀恒矿业有限公司磨石沟尾矿库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涞源县杨家庄镇木吉村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涞源县鹏程铁选厂大青沟尾矿库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涞源县走马驿镇白道安村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河北海德矿业有限公司大寨沟尾矿库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涞源县泉坊镇二道河村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涞源县玉鑫矿业有限责任公司尾矿库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涞源县乌龙沟乡煤窑村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Style w:val="9"/>
                <w:rFonts w:hAnsi="等线"/>
                <w:lang w:val="en-US" w:eastAsia="zh-CN" w:bidi="ar"/>
              </w:rPr>
              <w:t>涞源县宏伟工贸有限公司第二分厂-头顶库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涞源县杨家庄镇冯家庄村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涞源县中凯矿业有限责任公司大庄尾矿库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涞源县乌龙沟乡大庄村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涞源县和顺源选厂三分厂尾矿库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涞源县南屯镇马圈村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涞源县中凯矿业有限责任公司第四分公司小庄尾矿库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涞源县乌龙沟乡小庄村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涞源县宏伟工贸有限公司尾矿库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涞源县杨家庄镇张家庄村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涞源县建旭矿业有限责任公司龙家庄选厂尾矿库</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涞源县水堡镇龙家庄村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涞源县银辉钙粉厂</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银坊镇</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河北神邦矿业有限公司恒昌球团厂</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保定市涞源县杨家庄镇木吉村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河北雄源服装科技有限公司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丰乐村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纺织</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中国石化销售股份有限公司河北涞源石油分公司门前站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中国石化销售有股份限公司河北涞源石油分公司第一加油站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涞源县三甲村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中国石化销售股份有限公司河北涞源石油分公司第四加油站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涞源县西关</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中国石化销售股份有限公司河北涞源石油分公司石油公司站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涞源县西关</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中国石化销售股份有限公司河北涞源石油分公司第二加油站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中国石化销售股份有限公司河北涞源石油分公司高速路服务区西加油站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中国石化销售股份有限公司河北涞源石油分公司高速路服务区东加油站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中国石化销售股份有限公司河北涞源石油分公司南关加油站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涞源县南关</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中国石化销售股份有限公司河北涞源石油分公司张石高速涞源东服务区南加油站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涞源县王安镇</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中国石化销售股份有限公司河北涞源石油分公司张石高速涞源东服务区北加油站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涞源县王安镇</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中国石油天然气股份有限公司河北保定销售分公司第七十四加油站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涞源县水云乡</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中国石油天然气股份有限公司河北保定销售分公司第五十一加油站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涞源县西关</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中国石油天然气股份有限公司河北保定销售分公司第一百二十四加油站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涞源县小河村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河北保定运输集团有限责任公司第六运输分公司加油站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泉  坊</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涞源县中保石油销售有限公司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涞源县张石高速南口西侧</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涞源县巨航加油站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涞源县后泉坊村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涞源县陆恒加油站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涞源县前泉坊村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涞源县林浩加油站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涞源县东关</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涞源县隆盛加油站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涞源县老虎头</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涞源县乾阔加油站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涞源县北韩村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涞源县顺达石油有限公司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涞源县龙家庄加油站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涞源县途达加油站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涞源县高家台</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涞源县独山城矿山加油站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涞源县独山城</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涞源县运通加油站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涞源县花园村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涞源县凯兴加油站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涞源县瑞祥加油站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涞源县北石佛村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涞源县福林加油站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涞源县石道沟</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涞源县慧龙加油站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涞源县国昌加油站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涞源县双林加油站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涞源县荣达加油站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涞源县三甲村加油站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涞源县三甲村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涞源县广泰加油站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涞源县浮图峪村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64</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涞源县航程加油站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涞源县大庄</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65</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涞源县京秦涞三联加油站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涞源县马家屯村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66</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涞源县马屯正星加油站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涞源县马家屯村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67</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涞源县天信石油有限公司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涞源县上庄乡</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68</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涞源县东升加油站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涞源县马家屯村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69</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涞源县天源加油站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70</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涞源县矿粉源加油站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涞源县浮图峪</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71</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河北高速集源燕赵驿行有限公司黄土岭服务区南加油站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涞源县黄土岭服务区</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72</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河北高速集源燕赵驿行有限公司黄土岭服务区北加油站</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涞源县黄土岭服务区</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73</w:t>
            </w:r>
          </w:p>
        </w:tc>
        <w:tc>
          <w:tcPr>
            <w:tcW w:w="3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涞源县集源石油有限公司</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涞源县白石山村</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危化经营</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bl>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lang w:val="en-US" w:eastAsia="zh-CN"/>
        </w:rPr>
      </w:pPr>
    </w:p>
    <w:p>
      <w:pPr>
        <w:bidi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tbl>
      <w:tblPr>
        <w:tblStyle w:val="7"/>
        <w:tblpPr w:leftFromText="180" w:rightFromText="180" w:vertAnchor="text" w:horzAnchor="page" w:tblpX="742" w:tblpY="570"/>
        <w:tblOverlap w:val="never"/>
        <w:tblW w:w="10440" w:type="dxa"/>
        <w:tblInd w:w="0" w:type="dxa"/>
        <w:shd w:val="clear" w:color="auto" w:fill="auto"/>
        <w:tblLayout w:type="autofit"/>
        <w:tblCellMar>
          <w:top w:w="0" w:type="dxa"/>
          <w:left w:w="0" w:type="dxa"/>
          <w:bottom w:w="0" w:type="dxa"/>
          <w:right w:w="0" w:type="dxa"/>
        </w:tblCellMar>
      </w:tblPr>
      <w:tblGrid>
        <w:gridCol w:w="675"/>
        <w:gridCol w:w="3510"/>
        <w:gridCol w:w="2040"/>
        <w:gridCol w:w="1485"/>
        <w:gridCol w:w="1650"/>
        <w:gridCol w:w="1080"/>
      </w:tblGrid>
      <w:tr>
        <w:tblPrEx>
          <w:shd w:val="clear" w:color="auto" w:fill="auto"/>
          <w:tblCellMar>
            <w:top w:w="0" w:type="dxa"/>
            <w:left w:w="0" w:type="dxa"/>
            <w:bottom w:w="0" w:type="dxa"/>
            <w:right w:w="0" w:type="dxa"/>
          </w:tblCellMar>
        </w:tblPrEx>
        <w:trPr>
          <w:trHeight w:val="900" w:hRule="atLeast"/>
        </w:trPr>
        <w:tc>
          <w:tcPr>
            <w:tcW w:w="10440" w:type="dxa"/>
            <w:gridSpan w:val="6"/>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_GB2312" w:hAnsi="等线" w:eastAsia="仿宋_GB2312" w:cs="仿宋_GB2312"/>
                <w:b/>
                <w:i w:val="0"/>
                <w:color w:val="000000"/>
                <w:sz w:val="40"/>
                <w:szCs w:val="40"/>
                <w:u w:val="none"/>
              </w:rPr>
            </w:pPr>
            <w:r>
              <w:rPr>
                <w:rFonts w:hint="eastAsia" w:ascii="仿宋_GB2312" w:hAnsi="等线" w:eastAsia="仿宋_GB2312" w:cs="仿宋_GB2312"/>
                <w:b/>
                <w:i w:val="0"/>
                <w:color w:val="000000"/>
                <w:kern w:val="0"/>
                <w:sz w:val="40"/>
                <w:szCs w:val="40"/>
                <w:u w:val="none"/>
                <w:lang w:val="en-US" w:eastAsia="zh-CN" w:bidi="ar"/>
              </w:rPr>
              <w:t>一般检查企业名单</w:t>
            </w: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序号</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企业名称</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企业地址</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行业分类</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备注</w:t>
            </w:r>
          </w:p>
        </w:tc>
      </w:tr>
      <w:tr>
        <w:tblPrEx>
          <w:tblCellMar>
            <w:top w:w="0" w:type="dxa"/>
            <w:left w:w="0" w:type="dxa"/>
            <w:bottom w:w="0" w:type="dxa"/>
            <w:right w:w="0" w:type="dxa"/>
          </w:tblCellMar>
        </w:tblPrEx>
        <w:trPr>
          <w:trHeight w:val="11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涞源县宝泽峰矿业有限责任公司牌坊村建筑用白云岩矿</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涞源县北石佛乡牌坊村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涞源县业盛水泥砖销售有限公司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涞源县金家井乡寨沟门村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保定兆鑫商贸有限公司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涞源县金家井乡南坡底村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涞源县岩玉石材有限公司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涞源县走马驿镇吕家庄村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涞源县龙马兴业石材有限公司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涞源县银坊镇长祥沟</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露天开采</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涞源县神海石材矿业有限公司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涞源县银坊镇银坊村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地下开采</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涞源县凯拓石材有限公司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涞源县走马驿镇窑峪口村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涞源县城权砂石有限公司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涞源县北石佛乡石道沟村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涞源县步泰矿业有限公司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涞源县金家井乡</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露天矿山</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矿山监察中队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涞源县隆立达铅锌选厂尾矿库</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涞源县乌龙沟乡大庄村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涞源县金泰铅锌选矿厂尾矿库</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涞源县乌龙沟乡大庄村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涞源县银山口庆喜铅锌选厂尾矿库</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涞源县王安镇镇银山口村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涞源县宇彤矿业有限公司尾矿库</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涞源县银坊镇下碾盘村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涞源县莲旺矿业有限责任公司尾矿库(柏叶)</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涞源县银坊镇松树台村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尾矿库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选矿监察中队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15</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涞源县彩轩氧气乙炔经销部</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16</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涞源县明大氧气乙炔经销部</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涞源县浮图峪</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17</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涞源县丰润氧气乙炔经销部</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王安镇山炮村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18</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涞源县枰润氧气经销站</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涞源县北石佛村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19</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涞源县燃乐气体有限公司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涞源县曲村</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20</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涞源县威武商贸有限公司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涞源县城区</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21</w:t>
            </w:r>
          </w:p>
        </w:tc>
        <w:tc>
          <w:tcPr>
            <w:tcW w:w="35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涞源县沈鑫商贸有限公司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涞源县城区</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氧气、乙炔经营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危险化学品监察中队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涞源县皇朝酒店服务有限公司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保定市涞源县景秀街17号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涞源华中假日酒店有限公司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保定市涞源县白石山镇</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涞源县瀚都快捷酒店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保定市涞源县富强路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涞源县悦栈酒店服务有限公司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保定市涞源县后泉坊村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涞源县万悦酒店有限公司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保定市涞源县百泉路路南水云乡段</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涞源县玉泉商场</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保定市涞源县聚源大街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涞源县顶利鲜商贸有限责任公司生活广场</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保定市涞源县广平大街50号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29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涞源县锦和购物中心</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涞源县沙河大街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涞水县信誉商厦涞源店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保定市涞源县广平大街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涞源县恒隆商贸有限责任公司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保定市涞源县百泉路旧汽车站路南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涞源县涞百购物广场有限公司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保定市涞源县广场大街54号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涞源县泊诗乐酒店有限公司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保定市涞源县景秀大街11号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涞源县帝都商务酒店有限公司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涞源县职教中心住宅楼北侧6号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涞源县同和火锅城</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涞源县悦都主题酒店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涞源县华容酒店有限公司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保定市涞源县百泉路389号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涞源县晋源酒店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39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涞源县千盛商贸有限公司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河北兴日星商贸有限公司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涞源县中心路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涞源县西美大酒店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涞源县夏都假日酒店有限公司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涞源县漫臣酒店有限公司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涞源县徐百酒店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涞源县凉城假日旅行社凉城假日酒店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涞源县创意生活街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涞源县职教中心桃园宾馆</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涞源县广昌大街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涞源县仙客来饭店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涞源县同亨西北味道饭店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联大步行街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49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舒漫酒店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涞源县寰州家具城</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广平大街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涞源县宏伟旅游开发有限公司滨湖酒店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滨湖大街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涞源县千盛商贸有限公司景秀街店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景秀街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涞源新昌热电有限责任公司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涞源县丰乐村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涞源县宏声家电摩托城</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涞源县广平大街东购商城南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涞源县金百隆经贸有限公司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涞源县景秀大街路东</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百宴府</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涞源县渝州酒业经销有限公司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广平大街路东</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涞源县华岩商贸有限公司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涞源县涞源镇冯村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59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涞源县东购商城有限公司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广平大街路东</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涞源县凯航汽车销售有限公司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河北省保定市涞源县西关二道桥以东路南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涞源县天合利汽车服务有限责任公司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百泉路路南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涞源县金诺电器有限公司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百泉路北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涞源县赛奥工贸有限公司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涞源县广平大街37号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涞源县恒奥连锁生活超市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信誉地超</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涞源县琪达酒店有限责任公司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河北省保定市涞源县百泉路</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河北博创酒店有限公司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涞源县西神山村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涞源县朗悦酒店有限公司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河北省保定市涞源县白石山镇菜村岗村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涞源县树下雨亭餐饮有限公司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河北省保定市涞源县中心路88号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69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涞源县诚泽商贸有限公司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火车站转盘北行50米</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涞源县盛都酒店管理有限公司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广平大街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涞源县广华水泥构件厂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涞源县东夹山村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涞源县新砼商品混凝土有限公司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甲村河滩</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涞源县安柳建材有限公司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涞源县银坊镇长祥沟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涞源县水泥厂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保定市涞源县杨家庄镇木吉村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涞源县宏泰石灰石厂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涞源县金家井乡寨沟门</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涞源县永固水泥砖有限公司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涞源县金家井乡</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涞源县隆森石材有限公司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涞暖洁净煤</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牌坊</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79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涞源县帆源混凝土有限公司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涞源县宏伟商品混凝土有限公司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白石山大街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涞源县巨凯商品混凝土有限公司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西神山</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涞源县力拓商品混凝土有限公司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西神山</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涞源县大工商品混凝土有限公司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西关</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涞源县磊石商品混凝土有限公司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涞源县聚强商品混凝土有限公司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河北归田农业科技有限公司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金家井乡</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涞源荣大环境卫生管理有限责任公司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河北同光科技发展有限公司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丰乐村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89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鼎固钢结构有限公司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三甲村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涞源县冀宝农业发展有限公司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涞源县721安置区</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玖兴农牧（涞源）有限公司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涞源县甘霖农业开发有限公司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水堡镇塔儿村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保定玖兴饲料加工有限公司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金家井乡</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河北岱帝钢结构工程有限公司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张家峪村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机械</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涞源县华峰建材工贸有限公司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西神山</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机械</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涞源县天顺机械加工有限公司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北石佛村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机械</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涞源县驿态水泥制品有限公司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塔崖驿乡塔崖驿村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涞源县腾旭石材有限公司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涞源县涞源镇甲村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99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涞源县六宝豆制品有限公司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涞源县涞源镇冯村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涞源县嘉翔食品有限公司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河北省保定市涞源县721菜市场北</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涞源县喜晨食品有限公司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河北省保定市涞源县白石山镇白石山村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涞源县靠山商贸有限责任公司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河北省保定市涞源县广平大街54号</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6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涞源县嘉山建材销售有限公司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河北省保定市涞源县城区办事处南关村108国道南侧</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涞源县华明彩钢销售中心</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河北省保定市涞源县走马驿镇窑峪口村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康鼎家具</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河北诚日机械</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志辰彩钢加工</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机械</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鑫磊钢材</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109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振发钢材</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聚财鑫家具</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盛雅家具</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盛雅加工（北石佛）</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涞源县张善位家具店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涞源县北石佛</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涞源县巨鑫钢材经销部</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涞源县甲村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顺兴木材经销处</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涞源县铁鑫钢材销售中心</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涞源县中大钢铁贸易有限公司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涞源县木王家具城</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轻工</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119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涞源鑫奥鸿富家具五金装饰店</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涞源金百隆经贸有限公司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涞源县冯村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商贸</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工商贸监管中队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涞源县冀恒矿业有限公司（370万吨/年固废综合利用项目）</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涞源县杨家庄镇支家庄村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涞源鑫鑫矿业有限公司（1340万吨/年固废综合利用项目）</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涞源县走马驿拴马庄</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涞源鑫鑫矿业有限公司（1340万吨/年固废综合利用项目）</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涞源县走马驿镇小石匣</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涞源县鑫泰新型建材有限公司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涞源县水堡镇独山城村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125</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涞源县碧创环保科技有限公司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涞源县杨家庄镇木吉村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126</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涞源腾嘉建材有限公司一分厂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涞源县杨家庄镇大丰沟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127</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涞源县奥亿建筑材料有限公司（涞源腾嘉建材有限公司二分厂）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涞源县杨家庄镇刺沟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128</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涞源县嘉聚建材有限公司（涞源腾嘉建材有限公司四分厂）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涞源县张家坟村西流水</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129</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涞源县嘉鸿建材有限公司（涞源腾嘉建材有限公司五分厂）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涞源县水堡镇韩富沟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130</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涞源县中凯矿业有限责任公司二分厂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涞源县支家庄桦树背</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131</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河北矿智矿业有限公司（涞源县中圣世华磊旭建材公司二厂）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涞源县杨家庄镇支家庄村</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132</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涞源县奥铭建材有限公司（神海石材矿业有限公司三分厂）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涞源县银坊镇柳子沟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133</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涞源县永达矿业有限公司</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涞源县三甲村</w:t>
            </w:r>
            <w:r>
              <w:rPr>
                <w:rFonts w:hint="eastAsia" w:ascii="宋体" w:hAnsi="宋体" w:eastAsia="宋体" w:cs="宋体"/>
                <w:i w:val="0"/>
                <w:color w:val="000000"/>
                <w:kern w:val="0"/>
                <w:sz w:val="28"/>
                <w:szCs w:val="28"/>
                <w:u w:val="none"/>
                <w:lang w:val="en-US" w:eastAsia="zh-CN" w:bidi="ar"/>
              </w:rPr>
              <w:t>碮</w:t>
            </w:r>
            <w:r>
              <w:rPr>
                <w:rFonts w:hint="eastAsia" w:ascii="仿宋_GB2312" w:hAnsi="等线" w:eastAsia="仿宋_GB2312" w:cs="仿宋_GB2312"/>
                <w:i w:val="0"/>
                <w:color w:val="000000"/>
                <w:kern w:val="0"/>
                <w:sz w:val="28"/>
                <w:szCs w:val="28"/>
                <w:u w:val="none"/>
                <w:lang w:val="en-US" w:eastAsia="zh-CN" w:bidi="ar"/>
              </w:rPr>
              <w:t>子沟</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134</w:t>
            </w:r>
          </w:p>
        </w:tc>
        <w:tc>
          <w:tcPr>
            <w:tcW w:w="35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涞源腾嘉建材有限公司三分厂</w:t>
            </w:r>
          </w:p>
        </w:tc>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涞源县杨家庄五回岭</w:t>
            </w:r>
          </w:p>
        </w:tc>
        <w:tc>
          <w:tcPr>
            <w:tcW w:w="148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建材</w:t>
            </w:r>
          </w:p>
        </w:tc>
        <w:tc>
          <w:tcPr>
            <w:tcW w:w="16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color w:val="000000"/>
                <w:kern w:val="0"/>
                <w:sz w:val="28"/>
                <w:szCs w:val="28"/>
                <w:u w:val="none"/>
                <w:lang w:val="en-US" w:eastAsia="zh-CN" w:bidi="ar"/>
              </w:rPr>
              <w:t>砂石骨料监管中队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bl>
    <w:p>
      <w:pPr>
        <w:rPr>
          <w:rFonts w:hint="eastAsia" w:ascii="仿宋_GB2312" w:hAnsi="仿宋_GB2312" w:eastAsia="仿宋_GB2312" w:cs="仿宋_GB2312"/>
          <w:sz w:val="32"/>
          <w:szCs w:val="32"/>
          <w:lang w:val="en-US" w:eastAsia="zh-CN"/>
        </w:rPr>
        <w:sectPr>
          <w:pgSz w:w="11906" w:h="16838"/>
          <w:pgMar w:top="1440" w:right="1800" w:bottom="1440" w:left="1800" w:header="851" w:footer="992" w:gutter="0"/>
          <w:cols w:space="720" w:num="1"/>
          <w:docGrid w:type="lines" w:linePitch="312" w:charSpace="0"/>
        </w:sectPr>
      </w:pPr>
    </w:p>
    <w:p>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20</w:t>
      </w:r>
      <w:r>
        <w:rPr>
          <w:rFonts w:hint="eastAsia" w:ascii="方正小标宋简体" w:hAnsi="方正小标宋简体" w:eastAsia="方正小标宋简体" w:cs="方正小标宋简体"/>
          <w:kern w:val="0"/>
          <w:sz w:val="44"/>
          <w:szCs w:val="44"/>
          <w:lang w:val="en-US" w:eastAsia="zh-CN"/>
        </w:rPr>
        <w:t>23</w:t>
      </w:r>
      <w:r>
        <w:rPr>
          <w:rFonts w:hint="eastAsia" w:ascii="方正小标宋简体" w:hAnsi="方正小标宋简体" w:eastAsia="方正小标宋简体" w:cs="方正小标宋简体"/>
          <w:kern w:val="0"/>
          <w:sz w:val="44"/>
          <w:szCs w:val="44"/>
        </w:rPr>
        <w:t>年度监督检查时间及任务分配表</w:t>
      </w:r>
    </w:p>
    <w:tbl>
      <w:tblPr>
        <w:tblStyle w:val="7"/>
        <w:tblW w:w="13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64"/>
        <w:gridCol w:w="843"/>
        <w:gridCol w:w="898"/>
        <w:gridCol w:w="899"/>
        <w:gridCol w:w="898"/>
        <w:gridCol w:w="897"/>
        <w:gridCol w:w="900"/>
        <w:gridCol w:w="897"/>
        <w:gridCol w:w="898"/>
        <w:gridCol w:w="899"/>
        <w:gridCol w:w="898"/>
        <w:gridCol w:w="897"/>
        <w:gridCol w:w="900"/>
        <w:gridCol w:w="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2" w:hRule="atLeast"/>
          <w:jc w:val="center"/>
        </w:trPr>
        <w:tc>
          <w:tcPr>
            <w:tcW w:w="236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ind w:right="46" w:rightChars="22"/>
              <w:jc w:val="center"/>
              <w:textAlignment w:val="auto"/>
              <w:rPr>
                <w:rFonts w:eastAsia="黑体"/>
                <w:kern w:val="0"/>
                <w:szCs w:val="21"/>
              </w:rPr>
            </w:pPr>
            <w:r>
              <w:rPr>
                <w:rFonts w:eastAsia="黑体"/>
                <w:b/>
                <w:bCs/>
                <w:kern w:val="0"/>
                <w:sz w:val="28"/>
                <w:szCs w:val="28"/>
              </w:rPr>
              <w:t>单位</w:t>
            </w:r>
          </w:p>
        </w:tc>
        <w:tc>
          <w:tcPr>
            <w:tcW w:w="2640"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第一季度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第二季度</w:t>
            </w:r>
          </w:p>
        </w:tc>
        <w:tc>
          <w:tcPr>
            <w:tcW w:w="269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第三季度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第四季度</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 w:val="24"/>
              </w:rPr>
            </w:pPr>
            <w:r>
              <w:rPr>
                <w:rFonts w:eastAsia="黑体"/>
                <w:kern w:val="0"/>
                <w:sz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25" w:hRule="atLeast"/>
          <w:jc w:val="center"/>
        </w:trPr>
        <w:tc>
          <w:tcPr>
            <w:tcW w:w="236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Cs w:val="21"/>
              </w:rPr>
            </w:pP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2"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矿山监察中队</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13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2"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选矿监察中队</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13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2"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危险化学品监察中队</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44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6"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工商贸监察中队</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26</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25</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24</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8"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砂石骨料监察中队</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8" w:hRule="atLeast"/>
          <w:jc w:val="center"/>
        </w:trPr>
        <w:tc>
          <w:tcPr>
            <w:tcW w:w="23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bCs w:val="0"/>
                <w:kern w:val="0"/>
                <w:sz w:val="24"/>
                <w:szCs w:val="24"/>
              </w:rPr>
            </w:pPr>
            <w:r>
              <w:rPr>
                <w:rFonts w:hint="eastAsia" w:eastAsia="仿宋_GB2312"/>
                <w:b/>
                <w:bCs w:val="0"/>
                <w:color w:val="000000"/>
                <w:kern w:val="0"/>
                <w:sz w:val="24"/>
                <w:szCs w:val="24"/>
                <w:lang w:eastAsia="zh-CN"/>
              </w:rPr>
              <w:t>合计</w:t>
            </w:r>
          </w:p>
        </w:tc>
        <w:tc>
          <w:tcPr>
            <w:tcW w:w="8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33</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35</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426</w:t>
            </w:r>
          </w:p>
        </w:tc>
      </w:tr>
    </w:tbl>
    <w:p>
      <w:pPr>
        <w:rPr>
          <w:rFonts w:hint="default" w:ascii="仿宋_GB2312" w:hAnsi="仿宋_GB2312" w:eastAsia="仿宋_GB2312" w:cs="仿宋_GB2312"/>
          <w:sz w:val="32"/>
          <w:szCs w:val="32"/>
          <w:lang w:val="en-US" w:eastAsia="zh-CN"/>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等线">
    <w:altName w:val="Latha"/>
    <w:panose1 w:val="00000000000000000000"/>
    <w:charset w:val="00"/>
    <w:family w:val="auto"/>
    <w:pitch w:val="default"/>
    <w:sig w:usb0="00000000" w:usb1="00000000" w:usb2="00000000" w:usb3="00000000" w:csb0="0000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Latha">
    <w:panose1 w:val="020B0604020202020204"/>
    <w:charset w:val="00"/>
    <w:family w:val="auto"/>
    <w:pitch w:val="default"/>
    <w:sig w:usb0="00100003"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MTM5ODAwMjYwZjczMDQ3MzE1YmFlNTcwZGNkZWExYTYifQ=="/>
  </w:docVars>
  <w:rsids>
    <w:rsidRoot w:val="00000000"/>
    <w:rsid w:val="0D750961"/>
    <w:rsid w:val="10DB5354"/>
    <w:rsid w:val="12F65536"/>
    <w:rsid w:val="16CA46B8"/>
    <w:rsid w:val="1CF7078D"/>
    <w:rsid w:val="211B4037"/>
    <w:rsid w:val="23E825F1"/>
    <w:rsid w:val="2B125780"/>
    <w:rsid w:val="317962E7"/>
    <w:rsid w:val="328175ED"/>
    <w:rsid w:val="34756D69"/>
    <w:rsid w:val="3BC55010"/>
    <w:rsid w:val="459341F0"/>
    <w:rsid w:val="4C217983"/>
    <w:rsid w:val="514D2C92"/>
    <w:rsid w:val="534806CA"/>
    <w:rsid w:val="56B211E7"/>
    <w:rsid w:val="5D6B7971"/>
    <w:rsid w:val="5ED9308A"/>
    <w:rsid w:val="61E26672"/>
    <w:rsid w:val="66327413"/>
    <w:rsid w:val="6AD60AD5"/>
    <w:rsid w:val="6B642F2D"/>
    <w:rsid w:val="729C7988"/>
    <w:rsid w:val="74622F51"/>
    <w:rsid w:val="7AF427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8">
    <w:name w:val="Default Paragraph Font"/>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font11"/>
    <w:basedOn w:val="8"/>
    <w:qFormat/>
    <w:uiPriority w:val="0"/>
    <w:rPr>
      <w:rFonts w:hint="eastAsia" w:ascii="仿宋_GB2312" w:eastAsia="仿宋_GB2312" w:cs="仿宋_GB2312"/>
      <w:color w:val="000000"/>
      <w:sz w:val="28"/>
      <w:szCs w:val="28"/>
      <w:u w:val="none"/>
    </w:rPr>
  </w:style>
  <w:style w:type="character" w:customStyle="1" w:styleId="10">
    <w:name w:val="font01"/>
    <w:basedOn w:val="8"/>
    <w:qFormat/>
    <w:uiPriority w:val="0"/>
    <w:rPr>
      <w:rFonts w:hint="eastAsia" w:ascii="仿宋_GB2312" w:eastAsia="仿宋_GB2312" w:cs="仿宋_GB2312"/>
      <w:color w:val="000000"/>
      <w:sz w:val="28"/>
      <w:szCs w:val="28"/>
      <w:u w:val="none"/>
    </w:rPr>
  </w:style>
  <w:style w:type="character" w:customStyle="1" w:styleId="11">
    <w:name w:val="font21"/>
    <w:basedOn w:val="8"/>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13</Pages>
  <Words>5938</Words>
  <Characters>6114</Characters>
  <Lines>284</Lines>
  <Paragraphs>92</Paragraphs>
  <TotalTime>6</TotalTime>
  <ScaleCrop>false</ScaleCrop>
  <LinksUpToDate>false</LinksUpToDate>
  <CharactersWithSpaces>6181</CharactersWithSpaces>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cp:lastModifiedBy>
  <cp:lastPrinted>2023-05-18T02:01:00Z</cp:lastPrinted>
  <dcterms:modified xsi:type="dcterms:W3CDTF">2023-12-26T02:16:06Z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E6C5B40078E84CA7BF055EF542DD4287_12</vt:lpwstr>
  </property>
</Properties>
</file>