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Times New Roman" w:hAnsi="Times New Roman" w:eastAsia="方正小标宋_GBK" w:cs="Times New Roman"/>
          <w:color w:val="000000"/>
          <w:kern w:val="6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2023年</w:t>
      </w:r>
      <w:r>
        <w:rPr>
          <w:rFonts w:hint="eastAsia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涞源县应急管理局</w:t>
      </w:r>
      <w:r>
        <w:rPr>
          <w:rFonts w:hint="default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“双随机、一公开”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default" w:ascii="Times New Roman" w:hAnsi="Times New Roman" w:eastAsia="方正小标宋_GBK" w:cs="Times New Roman"/>
          <w:color w:val="000000"/>
          <w:kern w:val="6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监管工作实施方案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outlineLvl w:val="9"/>
        <w:rPr>
          <w:rFonts w:hint="default" w:ascii="Times New Roman" w:hAnsi="Times New Roman" w:eastAsia="方正小标宋_GBK" w:cs="Times New Roman"/>
          <w:color w:val="000000"/>
          <w:kern w:val="6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为深入贯彻落实国务院、省委省政府、市委市政府关于深化“放管服”改革、优化营商环境部署要求，持续强化“双随机、一公开”监管，提升监管效能，根据《国务院关于在市场监管领域全面推行部门联合“双随机、一公开”监管的意见》（国发〔2019〕5号）、《河北省人民政府关于在市场监管领域全面推行部门联合“双随机、一公开”监管的实施意见》（冀政字〔2019〕22号）、《河北省人民政府办公厅关于印发河北省“双随机、一公开”监管与企业信用风险分级分类相结合实施方案的通知》（冀政办字〔2020〕144号）</w:t>
      </w:r>
      <w: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  <w:t>2023年涞源县“双随机、一公开”监管工作实施方案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等文件要求，制定本方案。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lang w:val="en-US" w:eastAsia="zh-CN" w:bidi="ar-SA"/>
        </w:rPr>
        <w:t>一、工作思路及目标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以河北省双随机执法监管平台为依托，持续完善“一单两库一指引”。动态调整随机抽查事项清单、检查对象名录库、执法检查人员名录库和随机抽查工作指引，不断完善对检查对象和执法检查人员的分类标注</w:t>
      </w:r>
      <w: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  <w:t>；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以部门联合抽查为重点，不断扩大部门联合随机抽查的覆盖面、占比率</w:t>
      </w:r>
      <w: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  <w:t>；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以提高监管效能为目标，持续完善企业信用风险差异化随机抽查机制。在巩固企业信用风险分类结果在“双随机、一公开”监管常态化运用的基础上，进一步拓展、深化运用场景，不断提升随机抽查的靶向性、精准性，在监管既“无事不扰”又“无处不在”上迈出新步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二、主要工作任务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（一）强化基础支撑</w:t>
      </w:r>
      <w:r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32"/>
          <w:szCs w:val="32"/>
          <w:lang w:val="en-US" w:eastAsia="zh-CN" w:bidi="ar-SA"/>
        </w:rPr>
        <w:t>。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依托河北省双随机执法监管平台（以下简称监管平台），持续完善“一单两库”等基础信息。在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省级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部门随机抽查事项清单和工作指引调整完毕后，依据自身对应的上级部门、“三定”方案中的监管职责及时对涉及本部门监管事权的事项进行认领，形成本级的抽查事项清单。动态调整本级本部门检查对象名录库和执法检查人员名录库，确保本级本部门检查对象和执法人员“应纳尽纳”。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在省级部门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完成本部门、本系统“两库”的分类标注后，利用分类标签库完成对本级检查对象和执法检查人员的分类标注，实现对检查对象的精准抽取、对执法人员的精准匹配，提升监管效能。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32"/>
          <w:szCs w:val="32"/>
          <w:lang w:val="en-US" w:eastAsia="zh-CN" w:bidi="ar-SA"/>
        </w:rPr>
        <w:t>（二）强化联合监管。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按照“谁主管、谁监管”原则，建立行业主管部门具体负责、相关部门参与的部门联合抽查机制。贯彻落实本部门联合抽查事项清单，结合监管实际，</w:t>
      </w:r>
      <w: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  <w:t>按照企业信用风险分级分类5%以上抽查企业数量比例，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科学合理确定联合部门数量，</w:t>
      </w:r>
    </w:p>
    <w:p>
      <w:pPr>
        <w:widowControl/>
        <w:shd w:val="clear" w:color="auto" w:fill="FFFFFF"/>
        <w:spacing w:line="560" w:lineRule="atLeast"/>
        <w:ind w:firstLine="643"/>
        <w:jc w:val="left"/>
        <w:rPr>
          <w:rFonts w:ascii="宋体" w:hAnsi="宋体" w:cs="宋体"/>
          <w:b/>
          <w:bCs w:val="0"/>
          <w:color w:val="3B3B3B"/>
          <w:kern w:val="0"/>
          <w:szCs w:val="21"/>
        </w:rPr>
      </w:pPr>
      <w:r>
        <w:rPr>
          <w:rFonts w:hint="eastAsia" w:ascii="楷体_GB2312" w:hAnsi="宋体" w:eastAsia="楷体_GB2312" w:cs="宋体"/>
          <w:b/>
          <w:bCs w:val="0"/>
          <w:color w:val="3B3B3B"/>
          <w:kern w:val="0"/>
          <w:sz w:val="32"/>
          <w:szCs w:val="32"/>
        </w:rPr>
        <w:t>（</w:t>
      </w:r>
      <w:r>
        <w:rPr>
          <w:rFonts w:hint="eastAsia" w:ascii="楷体_GB2312" w:hAnsi="宋体" w:eastAsia="楷体_GB2312" w:cs="宋体"/>
          <w:b/>
          <w:bCs w:val="0"/>
          <w:color w:val="3B3B3B"/>
          <w:kern w:val="0"/>
          <w:sz w:val="32"/>
          <w:szCs w:val="32"/>
          <w:lang w:eastAsia="zh-CN"/>
        </w:rPr>
        <w:t>三</w:t>
      </w:r>
      <w:r>
        <w:rPr>
          <w:rFonts w:hint="eastAsia" w:ascii="楷体_GB2312" w:hAnsi="宋体" w:eastAsia="楷体_GB2312" w:cs="宋体"/>
          <w:b/>
          <w:bCs w:val="0"/>
          <w:color w:val="3B3B3B"/>
          <w:kern w:val="0"/>
          <w:sz w:val="32"/>
          <w:szCs w:val="32"/>
        </w:rPr>
        <w:t>）强化随机抽查结果应用</w:t>
      </w:r>
    </w:p>
    <w:p>
      <w:pPr>
        <w:widowControl/>
        <w:shd w:val="clear" w:color="auto" w:fill="FFFFFF"/>
        <w:spacing w:line="560" w:lineRule="atLeast"/>
        <w:ind w:firstLine="640"/>
        <w:jc w:val="left"/>
        <w:rPr>
          <w:rFonts w:ascii="宋体" w:hAnsi="宋体" w:cs="宋体"/>
          <w:b w:val="0"/>
          <w:bCs/>
          <w:color w:val="3B3B3B"/>
          <w:kern w:val="0"/>
          <w:szCs w:val="21"/>
        </w:rPr>
      </w:pPr>
      <w:r>
        <w:rPr>
          <w:rFonts w:hint="eastAsia" w:ascii="仿宋_GB2312" w:hAnsi="宋体" w:eastAsia="仿宋_GB2312" w:cs="宋体"/>
          <w:b w:val="0"/>
          <w:bCs/>
          <w:color w:val="3B3B3B"/>
          <w:kern w:val="0"/>
          <w:sz w:val="32"/>
          <w:szCs w:val="32"/>
        </w:rPr>
        <w:t>组织实施“双随机一公开”监管工作，应当按照“谁登记、谁检查、谁录入、谁公开”的原则开展抽查工作，及时做好抽查结果记录，并在行政检查结束后20个工作日内在门户网站上公布抽查情况，确保随机抽查过程的公正、公开和规范。</w:t>
      </w:r>
    </w:p>
    <w:p>
      <w:pPr>
        <w:widowControl/>
        <w:shd w:val="clear" w:color="auto" w:fill="FFFFFF"/>
        <w:spacing w:line="560" w:lineRule="atLeast"/>
        <w:ind w:firstLine="640"/>
        <w:jc w:val="left"/>
        <w:rPr>
          <w:rFonts w:ascii="宋体" w:hAnsi="宋体" w:cs="宋体"/>
          <w:b w:val="0"/>
          <w:bCs/>
          <w:color w:val="3B3B3B"/>
          <w:kern w:val="0"/>
          <w:szCs w:val="21"/>
        </w:rPr>
      </w:pPr>
      <w:r>
        <w:rPr>
          <w:rFonts w:hint="eastAsia" w:ascii="仿宋_GB2312" w:hAnsi="宋体" w:eastAsia="仿宋_GB2312" w:cs="宋体"/>
          <w:b w:val="0"/>
          <w:bCs/>
          <w:color w:val="3B3B3B"/>
          <w:kern w:val="0"/>
          <w:sz w:val="32"/>
          <w:szCs w:val="32"/>
        </w:rPr>
        <w:t>对抽查发现的违法行为，依法依规严格惩处，及时向社会公开行政处罚案件信息，接受社会监督。属于其他部门管辖的，及时移送相关部门查处；涉嫌构成犯罪的，依法及时向公安机关移送。</w:t>
      </w:r>
    </w:p>
    <w:p>
      <w:pPr>
        <w:widowControl/>
        <w:shd w:val="clear" w:color="auto" w:fill="FFFFFF"/>
        <w:spacing w:line="560" w:lineRule="atLeast"/>
        <w:ind w:firstLine="640"/>
        <w:jc w:val="left"/>
        <w:rPr>
          <w:rFonts w:ascii="宋体" w:hAnsi="宋体" w:cs="宋体"/>
          <w:b w:val="0"/>
          <w:bCs/>
          <w:color w:val="3B3B3B"/>
          <w:kern w:val="0"/>
          <w:szCs w:val="21"/>
        </w:rPr>
      </w:pPr>
      <w:r>
        <w:rPr>
          <w:rFonts w:hint="eastAsia" w:ascii="仿宋_GB2312" w:hAnsi="宋体" w:eastAsia="仿宋_GB2312" w:cs="宋体"/>
          <w:b w:val="0"/>
          <w:bCs/>
          <w:color w:val="3B3B3B"/>
          <w:kern w:val="0"/>
          <w:sz w:val="32"/>
          <w:szCs w:val="32"/>
        </w:rPr>
        <w:t>行政检查涉及后续行政强制、行政处罚、司法移送工作的，在有关工作结束后20个工作日内在门户网站上公布有关行政强制决定书、行政处罚决定书、司法移送文书。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="黑体" w:eastAsia="黑体"/>
          <w:b w:val="0"/>
          <w:bCs/>
          <w:color w:val="3B3B3B"/>
          <w:sz w:val="32"/>
          <w:szCs w:val="32"/>
          <w:shd w:val="clear" w:color="auto" w:fill="FFFFFF"/>
        </w:rPr>
      </w:pPr>
      <w:r>
        <w:rPr>
          <w:rFonts w:hint="eastAsia" w:ascii="黑体" w:eastAsia="黑体"/>
          <w:b w:val="0"/>
          <w:bCs/>
          <w:color w:val="3B3B3B"/>
          <w:sz w:val="32"/>
          <w:szCs w:val="32"/>
          <w:shd w:val="clear" w:color="auto" w:fill="FFFFFF"/>
          <w:lang w:eastAsia="zh-CN"/>
        </w:rPr>
        <w:t>三、</w:t>
      </w:r>
      <w:r>
        <w:rPr>
          <w:rFonts w:hint="eastAsia" w:ascii="黑体" w:eastAsia="黑体"/>
          <w:b w:val="0"/>
          <w:bCs/>
          <w:color w:val="3B3B3B"/>
          <w:sz w:val="32"/>
          <w:szCs w:val="32"/>
          <w:shd w:val="clear" w:color="auto" w:fill="FFFFFF"/>
        </w:rPr>
        <w:t>工作要求</w:t>
      </w:r>
    </w:p>
    <w:p>
      <w:pPr>
        <w:widowControl/>
        <w:shd w:val="clear" w:color="auto" w:fill="FFFFFF"/>
        <w:spacing w:before="60" w:after="60" w:line="560" w:lineRule="atLeast"/>
        <w:ind w:firstLine="630"/>
        <w:jc w:val="left"/>
        <w:rPr>
          <w:rFonts w:ascii="宋体" w:hAnsi="宋体" w:cs="宋体"/>
          <w:b w:val="0"/>
          <w:bCs/>
          <w:color w:val="3B3B3B"/>
          <w:kern w:val="0"/>
          <w:szCs w:val="21"/>
        </w:rPr>
      </w:pPr>
      <w:r>
        <w:rPr>
          <w:rFonts w:hint="eastAsia" w:ascii="楷体_GB2312" w:hAnsi="宋体" w:eastAsia="楷体_GB2312" w:cs="宋体"/>
          <w:b/>
          <w:bCs w:val="0"/>
          <w:color w:val="3B3B3B"/>
          <w:kern w:val="0"/>
          <w:sz w:val="32"/>
          <w:szCs w:val="32"/>
        </w:rPr>
        <w:t>（一）</w:t>
      </w:r>
      <w:r>
        <w:rPr>
          <w:rFonts w:hint="eastAsia" w:ascii="楷体_GB2312" w:hAnsi="宋体" w:eastAsia="楷体_GB2312" w:cs="宋体"/>
          <w:b w:val="0"/>
          <w:bCs/>
          <w:color w:val="3B3B3B"/>
          <w:kern w:val="0"/>
          <w:sz w:val="32"/>
          <w:szCs w:val="32"/>
        </w:rPr>
        <w:t>提高思想认识。</w:t>
      </w:r>
      <w:r>
        <w:rPr>
          <w:rFonts w:hint="eastAsia" w:ascii="仿宋_GB2312" w:hAnsi="宋体" w:eastAsia="仿宋_GB2312" w:cs="宋体"/>
          <w:b w:val="0"/>
          <w:bCs/>
          <w:color w:val="3B3B3B"/>
          <w:kern w:val="0"/>
          <w:sz w:val="32"/>
          <w:szCs w:val="32"/>
        </w:rPr>
        <w:t>推进随机抽查是贯彻落实党中央、国务院关于深化行政体制改革，加快转变政府职能，推进简政放权、放管结合、优化服务决策部署的重要举措。要高度认识此项工作的重要性和必要性，强化过程管控，确保随机抽查工作落到实处，取得实效。</w:t>
      </w:r>
    </w:p>
    <w:p>
      <w:pPr>
        <w:widowControl/>
        <w:shd w:val="clear" w:color="auto" w:fill="FFFFFF"/>
        <w:spacing w:before="60" w:after="60" w:line="560" w:lineRule="atLeast"/>
        <w:ind w:firstLine="630"/>
        <w:jc w:val="left"/>
        <w:rPr>
          <w:rFonts w:ascii="宋体" w:hAnsi="宋体" w:cs="宋体"/>
          <w:b w:val="0"/>
          <w:bCs/>
          <w:color w:val="3B3B3B"/>
          <w:kern w:val="0"/>
          <w:szCs w:val="21"/>
        </w:rPr>
      </w:pPr>
      <w:r>
        <w:rPr>
          <w:rFonts w:hint="eastAsia" w:ascii="楷体_GB2312" w:hAnsi="宋体" w:eastAsia="楷体_GB2312" w:cs="宋体"/>
          <w:b/>
          <w:bCs w:val="0"/>
          <w:color w:val="3B3B3B"/>
          <w:kern w:val="0"/>
          <w:sz w:val="32"/>
          <w:szCs w:val="32"/>
        </w:rPr>
        <w:t>（二）</w:t>
      </w:r>
      <w:r>
        <w:rPr>
          <w:rFonts w:hint="eastAsia" w:ascii="楷体_GB2312" w:hAnsi="宋体" w:eastAsia="楷体_GB2312" w:cs="宋体"/>
          <w:b w:val="0"/>
          <w:bCs/>
          <w:color w:val="3B3B3B"/>
          <w:kern w:val="0"/>
          <w:sz w:val="32"/>
          <w:szCs w:val="32"/>
        </w:rPr>
        <w:t>严格责任落实。</w:t>
      </w:r>
      <w:r>
        <w:rPr>
          <w:rFonts w:hint="eastAsia" w:ascii="仿宋_GB2312" w:hAnsi="宋体" w:eastAsia="仿宋_GB2312" w:cs="宋体"/>
          <w:b w:val="0"/>
          <w:bCs/>
          <w:color w:val="3B3B3B"/>
          <w:kern w:val="0"/>
          <w:sz w:val="32"/>
          <w:szCs w:val="32"/>
        </w:rPr>
        <w:t>要进一步增强责任意识，大力推广“双随机”抽查，公平、有效、透明地进行事中事后监管，切实履行法定监管职责。</w:t>
      </w:r>
    </w:p>
    <w:p>
      <w:pPr>
        <w:widowControl/>
        <w:shd w:val="clear" w:color="auto" w:fill="FFFFFF"/>
        <w:spacing w:before="60" w:after="60" w:line="560" w:lineRule="atLeast"/>
        <w:ind w:firstLine="630"/>
        <w:jc w:val="left"/>
        <w:rPr>
          <w:rFonts w:ascii="宋体" w:hAnsi="宋体" w:cs="宋体"/>
          <w:b w:val="0"/>
          <w:bCs/>
          <w:color w:val="3B3B3B"/>
          <w:kern w:val="0"/>
          <w:szCs w:val="21"/>
        </w:rPr>
      </w:pPr>
      <w:r>
        <w:rPr>
          <w:rFonts w:hint="eastAsia" w:ascii="楷体_GB2312" w:hAnsi="宋体" w:eastAsia="楷体_GB2312" w:cs="宋体"/>
          <w:b/>
          <w:bCs w:val="0"/>
          <w:color w:val="3B3B3B"/>
          <w:kern w:val="0"/>
          <w:sz w:val="32"/>
          <w:szCs w:val="32"/>
        </w:rPr>
        <w:t>（三）</w:t>
      </w:r>
      <w:r>
        <w:rPr>
          <w:rFonts w:hint="eastAsia" w:ascii="楷体_GB2312" w:hAnsi="宋体" w:eastAsia="楷体_GB2312" w:cs="宋体"/>
          <w:b w:val="0"/>
          <w:bCs/>
          <w:color w:val="3B3B3B"/>
          <w:kern w:val="0"/>
          <w:sz w:val="32"/>
          <w:szCs w:val="32"/>
        </w:rPr>
        <w:t>严格抽查纪律。</w:t>
      </w:r>
      <w:r>
        <w:rPr>
          <w:rFonts w:hint="eastAsia" w:ascii="仿宋_GB2312" w:hAnsi="宋体" w:eastAsia="仿宋_GB2312" w:cs="宋体"/>
          <w:b w:val="0"/>
          <w:bCs/>
          <w:color w:val="3B3B3B"/>
          <w:kern w:val="0"/>
          <w:sz w:val="32"/>
          <w:szCs w:val="32"/>
        </w:rPr>
        <w:t>监督检查人员对企业实施检查时，不得妨碍正常的生产经营活动，不得索取或收受企业的财物，不得谋取其他利益。对抽查监管工作中失职渎职和违纪的，要依法依纪严肃处理。</w:t>
      </w:r>
    </w:p>
    <w:p>
      <w:pPr>
        <w:widowControl/>
        <w:shd w:val="clear" w:color="auto" w:fill="FFFFFF"/>
        <w:spacing w:line="560" w:lineRule="atLeast"/>
        <w:ind w:firstLine="643"/>
        <w:jc w:val="left"/>
        <w:rPr>
          <w:rFonts w:hint="eastAsia" w:ascii="仿宋_GB2312" w:hAnsi="宋体" w:eastAsia="仿宋_GB2312" w:cs="宋体"/>
          <w:b w:val="0"/>
          <w:bCs/>
          <w:color w:val="3B3B3B"/>
          <w:kern w:val="0"/>
          <w:sz w:val="32"/>
          <w:szCs w:val="32"/>
          <w:lang w:eastAsia="zh-CN"/>
        </w:rPr>
      </w:pPr>
      <w:r>
        <w:rPr>
          <w:rFonts w:hint="eastAsia" w:ascii="楷体_GB2312" w:hAnsi="宋体" w:eastAsia="楷体_GB2312" w:cs="宋体"/>
          <w:b/>
          <w:bCs w:val="0"/>
          <w:color w:val="3B3B3B"/>
          <w:kern w:val="0"/>
          <w:sz w:val="32"/>
          <w:szCs w:val="32"/>
        </w:rPr>
        <w:t>（</w:t>
      </w:r>
      <w:r>
        <w:rPr>
          <w:rFonts w:hint="eastAsia" w:ascii="楷体_GB2312" w:hAnsi="宋体" w:eastAsia="楷体_GB2312" w:cs="宋体"/>
          <w:b/>
          <w:bCs w:val="0"/>
          <w:color w:val="3B3B3B"/>
          <w:kern w:val="0"/>
          <w:sz w:val="32"/>
          <w:szCs w:val="32"/>
          <w:lang w:eastAsia="zh-CN"/>
        </w:rPr>
        <w:t>四</w:t>
      </w:r>
      <w:r>
        <w:rPr>
          <w:rFonts w:hint="eastAsia" w:ascii="楷体_GB2312" w:hAnsi="宋体" w:eastAsia="楷体_GB2312" w:cs="宋体"/>
          <w:b/>
          <w:bCs w:val="0"/>
          <w:color w:val="3B3B3B"/>
          <w:kern w:val="0"/>
          <w:sz w:val="32"/>
          <w:szCs w:val="32"/>
        </w:rPr>
        <w:t>）</w:t>
      </w:r>
      <w:r>
        <w:rPr>
          <w:rFonts w:hint="eastAsia" w:ascii="楷体_GB2312" w:hAnsi="宋体" w:eastAsia="楷体_GB2312" w:cs="宋体"/>
          <w:b w:val="0"/>
          <w:bCs/>
          <w:color w:val="3B3B3B"/>
          <w:kern w:val="0"/>
          <w:sz w:val="32"/>
          <w:szCs w:val="32"/>
        </w:rPr>
        <w:t>强化法治意识。</w:t>
      </w:r>
      <w:r>
        <w:rPr>
          <w:rFonts w:hint="eastAsia" w:ascii="仿宋_GB2312" w:hAnsi="宋体" w:eastAsia="仿宋_GB2312" w:cs="宋体"/>
          <w:b w:val="0"/>
          <w:bCs/>
          <w:color w:val="3B3B3B"/>
          <w:kern w:val="0"/>
          <w:sz w:val="32"/>
          <w:szCs w:val="32"/>
        </w:rPr>
        <w:t>随机抽查是行政执法监管方式的探索和创新，在开展“双随机”工作中执法人员要加强规范执法意识，加快转变执法理念，不断提高执法能力</w:t>
      </w:r>
      <w:r>
        <w:rPr>
          <w:rFonts w:hint="eastAsia" w:ascii="仿宋_GB2312" w:hAnsi="宋体" w:eastAsia="仿宋_GB2312" w:cs="宋体"/>
          <w:b w:val="0"/>
          <w:bCs/>
          <w:color w:val="3B3B3B"/>
          <w:kern w:val="0"/>
          <w:sz w:val="32"/>
          <w:szCs w:val="32"/>
          <w:lang w:eastAsia="zh-CN"/>
        </w:rPr>
        <w:t>。</w:t>
      </w:r>
    </w:p>
    <w:p>
      <w:pPr>
        <w:widowControl/>
        <w:shd w:val="clear" w:color="auto" w:fill="FFFFFF"/>
        <w:spacing w:line="560" w:lineRule="atLeast"/>
        <w:ind w:firstLine="643"/>
        <w:jc w:val="left"/>
        <w:rPr>
          <w:rFonts w:hint="eastAsia" w:ascii="仿宋_GB2312" w:hAnsi="宋体" w:eastAsia="仿宋_GB2312" w:cs="宋体"/>
          <w:b w:val="0"/>
          <w:bCs/>
          <w:color w:val="3B3B3B"/>
          <w:kern w:val="0"/>
          <w:sz w:val="32"/>
          <w:szCs w:val="32"/>
          <w:lang w:eastAsia="zh-CN"/>
        </w:rPr>
      </w:pPr>
    </w:p>
    <w:p>
      <w:pP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  <w:lang w:val="en-US" w:eastAsia="zh-CN"/>
        </w:rPr>
        <w:t xml:space="preserve">  </w:t>
      </w:r>
    </w:p>
    <w:p>
      <w:pPr>
        <w:rPr>
          <w:rFonts w:hint="default" w:ascii="仿宋_GB2312" w:eastAsia="仿宋_GB2312"/>
          <w:b w:val="0"/>
          <w:bCs/>
          <w:color w:val="3B3B3B"/>
          <w:sz w:val="32"/>
          <w:szCs w:val="32"/>
          <w:shd w:val="clear" w:color="auto" w:fill="FFFFFF"/>
          <w:lang w:val="en-US" w:eastAsia="zh-CN"/>
        </w:rPr>
      </w:pPr>
    </w:p>
    <w:p>
      <w:pP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</w:rPr>
      </w:pPr>
    </w:p>
    <w:p>
      <w:pP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</w:rPr>
      </w:pPr>
    </w:p>
    <w:p>
      <w:pP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  <w:lang w:val="en-US" w:eastAsia="zh-CN"/>
        </w:rPr>
        <w:t xml:space="preserve"> </w:t>
      </w:r>
    </w:p>
    <w:p>
      <w:pP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</w:rPr>
      </w:pPr>
    </w:p>
    <w:p>
      <w:pP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</w:rPr>
        <w:t xml:space="preserve">                      </w:t>
      </w:r>
      <w: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  <w:lang w:val="en-US" w:eastAsia="zh-CN"/>
        </w:rPr>
        <w:t xml:space="preserve">       </w:t>
      </w:r>
      <w: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</w:rPr>
        <w:t xml:space="preserve">  涞源县应急管理局</w:t>
      </w:r>
    </w:p>
    <w:p>
      <w:pPr>
        <w:ind w:firstLine="5120" w:firstLineChars="1600"/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  <w:lang w:val="en-US" w:eastAsia="zh-CN"/>
        </w:rPr>
        <w:sectPr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</w:rPr>
        <w:t>20</w:t>
      </w:r>
      <w: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  <w:lang w:val="en-US" w:eastAsia="zh-CN"/>
        </w:rPr>
        <w:t>22</w:t>
      </w:r>
      <w: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</w:rPr>
        <w:t>年</w:t>
      </w:r>
      <w: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</w:rPr>
        <w:t>月</w:t>
      </w:r>
      <w:r>
        <w:rPr>
          <w:rFonts w:hint="eastAsia" w:ascii="仿宋_GB2312" w:eastAsia="仿宋_GB2312"/>
          <w:b w:val="0"/>
          <w:bCs/>
          <w:color w:val="3B3B3B"/>
          <w:sz w:val="32"/>
          <w:szCs w:val="32"/>
          <w:shd w:val="clear" w:color="auto" w:fill="FFFFFF"/>
          <w:lang w:val="en-US" w:eastAsia="zh-CN"/>
        </w:rPr>
        <w:t>28日</w:t>
      </w:r>
      <w:bookmarkStart w:id="0" w:name="_GoBack"/>
      <w:bookmarkEnd w:id="0"/>
    </w:p>
    <w:p>
      <w:pPr>
        <w:rPr>
          <w:rFonts w:hint="default" w:ascii="Times New Roman" w:hAnsi="Times New Roman" w:cs="Times New Roman"/>
          <w:sz w:val="18"/>
          <w:szCs w:val="18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color w:val="000000" w:themeColor="text1"/>
          <w:spacing w:val="-4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  <w:embedRegular r:id="rId1" w:fontKey="{BD20C8B6-F154-4B79-9C26-9C17FF9D6E81}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  <w:embedRegular r:id="rId2" w:fontKey="{E3EC1420-B8B4-4D26-B7A2-32299D933D4F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82AA7AE7-662B-4C75-A395-5F6EB5FBF80F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EEC5C74A-6103-43A4-90ED-9667D2B1F1A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38ADA040-C8DE-4244-B6C7-9F5FC5468509}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方正小标宋_GBK">
    <w:panose1 w:val="02000000000000000000"/>
    <w:charset w:val="86"/>
    <w:family w:val="script"/>
    <w:pitch w:val="default"/>
    <w:sig w:usb0="00000000" w:usb1="00000000" w:usb2="00000000" w:usb3="00000000" w:csb0="00000000" w:csb1="00000000"/>
    <w:embedRegular r:id="rId6" w:fontKey="{0B64696B-FE14-457D-9563-9EC5C9C6F090}"/>
  </w:font>
  <w:font w:name="仿宋">
    <w:panose1 w:val="02010609060101010101"/>
    <w:charset w:val="86"/>
    <w:family w:val="auto"/>
    <w:pitch w:val="default"/>
    <w:sig w:usb0="00000000" w:usb1="00000000" w:usb2="00000000" w:usb3="00000000" w:csb0="00000000" w:csb1="00000000"/>
    <w:embedRegular r:id="rId7" w:fontKey="{DEDDDC4A-1600-4844-8215-4977207DEDC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xZjRkMmYwZTU2MTU1NjAxZmY0ZTc5ZmEzNWE3OTYifQ=="/>
  </w:docVars>
  <w:rsids>
    <w:rsidRoot w:val="2F816B23"/>
    <w:rsid w:val="04234AB9"/>
    <w:rsid w:val="071C58D7"/>
    <w:rsid w:val="07F379D5"/>
    <w:rsid w:val="0A5779C2"/>
    <w:rsid w:val="0AB87DA1"/>
    <w:rsid w:val="0C014219"/>
    <w:rsid w:val="0E4868F2"/>
    <w:rsid w:val="0F1D1E53"/>
    <w:rsid w:val="0FF32B45"/>
    <w:rsid w:val="115533B6"/>
    <w:rsid w:val="147A2DEA"/>
    <w:rsid w:val="14F96B98"/>
    <w:rsid w:val="17575B65"/>
    <w:rsid w:val="17DA224B"/>
    <w:rsid w:val="187748E1"/>
    <w:rsid w:val="1A014A3A"/>
    <w:rsid w:val="1AAD09DE"/>
    <w:rsid w:val="1D1D6B95"/>
    <w:rsid w:val="1F323169"/>
    <w:rsid w:val="21132D32"/>
    <w:rsid w:val="21E11BCA"/>
    <w:rsid w:val="22FA4207"/>
    <w:rsid w:val="240A6C92"/>
    <w:rsid w:val="251A5556"/>
    <w:rsid w:val="2787507D"/>
    <w:rsid w:val="28E64F93"/>
    <w:rsid w:val="29D61AD4"/>
    <w:rsid w:val="2F4308A5"/>
    <w:rsid w:val="2F816B23"/>
    <w:rsid w:val="2FFF65BD"/>
    <w:rsid w:val="31093605"/>
    <w:rsid w:val="36422F6B"/>
    <w:rsid w:val="36F72187"/>
    <w:rsid w:val="38207DBA"/>
    <w:rsid w:val="38D30703"/>
    <w:rsid w:val="3D3D6D72"/>
    <w:rsid w:val="3F2521B4"/>
    <w:rsid w:val="3F395C5F"/>
    <w:rsid w:val="40AB66E9"/>
    <w:rsid w:val="43EB4717"/>
    <w:rsid w:val="445F1470"/>
    <w:rsid w:val="47D46525"/>
    <w:rsid w:val="48A142A0"/>
    <w:rsid w:val="495E29B8"/>
    <w:rsid w:val="4A934E3E"/>
    <w:rsid w:val="4AA52E3C"/>
    <w:rsid w:val="4BCD1C09"/>
    <w:rsid w:val="4C40290E"/>
    <w:rsid w:val="4E717A64"/>
    <w:rsid w:val="4EC332F0"/>
    <w:rsid w:val="50DB7642"/>
    <w:rsid w:val="512E52A0"/>
    <w:rsid w:val="58BB137D"/>
    <w:rsid w:val="59E70069"/>
    <w:rsid w:val="5AC60A34"/>
    <w:rsid w:val="5C8A193A"/>
    <w:rsid w:val="5F2A6B0C"/>
    <w:rsid w:val="60A4111A"/>
    <w:rsid w:val="616F73F2"/>
    <w:rsid w:val="644C6694"/>
    <w:rsid w:val="655F0A75"/>
    <w:rsid w:val="65CE6852"/>
    <w:rsid w:val="669C4AE6"/>
    <w:rsid w:val="66E8749F"/>
    <w:rsid w:val="679F24F3"/>
    <w:rsid w:val="68445032"/>
    <w:rsid w:val="68D13EB6"/>
    <w:rsid w:val="690C65DC"/>
    <w:rsid w:val="6C5D448C"/>
    <w:rsid w:val="70BA18EA"/>
    <w:rsid w:val="736B3932"/>
    <w:rsid w:val="746F0FF5"/>
    <w:rsid w:val="752101F1"/>
    <w:rsid w:val="770D7B2E"/>
    <w:rsid w:val="79A842D6"/>
    <w:rsid w:val="79C439FA"/>
    <w:rsid w:val="79CE64D0"/>
    <w:rsid w:val="7A3251AA"/>
    <w:rsid w:val="7CB2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kern w:val="0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0" w:lineRule="atLeast"/>
      <w:jc w:val="center"/>
      <w:outlineLvl w:val="0"/>
    </w:pPr>
    <w:rPr>
      <w:rFonts w:ascii="Times New Roman" w:hAnsi="Times New Roman" w:eastAsia="方正小标宋简体"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80" w:lineRule="exact"/>
      <w:ind w:firstLine="880" w:firstLineChars="200"/>
      <w:outlineLvl w:val="0"/>
    </w:pPr>
    <w:rPr>
      <w:rFonts w:ascii="Times New Roman" w:hAnsi="Times New Roman" w:eastAsia="黑体"/>
      <w:sz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80" w:lineRule="exact"/>
      <w:ind w:firstLine="880" w:firstLineChars="200"/>
      <w:outlineLvl w:val="1"/>
    </w:pPr>
    <w:rPr>
      <w:rFonts w:ascii="Times New Roman" w:hAnsi="Times New Roman" w:eastAsia="楷体_GB2312"/>
      <w:b/>
      <w:sz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80" w:firstLineChars="200"/>
      <w:outlineLvl w:val="2"/>
    </w:pPr>
    <w:rPr>
      <w:rFonts w:ascii="Times New Roman" w:hAnsi="Times New Roman" w:eastAsia="仿宋_GB2312"/>
      <w:b/>
      <w:sz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7">
    <w:name w:val="Body Text"/>
    <w:basedOn w:val="1"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2">
    <w:name w:val="公文"/>
    <w:basedOn w:val="1"/>
    <w:qFormat/>
    <w:uiPriority w:val="0"/>
    <w:pPr>
      <w:spacing w:line="580" w:lineRule="exact"/>
      <w:ind w:firstLine="880" w:firstLineChars="200"/>
      <w:jc w:val="both"/>
    </w:pPr>
    <w:rPr>
      <w:rFonts w:hint="default" w:ascii="Times New Roman" w:hAnsi="Times New Roman" w:eastAsia="仿宋_GB2312" w:cs="方正小标宋简体"/>
      <w:sz w:val="32"/>
      <w:szCs w:val="44"/>
    </w:rPr>
  </w:style>
  <w:style w:type="paragraph" w:customStyle="1" w:styleId="13">
    <w:name w:val="公文正文"/>
    <w:basedOn w:val="1"/>
    <w:qFormat/>
    <w:uiPriority w:val="0"/>
    <w:pPr>
      <w:spacing w:line="580" w:lineRule="exact"/>
      <w:ind w:firstLine="420" w:firstLineChars="200"/>
    </w:pPr>
    <w:rPr>
      <w:rFonts w:ascii="Times New Roman" w:hAnsi="Times New Roman" w:eastAsia="仿宋_GB2312"/>
      <w:sz w:val="32"/>
    </w:rPr>
  </w:style>
  <w:style w:type="paragraph" w:customStyle="1" w:styleId="14">
    <w:name w:val="样式1"/>
    <w:basedOn w:val="1"/>
    <w:qFormat/>
    <w:uiPriority w:val="0"/>
    <w:pPr>
      <w:spacing w:line="580" w:lineRule="exact"/>
      <w:ind w:firstLine="720" w:firstLineChars="200"/>
      <w:jc w:val="both"/>
    </w:pPr>
    <w:rPr>
      <w:rFonts w:hint="default" w:ascii="Times New Roman" w:hAnsi="Times New Roman" w:eastAsia="仿宋_GB2312" w:cs="仿宋_GB2312"/>
      <w:snapToGrid w:val="0"/>
      <w:color w:val="000000"/>
      <w:spacing w:val="5"/>
      <w:kern w:val="0"/>
      <w:sz w:val="32"/>
      <w:szCs w:val="32"/>
    </w:rPr>
  </w:style>
  <w:style w:type="paragraph" w:customStyle="1" w:styleId="15">
    <w:name w:val="公文大标题"/>
    <w:basedOn w:val="1"/>
    <w:qFormat/>
    <w:uiPriority w:val="0"/>
    <w:pPr>
      <w:spacing w:line="0" w:lineRule="atLeast"/>
      <w:jc w:val="center"/>
    </w:pPr>
    <w:rPr>
      <w:rFonts w:hint="default" w:ascii="Times New Roman" w:hAnsi="Times New Roman" w:eastAsia="方正小标宋简体"/>
      <w:sz w:val="44"/>
    </w:rPr>
  </w:style>
  <w:style w:type="paragraph" w:customStyle="1" w:styleId="16">
    <w:name w:val="一级标题"/>
    <w:basedOn w:val="1"/>
    <w:qFormat/>
    <w:uiPriority w:val="0"/>
    <w:pPr>
      <w:spacing w:line="580" w:lineRule="exact"/>
      <w:ind w:firstLine="880" w:firstLineChars="200"/>
    </w:pPr>
    <w:rPr>
      <w:rFonts w:ascii="Times New Roman" w:hAnsi="Times New Roman" w:eastAsia="黑体" w:cs="仿宋_GB2312"/>
      <w:sz w:val="32"/>
      <w:szCs w:val="32"/>
    </w:rPr>
  </w:style>
  <w:style w:type="paragraph" w:customStyle="1" w:styleId="1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4174</Words>
  <Characters>4244</Characters>
  <Lines>0</Lines>
  <Paragraphs>0</Paragraphs>
  <TotalTime>3</TotalTime>
  <ScaleCrop>false</ScaleCrop>
  <LinksUpToDate>false</LinksUpToDate>
  <CharactersWithSpaces>4384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2023-01-30T06:26:00Z</dcterms:created>
  <dc:creator>小迷鹿</dc:creator>
  <cp:lastModifiedBy>Administrator</cp:lastModifiedBy>
  <cp:lastPrinted>2023-02-21T01:06:34Z</cp:lastPrinted>
  <dcterms:modified xsi:type="dcterms:W3CDTF">2023-02-21T01:51:52Z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390E2D1E5746480FA0AE050FC03A556B</vt:lpwstr>
  </property>
</Properties>
</file>