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黑体" w:hAnsi="Calibri" w:eastAsia="黑体"/>
          <w:sz w:val="44"/>
          <w:szCs w:val="44"/>
        </w:rPr>
      </w:pPr>
    </w:p>
    <w:p>
      <w:pPr>
        <w:spacing w:line="600" w:lineRule="exact"/>
        <w:jc w:val="center"/>
        <w:rPr>
          <w:rFonts w:ascii="黑体" w:hAnsi="Calibri" w:eastAsia="黑体"/>
          <w:sz w:val="44"/>
          <w:szCs w:val="44"/>
        </w:rPr>
      </w:pPr>
    </w:p>
    <w:p>
      <w:pPr>
        <w:spacing w:line="600" w:lineRule="exact"/>
        <w:jc w:val="center"/>
        <w:rPr>
          <w:rFonts w:ascii="黑体" w:hAnsi="Calibri" w:eastAsia="黑体"/>
          <w:sz w:val="44"/>
          <w:szCs w:val="44"/>
        </w:rPr>
      </w:pPr>
    </w:p>
    <w:p>
      <w:pPr>
        <w:spacing w:line="500" w:lineRule="exact"/>
        <w:rPr>
          <w:rFonts w:ascii="黑体" w:hAnsi="Calibri" w:eastAsia="黑体"/>
          <w:sz w:val="13"/>
          <w:szCs w:val="13"/>
        </w:rPr>
      </w:pPr>
    </w:p>
    <w:p>
      <w:pPr>
        <w:spacing w:line="600" w:lineRule="exact"/>
        <w:jc w:val="center"/>
        <w:rPr>
          <w:rFonts w:hint="eastAsia" w:ascii="仿宋_GB2312" w:hAnsi="仿宋_GB2312" w:eastAsia="仿宋_GB2312" w:cs="仿宋_GB2312"/>
          <w:sz w:val="32"/>
          <w:szCs w:val="32"/>
        </w:rPr>
      </w:pPr>
    </w:p>
    <w:p>
      <w:pPr>
        <w:spacing w:line="600" w:lineRule="exact"/>
        <w:jc w:val="center"/>
        <w:rPr>
          <w:rFonts w:ascii="黑体" w:eastAsia="黑体"/>
          <w:sz w:val="44"/>
          <w:szCs w:val="44"/>
        </w:rPr>
      </w:pPr>
      <w:r>
        <w:rPr>
          <w:rFonts w:hint="eastAsia" w:ascii="仿宋_GB2312" w:hAnsi="仿宋_GB2312" w:eastAsia="仿宋_GB2312" w:cs="仿宋_GB2312"/>
          <w:sz w:val="32"/>
          <w:szCs w:val="32"/>
        </w:rPr>
        <w:t>涞水字〔20</w:t>
      </w:r>
      <w:r>
        <w:rPr>
          <w:rFonts w:hint="eastAsia" w:ascii="仿宋_GB2312" w:hAnsi="仿宋_GB2312" w:eastAsia="仿宋_GB2312" w:cs="仿宋_GB2312"/>
          <w:sz w:val="32"/>
          <w:szCs w:val="32"/>
          <w:lang w:val="en-US" w:eastAsia="zh-CN"/>
        </w:rPr>
        <w:t>23</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12</w:t>
      </w:r>
      <w:r>
        <w:rPr>
          <w:rFonts w:hint="eastAsia" w:ascii="仿宋_GB2312" w:hAnsi="仿宋_GB2312" w:eastAsia="仿宋_GB2312" w:cs="仿宋_GB2312"/>
          <w:color w:val="000000"/>
          <w:sz w:val="32"/>
          <w:szCs w:val="32"/>
        </w:rPr>
        <w:t>号</w:t>
      </w:r>
    </w:p>
    <w:p>
      <w:pPr>
        <w:spacing w:line="600" w:lineRule="exact"/>
        <w:jc w:val="center"/>
        <w:rPr>
          <w:rFonts w:ascii="仿宋_GB2312" w:eastAsia="仿宋_GB2312"/>
          <w:sz w:val="32"/>
          <w:szCs w:val="32"/>
        </w:rPr>
      </w:pPr>
    </w:p>
    <w:p>
      <w:pPr>
        <w:spacing w:line="600" w:lineRule="exact"/>
        <w:jc w:val="center"/>
        <w:rPr>
          <w:rFonts w:hint="eastAsia" w:ascii="方正小标宋简体" w:hAnsi="方正小标宋简体" w:eastAsia="方正小标宋简体" w:cs="方正小标宋简体"/>
          <w:sz w:val="44"/>
          <w:szCs w:val="44"/>
        </w:rPr>
      </w:pPr>
    </w:p>
    <w:p>
      <w:pPr>
        <w:widowControl/>
        <w:snapToGrid w:val="0"/>
        <w:spacing w:line="560" w:lineRule="exact"/>
        <w:jc w:val="center"/>
        <w:rPr>
          <w:rFonts w:ascii="方正小标宋简体" w:hAnsi="宋体" w:eastAsia="方正小标宋简体" w:cs="宋体"/>
          <w:kern w:val="0"/>
          <w:sz w:val="44"/>
          <w:szCs w:val="44"/>
        </w:rPr>
      </w:pPr>
      <w:bookmarkStart w:id="0" w:name="_GoBack"/>
      <w:r>
        <w:rPr>
          <w:rFonts w:hint="eastAsia" w:ascii="方正小标宋简体" w:hAnsi="宋体" w:eastAsia="方正小标宋简体" w:cs="宋体"/>
          <w:kern w:val="0"/>
          <w:sz w:val="44"/>
          <w:szCs w:val="44"/>
        </w:rPr>
        <w:t>涞源县水利局</w:t>
      </w:r>
    </w:p>
    <w:p>
      <w:pPr>
        <w:widowControl/>
        <w:snapToGrid w:val="0"/>
        <w:spacing w:line="560" w:lineRule="exact"/>
        <w:jc w:val="center"/>
        <w:rPr>
          <w:rFonts w:ascii="方正小标宋简体" w:hAnsi="宋体" w:eastAsia="方正小标宋简体" w:cs="宋体"/>
          <w:kern w:val="0"/>
          <w:sz w:val="44"/>
          <w:szCs w:val="44"/>
        </w:rPr>
      </w:pPr>
      <w:r>
        <w:rPr>
          <w:rFonts w:hint="eastAsia" w:ascii="方正小标宋简体" w:hAnsi="宋体" w:eastAsia="方正小标宋简体" w:cs="宋体"/>
          <w:kern w:val="0"/>
          <w:sz w:val="44"/>
          <w:szCs w:val="44"/>
        </w:rPr>
        <w:t>关于印发随机抽查市场监管执法事项清单的</w:t>
      </w:r>
    </w:p>
    <w:p>
      <w:pPr>
        <w:widowControl/>
        <w:snapToGrid w:val="0"/>
        <w:spacing w:line="560" w:lineRule="exact"/>
        <w:jc w:val="center"/>
        <w:rPr>
          <w:rFonts w:ascii="方正小标宋简体" w:hAnsi="宋体" w:eastAsia="方正小标宋简体" w:cs="宋体"/>
          <w:kern w:val="0"/>
          <w:sz w:val="44"/>
          <w:szCs w:val="44"/>
        </w:rPr>
      </w:pPr>
      <w:r>
        <w:rPr>
          <w:rFonts w:hint="eastAsia" w:ascii="方正小标宋简体" w:hAnsi="宋体" w:eastAsia="方正小标宋简体" w:cs="宋体"/>
          <w:kern w:val="0"/>
          <w:sz w:val="44"/>
          <w:szCs w:val="44"/>
        </w:rPr>
        <w:t>通  知</w:t>
      </w:r>
      <w:bookmarkEnd w:id="0"/>
    </w:p>
    <w:p>
      <w:pPr>
        <w:widowControl/>
        <w:snapToGrid w:val="0"/>
        <w:spacing w:line="560" w:lineRule="exact"/>
        <w:jc w:val="left"/>
        <w:rPr>
          <w:rFonts w:ascii="仿宋_GB2312" w:eastAsia="仿宋_GB2312" w:hAnsiTheme="minorEastAsia" w:cstheme="minorEastAsia"/>
          <w:kern w:val="0"/>
          <w:sz w:val="32"/>
          <w:szCs w:val="32"/>
        </w:rPr>
      </w:pPr>
    </w:p>
    <w:p>
      <w:pPr>
        <w:rPr>
          <w:rFonts w:ascii="仿宋_GB2312" w:eastAsia="仿宋_GB2312"/>
          <w:sz w:val="32"/>
          <w:szCs w:val="32"/>
        </w:rPr>
      </w:pPr>
      <w:r>
        <w:rPr>
          <w:rFonts w:hint="eastAsia" w:ascii="仿宋_GB2312" w:eastAsia="仿宋_GB2312"/>
          <w:sz w:val="32"/>
          <w:szCs w:val="32"/>
        </w:rPr>
        <w:t>各股室：</w:t>
      </w:r>
    </w:p>
    <w:p>
      <w:pPr>
        <w:ind w:firstLine="645"/>
        <w:rPr>
          <w:rFonts w:ascii="仿宋_GB2312" w:eastAsia="仿宋_GB2312"/>
          <w:sz w:val="32"/>
          <w:szCs w:val="32"/>
        </w:rPr>
      </w:pPr>
      <w:r>
        <w:rPr>
          <w:rFonts w:hint="eastAsia" w:ascii="仿宋_GB2312" w:eastAsia="仿宋_GB2312"/>
          <w:sz w:val="32"/>
          <w:szCs w:val="32"/>
        </w:rPr>
        <w:t>现将涞源县水利局随机抽查市场监管执法事项清单(202</w:t>
      </w:r>
      <w:r>
        <w:rPr>
          <w:rFonts w:hint="eastAsia" w:ascii="仿宋_GB2312" w:eastAsia="仿宋_GB2312"/>
          <w:sz w:val="32"/>
          <w:szCs w:val="32"/>
          <w:lang w:val="en-US" w:eastAsia="zh-CN"/>
        </w:rPr>
        <w:t>3</w:t>
      </w:r>
      <w:r>
        <w:rPr>
          <w:rFonts w:hint="eastAsia" w:ascii="仿宋_GB2312" w:eastAsia="仿宋_GB2312"/>
          <w:sz w:val="32"/>
          <w:szCs w:val="32"/>
        </w:rPr>
        <w:t>年版）印发给你们，请各责任股室结合工作实际抓好落实，做到抽查事项全覆盖。</w:t>
      </w:r>
    </w:p>
    <w:p>
      <w:pPr>
        <w:spacing w:line="600" w:lineRule="exact"/>
        <w:ind w:firstLine="640" w:firstLineChars="200"/>
        <w:rPr>
          <w:rFonts w:ascii="仿宋_GB2312" w:eastAsia="仿宋_GB2312" w:hAnsiTheme="minorEastAsia" w:cstheme="minorEastAsia"/>
          <w:bCs/>
          <w:color w:val="000000"/>
          <w:sz w:val="32"/>
          <w:szCs w:val="32"/>
        </w:rPr>
      </w:pPr>
      <w:r>
        <w:rPr>
          <w:rFonts w:hint="eastAsia" w:ascii="仿宋_GB2312" w:hAnsi="仿宋_GB2312" w:eastAsia="仿宋_GB2312" w:cs="仿宋_GB2312"/>
          <w:sz w:val="32"/>
          <w:szCs w:val="32"/>
        </w:rPr>
        <w:t>附件：</w:t>
      </w:r>
      <w:r>
        <w:rPr>
          <w:rFonts w:hint="eastAsia" w:ascii="仿宋_GB2312" w:eastAsia="仿宋_GB2312" w:hAnsiTheme="minorEastAsia" w:cstheme="minorEastAsia"/>
          <w:bCs/>
          <w:color w:val="000000"/>
          <w:sz w:val="32"/>
          <w:szCs w:val="32"/>
        </w:rPr>
        <w:t>涞源县水利局随机抽查市场监管执法事项清单(202</w:t>
      </w:r>
      <w:r>
        <w:rPr>
          <w:rFonts w:hint="eastAsia" w:ascii="仿宋_GB2312" w:eastAsia="仿宋_GB2312" w:hAnsiTheme="minorEastAsia" w:cstheme="minorEastAsia"/>
          <w:bCs/>
          <w:color w:val="000000"/>
          <w:sz w:val="32"/>
          <w:szCs w:val="32"/>
          <w:lang w:val="en-US" w:eastAsia="zh-CN"/>
        </w:rPr>
        <w:t>3</w:t>
      </w:r>
      <w:r>
        <w:rPr>
          <w:rFonts w:hint="eastAsia" w:ascii="仿宋_GB2312" w:eastAsia="仿宋_GB2312" w:hAnsiTheme="minorEastAsia" w:cstheme="minorEastAsia"/>
          <w:bCs/>
          <w:color w:val="000000"/>
          <w:sz w:val="32"/>
          <w:szCs w:val="32"/>
        </w:rPr>
        <w:t>年版）</w:t>
      </w:r>
    </w:p>
    <w:p>
      <w:pPr>
        <w:pStyle w:val="7"/>
        <w:widowControl/>
        <w:spacing w:line="600" w:lineRule="exact"/>
        <w:ind w:firstLine="640"/>
        <w:jc w:val="left"/>
        <w:rPr>
          <w:rFonts w:ascii="仿宋_GB2312" w:eastAsia="仿宋_GB2312" w:hAnsiTheme="minorEastAsia" w:cstheme="minorEastAsia"/>
          <w:bCs/>
          <w:color w:val="000000"/>
          <w:sz w:val="32"/>
          <w:szCs w:val="32"/>
        </w:rPr>
      </w:pPr>
    </w:p>
    <w:p>
      <w:pPr>
        <w:pStyle w:val="7"/>
        <w:widowControl/>
        <w:spacing w:line="600" w:lineRule="exact"/>
        <w:ind w:firstLine="640"/>
        <w:jc w:val="left"/>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 xml:space="preserve">                             涞源县水利局</w:t>
      </w:r>
    </w:p>
    <w:p>
      <w:pPr>
        <w:pStyle w:val="7"/>
        <w:widowControl/>
        <w:spacing w:line="600" w:lineRule="exact"/>
        <w:ind w:firstLine="5126" w:firstLineChars="1602"/>
        <w:jc w:val="left"/>
      </w:pPr>
      <w:r>
        <w:rPr>
          <w:rFonts w:hint="eastAsia" w:ascii="仿宋_GB2312" w:eastAsia="仿宋_GB2312" w:hAnsiTheme="minorEastAsia" w:cstheme="minorEastAsia"/>
          <w:bCs/>
          <w:color w:val="000000"/>
          <w:sz w:val="32"/>
          <w:szCs w:val="32"/>
        </w:rPr>
        <w:t>202</w:t>
      </w:r>
      <w:r>
        <w:rPr>
          <w:rFonts w:hint="eastAsia" w:ascii="仿宋_GB2312" w:eastAsia="仿宋_GB2312" w:hAnsiTheme="minorEastAsia" w:cstheme="minorEastAsia"/>
          <w:bCs/>
          <w:color w:val="000000"/>
          <w:sz w:val="32"/>
          <w:szCs w:val="32"/>
          <w:lang w:val="en-US" w:eastAsia="zh-CN"/>
        </w:rPr>
        <w:t>3</w:t>
      </w:r>
      <w:r>
        <w:rPr>
          <w:rFonts w:hint="eastAsia" w:ascii="仿宋_GB2312" w:eastAsia="仿宋_GB2312" w:hAnsiTheme="minorEastAsia" w:cstheme="minorEastAsia"/>
          <w:bCs/>
          <w:color w:val="000000"/>
          <w:sz w:val="32"/>
          <w:szCs w:val="32"/>
        </w:rPr>
        <w:t>年</w:t>
      </w:r>
      <w:r>
        <w:rPr>
          <w:rFonts w:hint="eastAsia" w:ascii="仿宋_GB2312" w:eastAsia="仿宋_GB2312" w:hAnsiTheme="minorEastAsia" w:cstheme="minorEastAsia"/>
          <w:bCs/>
          <w:color w:val="000000"/>
          <w:sz w:val="32"/>
          <w:szCs w:val="32"/>
          <w:lang w:val="en-US" w:eastAsia="zh-CN"/>
        </w:rPr>
        <w:t>2</w:t>
      </w:r>
      <w:r>
        <w:rPr>
          <w:rFonts w:hint="eastAsia" w:ascii="仿宋_GB2312" w:eastAsia="仿宋_GB2312" w:hAnsiTheme="minorEastAsia" w:cstheme="minorEastAsia"/>
          <w:bCs/>
          <w:color w:val="000000"/>
          <w:sz w:val="32"/>
          <w:szCs w:val="32"/>
        </w:rPr>
        <w:t>月</w:t>
      </w:r>
      <w:r>
        <w:rPr>
          <w:rFonts w:hint="eastAsia" w:ascii="仿宋_GB2312" w:eastAsia="仿宋_GB2312" w:hAnsiTheme="minorEastAsia" w:cstheme="minorEastAsia"/>
          <w:bCs/>
          <w:color w:val="000000"/>
          <w:sz w:val="32"/>
          <w:szCs w:val="32"/>
          <w:lang w:val="en-US" w:eastAsia="zh-CN"/>
        </w:rPr>
        <w:t>10</w:t>
      </w:r>
      <w:r>
        <w:rPr>
          <w:rFonts w:hint="eastAsia" w:ascii="仿宋_GB2312" w:eastAsia="仿宋_GB2312" w:hAnsiTheme="minorEastAsia" w:cstheme="minorEastAsia"/>
          <w:bCs/>
          <w:color w:val="000000"/>
          <w:sz w:val="32"/>
          <w:szCs w:val="32"/>
        </w:rPr>
        <w:t>日</w:t>
      </w:r>
    </w:p>
    <w:p/>
    <w:p/>
    <w:p>
      <w:pPr>
        <w:pStyle w:val="2"/>
        <w:spacing w:line="520" w:lineRule="exact"/>
        <w:rPr>
          <w:rFonts w:ascii="黑体" w:hAnsi="黑体" w:eastAsia="黑体" w:cstheme="minorEastAsia"/>
          <w:bCs/>
          <w:color w:val="000000"/>
          <w:sz w:val="32"/>
          <w:szCs w:val="32"/>
        </w:rPr>
        <w:sectPr>
          <w:footerReference r:id="rId3" w:type="default"/>
          <w:pgSz w:w="11906" w:h="16838"/>
          <w:pgMar w:top="1531" w:right="1531" w:bottom="1531" w:left="1531" w:header="851" w:footer="992" w:gutter="0"/>
          <w:cols w:space="425" w:num="1"/>
          <w:docGrid w:type="linesAndChars" w:linePitch="312" w:charSpace="0"/>
        </w:sectPr>
      </w:pPr>
      <w:r>
        <w:rPr>
          <w:rFonts w:ascii="仿宋_GB2312" w:hAnsi="仿宋_GB2312" w:eastAsia="仿宋_GB2312" w:cs="仿宋_GB2312"/>
          <w:sz w:val="32"/>
          <w:szCs w:val="32"/>
        </w:rPr>
        <w:pict>
          <v:line id="直接连接符 3" o:spid="_x0000_s1029" o:spt="20" style="position:absolute;left:0pt;flip:y;margin-left:0.3pt;margin-top:31.15pt;height:0.15pt;width:444.5pt;z-index:251659264;mso-width-relative:page;mso-height-relative:page;" coordsize="21600,21600" o:gfxdata="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x0ysedMAAAAG&#10;AQAADwAAAAAAAAABACAAAAAiAAAAZHJzL2Rvd25yZXYueG1sUEsBAhQAFAAAAAgAh07iQKkeI9vo&#10;AQAAsQMAAA4AAAAAAAAAAQAgAAAAIgEAAGRycy9lMm9Eb2MueG1sUEsFBgAAAAAGAAYAWQEAAHwF&#10;AAAAAA==&#10;">
            <v:path arrowok="t"/>
            <v:fill focussize="0,0"/>
            <v:stroke/>
            <v:imagedata o:title=""/>
            <o:lock v:ext="edit"/>
          </v:line>
        </w:pict>
      </w:r>
      <w:r>
        <w:rPr>
          <w:rFonts w:ascii="仿宋_GB2312" w:hAnsi="仿宋_GB2312" w:eastAsia="仿宋_GB2312" w:cs="仿宋_GB2312"/>
          <w:sz w:val="32"/>
          <w:szCs w:val="32"/>
        </w:rPr>
        <w:pict>
          <v:line id="直接连接符 5" o:spid="_x0000_s1028" o:spt="20" style="position:absolute;left:0pt;margin-left:0.6pt;margin-top:1pt;height:0.45pt;width:443.9pt;z-index:251660288;mso-width-relative:page;mso-height-relative:page;" coordsize="21600,21600" o:gfxdata="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LNaM77SAAAABQEAAA8AAAAAAAAA&#10;AQAgAAAAIgAAAGRycy9kb3ducmV2LnhtbFBLAQIUABQAAAAIAIdO4kCqTxDF3gEAAKcDAAAOAAAA&#10;AAAAAAEAIAAAACEBAABkcnMvZTJvRG9jLnhtbFBLBQYAAAAABgAGAFkBAABxBQAAAAA=&#10;">
            <v:path arrowok="t"/>
            <v:fill focussize="0,0"/>
            <v:stroke/>
            <v:imagedata o:title=""/>
            <o:lock v:ext="edit"/>
          </v:line>
        </w:pict>
      </w:r>
      <w:r>
        <w:rPr>
          <w:rFonts w:hint="eastAsia" w:ascii="仿宋_GB2312" w:hAnsi="仿宋_GB2312" w:eastAsia="仿宋_GB2312" w:cs="仿宋_GB2312"/>
          <w:sz w:val="32"/>
          <w:szCs w:val="32"/>
        </w:rPr>
        <w:t>涞源县水利局</w:t>
      </w:r>
      <w:r>
        <w:rPr>
          <w:rFonts w:hint="eastAsia" w:ascii="仿宋_GB2312" w:hAnsi="仿宋_GB2312" w:eastAsia="仿宋_GB2312" w:cs="仿宋_GB2312"/>
          <w:sz w:val="32"/>
          <w:szCs w:val="32"/>
          <w:lang w:val="en-US" w:eastAsia="zh-CN"/>
        </w:rPr>
        <w:t>办</w:t>
      </w:r>
      <w:r>
        <w:rPr>
          <w:rFonts w:hint="eastAsia" w:ascii="仿宋_GB2312" w:hAnsi="仿宋_GB2312" w:eastAsia="仿宋_GB2312" w:cs="仿宋_GB2312"/>
          <w:sz w:val="32"/>
          <w:szCs w:val="32"/>
        </w:rPr>
        <w:t xml:space="preserve">                     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日印发</w:t>
      </w:r>
    </w:p>
    <w:p>
      <w:pPr>
        <w:pStyle w:val="7"/>
        <w:widowControl/>
        <w:spacing w:line="600" w:lineRule="exact"/>
        <w:rPr>
          <w:rFonts w:ascii="黑体" w:hAnsi="黑体" w:eastAsia="黑体" w:cstheme="minorEastAsia"/>
          <w:bCs/>
          <w:color w:val="000000"/>
          <w:sz w:val="32"/>
          <w:szCs w:val="32"/>
        </w:rPr>
      </w:pPr>
      <w:r>
        <w:rPr>
          <w:rFonts w:hint="eastAsia" w:ascii="黑体" w:hAnsi="黑体" w:eastAsia="黑体" w:cstheme="minorEastAsia"/>
          <w:bCs/>
          <w:color w:val="000000"/>
          <w:sz w:val="32"/>
          <w:szCs w:val="32"/>
        </w:rPr>
        <w:t>附件：</w:t>
      </w:r>
    </w:p>
    <w:p>
      <w:pPr>
        <w:pStyle w:val="7"/>
        <w:widowControl/>
        <w:spacing w:line="600" w:lineRule="exact"/>
        <w:jc w:val="center"/>
        <w:rPr>
          <w:rFonts w:ascii="黑体" w:hAnsi="黑体" w:eastAsia="黑体" w:cstheme="minorEastAsia"/>
          <w:bCs/>
          <w:color w:val="000000"/>
          <w:sz w:val="32"/>
          <w:szCs w:val="32"/>
        </w:rPr>
      </w:pPr>
      <w:r>
        <w:rPr>
          <w:rFonts w:hint="eastAsia" w:ascii="黑体" w:hAnsi="黑体" w:eastAsia="黑体" w:cstheme="minorEastAsia"/>
          <w:bCs/>
          <w:color w:val="000000"/>
          <w:sz w:val="32"/>
          <w:szCs w:val="32"/>
        </w:rPr>
        <w:t>涞源县水利局随机抽查市场监管执法事项清单(202</w:t>
      </w:r>
      <w:r>
        <w:rPr>
          <w:rFonts w:hint="eastAsia" w:ascii="黑体" w:hAnsi="黑体" w:eastAsia="黑体" w:cstheme="minorEastAsia"/>
          <w:bCs/>
          <w:color w:val="000000"/>
          <w:sz w:val="32"/>
          <w:szCs w:val="32"/>
          <w:lang w:val="en-US" w:eastAsia="zh-CN"/>
        </w:rPr>
        <w:t>3</w:t>
      </w:r>
      <w:r>
        <w:rPr>
          <w:rFonts w:hint="eastAsia" w:ascii="黑体" w:hAnsi="黑体" w:eastAsia="黑体" w:cstheme="minorEastAsia"/>
          <w:bCs/>
          <w:color w:val="000000"/>
          <w:sz w:val="32"/>
          <w:szCs w:val="32"/>
        </w:rPr>
        <w:t>年版）</w:t>
      </w:r>
    </w:p>
    <w:p>
      <w:pPr>
        <w:pStyle w:val="7"/>
        <w:widowControl/>
        <w:spacing w:line="600" w:lineRule="exact"/>
        <w:jc w:val="center"/>
        <w:rPr>
          <w:rFonts w:ascii="黑体" w:hAnsi="黑体" w:eastAsia="黑体" w:cstheme="minorEastAsia"/>
          <w:bCs/>
          <w:color w:val="000000"/>
          <w:sz w:val="32"/>
          <w:szCs w:val="32"/>
        </w:rPr>
      </w:pPr>
    </w:p>
    <w:tbl>
      <w:tblPr>
        <w:tblStyle w:val="8"/>
        <w:tblW w:w="14910" w:type="dxa"/>
        <w:tblInd w:w="95" w:type="dxa"/>
        <w:tblLayout w:type="autofit"/>
        <w:tblCellMar>
          <w:top w:w="0" w:type="dxa"/>
          <w:left w:w="108" w:type="dxa"/>
          <w:bottom w:w="0" w:type="dxa"/>
          <w:right w:w="108" w:type="dxa"/>
        </w:tblCellMar>
      </w:tblPr>
      <w:tblGrid>
        <w:gridCol w:w="555"/>
        <w:gridCol w:w="1018"/>
        <w:gridCol w:w="850"/>
        <w:gridCol w:w="1357"/>
        <w:gridCol w:w="1080"/>
        <w:gridCol w:w="2595"/>
        <w:gridCol w:w="780"/>
        <w:gridCol w:w="5040"/>
        <w:gridCol w:w="1080"/>
        <w:gridCol w:w="555"/>
      </w:tblGrid>
      <w:tr>
        <w:tblPrEx>
          <w:tblCellMar>
            <w:top w:w="0" w:type="dxa"/>
            <w:left w:w="108" w:type="dxa"/>
            <w:bottom w:w="0" w:type="dxa"/>
            <w:right w:w="108" w:type="dxa"/>
          </w:tblCellMar>
        </w:tblPrEx>
        <w:trPr>
          <w:trHeight w:val="84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序号</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检查</w:t>
            </w:r>
          </w:p>
          <w:p>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项目</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检查子项</w:t>
            </w: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事项类别</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检查</w:t>
            </w:r>
          </w:p>
          <w:p>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主体</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检查依据</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检查方式</w:t>
            </w:r>
          </w:p>
        </w:tc>
        <w:tc>
          <w:tcPr>
            <w:tcW w:w="50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检查内容</w:t>
            </w:r>
          </w:p>
        </w:tc>
        <w:tc>
          <w:tcPr>
            <w:tcW w:w="1080" w:type="dxa"/>
            <w:tcBorders>
              <w:top w:val="single" w:color="000000" w:sz="4" w:space="0"/>
              <w:left w:val="nil"/>
              <w:bottom w:val="single" w:color="000000" w:sz="4" w:space="0"/>
              <w:right w:val="single" w:color="000000" w:sz="4" w:space="0"/>
            </w:tcBorders>
            <w:shd w:val="clear" w:color="auto" w:fill="auto"/>
            <w:vAlign w:val="center"/>
          </w:tcPr>
          <w:p>
            <w:pPr>
              <w:widowControl/>
              <w:jc w:val="center"/>
              <w:rPr>
                <w:rFonts w:ascii="黑体" w:hAnsi="黑体" w:eastAsia="黑体" w:cs="宋体"/>
                <w:color w:val="000000"/>
                <w:kern w:val="0"/>
                <w:sz w:val="16"/>
                <w:szCs w:val="16"/>
              </w:rPr>
            </w:pPr>
            <w:r>
              <w:rPr>
                <w:rFonts w:hint="eastAsia" w:ascii="黑体" w:hAnsi="黑体" w:eastAsia="黑体" w:cs="宋体"/>
                <w:color w:val="000000"/>
                <w:kern w:val="0"/>
                <w:sz w:val="16"/>
                <w:szCs w:val="16"/>
              </w:rPr>
              <w:t>是否适用跨部门联合“双随机”抽查</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备注</w:t>
            </w:r>
          </w:p>
        </w:tc>
      </w:tr>
      <w:tr>
        <w:tblPrEx>
          <w:tblCellMar>
            <w:top w:w="0" w:type="dxa"/>
            <w:left w:w="108" w:type="dxa"/>
            <w:bottom w:w="0" w:type="dxa"/>
            <w:right w:w="108" w:type="dxa"/>
          </w:tblCellMar>
        </w:tblPrEx>
        <w:trPr>
          <w:trHeight w:val="1188"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1</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仿宋" w:hAnsi="仿宋" w:eastAsia="仿宋" w:cs="仿宋"/>
                <w:color w:val="000000"/>
                <w:kern w:val="0"/>
                <w:sz w:val="20"/>
                <w:szCs w:val="20"/>
              </w:rPr>
            </w:pPr>
            <w:r>
              <w:rPr>
                <w:rFonts w:hint="eastAsia" w:ascii="仿宋" w:hAnsi="仿宋" w:eastAsia="仿宋" w:cs="仿宋"/>
                <w:i w:val="0"/>
                <w:iCs w:val="0"/>
                <w:color w:val="000000"/>
                <w:kern w:val="0"/>
                <w:sz w:val="20"/>
                <w:szCs w:val="20"/>
                <w:u w:val="none"/>
                <w:lang w:val="en-US" w:eastAsia="zh-CN" w:bidi="ar"/>
              </w:rPr>
              <w:t>对单位/个人取用水行为的随机抽查</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r>
              <w:rPr>
                <w:rFonts w:hint="eastAsia" w:ascii="仿宋" w:hAnsi="仿宋" w:eastAsia="仿宋" w:cs="仿宋"/>
                <w:i w:val="0"/>
                <w:iCs w:val="0"/>
                <w:color w:val="000000"/>
                <w:kern w:val="0"/>
                <w:sz w:val="20"/>
                <w:szCs w:val="20"/>
                <w:u w:val="none"/>
                <w:lang w:val="en-US" w:eastAsia="zh-CN" w:bidi="ar"/>
              </w:rPr>
              <w:t>一般检查事项</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涞源县水利局</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仿宋" w:hAnsi="仿宋" w:eastAsia="仿宋" w:cs="仿宋"/>
                <w:color w:val="000000"/>
                <w:kern w:val="0"/>
                <w:sz w:val="20"/>
                <w:szCs w:val="20"/>
              </w:rPr>
            </w:pPr>
            <w:r>
              <w:rPr>
                <w:rFonts w:hint="eastAsia" w:ascii="仿宋" w:hAnsi="仿宋" w:eastAsia="仿宋" w:cs="仿宋"/>
                <w:i w:val="0"/>
                <w:iCs w:val="0"/>
                <w:color w:val="000000"/>
                <w:kern w:val="0"/>
                <w:sz w:val="20"/>
                <w:szCs w:val="20"/>
                <w:u w:val="none"/>
                <w:lang w:val="en-US" w:eastAsia="zh-CN" w:bidi="ar"/>
              </w:rPr>
              <w:t>《取水许可和水资源费征收管理条例》第三十八条第一款。</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lang w:eastAsia="zh-CN"/>
              </w:rPr>
              <w:t>抽查及专项检查</w:t>
            </w:r>
          </w:p>
        </w:tc>
        <w:tc>
          <w:tcPr>
            <w:tcW w:w="50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r>
              <w:rPr>
                <w:rFonts w:hint="eastAsia" w:ascii="仿宋" w:hAnsi="仿宋" w:eastAsia="仿宋" w:cs="仿宋"/>
                <w:i w:val="0"/>
                <w:iCs w:val="0"/>
                <w:color w:val="000000"/>
                <w:kern w:val="0"/>
                <w:sz w:val="20"/>
                <w:szCs w:val="20"/>
                <w:u w:val="none"/>
                <w:lang w:val="en-US" w:eastAsia="zh-CN" w:bidi="ar"/>
              </w:rPr>
              <w:t>取水活动是否与取水许可批复内容一致。</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lang w:eastAsia="zh-CN"/>
              </w:rPr>
            </w:pPr>
            <w:r>
              <w:rPr>
                <w:rFonts w:hint="eastAsia" w:ascii="仿宋" w:hAnsi="仿宋" w:eastAsia="仿宋" w:cs="仿宋"/>
                <w:color w:val="000000"/>
                <w:kern w:val="0"/>
                <w:sz w:val="20"/>
                <w:szCs w:val="20"/>
                <w:lang w:eastAsia="zh-CN"/>
              </w:rPr>
              <w:t>否</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p>
        </w:tc>
      </w:tr>
      <w:tr>
        <w:tblPrEx>
          <w:tblCellMar>
            <w:top w:w="0" w:type="dxa"/>
            <w:left w:w="108" w:type="dxa"/>
            <w:bottom w:w="0" w:type="dxa"/>
            <w:right w:w="108" w:type="dxa"/>
          </w:tblCellMar>
        </w:tblPrEx>
        <w:trPr>
          <w:trHeight w:val="3902"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2</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生产建设项目水土保持审批的后续监管</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一般检查事项</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涞源县水利局</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《中华人民共和国水土保持法》（1991年6月29日颁布，2010年12月25日主席令第39号修订）第二十九条、第四十三条；《河北省实施&lt;中华人民共和国水土保持法&gt;办法》（1993年 12月 27日省人大颁布，2014年5月30日省人大第25号公告修订）第二十三条、第三十八条。</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现场检查、书面检查</w:t>
            </w:r>
          </w:p>
        </w:tc>
        <w:tc>
          <w:tcPr>
            <w:tcW w:w="50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后续设计是否将方案确定的水土流失防治责任、措施及投资纳入主体工程；生产建设项目施工过程中，生产建设单位是否按方案落实各项水土流失防治措施；生产建设单位是否按方案要求履行水土保持监测、水土保持补偿费缴纳等相关水土保持责任；生产建设项目建成后，在投入运行前生产建设单位是否及时验收水土保持设施；生产建设项目的地点、规模、建设内容等发生重大变化的，或水土保持方案实施过程中，水土保持措施需要作出重大变更的，生产建设单位是否依法履行变更手续；生产建设单位是否存在不落实水土保持措施或向水土保持方案确定的专门存放地以外的区域倾倒砂、石、土、矸石、尾矿、废渣等违法行为。</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否</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p>
        </w:tc>
      </w:tr>
      <w:tr>
        <w:tblPrEx>
          <w:tblCellMar>
            <w:top w:w="0" w:type="dxa"/>
            <w:left w:w="108" w:type="dxa"/>
            <w:bottom w:w="0" w:type="dxa"/>
            <w:right w:w="108" w:type="dxa"/>
          </w:tblCellMar>
        </w:tblPrEx>
        <w:trPr>
          <w:trHeight w:val="3902"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3</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国家水土保持重点工程建设监督检查</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重点检查事项</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涞源县水利局</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color w:val="000000"/>
                <w:kern w:val="0"/>
                <w:sz w:val="20"/>
                <w:szCs w:val="20"/>
              </w:rPr>
            </w:pPr>
            <w:r>
              <w:rPr>
                <w:rFonts w:hint="eastAsia" w:ascii="仿宋" w:hAnsi="仿宋" w:eastAsia="仿宋" w:cs="仿宋"/>
                <w:i w:val="0"/>
                <w:iCs w:val="0"/>
                <w:color w:val="000000"/>
                <w:kern w:val="0"/>
                <w:sz w:val="20"/>
                <w:szCs w:val="20"/>
                <w:u w:val="none"/>
                <w:lang w:val="en-US" w:eastAsia="zh-CN" w:bidi="ar"/>
              </w:rPr>
              <w:t>《中华人民共和国水土保持法》第四十三条；水利部《中央财政水利发展资金水土保持工程建设管理办法》；《水土保持工程监督检查办法（试行）》。</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r>
              <w:rPr>
                <w:rFonts w:hint="eastAsia" w:ascii="仿宋" w:hAnsi="仿宋" w:eastAsia="仿宋" w:cs="仿宋"/>
                <w:i w:val="0"/>
                <w:iCs w:val="0"/>
                <w:color w:val="000000"/>
                <w:kern w:val="0"/>
                <w:sz w:val="20"/>
                <w:szCs w:val="20"/>
                <w:u w:val="none"/>
                <w:lang w:val="en-US" w:eastAsia="zh-CN" w:bidi="ar"/>
              </w:rPr>
              <w:t>现场检查、书面检查</w:t>
            </w:r>
          </w:p>
        </w:tc>
        <w:tc>
          <w:tcPr>
            <w:tcW w:w="50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前期工作、计划和资金管理、建设管理、工程质量和安全以及工程验收等。</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lang w:eastAsia="zh-CN"/>
              </w:rPr>
            </w:pPr>
            <w:r>
              <w:rPr>
                <w:rFonts w:hint="eastAsia" w:ascii="仿宋" w:hAnsi="仿宋" w:eastAsia="仿宋" w:cs="仿宋"/>
                <w:color w:val="000000"/>
                <w:kern w:val="0"/>
                <w:sz w:val="20"/>
                <w:szCs w:val="20"/>
                <w:lang w:eastAsia="zh-CN"/>
              </w:rPr>
              <w:t>是</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p>
        </w:tc>
      </w:tr>
      <w:tr>
        <w:tblPrEx>
          <w:tblCellMar>
            <w:top w:w="0" w:type="dxa"/>
            <w:left w:w="108" w:type="dxa"/>
            <w:bottom w:w="0" w:type="dxa"/>
            <w:right w:w="108" w:type="dxa"/>
          </w:tblCellMar>
        </w:tblPrEx>
        <w:trPr>
          <w:trHeight w:val="3902"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4</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水利风景区管理情况检查</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一般检查事项</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lang w:val="en-US" w:eastAsia="zh-CN" w:bidi="ar-SA"/>
              </w:rPr>
            </w:pPr>
            <w:r>
              <w:rPr>
                <w:rFonts w:hint="eastAsia" w:ascii="仿宋" w:hAnsi="仿宋" w:eastAsia="仿宋" w:cs="仿宋"/>
                <w:color w:val="000000"/>
                <w:kern w:val="0"/>
                <w:sz w:val="20"/>
                <w:szCs w:val="20"/>
              </w:rPr>
              <w:t>涞源县水利局</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《水利风景区管理办法》第四条。</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lang w:eastAsia="zh-CN"/>
              </w:rPr>
            </w:pPr>
            <w:r>
              <w:rPr>
                <w:rFonts w:hint="eastAsia" w:ascii="仿宋" w:hAnsi="仿宋" w:eastAsia="仿宋" w:cs="仿宋"/>
                <w:color w:val="000000"/>
                <w:kern w:val="0"/>
                <w:sz w:val="20"/>
                <w:szCs w:val="20"/>
                <w:lang w:eastAsia="zh-CN"/>
              </w:rPr>
              <w:t>抽查</w:t>
            </w:r>
          </w:p>
        </w:tc>
        <w:tc>
          <w:tcPr>
            <w:tcW w:w="50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景区建设管理情况；工程主体功能发挥情况；水质变化情况；安全隐患情况。</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否</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p>
        </w:tc>
      </w:tr>
      <w:tr>
        <w:tblPrEx>
          <w:tblCellMar>
            <w:top w:w="0" w:type="dxa"/>
            <w:left w:w="108" w:type="dxa"/>
            <w:bottom w:w="0" w:type="dxa"/>
            <w:right w:w="108" w:type="dxa"/>
          </w:tblCellMar>
        </w:tblPrEx>
        <w:trPr>
          <w:trHeight w:val="3902"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5</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河道采砂管理监督检查</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color w:val="000000"/>
                <w:kern w:val="0"/>
                <w:sz w:val="20"/>
                <w:szCs w:val="20"/>
              </w:rPr>
              <w:t>一般检查事项</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涞源县水利局</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河北省河道采砂管理规定》第三条、第二十八条；《河北省河湖保护和治理条例》第三十三条、第三十四条；《水利部关于河道采砂管理工作的指导意见关于河道采砂管理工作的指导意见》；《河北省人民政府办公厅关于印发加强河道采砂管理工作方案的通知》。</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抽查及专项检查</w:t>
            </w:r>
          </w:p>
        </w:tc>
        <w:tc>
          <w:tcPr>
            <w:tcW w:w="50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是否编制河道采砂与整治规划并经当地政府批准；是否按河道采砂规划进行采砂许可；是否开展定期和不定期检查，对检查中发现的问题是否按有关法律法规及时提出处理意见并处理；是否落实河道采砂管理责任人；采砂现场是否落实旁站式监理、视频监控、进出场计量、采砂统计报告、砂石采运管理单等制度；河道内有无未经批准的非法采砂和不按批准的采砂作业方式和范围采砂行为；检查采砂单位是否按照《河道采砂与整治年度实施方案》要求进行河道整治，是否在汛前将采砂机械设备撤出河道管理范围；堆砂场设置是否符合要求，是否存在河道采砂弃碴乱堆放情况；投诉、举报的问题是否及时处理。</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lang w:eastAsia="zh-CN"/>
              </w:rPr>
            </w:pPr>
            <w:r>
              <w:rPr>
                <w:rFonts w:hint="eastAsia" w:ascii="仿宋" w:hAnsi="仿宋" w:eastAsia="仿宋" w:cs="仿宋"/>
                <w:color w:val="000000"/>
                <w:kern w:val="0"/>
                <w:sz w:val="20"/>
                <w:szCs w:val="20"/>
                <w:lang w:eastAsia="zh-CN"/>
              </w:rPr>
              <w:t>是</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p>
        </w:tc>
      </w:tr>
      <w:tr>
        <w:tblPrEx>
          <w:tblCellMar>
            <w:top w:w="0" w:type="dxa"/>
            <w:left w:w="108" w:type="dxa"/>
            <w:bottom w:w="0" w:type="dxa"/>
            <w:right w:w="108" w:type="dxa"/>
          </w:tblCellMar>
        </w:tblPrEx>
        <w:trPr>
          <w:trHeight w:val="3902"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6</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color w:val="000000"/>
                <w:sz w:val="20"/>
                <w:szCs w:val="20"/>
              </w:rPr>
              <w:t>水利工程招投标监督</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一般检查事项</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涞源县水利局</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《中华人民共和国招标投标法》第七条、第十六条、第三十二条、第四十五条、第四十六条、第四十七条、第五十一至第六十四条。</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抽查</w:t>
            </w:r>
          </w:p>
        </w:tc>
        <w:tc>
          <w:tcPr>
            <w:tcW w:w="50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2"/>
                <w:sz w:val="18"/>
                <w:szCs w:val="18"/>
                <w:u w:val="none"/>
                <w:lang w:val="en-US" w:eastAsia="zh-CN" w:bidi="ar-SA"/>
              </w:rPr>
            </w:pPr>
            <w:r>
              <w:rPr>
                <w:rFonts w:hint="eastAsia" w:ascii="仿宋" w:hAnsi="仿宋" w:eastAsia="仿宋" w:cs="仿宋"/>
                <w:i w:val="0"/>
                <w:iCs w:val="0"/>
                <w:color w:val="000000"/>
                <w:kern w:val="0"/>
                <w:sz w:val="20"/>
                <w:szCs w:val="20"/>
                <w:u w:val="none"/>
                <w:lang w:val="en-US" w:eastAsia="zh-CN" w:bidi="ar"/>
              </w:rPr>
              <w:t>招标核准办理的检查:检查项目招标之前是否按要求办理了招标核准，核准内容是否有重大偏差；招标公告发布情况的检查：检查项目招标公告是否在指定媒介发布，公告内容是否与核准内容相符；开标、评标过程的检查：检查项目在开、评标过程是否依法依规，是否在公共资源交易平台进行交易；中标公示情况的检查：检查中标候选人是否在法定媒介公示，公示期是否满足要求；招标结果备案情况的检查：检查招标结果是否在规定的时限内上报监管部门备案；</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确定中标人及合同签订情况的检查：检查确定中标人及过程是否依法依规，合同签订是否规范；招标过程中招标人、投标人及监督人行为的合法性检查；检查在招标过程中招标人、投标人及监督人的行为是否依法依规，是否存在虚假招标、围标串标以及监督失职的行为。</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否</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p>
        </w:tc>
      </w:tr>
      <w:tr>
        <w:tblPrEx>
          <w:tblCellMar>
            <w:top w:w="0" w:type="dxa"/>
            <w:left w:w="108" w:type="dxa"/>
            <w:bottom w:w="0" w:type="dxa"/>
            <w:right w:w="108" w:type="dxa"/>
          </w:tblCellMar>
        </w:tblPrEx>
        <w:trPr>
          <w:trHeight w:val="3902"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7</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大坝管理和保护范围内修建码头、渔塘许可后续监管</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400" w:hanging="400" w:hangingChars="20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一般检查事项</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200" w:hanging="200" w:hangingChars="10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color w:val="000000"/>
                <w:kern w:val="0"/>
                <w:sz w:val="20"/>
                <w:szCs w:val="20"/>
              </w:rPr>
              <w:t>涞源县水利局</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《水库大坝安全管理条例》第三条、第十七条。</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抽查</w:t>
            </w:r>
          </w:p>
        </w:tc>
        <w:tc>
          <w:tcPr>
            <w:tcW w:w="50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修建项目方案是否与批复文件一致；对大坝安全、工程管理和抢险工作是否有影响。</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否</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p>
        </w:tc>
      </w:tr>
      <w:tr>
        <w:tblPrEx>
          <w:tblCellMar>
            <w:top w:w="0" w:type="dxa"/>
            <w:left w:w="108" w:type="dxa"/>
            <w:bottom w:w="0" w:type="dxa"/>
            <w:right w:w="108" w:type="dxa"/>
          </w:tblCellMar>
        </w:tblPrEx>
        <w:trPr>
          <w:trHeight w:val="3902"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8</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取水许可制度实施的监督检查</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重点检查事项</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涞源县水利局</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《取水许可和水资源费征收管理条例》第三十八条第一款。</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抽查及专项检查</w:t>
            </w:r>
          </w:p>
        </w:tc>
        <w:tc>
          <w:tcPr>
            <w:tcW w:w="50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县级以上水行政主管部门开展监督检查情况，对监督检查中发现的问题组织整改情况。</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否</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p>
        </w:tc>
      </w:tr>
      <w:tr>
        <w:tblPrEx>
          <w:tblCellMar>
            <w:top w:w="0" w:type="dxa"/>
            <w:left w:w="108" w:type="dxa"/>
            <w:bottom w:w="0" w:type="dxa"/>
            <w:right w:w="108" w:type="dxa"/>
          </w:tblCellMar>
        </w:tblPrEx>
        <w:trPr>
          <w:trHeight w:val="3902"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9</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水工程建设规划同意书审核监督检查</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一般检查事项</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涞源县水利局</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《水工程建设规划同意书制度管理办法（试行）》第十四条；《中华人民共和国防洪法》第十七条、第五十三条。</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抽查及专项检查</w:t>
            </w:r>
          </w:p>
        </w:tc>
        <w:tc>
          <w:tcPr>
            <w:tcW w:w="50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未经水行政主管部门批准的水工程项目，开工建设前是否按要求编制水工程建设规划同意书；水工程的施工建设是否符合规划同意书批复的内容和要求；是否有其他违反规划同意书批复内容的行为。</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否</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p>
        </w:tc>
      </w:tr>
      <w:tr>
        <w:tblPrEx>
          <w:tblCellMar>
            <w:top w:w="0" w:type="dxa"/>
            <w:left w:w="108" w:type="dxa"/>
            <w:bottom w:w="0" w:type="dxa"/>
            <w:right w:w="108" w:type="dxa"/>
          </w:tblCellMar>
        </w:tblPrEx>
        <w:trPr>
          <w:trHeight w:val="3902"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lang w:val="en-US" w:eastAsia="zh-CN"/>
              </w:rPr>
            </w:pPr>
          </w:p>
          <w:p>
            <w:pPr>
              <w:bidi w:val="0"/>
              <w:rPr>
                <w:rFonts w:hint="eastAsia" w:ascii="仿宋" w:hAnsi="仿宋" w:eastAsia="仿宋" w:cs="仿宋"/>
                <w:kern w:val="2"/>
                <w:sz w:val="20"/>
                <w:szCs w:val="20"/>
                <w:lang w:val="en-US" w:eastAsia="zh-CN" w:bidi="ar-SA"/>
              </w:rPr>
            </w:pPr>
          </w:p>
          <w:p>
            <w:pPr>
              <w:bidi w:val="0"/>
              <w:jc w:val="center"/>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10</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水利基建项目的监督检查</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重点检查事项</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color w:val="000000"/>
                <w:kern w:val="0"/>
                <w:sz w:val="20"/>
                <w:szCs w:val="20"/>
                <w:lang w:eastAsia="zh-CN"/>
              </w:rPr>
            </w:pPr>
            <w:r>
              <w:rPr>
                <w:rFonts w:hint="eastAsia" w:ascii="仿宋" w:hAnsi="仿宋" w:eastAsia="仿宋" w:cs="仿宋"/>
                <w:color w:val="000000"/>
                <w:kern w:val="0"/>
                <w:sz w:val="20"/>
                <w:szCs w:val="20"/>
                <w:lang w:eastAsia="zh-CN"/>
              </w:rPr>
              <w:t>涞源县水利局</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水利工程建设项目管理规定（试行）》第八条；《水利工程建设监理规定》第二十一条；《水利工程建设安全生产管理规定》第二十九条；《水利工程质量管理规定》第五条；《水利工程建设项目验收管理规定》第十条。</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抽查及专项检查</w:t>
            </w:r>
          </w:p>
        </w:tc>
        <w:tc>
          <w:tcPr>
            <w:tcW w:w="50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监督检查下级水行政主管部门和工程项目法人、质量与安全监督、设计、监理、施工、质量检测等单位是否根据法律法规、规程规范、强制性条文及批准的设计文件开展相关工作，各市场主体是否按约履职尽责，确保工程建设项目质量、安全和工期。</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否</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p>
        </w:tc>
      </w:tr>
      <w:tr>
        <w:tblPrEx>
          <w:tblCellMar>
            <w:top w:w="0" w:type="dxa"/>
            <w:left w:w="108" w:type="dxa"/>
            <w:bottom w:w="0" w:type="dxa"/>
            <w:right w:w="108" w:type="dxa"/>
          </w:tblCellMar>
        </w:tblPrEx>
        <w:trPr>
          <w:trHeight w:val="3902"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11</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坝顶兼做公路检查</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重点检查事项</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lang w:eastAsia="zh-CN"/>
              </w:rPr>
              <w:t>涞源县水利局</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《水库大坝安全管理条例》第三条、第十六条、第二十二条。</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抽查</w:t>
            </w:r>
          </w:p>
        </w:tc>
        <w:tc>
          <w:tcPr>
            <w:tcW w:w="50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检查按照相关法律法规、技术标准开展的前期设计工作，水库大坝（含副坝）坝顶兼做公路等级、设计荷载及通行要求，安全论证报告备案；检查水库大坝（含副坝）坝顶兼做公路车辆限载、限速、限宽等安全警示标志设立；检查水库大坝（含副坝）坝顶兼做公路视频监控、照明系统、安全护栏等配套设施；检查水库大坝（含副坝）坝顶兼做公路安全管理制度、应急预案和安全防护措施等；检查水库大坝（含副坝）坝顶兼做公路水利工程的安全监测和巡视检查、定期开展水库大坝安全鉴定情况。</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否</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p>
        </w:tc>
      </w:tr>
      <w:tr>
        <w:tblPrEx>
          <w:tblCellMar>
            <w:top w:w="0" w:type="dxa"/>
            <w:left w:w="108" w:type="dxa"/>
            <w:bottom w:w="0" w:type="dxa"/>
            <w:right w:w="108" w:type="dxa"/>
          </w:tblCellMar>
        </w:tblPrEx>
        <w:trPr>
          <w:trHeight w:val="3902"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default"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12</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利用堤顶、戗台兼做公路检查</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重点检查事项</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color w:val="000000"/>
                <w:kern w:val="0"/>
                <w:sz w:val="20"/>
                <w:szCs w:val="20"/>
                <w:lang w:eastAsia="zh-CN"/>
              </w:rPr>
            </w:pPr>
            <w:r>
              <w:rPr>
                <w:rFonts w:hint="eastAsia" w:ascii="仿宋" w:hAnsi="仿宋" w:eastAsia="仿宋" w:cs="仿宋"/>
                <w:color w:val="000000"/>
                <w:kern w:val="0"/>
                <w:sz w:val="20"/>
                <w:szCs w:val="20"/>
                <w:lang w:eastAsia="zh-CN"/>
              </w:rPr>
              <w:t>涞源县水利局</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《中华人民共和国河道管理条例》第十五条。</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抽查</w:t>
            </w:r>
          </w:p>
        </w:tc>
        <w:tc>
          <w:tcPr>
            <w:tcW w:w="50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检查按照相关法律法规、技术标准开展的前期设计工作，堤顶、戗台兼做公路等级、设计荷载及通行要求，安全论证报告备案；检查堤顶、戗台兼做公路车辆限载、限速、限宽等安全警示标志设立；检查堤顶、戗台兼做公路视频监控、照明系统、安全护栏等配套设施；检查堤顶、戗台兼做公路安全管理制度、应急预案和安全防护措施等；检查堤顶、戗台兼做公路水利工程的安全监测和巡视检查、定期开展河道堤防安全状况评估情况。</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否</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hint="eastAsia" w:ascii="仿宋" w:hAnsi="仿宋" w:eastAsia="仿宋" w:cs="仿宋"/>
                <w:color w:val="000000"/>
                <w:kern w:val="0"/>
                <w:sz w:val="20"/>
                <w:szCs w:val="20"/>
              </w:rPr>
            </w:pPr>
          </w:p>
        </w:tc>
      </w:tr>
    </w:tbl>
    <w:p>
      <w:pPr>
        <w:pStyle w:val="7"/>
        <w:widowControl/>
        <w:spacing w:line="600" w:lineRule="exact"/>
        <w:jc w:val="left"/>
        <w:rPr>
          <w:rFonts w:hint="eastAsia" w:ascii="仿宋" w:hAnsi="仿宋" w:eastAsia="仿宋" w:cs="仿宋"/>
          <w:bCs/>
          <w:color w:val="000000"/>
          <w:sz w:val="20"/>
          <w:szCs w:val="20"/>
        </w:rPr>
      </w:pPr>
    </w:p>
    <w:sectPr>
      <w:pgSz w:w="16838" w:h="11906" w:orient="landscape"/>
      <w:pgMar w:top="1531" w:right="1531" w:bottom="1531"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82565891"/>
    </w:sdtPr>
    <w:sdtContent>
      <w:p>
        <w:pPr>
          <w:pStyle w:val="4"/>
          <w:jc w:val="center"/>
        </w:pPr>
        <w:r>
          <w:fldChar w:fldCharType="begin"/>
        </w:r>
        <w:r>
          <w:instrText xml:space="preserve"> PAGE   \* MERGEFORMAT </w:instrText>
        </w:r>
        <w:r>
          <w:fldChar w:fldCharType="separate"/>
        </w:r>
        <w:r>
          <w:rPr>
            <w:lang w:val="zh-CN"/>
          </w:rPr>
          <w:t>2</w:t>
        </w:r>
        <w:r>
          <w:rPr>
            <w:lang w:val="zh-CN"/>
          </w:rPr>
          <w:fldChar w:fldCharType="end"/>
        </w:r>
      </w:p>
    </w:sdtContent>
  </w:sdt>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GFjOGQwYzk1MzBjYWQzYmFlMzkyZWYyMmVlOWIwNWMifQ=="/>
  </w:docVars>
  <w:rsids>
    <w:rsidRoot w:val="00172A27"/>
    <w:rsid w:val="000D416C"/>
    <w:rsid w:val="001430E8"/>
    <w:rsid w:val="001E34F7"/>
    <w:rsid w:val="002061F3"/>
    <w:rsid w:val="00356461"/>
    <w:rsid w:val="00476122"/>
    <w:rsid w:val="004D294E"/>
    <w:rsid w:val="005B4F22"/>
    <w:rsid w:val="00622798"/>
    <w:rsid w:val="006A264A"/>
    <w:rsid w:val="0082107B"/>
    <w:rsid w:val="00910893"/>
    <w:rsid w:val="00995AFF"/>
    <w:rsid w:val="00A42EFA"/>
    <w:rsid w:val="00A56055"/>
    <w:rsid w:val="00A7036D"/>
    <w:rsid w:val="00AD4CB4"/>
    <w:rsid w:val="00AE60B8"/>
    <w:rsid w:val="00AE697E"/>
    <w:rsid w:val="00BE333A"/>
    <w:rsid w:val="00C82AC1"/>
    <w:rsid w:val="00C96B0D"/>
    <w:rsid w:val="00CC2C92"/>
    <w:rsid w:val="00D327AB"/>
    <w:rsid w:val="00D70084"/>
    <w:rsid w:val="00D867F7"/>
    <w:rsid w:val="00DA4DAC"/>
    <w:rsid w:val="00DB27C5"/>
    <w:rsid w:val="00DB4D8D"/>
    <w:rsid w:val="00DF309C"/>
    <w:rsid w:val="00DF6792"/>
    <w:rsid w:val="00EA55C9"/>
    <w:rsid w:val="00ED2D94"/>
    <w:rsid w:val="00F00E3A"/>
    <w:rsid w:val="00F05DC1"/>
    <w:rsid w:val="00F14A62"/>
    <w:rsid w:val="00F30651"/>
    <w:rsid w:val="00F64F0C"/>
    <w:rsid w:val="00FC51A0"/>
    <w:rsid w:val="00FC6137"/>
    <w:rsid w:val="06C2113B"/>
    <w:rsid w:val="074E0CA0"/>
    <w:rsid w:val="09175C96"/>
    <w:rsid w:val="0983714B"/>
    <w:rsid w:val="0B081C43"/>
    <w:rsid w:val="0C7E602C"/>
    <w:rsid w:val="0CA0004D"/>
    <w:rsid w:val="0E356B7C"/>
    <w:rsid w:val="13C62793"/>
    <w:rsid w:val="14F11A91"/>
    <w:rsid w:val="17E15861"/>
    <w:rsid w:val="186A0851"/>
    <w:rsid w:val="195444EE"/>
    <w:rsid w:val="1E4363CF"/>
    <w:rsid w:val="23902475"/>
    <w:rsid w:val="2CBC3918"/>
    <w:rsid w:val="2FE51D9B"/>
    <w:rsid w:val="31871872"/>
    <w:rsid w:val="32130D04"/>
    <w:rsid w:val="32AE0B6A"/>
    <w:rsid w:val="3321133C"/>
    <w:rsid w:val="34584AD9"/>
    <w:rsid w:val="459B4CA3"/>
    <w:rsid w:val="467C678C"/>
    <w:rsid w:val="4C1E07C0"/>
    <w:rsid w:val="4E5C4F7C"/>
    <w:rsid w:val="563A4E7A"/>
    <w:rsid w:val="587F4A06"/>
    <w:rsid w:val="611A05CE"/>
    <w:rsid w:val="68166F41"/>
    <w:rsid w:val="6848574E"/>
    <w:rsid w:val="68DA5ED1"/>
    <w:rsid w:val="6AED41DD"/>
    <w:rsid w:val="6DE5298B"/>
    <w:rsid w:val="6F7A4BEA"/>
    <w:rsid w:val="707A3481"/>
    <w:rsid w:val="76852410"/>
    <w:rsid w:val="79510F4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14"/>
    <w:qFormat/>
    <w:uiPriority w:val="0"/>
    <w:pPr>
      <w:spacing w:after="120"/>
    </w:pPr>
    <w:rPr>
      <w:rFonts w:ascii="Calibri" w:hAnsi="Calibri" w:eastAsia="宋体" w:cs="Times New Roman"/>
      <w:sz w:val="28"/>
      <w:szCs w:val="28"/>
    </w:rPr>
  </w:style>
  <w:style w:type="paragraph" w:styleId="3">
    <w:name w:val="Date"/>
    <w:basedOn w:val="1"/>
    <w:next w:val="1"/>
    <w:link w:val="13"/>
    <w:qFormat/>
    <w:uiPriority w:val="0"/>
    <w:pPr>
      <w:ind w:left="100" w:leftChars="2500"/>
    </w:p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6">
    <w:name w:val="toc 2"/>
    <w:basedOn w:val="1"/>
    <w:next w:val="1"/>
    <w:qFormat/>
    <w:uiPriority w:val="0"/>
    <w:pPr>
      <w:ind w:left="420" w:leftChars="200"/>
    </w:pPr>
  </w:style>
  <w:style w:type="paragraph" w:styleId="7">
    <w:name w:val="Normal (Web)"/>
    <w:basedOn w:val="1"/>
    <w:qFormat/>
    <w:uiPriority w:val="99"/>
    <w:rPr>
      <w:sz w:val="24"/>
    </w:rPr>
  </w:style>
  <w:style w:type="character" w:styleId="10">
    <w:name w:val="Strong"/>
    <w:basedOn w:val="9"/>
    <w:qFormat/>
    <w:uiPriority w:val="22"/>
    <w:rPr>
      <w:b/>
      <w:bCs/>
    </w:rPr>
  </w:style>
  <w:style w:type="character" w:customStyle="1" w:styleId="11">
    <w:name w:val="页眉 Char"/>
    <w:basedOn w:val="9"/>
    <w:link w:val="5"/>
    <w:qFormat/>
    <w:uiPriority w:val="0"/>
    <w:rPr>
      <w:rFonts w:asciiTheme="minorHAnsi" w:hAnsiTheme="minorHAnsi" w:eastAsiaTheme="minorEastAsia" w:cstheme="minorBidi"/>
      <w:kern w:val="2"/>
      <w:sz w:val="18"/>
      <w:szCs w:val="18"/>
    </w:rPr>
  </w:style>
  <w:style w:type="character" w:customStyle="1" w:styleId="12">
    <w:name w:val="页脚 Char"/>
    <w:basedOn w:val="9"/>
    <w:link w:val="4"/>
    <w:qFormat/>
    <w:uiPriority w:val="99"/>
    <w:rPr>
      <w:rFonts w:asciiTheme="minorHAnsi" w:hAnsiTheme="minorHAnsi" w:eastAsiaTheme="minorEastAsia" w:cstheme="minorBidi"/>
      <w:kern w:val="2"/>
      <w:sz w:val="18"/>
      <w:szCs w:val="18"/>
    </w:rPr>
  </w:style>
  <w:style w:type="character" w:customStyle="1" w:styleId="13">
    <w:name w:val="日期 Char"/>
    <w:basedOn w:val="9"/>
    <w:link w:val="3"/>
    <w:qFormat/>
    <w:uiPriority w:val="0"/>
    <w:rPr>
      <w:rFonts w:asciiTheme="minorHAnsi" w:hAnsiTheme="minorHAnsi" w:eastAsiaTheme="minorEastAsia" w:cstheme="minorBidi"/>
      <w:kern w:val="2"/>
      <w:sz w:val="21"/>
      <w:szCs w:val="24"/>
    </w:rPr>
  </w:style>
  <w:style w:type="character" w:customStyle="1" w:styleId="14">
    <w:name w:val="正文文本 Char"/>
    <w:basedOn w:val="9"/>
    <w:link w:val="2"/>
    <w:qFormat/>
    <w:uiPriority w:val="0"/>
    <w:rPr>
      <w:rFonts w:ascii="Calibri" w:hAnsi="Calibri"/>
      <w:kern w:val="2"/>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9"/>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2898</Words>
  <Characters>2941</Characters>
  <Lines>6</Lines>
  <Paragraphs>1</Paragraphs>
  <TotalTime>0</TotalTime>
  <ScaleCrop>false</ScaleCrop>
  <LinksUpToDate>false</LinksUpToDate>
  <CharactersWithSpaces>2998</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2020-04-09T03:36:00Z</dcterms:created>
  <dc:creator>Administrator</dc:creator>
  <cp:lastModifiedBy>Administrator</cp:lastModifiedBy>
  <cp:lastPrinted>2020-04-23T09:04:00Z</cp:lastPrinted>
  <dcterms:modified xsi:type="dcterms:W3CDTF">2023-02-28T08:00:59Z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387E74DE6387496B87A9BF399268B270</vt:lpwstr>
  </property>
</Properties>
</file>