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bookmarkStart w:id="0" w:name="_GoBack"/>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11</w:t>
      </w:r>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spacing w:line="600" w:lineRule="exact"/>
        <w:jc w:val="center"/>
        <w:rPr>
          <w:rFonts w:hint="eastAsia" w:ascii="方正小标宋简体" w:hAnsi="方正小标宋简体" w:eastAsia="方正小标宋简体" w:cs="方正小标宋简体"/>
          <w:sz w:val="44"/>
          <w:szCs w:val="44"/>
        </w:rPr>
      </w:pPr>
    </w:p>
    <w:bookmarkEnd w:id="0"/>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涞源县水利局</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202</w:t>
      </w:r>
      <w:r>
        <w:rPr>
          <w:rFonts w:hint="eastAsia" w:ascii="方正小标宋简体" w:eastAsia="方正小标宋简体" w:hAnsiTheme="majorEastAsia" w:cstheme="majorEastAsia"/>
          <w:bCs/>
          <w:sz w:val="44"/>
          <w:szCs w:val="44"/>
          <w:lang w:val="en-US" w:eastAsia="zh-CN"/>
        </w:rPr>
        <w:t>3</w:t>
      </w:r>
      <w:r>
        <w:rPr>
          <w:rFonts w:hint="eastAsia" w:ascii="方正小标宋简体" w:eastAsia="方正小标宋简体" w:hAnsiTheme="majorEastAsia" w:cstheme="majorEastAsia"/>
          <w:bCs/>
          <w:sz w:val="44"/>
          <w:szCs w:val="44"/>
        </w:rPr>
        <w:t>年度“双随机、一公开”监管工作</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实施方案</w:t>
      </w:r>
    </w:p>
    <w:p>
      <w:pPr>
        <w:spacing w:line="600" w:lineRule="exact"/>
        <w:jc w:val="center"/>
        <w:rPr>
          <w:rFonts w:ascii="方正小标宋简体" w:eastAsia="方正小标宋简体" w:hAnsiTheme="majorEastAsia" w:cstheme="majorEastAsia"/>
          <w:bCs/>
          <w:sz w:val="44"/>
          <w:szCs w:val="44"/>
        </w:rPr>
      </w:pPr>
    </w:p>
    <w:p>
      <w:pPr>
        <w:pStyle w:val="7"/>
        <w:widowControl/>
        <w:spacing w:line="600" w:lineRule="exact"/>
        <w:ind w:firstLine="640" w:firstLineChars="200"/>
        <w:jc w:val="left"/>
        <w:rPr>
          <w:rFonts w:ascii="仿宋_GB2312" w:eastAsia="仿宋_GB2312" w:hAnsiTheme="minorEastAsia" w:cstheme="minorEastAsia"/>
          <w:color w:val="000000"/>
          <w:sz w:val="32"/>
          <w:szCs w:val="32"/>
        </w:rPr>
      </w:pPr>
      <w:r>
        <w:rPr>
          <w:rFonts w:hint="eastAsia" w:ascii="仿宋_GB2312" w:hAnsi="仿宋_GB2312" w:eastAsia="仿宋_GB2312" w:cs="仿宋_GB2312"/>
          <w:color w:val="000000"/>
          <w:kern w:val="60"/>
          <w:sz w:val="32"/>
          <w:szCs w:val="32"/>
        </w:rPr>
        <w:t>为深入贯彻落实省、市、县政府关于深化“放管服”改革优化营商环境部署要求，深入推进“双随机、一公开”监管，进一步健全完善事中事后监管机制，提升市场监管效能，根据《河北省人民政府办公厅关于印发河北省“双随机、一公开”监管与企业信用风险分级分类相结合实施方案的通知》《202</w:t>
      </w:r>
      <w:r>
        <w:rPr>
          <w:rFonts w:hint="eastAsia" w:ascii="仿宋_GB2312" w:hAnsi="仿宋_GB2312" w:eastAsia="仿宋_GB2312" w:cs="仿宋_GB2312"/>
          <w:color w:val="000000"/>
          <w:kern w:val="60"/>
          <w:sz w:val="32"/>
          <w:szCs w:val="32"/>
          <w:lang w:val="en-US" w:eastAsia="zh-CN"/>
        </w:rPr>
        <w:t>3</w:t>
      </w:r>
      <w:r>
        <w:rPr>
          <w:rFonts w:hint="eastAsia" w:ascii="仿宋_GB2312" w:hAnsi="仿宋_GB2312" w:eastAsia="仿宋_GB2312" w:cs="仿宋_GB2312"/>
          <w:color w:val="000000"/>
          <w:kern w:val="60"/>
          <w:sz w:val="32"/>
          <w:szCs w:val="32"/>
        </w:rPr>
        <w:t>年涞源县“双随机、一公开”监管工作实施方案》等文件要求，结合我局实际，</w:t>
      </w:r>
      <w:r>
        <w:rPr>
          <w:rFonts w:hint="eastAsia" w:ascii="仿宋_GB2312" w:eastAsia="仿宋_GB2312" w:hAnsiTheme="minorEastAsia" w:cstheme="minorEastAsia"/>
          <w:color w:val="000000"/>
          <w:sz w:val="32"/>
          <w:szCs w:val="32"/>
        </w:rPr>
        <w:t>制定本方案。</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一、指导思想</w:t>
      </w:r>
    </w:p>
    <w:p>
      <w:pPr>
        <w:spacing w:line="600" w:lineRule="exact"/>
        <w:ind w:firstLine="640" w:firstLineChars="200"/>
        <w:rPr>
          <w:rFonts w:ascii="仿宋_GB2312" w:hAnsi="仿宋_GB2312" w:eastAsia="仿宋_GB2312" w:cs="仿宋_GB2312"/>
          <w:sz w:val="32"/>
          <w:szCs w:val="32"/>
        </w:rPr>
      </w:pPr>
      <w:r>
        <w:rPr>
          <w:rFonts w:hint="eastAsia" w:ascii="仿宋_GB2312" w:eastAsia="仿宋_GB2312" w:hAnsiTheme="minorEastAsia" w:cstheme="minorEastAsia"/>
          <w:color w:val="000000"/>
          <w:sz w:val="32"/>
          <w:szCs w:val="32"/>
        </w:rPr>
        <w:t>坚持以习近平新时代中国特色社会主义思想为指导，全面贯彻党的十九大精神，认真落实党中央、国务院关于全面推行“双随机、一公开”监管作出的重大决策部署，创新监管理念和方式，深化“放管服”改革、加快政府职能转变，减轻企业负担、优化营商环境，加快信用体系</w:t>
      </w:r>
      <w:r>
        <w:rPr>
          <w:rFonts w:hint="eastAsia" w:ascii="仿宋_GB2312" w:eastAsia="仿宋_GB2312" w:hAnsiTheme="minorEastAsia" w:cstheme="minorEastAsia"/>
          <w:color w:val="000000"/>
          <w:spacing w:val="4"/>
          <w:sz w:val="32"/>
          <w:szCs w:val="32"/>
        </w:rPr>
        <w:t>建设、创新事中事后监管，</w:t>
      </w:r>
      <w:r>
        <w:rPr>
          <w:rFonts w:hint="eastAsia" w:ascii="仿宋_GB2312" w:eastAsia="仿宋_GB2312" w:hAnsiTheme="minorEastAsia" w:cstheme="minorEastAsia"/>
          <w:color w:val="000000"/>
          <w:sz w:val="32"/>
          <w:szCs w:val="32"/>
        </w:rPr>
        <w:t>坚持以公平公正监管为基本遵循，做到监管效能最大化、监管成本最优化、对市场主体干扰最小化，努力营造良好营商环境、有序竞争环境和放心消费环境，提升监管公平性、规范性和有效性，为</w:t>
      </w:r>
      <w:r>
        <w:rPr>
          <w:rFonts w:hint="eastAsia" w:ascii="仿宋_GB2312" w:hAnsi="仿宋_GB2312" w:eastAsia="仿宋_GB2312" w:cs="仿宋_GB2312"/>
          <w:sz w:val="32"/>
          <w:szCs w:val="32"/>
        </w:rPr>
        <w:t>建设新时代经济强县、品质涞源</w:t>
      </w:r>
      <w:r>
        <w:rPr>
          <w:rFonts w:hint="eastAsia" w:ascii="仿宋_GB2312" w:eastAsia="仿宋_GB2312" w:hAnsiTheme="minorEastAsia" w:cstheme="minorEastAsia"/>
          <w:color w:val="000000"/>
          <w:sz w:val="32"/>
          <w:szCs w:val="32"/>
        </w:rPr>
        <w:t>提供有力支撑。</w:t>
      </w:r>
    </w:p>
    <w:p>
      <w:pPr>
        <w:spacing w:line="60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二、主要工作任务</w:t>
      </w:r>
    </w:p>
    <w:p>
      <w:pPr>
        <w:spacing w:line="555" w:lineRule="atLeast"/>
        <w:ind w:firstLine="645"/>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（一）制定抽查事项清单。</w:t>
      </w:r>
      <w:r>
        <w:rPr>
          <w:rFonts w:hint="eastAsia" w:ascii="仿宋_GB2312" w:hAnsi="微软雅黑" w:eastAsia="仿宋_GB2312" w:cs="宋体"/>
          <w:kern w:val="0"/>
          <w:sz w:val="32"/>
          <w:szCs w:val="32"/>
        </w:rPr>
        <w:t>根据法律法规规章的规定，结合水行政主管部门职责和执法依据，及时调整抽查事项清单并及时向社会公布。</w:t>
      </w:r>
    </w:p>
    <w:p>
      <w:pPr>
        <w:widowControl/>
        <w:shd w:val="clear" w:color="auto" w:fill="FFFFFF"/>
        <w:spacing w:line="555" w:lineRule="atLeast"/>
        <w:ind w:firstLine="645"/>
        <w:jc w:val="left"/>
        <w:rPr>
          <w:rFonts w:ascii="仿宋_GB2312" w:hAnsi="微软雅黑" w:eastAsia="仿宋_GB2312" w:cs="宋体"/>
          <w:kern w:val="0"/>
          <w:sz w:val="24"/>
        </w:rPr>
      </w:pPr>
      <w:r>
        <w:rPr>
          <w:rFonts w:hint="eastAsia" w:ascii="楷体_GB2312" w:hAnsi="微软雅黑" w:eastAsia="楷体_GB2312" w:cs="宋体"/>
          <w:b/>
          <w:kern w:val="0"/>
          <w:sz w:val="32"/>
          <w:szCs w:val="32"/>
        </w:rPr>
        <w:t>（二）实行“双随机”抽查机制。</w:t>
      </w:r>
      <w:r>
        <w:rPr>
          <w:rFonts w:hint="eastAsia" w:ascii="仿宋_GB2312" w:hAnsi="微软雅黑" w:eastAsia="仿宋_GB2312" w:cs="宋体"/>
          <w:kern w:val="0"/>
          <w:sz w:val="32"/>
          <w:szCs w:val="32"/>
        </w:rPr>
        <w:t>建立随机抽查对象，随机选派执法检查人员的“双随机”抽查机制，严格限制监管部门自由裁量权。建立健全抽查对象名录库和执法检查人员名录库。及时对抽查对象名录库和执法检查人员名录库进行动态调整，确保监管事项合法、齐全。</w:t>
      </w:r>
    </w:p>
    <w:p>
      <w:pPr>
        <w:widowControl/>
        <w:shd w:val="clear" w:color="auto" w:fill="FFFFFF"/>
        <w:spacing w:line="555" w:lineRule="atLeast"/>
        <w:ind w:firstLine="645"/>
        <w:jc w:val="left"/>
        <w:rPr>
          <w:rFonts w:ascii="仿宋_GB2312" w:hAnsi="微软雅黑" w:eastAsia="仿宋_GB2312" w:cs="宋体"/>
          <w:kern w:val="0"/>
          <w:sz w:val="24"/>
        </w:rPr>
      </w:pPr>
      <w:r>
        <w:rPr>
          <w:rFonts w:hint="eastAsia" w:ascii="楷体_GB2312" w:hAnsi="微软雅黑" w:eastAsia="楷体_GB2312" w:cs="宋体"/>
          <w:b/>
          <w:kern w:val="0"/>
          <w:sz w:val="32"/>
          <w:szCs w:val="32"/>
        </w:rPr>
        <w:t>（三）合理确定抽查比例和频次。</w:t>
      </w:r>
      <w:r>
        <w:rPr>
          <w:rFonts w:hint="eastAsia" w:ascii="仿宋_GB2312" w:hAnsi="微软雅黑" w:eastAsia="仿宋_GB2312" w:cs="宋体"/>
          <w:kern w:val="0"/>
          <w:sz w:val="32"/>
          <w:szCs w:val="32"/>
        </w:rPr>
        <w:t>结合工作实际，合理确定随机抽查的比例和频次，既要保证必要的抽查覆盖和工作力度，又要防止检查过多和执法扰民。对于法律法规规章有规定的，按有关规定实施；对涉及安全和民生的重点监管领域，以及投诉举报多、列入经营异常名录或有严重违法违规记录等情况的市场主体，要加大随机抽查力度。</w:t>
      </w:r>
    </w:p>
    <w:p>
      <w:pPr>
        <w:widowControl/>
        <w:shd w:val="clear" w:color="auto" w:fill="FFFFFF"/>
        <w:spacing w:line="555" w:lineRule="atLeast"/>
        <w:ind w:firstLine="645"/>
        <w:jc w:val="left"/>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（四）严格依计划开展随机抽查检查</w:t>
      </w:r>
      <w:r>
        <w:rPr>
          <w:rFonts w:hint="eastAsia" w:ascii="楷体_GB2312" w:hAnsi="微软雅黑" w:eastAsia="楷体_GB2312" w:cs="宋体"/>
          <w:b/>
          <w:bCs/>
          <w:kern w:val="0"/>
          <w:sz w:val="32"/>
        </w:rPr>
        <w:t>。</w:t>
      </w:r>
      <w:r>
        <w:rPr>
          <w:rFonts w:hint="eastAsia" w:ascii="仿宋_GB2312" w:hAnsi="微软雅黑" w:eastAsia="仿宋_GB2312" w:cs="宋体"/>
          <w:kern w:val="0"/>
          <w:sz w:val="32"/>
          <w:szCs w:val="32"/>
        </w:rPr>
        <w:t>要统筹制定年度随机抽查工作计划，通过公开、公正的方式从检查对象名录库中随机抽取检查对象，由责任股室牵头，会同随机抽取的执法检查人员开展检查工作。检查人员开展检查工作时，现场检查记录表和现场照片等证据资料应当作为执法全过程进行记录备案，责任科室要及时做好检查档案归档并妥善保管。</w:t>
      </w:r>
    </w:p>
    <w:p>
      <w:pPr>
        <w:widowControl/>
        <w:shd w:val="clear" w:color="auto" w:fill="FFFFFF"/>
        <w:spacing w:line="555" w:lineRule="atLeast"/>
        <w:ind w:firstLine="645"/>
        <w:jc w:val="left"/>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（五）深入推进部门联合抽查。</w:t>
      </w:r>
      <w:r>
        <w:rPr>
          <w:rFonts w:hint="eastAsia" w:ascii="仿宋_GB2312" w:hAnsi="微软雅黑" w:eastAsia="仿宋_GB2312" w:cs="宋体"/>
          <w:kern w:val="0"/>
          <w:sz w:val="32"/>
          <w:szCs w:val="32"/>
        </w:rPr>
        <w:t>全力推进部门联合抽查工作，科学确定部门联合抽查的牵头部门、参与部门、联合抽查事项，实现“进一次门，查多项事”，尽可能减少对抽查对象正常生产经营活动的干扰。</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（六）强化抽查检查结果公示运用。</w:t>
      </w:r>
      <w:r>
        <w:rPr>
          <w:rFonts w:hint="eastAsia" w:ascii="仿宋_GB2312" w:eastAsia="仿宋_GB2312" w:hAnsiTheme="minorEastAsia" w:cstheme="minorEastAsia"/>
          <w:color w:val="000000"/>
          <w:sz w:val="32"/>
          <w:szCs w:val="32"/>
        </w:rPr>
        <w:t>加大推广“河北省双随机与双告知系统”，确保抽查检查结果自动归集到企业名下并通过国家企业信用信息公示系统公示。接受社会监督，对抽查发现的违法违规行为依法加大惩处力度，对涉嫌犯罪的及时移送司法机关。着力推进“双随机、一公开”监管与信用监管的有效衔接，对抽查发现的违法失信行为实施联合惩戒，形成有效震慑，增强监管主体守法的自觉性。</w:t>
      </w:r>
    </w:p>
    <w:p>
      <w:pPr>
        <w:spacing w:line="600" w:lineRule="exact"/>
        <w:ind w:firstLine="640" w:firstLineChars="200"/>
        <w:rPr>
          <w:rFonts w:ascii="黑体" w:hAnsi="黑体" w:eastAsia="黑体" w:cs="黑体"/>
          <w:color w:val="000000"/>
          <w:kern w:val="60"/>
          <w:sz w:val="32"/>
          <w:szCs w:val="32"/>
        </w:rPr>
      </w:pPr>
      <w:r>
        <w:rPr>
          <w:rFonts w:hint="eastAsia" w:ascii="黑体" w:hAnsi="黑体" w:eastAsia="黑体" w:cs="黑体"/>
          <w:color w:val="000000"/>
          <w:kern w:val="60"/>
          <w:sz w:val="32"/>
          <w:szCs w:val="32"/>
        </w:rPr>
        <w:t>三、工作要求</w:t>
      </w:r>
    </w:p>
    <w:p>
      <w:pPr>
        <w:spacing w:line="600" w:lineRule="exact"/>
        <w:ind w:firstLine="640" w:firstLineChars="200"/>
        <w:rPr>
          <w:rFonts w:ascii="仿宋_GB2312" w:hAnsi="仿宋_GB2312" w:eastAsia="仿宋_GB2312" w:cs="仿宋_GB2312"/>
          <w:color w:val="000000"/>
          <w:spacing w:val="-6"/>
          <w:kern w:val="60"/>
          <w:sz w:val="32"/>
          <w:szCs w:val="32"/>
        </w:rPr>
      </w:pPr>
      <w:r>
        <w:rPr>
          <w:rFonts w:hint="eastAsia" w:ascii="楷体_GB2312" w:hAnsi="楷体_GB2312" w:eastAsia="楷体_GB2312" w:cs="楷体_GB2312"/>
          <w:b/>
          <w:color w:val="000000"/>
          <w:kern w:val="60"/>
          <w:sz w:val="32"/>
          <w:szCs w:val="32"/>
        </w:rPr>
        <w:t>（一）提高政治站位，加强组织领导。</w:t>
      </w:r>
      <w:r>
        <w:rPr>
          <w:rFonts w:hint="eastAsia" w:ascii="仿宋_GB2312" w:hAnsi="楷体_GB2312" w:eastAsia="仿宋_GB2312" w:cs="楷体_GB2312"/>
          <w:color w:val="000000"/>
          <w:kern w:val="60"/>
          <w:sz w:val="32"/>
          <w:szCs w:val="32"/>
        </w:rPr>
        <w:t>根据人员变动，重新调整我局</w:t>
      </w:r>
      <w:r>
        <w:rPr>
          <w:rFonts w:hint="eastAsia" w:ascii="仿宋_GB2312" w:hAnsi="仿宋_GB2312" w:eastAsia="仿宋_GB2312" w:cs="仿宋_GB2312"/>
          <w:sz w:val="32"/>
          <w:szCs w:val="32"/>
        </w:rPr>
        <w:t>“双随机、一公开”监管</w:t>
      </w:r>
      <w:r>
        <w:rPr>
          <w:rFonts w:hint="eastAsia" w:ascii="仿宋_GB2312" w:hAnsi="仿宋_GB2312" w:eastAsia="仿宋_GB2312" w:cs="仿宋_GB2312"/>
          <w:color w:val="000000"/>
          <w:kern w:val="60"/>
          <w:sz w:val="32"/>
          <w:szCs w:val="32"/>
        </w:rPr>
        <w:t>工作领导小组，各责任股室要深刻认识做好</w:t>
      </w:r>
      <w:r>
        <w:rPr>
          <w:rFonts w:hint="eastAsia" w:ascii="仿宋_GB2312" w:hAnsi="仿宋_GB2312" w:eastAsia="仿宋_GB2312" w:cs="仿宋_GB2312"/>
          <w:sz w:val="32"/>
          <w:szCs w:val="32"/>
        </w:rPr>
        <w:t>“双随机、一公开”监管</w:t>
      </w:r>
      <w:r>
        <w:rPr>
          <w:rFonts w:hint="eastAsia" w:ascii="仿宋_GB2312" w:hAnsi="仿宋_GB2312" w:eastAsia="仿宋_GB2312" w:cs="仿宋_GB2312"/>
          <w:color w:val="000000"/>
          <w:kern w:val="60"/>
          <w:sz w:val="32"/>
          <w:szCs w:val="32"/>
        </w:rPr>
        <w:t>工作的重要性和紧迫性，进细化工作目标和推进举措，确保全年各项工作任务落到实处、取得实效，为</w:t>
      </w:r>
      <w:r>
        <w:rPr>
          <w:rFonts w:hint="eastAsia" w:ascii="仿宋_GB2312" w:hAnsi="仿宋_GB2312" w:eastAsia="仿宋_GB2312" w:cs="仿宋_GB2312"/>
          <w:color w:val="000000"/>
          <w:spacing w:val="-6"/>
          <w:kern w:val="60"/>
          <w:sz w:val="32"/>
          <w:szCs w:val="32"/>
        </w:rPr>
        <w:t>深化“放管服”改革、优化营商环境做出积极贡献。</w:t>
      </w:r>
    </w:p>
    <w:p>
      <w:pPr>
        <w:spacing w:line="600" w:lineRule="exact"/>
        <w:ind w:firstLine="640" w:firstLineChars="200"/>
        <w:rPr>
          <w:rFonts w:ascii="仿宋_GB2312" w:hAnsi="仿宋_GB2312" w:eastAsia="仿宋_GB2312" w:cs="仿宋_GB2312"/>
          <w:color w:val="000000"/>
          <w:kern w:val="60"/>
          <w:sz w:val="32"/>
          <w:szCs w:val="32"/>
        </w:rPr>
      </w:pPr>
      <w:r>
        <w:rPr>
          <w:rFonts w:hint="eastAsia" w:ascii="楷体_GB2312" w:hAnsi="楷体_GB2312" w:eastAsia="楷体_GB2312" w:cs="楷体_GB2312"/>
          <w:b/>
          <w:color w:val="000000"/>
          <w:kern w:val="60"/>
          <w:sz w:val="32"/>
          <w:szCs w:val="32"/>
        </w:rPr>
        <w:t>（二）认真履行职责，积极协调配合。</w:t>
      </w:r>
      <w:r>
        <w:rPr>
          <w:rFonts w:hint="eastAsia" w:ascii="仿宋_GB2312" w:hAnsi="仿宋_GB2312" w:eastAsia="仿宋_GB2312" w:cs="仿宋_GB2312"/>
          <w:color w:val="000000"/>
          <w:kern w:val="60"/>
          <w:sz w:val="32"/>
          <w:szCs w:val="32"/>
        </w:rPr>
        <w:t>各有关股室要认真落实主体责任，按照县政府和上级主管部门的要求，积极主动开展工作。各相关股室要加强沟通，主动配合，密切协作，形成工作合力。</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1.涞源县水利局“双随机、一公开”监管工作领导小组；</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2.涞源县“双随机、一公开”监管工作月报表。</w:t>
      </w: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126" w:firstLineChars="1602"/>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202</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年</w:t>
      </w:r>
      <w:r>
        <w:rPr>
          <w:rFonts w:hint="eastAsia" w:ascii="仿宋_GB2312" w:eastAsia="仿宋_GB2312" w:hAnsiTheme="minorEastAsia" w:cstheme="minorEastAsia"/>
          <w:bCs/>
          <w:color w:val="000000"/>
          <w:sz w:val="32"/>
          <w:szCs w:val="32"/>
          <w:lang w:val="en-US" w:eastAsia="zh-CN"/>
        </w:rPr>
        <w:t>2</w:t>
      </w:r>
      <w:r>
        <w:rPr>
          <w:rFonts w:hint="eastAsia" w:ascii="仿宋_GB2312" w:eastAsia="仿宋_GB2312" w:hAnsiTheme="minorEastAsia" w:cstheme="minorEastAsia"/>
          <w:bCs/>
          <w:color w:val="000000"/>
          <w:sz w:val="32"/>
          <w:szCs w:val="32"/>
        </w:rPr>
        <w:t>月</w:t>
      </w:r>
      <w:r>
        <w:rPr>
          <w:rFonts w:hint="eastAsia" w:ascii="仿宋_GB2312" w:eastAsia="仿宋_GB2312" w:hAnsiTheme="minorEastAsia" w:cstheme="minorEastAsia"/>
          <w:bCs/>
          <w:color w:val="000000"/>
          <w:sz w:val="32"/>
          <w:szCs w:val="32"/>
          <w:lang w:val="en-US" w:eastAsia="zh-CN"/>
        </w:rPr>
        <w:t>10</w:t>
      </w:r>
      <w:r>
        <w:rPr>
          <w:rFonts w:hint="eastAsia" w:ascii="仿宋_GB2312" w:eastAsia="仿宋_GB2312" w:hAnsiTheme="minorEastAsia" w:cstheme="minorEastAsia"/>
          <w:bCs/>
          <w:color w:val="000000"/>
          <w:sz w:val="32"/>
          <w:szCs w:val="32"/>
        </w:rPr>
        <w:t>日</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
    <w:p/>
    <w:p/>
    <w:p/>
    <w:p/>
    <w:p/>
    <w:p/>
    <w:p/>
    <w:p/>
    <w:p>
      <w:pPr>
        <w:pStyle w:val="2"/>
      </w:pPr>
    </w:p>
    <w:p>
      <w:pPr>
        <w:pStyle w:val="3"/>
        <w:spacing w:line="520" w:lineRule="exact"/>
        <w:rPr>
          <w:rFonts w:ascii="仿宋_GB2312" w:eastAsia="仿宋_GB2312" w:hAnsiTheme="minorEastAsia" w:cstheme="minorEastAsia"/>
          <w:bCs/>
          <w:color w:val="000000"/>
          <w:sz w:val="32"/>
          <w:szCs w:val="32"/>
        </w:rPr>
      </w:pPr>
      <w:r>
        <w:rPr>
          <w:rFonts w:ascii="仿宋_GB2312" w:hAnsi="仿宋_GB2312" w:eastAsia="仿宋_GB2312" w:cs="仿宋_GB2312"/>
          <w:sz w:val="32"/>
          <w:szCs w:val="32"/>
        </w:rPr>
        <w:pict>
          <v:line id="直接连接符 3" o:spid="_x0000_s1029"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8"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w:t>
      </w:r>
      <w:r>
        <w:rPr>
          <w:rFonts w:hint="eastAsia" w:ascii="仿宋_GB2312" w:hAnsi="仿宋_GB2312" w:eastAsia="仿宋_GB2312" w:cs="仿宋_GB2312"/>
          <w:sz w:val="32"/>
          <w:szCs w:val="32"/>
          <w:lang w:val="en-US" w:eastAsia="zh-CN"/>
        </w:rPr>
        <w:t>办公室</w:t>
      </w: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日印发</w:t>
      </w:r>
      <w:r>
        <w:rPr>
          <w:rFonts w:hint="eastAsia" w:ascii="宋体" w:hAnsi="宋体"/>
          <w:bCs/>
          <w:sz w:val="32"/>
          <w:szCs w:val="32"/>
        </w:rPr>
        <w:t xml:space="preserve"> </w:t>
      </w:r>
    </w:p>
    <w:p>
      <w:pPr>
        <w:pStyle w:val="7"/>
        <w:widowControl/>
        <w:spacing w:line="600" w:lineRule="exact"/>
        <w:jc w:val="lef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附件1：</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涞源县水利局</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“双随机、一公开”监管工作领导小组</w:t>
      </w:r>
    </w:p>
    <w:p>
      <w:pPr>
        <w:pStyle w:val="7"/>
        <w:spacing w:line="600" w:lineRule="exact"/>
        <w:rPr>
          <w:rFonts w:ascii="仿宋_GB2312" w:eastAsia="仿宋_GB2312" w:hAnsiTheme="minorEastAsia" w:cstheme="minorEastAsia"/>
          <w:bCs/>
          <w:color w:val="000000"/>
          <w:sz w:val="32"/>
          <w:szCs w:val="32"/>
        </w:rPr>
      </w:pP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为深入贯彻落实202</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年涞源县“双随机、一公开”监管工作决策部署，实现“双随机、一公开”监管全覆盖，经局党组研究，特成立涞源县水利局“双随机、一公开”监管工作领导小组，成员如下：</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组  长：</w:t>
      </w:r>
      <w:r>
        <w:rPr>
          <w:rFonts w:hint="eastAsia" w:ascii="仿宋_GB2312" w:eastAsia="仿宋_GB2312" w:hAnsiTheme="minorEastAsia" w:cstheme="minorEastAsia"/>
          <w:bCs/>
          <w:color w:val="000000"/>
          <w:sz w:val="32"/>
          <w:szCs w:val="32"/>
        </w:rPr>
        <w:t>孙克诚</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副组长：</w:t>
      </w:r>
      <w:r>
        <w:rPr>
          <w:rFonts w:hint="eastAsia" w:ascii="仿宋_GB2312" w:eastAsia="仿宋_GB2312" w:hAnsiTheme="minorEastAsia" w:cstheme="minorEastAsia"/>
          <w:bCs/>
          <w:color w:val="000000"/>
          <w:sz w:val="32"/>
          <w:szCs w:val="32"/>
        </w:rPr>
        <w:t>张利斌、梁合心、赵文权、张振海、王政和</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赵红芬、王建新</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成  员：</w:t>
      </w:r>
      <w:r>
        <w:rPr>
          <w:rFonts w:hint="eastAsia" w:ascii="仿宋_GB2312" w:eastAsia="仿宋_GB2312" w:hAnsiTheme="minorEastAsia" w:cstheme="minorEastAsia"/>
          <w:bCs/>
          <w:color w:val="000000"/>
          <w:sz w:val="32"/>
          <w:szCs w:val="32"/>
        </w:rPr>
        <w:t>段伟杰、杨振东、李建国、王长江、徐丽霞</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岳雪萍、贾晓珍、龙燕斌、张小霞、吴鑫鑫</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王  娜、张治国、杨  波、李  瑛、任启明</w:t>
      </w:r>
    </w:p>
    <w:p>
      <w:pPr>
        <w:pStyle w:val="7"/>
        <w:spacing w:line="600" w:lineRule="exact"/>
        <w:ind w:firstLine="1920" w:firstLineChars="600"/>
        <w:rPr>
          <w:rFonts w:hint="eastAsia" w:ascii="仿宋_GB2312" w:eastAsia="仿宋_GB2312" w:hAnsiTheme="minorEastAsia" w:cstheme="minorEastAsia"/>
          <w:bCs/>
          <w:color w:val="000000"/>
          <w:sz w:val="32"/>
          <w:szCs w:val="32"/>
          <w:lang w:eastAsia="zh-CN"/>
        </w:rPr>
      </w:pPr>
      <w:r>
        <w:rPr>
          <w:rFonts w:hint="eastAsia" w:ascii="仿宋_GB2312" w:eastAsia="仿宋_GB2312" w:hAnsiTheme="minorEastAsia" w:cstheme="minorEastAsia"/>
          <w:bCs/>
          <w:color w:val="000000"/>
          <w:sz w:val="32"/>
          <w:szCs w:val="32"/>
        </w:rPr>
        <w:t>杨  韬</w:t>
      </w:r>
      <w:r>
        <w:rPr>
          <w:rFonts w:hint="eastAsia" w:ascii="仿宋_GB2312" w:eastAsia="仿宋_GB2312" w:hAnsiTheme="minorEastAsia" w:cstheme="minorEastAsia"/>
          <w:bCs/>
          <w:color w:val="000000"/>
          <w:sz w:val="32"/>
          <w:szCs w:val="32"/>
          <w:lang w:eastAsia="zh-CN"/>
        </w:rPr>
        <w:t>、马</w:t>
      </w:r>
      <w:r>
        <w:rPr>
          <w:rFonts w:hint="eastAsia" w:ascii="仿宋_GB2312" w:eastAsia="仿宋_GB2312" w:hAnsiTheme="minorEastAsia" w:cstheme="minorEastAsia"/>
          <w:bCs/>
          <w:color w:val="000000"/>
          <w:sz w:val="32"/>
          <w:szCs w:val="32"/>
          <w:lang w:val="en-US" w:eastAsia="zh-CN"/>
        </w:rPr>
        <w:t xml:space="preserve">  </w:t>
      </w:r>
      <w:r>
        <w:rPr>
          <w:rFonts w:hint="eastAsia" w:ascii="仿宋_GB2312" w:eastAsia="仿宋_GB2312" w:hAnsiTheme="minorEastAsia" w:cstheme="minorEastAsia"/>
          <w:bCs/>
          <w:color w:val="000000"/>
          <w:sz w:val="32"/>
          <w:szCs w:val="32"/>
          <w:lang w:eastAsia="zh-CN"/>
        </w:rPr>
        <w:t>骅</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领导小组下设办公室，办公室设在水政监察大队，办公室主任由</w:t>
      </w:r>
      <w:r>
        <w:rPr>
          <w:rFonts w:hint="eastAsia" w:ascii="仿宋_GB2312" w:eastAsia="仿宋_GB2312" w:hAnsiTheme="minorEastAsia" w:cstheme="minorEastAsia"/>
          <w:bCs/>
          <w:color w:val="000000"/>
          <w:sz w:val="32"/>
          <w:szCs w:val="32"/>
          <w:lang w:eastAsia="zh-CN"/>
        </w:rPr>
        <w:t>任启明</w:t>
      </w:r>
      <w:r>
        <w:rPr>
          <w:rFonts w:hint="eastAsia" w:ascii="仿宋_GB2312" w:eastAsia="仿宋_GB2312" w:hAnsiTheme="minorEastAsia" w:cstheme="minorEastAsia"/>
          <w:bCs/>
          <w:color w:val="000000"/>
          <w:sz w:val="32"/>
          <w:szCs w:val="32"/>
        </w:rPr>
        <w:t>同志兼任。</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280" w:firstLineChars="165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202</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年</w:t>
      </w:r>
      <w:r>
        <w:rPr>
          <w:rFonts w:hint="eastAsia" w:ascii="仿宋_GB2312" w:eastAsia="仿宋_GB2312" w:hAnsiTheme="minorEastAsia" w:cstheme="minorEastAsia"/>
          <w:bCs/>
          <w:color w:val="000000"/>
          <w:sz w:val="32"/>
          <w:szCs w:val="32"/>
          <w:lang w:val="en-US" w:eastAsia="zh-CN"/>
        </w:rPr>
        <w:t>2</w:t>
      </w:r>
      <w:r>
        <w:rPr>
          <w:rFonts w:hint="eastAsia" w:ascii="仿宋_GB2312" w:eastAsia="仿宋_GB2312" w:hAnsiTheme="minorEastAsia" w:cstheme="minorEastAsia"/>
          <w:bCs/>
          <w:color w:val="000000"/>
          <w:sz w:val="32"/>
          <w:szCs w:val="32"/>
        </w:rPr>
        <w:t>月</w:t>
      </w:r>
      <w:r>
        <w:rPr>
          <w:rFonts w:hint="eastAsia" w:ascii="仿宋_GB2312" w:eastAsia="仿宋_GB2312" w:hAnsiTheme="minorEastAsia" w:cstheme="minorEastAsia"/>
          <w:bCs/>
          <w:color w:val="000000"/>
          <w:sz w:val="32"/>
          <w:szCs w:val="32"/>
          <w:lang w:val="en-US" w:eastAsia="zh-CN"/>
        </w:rPr>
        <w:t>10</w:t>
      </w:r>
      <w:r>
        <w:rPr>
          <w:rFonts w:hint="eastAsia" w:ascii="仿宋_GB2312" w:eastAsia="仿宋_GB2312" w:hAnsiTheme="minorEastAsia" w:cstheme="minorEastAsia"/>
          <w:bCs/>
          <w:color w:val="000000"/>
          <w:sz w:val="32"/>
          <w:szCs w:val="32"/>
        </w:rPr>
        <w:t>日</w:t>
      </w:r>
    </w:p>
    <w:p>
      <w:pPr>
        <w:pStyle w:val="7"/>
        <w:widowControl/>
        <w:spacing w:line="600" w:lineRule="exact"/>
        <w:ind w:firstLine="5280" w:firstLineChars="1650"/>
        <w:jc w:val="left"/>
        <w:rPr>
          <w:rFonts w:ascii="仿宋_GB2312" w:eastAsia="仿宋_GB2312" w:hAnsiTheme="minorEastAsia" w:cstheme="minorEastAsia"/>
          <w:bCs/>
          <w:color w:val="000000"/>
          <w:sz w:val="32"/>
          <w:szCs w:val="32"/>
        </w:rPr>
      </w:pPr>
    </w:p>
    <w:p>
      <w:pPr>
        <w:pStyle w:val="7"/>
        <w:widowControl/>
        <w:spacing w:line="600" w:lineRule="exact"/>
        <w:jc w:val="lef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附件2：</w:t>
      </w:r>
    </w:p>
    <w:tbl>
      <w:tblPr>
        <w:tblStyle w:val="8"/>
        <w:tblW w:w="9819" w:type="dxa"/>
        <w:tblInd w:w="96" w:type="dxa"/>
        <w:tblLayout w:type="autofit"/>
        <w:tblCellMar>
          <w:top w:w="0" w:type="dxa"/>
          <w:left w:w="108" w:type="dxa"/>
          <w:bottom w:w="0" w:type="dxa"/>
          <w:right w:w="108" w:type="dxa"/>
        </w:tblCellMar>
      </w:tblPr>
      <w:tblGrid>
        <w:gridCol w:w="583"/>
        <w:gridCol w:w="2996"/>
        <w:gridCol w:w="5458"/>
        <w:gridCol w:w="438"/>
        <w:gridCol w:w="344"/>
      </w:tblGrid>
      <w:tr>
        <w:tblPrEx>
          <w:tblCellMar>
            <w:top w:w="0" w:type="dxa"/>
            <w:left w:w="108" w:type="dxa"/>
            <w:bottom w:w="0" w:type="dxa"/>
            <w:right w:w="108" w:type="dxa"/>
          </w:tblCellMar>
        </w:tblPrEx>
        <w:trPr>
          <w:trHeight w:val="798" w:hRule="atLeast"/>
        </w:trPr>
        <w:tc>
          <w:tcPr>
            <w:tcW w:w="9818" w:type="dxa"/>
            <w:gridSpan w:val="5"/>
            <w:tcBorders>
              <w:top w:val="nil"/>
              <w:left w:val="nil"/>
              <w:bottom w:val="nil"/>
              <w:right w:val="nil"/>
            </w:tcBorders>
            <w:shd w:val="clear" w:color="auto" w:fill="auto"/>
            <w:noWrap/>
            <w:vAlign w:val="center"/>
          </w:tcPr>
          <w:p>
            <w:pPr>
              <w:widowControl/>
              <w:spacing w:line="600" w:lineRule="exact"/>
              <w:jc w:val="center"/>
              <w:rPr>
                <w:rFonts w:ascii="方正小标宋简体" w:hAnsi="宋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涞源县水利局“双随机、一公开”监管工作月报表</w:t>
            </w:r>
          </w:p>
        </w:tc>
      </w:tr>
      <w:tr>
        <w:tblPrEx>
          <w:tblCellMar>
            <w:top w:w="0" w:type="dxa"/>
            <w:left w:w="108" w:type="dxa"/>
            <w:bottom w:w="0" w:type="dxa"/>
            <w:right w:w="108" w:type="dxa"/>
          </w:tblCellMar>
        </w:tblPrEx>
        <w:trPr>
          <w:trHeight w:val="301" w:hRule="atLeast"/>
        </w:trPr>
        <w:tc>
          <w:tcPr>
            <w:tcW w:w="9818" w:type="dxa"/>
            <w:gridSpan w:val="5"/>
            <w:tcBorders>
              <w:top w:val="nil"/>
              <w:left w:val="nil"/>
              <w:bottom w:val="nil"/>
              <w:right w:val="nil"/>
            </w:tcBorders>
            <w:shd w:val="clear" w:color="auto" w:fill="auto"/>
            <w:noWrap/>
            <w:vAlign w:val="center"/>
          </w:tcPr>
          <w:p>
            <w:pPr>
              <w:widowControl/>
              <w:spacing w:line="600" w:lineRule="exact"/>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单位名称（盖章）：</w:t>
            </w:r>
            <w:r>
              <w:rPr>
                <w:rFonts w:hint="eastAsia" w:ascii="仿宋_GB2312" w:hAnsi="宋体" w:eastAsia="仿宋_GB2312" w:cs="宋体"/>
                <w:color w:val="000000"/>
                <w:kern w:val="0"/>
                <w:sz w:val="32"/>
                <w:szCs w:val="32"/>
                <w:u w:val="single"/>
              </w:rPr>
              <w:t xml:space="preserve">           </w:t>
            </w:r>
            <w:r>
              <w:rPr>
                <w:rFonts w:hint="eastAsia" w:ascii="仿宋_GB2312" w:hAnsi="宋体" w:eastAsia="仿宋_GB2312" w:cs="宋体"/>
                <w:color w:val="000000"/>
                <w:kern w:val="0"/>
                <w:sz w:val="32"/>
                <w:szCs w:val="32"/>
              </w:rPr>
              <w:t xml:space="preserve"> 填表时间：     年    月   日</w:t>
            </w:r>
          </w:p>
        </w:tc>
      </w:tr>
      <w:tr>
        <w:tblPrEx>
          <w:tblCellMar>
            <w:top w:w="0" w:type="dxa"/>
            <w:left w:w="108" w:type="dxa"/>
            <w:bottom w:w="0" w:type="dxa"/>
            <w:right w:w="108" w:type="dxa"/>
          </w:tblCellMar>
        </w:tblPrEx>
        <w:trPr>
          <w:trHeight w:val="241" w:hRule="atLeast"/>
        </w:trPr>
        <w:tc>
          <w:tcPr>
            <w:tcW w:w="9818" w:type="dxa"/>
            <w:gridSpan w:val="5"/>
            <w:tcBorders>
              <w:top w:val="nil"/>
              <w:left w:val="nil"/>
              <w:bottom w:val="nil"/>
              <w:right w:val="nil"/>
            </w:tcBorders>
            <w:shd w:val="clear" w:color="auto" w:fill="auto"/>
            <w:noWrap/>
            <w:vAlign w:val="center"/>
          </w:tcPr>
          <w:p>
            <w:pPr>
              <w:widowControl/>
              <w:spacing w:line="600" w:lineRule="exact"/>
              <w:rPr>
                <w:rFonts w:ascii="仿宋_GB2312" w:hAnsi="宋体" w:eastAsia="仿宋_GB2312" w:cs="宋体"/>
                <w:color w:val="000000"/>
                <w:kern w:val="0"/>
                <w:sz w:val="32"/>
                <w:szCs w:val="32"/>
              </w:rPr>
            </w:pPr>
          </w:p>
        </w:tc>
      </w:tr>
      <w:tr>
        <w:tblPrEx>
          <w:tblCellMar>
            <w:top w:w="0" w:type="dxa"/>
            <w:left w:w="108" w:type="dxa"/>
            <w:bottom w:w="0" w:type="dxa"/>
            <w:right w:w="108" w:type="dxa"/>
          </w:tblCellMar>
        </w:tblPrEx>
        <w:trPr>
          <w:trHeight w:val="658" w:hRule="atLeast"/>
        </w:trPr>
        <w:tc>
          <w:tcPr>
            <w:tcW w:w="981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b/>
                <w:bCs/>
                <w:color w:val="000000"/>
                <w:kern w:val="0"/>
                <w:sz w:val="30"/>
                <w:szCs w:val="30"/>
              </w:rPr>
            </w:pPr>
            <w:r>
              <w:rPr>
                <w:rFonts w:hint="eastAsia" w:ascii="仿宋_GB2312" w:hAnsi="宋体" w:eastAsia="仿宋_GB2312" w:cs="宋体"/>
                <w:b/>
                <w:bCs/>
                <w:color w:val="000000"/>
                <w:kern w:val="0"/>
                <w:sz w:val="30"/>
                <w:szCs w:val="30"/>
              </w:rPr>
              <w:t>一、“双随机、一公开”监管工作安排部署情况</w:t>
            </w:r>
          </w:p>
        </w:tc>
      </w:tr>
      <w:tr>
        <w:tblPrEx>
          <w:tblCellMar>
            <w:top w:w="0" w:type="dxa"/>
            <w:left w:w="108" w:type="dxa"/>
            <w:bottom w:w="0" w:type="dxa"/>
            <w:right w:w="108" w:type="dxa"/>
          </w:tblCellMar>
        </w:tblPrEx>
        <w:trPr>
          <w:trHeight w:val="761"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1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本月召开会议部署随机抽查工作情况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76"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2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本月印发双随机工作文件情况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884"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3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本月组织随机抽查业务培训情况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455" w:hRule="atLeast"/>
        </w:trPr>
        <w:tc>
          <w:tcPr>
            <w:tcW w:w="9818" w:type="dxa"/>
            <w:gridSpan w:val="5"/>
            <w:tcBorders>
              <w:top w:val="single" w:color="auto" w:sz="4" w:space="0"/>
              <w:left w:val="single" w:color="auto" w:sz="8" w:space="0"/>
              <w:bottom w:val="nil"/>
              <w:right w:val="single" w:color="000000" w:sz="8" w:space="0"/>
            </w:tcBorders>
            <w:shd w:val="clear" w:color="auto" w:fill="auto"/>
            <w:vAlign w:val="center"/>
          </w:tcPr>
          <w:p>
            <w:pPr>
              <w:widowControl/>
              <w:spacing w:line="500" w:lineRule="exact"/>
              <w:jc w:val="center"/>
              <w:rPr>
                <w:rFonts w:ascii="仿宋_GB2312" w:hAnsi="宋体" w:eastAsia="仿宋_GB2312" w:cs="宋体"/>
                <w:b/>
                <w:bCs/>
                <w:color w:val="000000"/>
                <w:kern w:val="0"/>
                <w:sz w:val="30"/>
                <w:szCs w:val="30"/>
              </w:rPr>
            </w:pPr>
            <w:r>
              <w:rPr>
                <w:rFonts w:hint="eastAsia" w:ascii="仿宋_GB2312" w:hAnsi="宋体" w:eastAsia="仿宋_GB2312" w:cs="宋体"/>
                <w:b/>
                <w:bCs/>
                <w:color w:val="000000"/>
                <w:kern w:val="0"/>
                <w:sz w:val="30"/>
                <w:szCs w:val="30"/>
              </w:rPr>
              <w:t>二、“双随机、一公开”监管工作开展情况</w:t>
            </w:r>
          </w:p>
        </w:tc>
      </w:tr>
      <w:tr>
        <w:tblPrEx>
          <w:tblCellMar>
            <w:top w:w="0" w:type="dxa"/>
            <w:left w:w="108" w:type="dxa"/>
            <w:bottom w:w="0" w:type="dxa"/>
            <w:right w:w="108" w:type="dxa"/>
          </w:tblCellMar>
        </w:tblPrEx>
        <w:trPr>
          <w:trHeight w:val="363" w:hRule="atLeast"/>
        </w:trPr>
        <w:tc>
          <w:tcPr>
            <w:tcW w:w="58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w:t>
            </w:r>
          </w:p>
        </w:tc>
        <w:tc>
          <w:tcPr>
            <w:tcW w:w="923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本月按年度随机抽查工作计划县本级开展随机抽查情况</w:t>
            </w:r>
          </w:p>
        </w:tc>
      </w:tr>
      <w:tr>
        <w:tblPrEx>
          <w:tblCellMar>
            <w:top w:w="0" w:type="dxa"/>
            <w:left w:w="108" w:type="dxa"/>
            <w:bottom w:w="0" w:type="dxa"/>
            <w:right w:w="108" w:type="dxa"/>
          </w:tblCellMar>
        </w:tblPrEx>
        <w:trPr>
          <w:trHeight w:val="662"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本月组织随机抽查的文件</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89"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随机抽查抽查对象范围、数量、抽查比例</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455"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随机抽查的检查事项</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93"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随机抽查结果公示情况</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382" w:hRule="atLeast"/>
        </w:trPr>
        <w:tc>
          <w:tcPr>
            <w:tcW w:w="58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w:t>
            </w:r>
          </w:p>
        </w:tc>
        <w:tc>
          <w:tcPr>
            <w:tcW w:w="923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全县本系统开展随机抽查情况</w:t>
            </w:r>
          </w:p>
        </w:tc>
      </w:tr>
      <w:tr>
        <w:tblPrEx>
          <w:tblCellMar>
            <w:top w:w="0" w:type="dxa"/>
            <w:left w:w="108" w:type="dxa"/>
            <w:bottom w:w="0" w:type="dxa"/>
            <w:right w:w="108" w:type="dxa"/>
          </w:tblCellMar>
        </w:tblPrEx>
        <w:trPr>
          <w:trHeight w:val="382" w:hRule="atLeast"/>
        </w:trPr>
        <w:tc>
          <w:tcPr>
            <w:tcW w:w="583"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923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（开展的单位及抽查检查主体数量及抽查结果公示数量等情况）</w:t>
            </w:r>
          </w:p>
        </w:tc>
      </w:tr>
      <w:tr>
        <w:tblPrEx>
          <w:tblCellMar>
            <w:top w:w="0" w:type="dxa"/>
            <w:left w:w="108" w:type="dxa"/>
            <w:bottom w:w="0" w:type="dxa"/>
            <w:right w:w="108" w:type="dxa"/>
          </w:tblCellMar>
        </w:tblPrEx>
        <w:trPr>
          <w:trHeight w:val="301" w:hRule="atLeast"/>
        </w:trPr>
        <w:tc>
          <w:tcPr>
            <w:tcW w:w="583" w:type="dxa"/>
            <w:tcBorders>
              <w:top w:val="nil"/>
              <w:left w:val="nil"/>
              <w:bottom w:val="nil"/>
              <w:right w:val="nil"/>
            </w:tcBorders>
            <w:shd w:val="clear" w:color="auto" w:fill="auto"/>
            <w:noWrap/>
            <w:vAlign w:val="center"/>
          </w:tcPr>
          <w:p>
            <w:pPr>
              <w:widowControl/>
              <w:spacing w:line="600" w:lineRule="exact"/>
              <w:jc w:val="left"/>
              <w:rPr>
                <w:rFonts w:hint="eastAsia" w:ascii="仿宋_GB2312" w:hAnsi="宋体" w:eastAsia="仿宋_GB2312" w:cs="宋体"/>
                <w:color w:val="000000"/>
                <w:kern w:val="0"/>
                <w:sz w:val="32"/>
                <w:szCs w:val="32"/>
                <w:lang w:eastAsia="zh-CN"/>
              </w:rPr>
            </w:pPr>
          </w:p>
        </w:tc>
        <w:tc>
          <w:tcPr>
            <w:tcW w:w="8454" w:type="dxa"/>
            <w:gridSpan w:val="2"/>
            <w:tcBorders>
              <w:top w:val="nil"/>
              <w:left w:val="nil"/>
              <w:bottom w:val="nil"/>
              <w:right w:val="nil"/>
            </w:tcBorders>
            <w:shd w:val="clear" w:color="auto" w:fill="auto"/>
            <w:noWrap/>
            <w:vAlign w:val="center"/>
          </w:tcPr>
          <w:p>
            <w:pPr>
              <w:widowControl/>
              <w:spacing w:line="600" w:lineRule="exact"/>
              <w:jc w:val="left"/>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eastAsia="zh-CN"/>
              </w:rPr>
              <w:t>联系人：</w:t>
            </w:r>
            <w:r>
              <w:rPr>
                <w:rFonts w:hint="eastAsia" w:ascii="仿宋_GB2312" w:hAnsi="宋体" w:eastAsia="仿宋_GB2312" w:cs="宋体"/>
                <w:color w:val="000000"/>
                <w:kern w:val="0"/>
                <w:sz w:val="32"/>
                <w:szCs w:val="32"/>
                <w:lang w:val="en-US" w:eastAsia="zh-CN"/>
              </w:rPr>
              <w:t xml:space="preserve">                           电话：</w:t>
            </w:r>
          </w:p>
        </w:tc>
        <w:tc>
          <w:tcPr>
            <w:tcW w:w="438"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344"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r>
      <w:tr>
        <w:tblPrEx>
          <w:tblCellMar>
            <w:top w:w="0" w:type="dxa"/>
            <w:left w:w="108" w:type="dxa"/>
            <w:bottom w:w="0" w:type="dxa"/>
            <w:right w:w="108" w:type="dxa"/>
          </w:tblCellMar>
        </w:tblPrEx>
        <w:trPr>
          <w:trHeight w:val="301" w:hRule="atLeast"/>
        </w:trPr>
        <w:tc>
          <w:tcPr>
            <w:tcW w:w="583"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8454" w:type="dxa"/>
            <w:gridSpan w:val="2"/>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438"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344"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r>
    </w:tbl>
    <w:p>
      <w:pPr>
        <w:pStyle w:val="7"/>
        <w:widowControl/>
        <w:spacing w:line="600" w:lineRule="exact"/>
        <w:jc w:val="left"/>
        <w:rPr>
          <w:rFonts w:ascii="仿宋_GB2312" w:eastAsia="仿宋_GB2312" w:hAnsiTheme="minorEastAsia" w:cstheme="minorEastAsia"/>
          <w:bCs/>
          <w:color w:val="000000"/>
          <w:sz w:val="32"/>
          <w:szCs w:val="32"/>
        </w:rPr>
      </w:pPr>
    </w:p>
    <w:sectPr>
      <w:footerReference r:id="rId3" w:type="default"/>
      <w:pgSz w:w="11906" w:h="16838"/>
      <w:pgMar w:top="1531" w:right="1531" w:bottom="1531" w:left="153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pPr>
          <w:pStyle w:val="5"/>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FjOGQwYzk1MzBjYWQzYmFlMzkyZWYyMmVlOWIwNWMifQ=="/>
  </w:docVars>
  <w:rsids>
    <w:rsidRoot w:val="00DF309C"/>
    <w:rsid w:val="000D416C"/>
    <w:rsid w:val="00131CB6"/>
    <w:rsid w:val="001430E8"/>
    <w:rsid w:val="001E34F7"/>
    <w:rsid w:val="002061F3"/>
    <w:rsid w:val="00356461"/>
    <w:rsid w:val="004B3816"/>
    <w:rsid w:val="004D294E"/>
    <w:rsid w:val="00504896"/>
    <w:rsid w:val="00510A15"/>
    <w:rsid w:val="005B4F22"/>
    <w:rsid w:val="00622798"/>
    <w:rsid w:val="006A264A"/>
    <w:rsid w:val="007055D1"/>
    <w:rsid w:val="007579EE"/>
    <w:rsid w:val="00814826"/>
    <w:rsid w:val="0082107B"/>
    <w:rsid w:val="008D44ED"/>
    <w:rsid w:val="00910893"/>
    <w:rsid w:val="009513E2"/>
    <w:rsid w:val="00995AFF"/>
    <w:rsid w:val="00A079AD"/>
    <w:rsid w:val="00A232E5"/>
    <w:rsid w:val="00A41C77"/>
    <w:rsid w:val="00A42EFA"/>
    <w:rsid w:val="00A56055"/>
    <w:rsid w:val="00AC6260"/>
    <w:rsid w:val="00AE60B8"/>
    <w:rsid w:val="00AE697E"/>
    <w:rsid w:val="00BE4B5A"/>
    <w:rsid w:val="00C82AC1"/>
    <w:rsid w:val="00C96B0D"/>
    <w:rsid w:val="00D327AB"/>
    <w:rsid w:val="00D867F7"/>
    <w:rsid w:val="00DA4DAC"/>
    <w:rsid w:val="00DF309C"/>
    <w:rsid w:val="00DF6792"/>
    <w:rsid w:val="00EA55C9"/>
    <w:rsid w:val="00ED2D94"/>
    <w:rsid w:val="00F00E3A"/>
    <w:rsid w:val="00F05DC1"/>
    <w:rsid w:val="00F14A62"/>
    <w:rsid w:val="00F64F0C"/>
    <w:rsid w:val="00F87900"/>
    <w:rsid w:val="00FC51A0"/>
    <w:rsid w:val="00FC6137"/>
    <w:rsid w:val="06285A10"/>
    <w:rsid w:val="0983714B"/>
    <w:rsid w:val="17E15861"/>
    <w:rsid w:val="195444EE"/>
    <w:rsid w:val="1E4363CF"/>
    <w:rsid w:val="2CBC3918"/>
    <w:rsid w:val="32130D04"/>
    <w:rsid w:val="40BD26D5"/>
    <w:rsid w:val="459B4CA3"/>
    <w:rsid w:val="4E5C4F7C"/>
    <w:rsid w:val="51AB576F"/>
    <w:rsid w:val="563A4E7A"/>
    <w:rsid w:val="587F4A06"/>
    <w:rsid w:val="611A05CE"/>
    <w:rsid w:val="6848574E"/>
    <w:rsid w:val="68DA5ED1"/>
    <w:rsid w:val="76852410"/>
    <w:rsid w:val="785376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next w:val="1"/>
    <w:link w:val="14"/>
    <w:qFormat/>
    <w:uiPriority w:val="0"/>
    <w:pPr>
      <w:spacing w:after="120"/>
    </w:pPr>
    <w:rPr>
      <w:rFonts w:ascii="Calibri" w:hAnsi="Calibri" w:eastAsia="宋体" w:cs="Times New Roman"/>
      <w:sz w:val="28"/>
      <w:szCs w:val="28"/>
    </w:r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rPr>
      <w:sz w:val="24"/>
    </w:rPr>
  </w:style>
  <w:style w:type="character" w:styleId="10">
    <w:name w:val="Strong"/>
    <w:basedOn w:val="9"/>
    <w:qFormat/>
    <w:uiPriority w:val="22"/>
    <w:rPr>
      <w:b/>
      <w:bCs/>
    </w:rPr>
  </w:style>
  <w:style w:type="character" w:customStyle="1" w:styleId="11">
    <w:name w:val="页眉 Char"/>
    <w:basedOn w:val="9"/>
    <w:link w:val="6"/>
    <w:qFormat/>
    <w:uiPriority w:val="0"/>
    <w:rPr>
      <w:rFonts w:asciiTheme="minorHAnsi" w:hAnsiTheme="minorHAnsi" w:eastAsiaTheme="minorEastAsia" w:cstheme="minorBidi"/>
      <w:kern w:val="2"/>
      <w:sz w:val="18"/>
      <w:szCs w:val="18"/>
    </w:rPr>
  </w:style>
  <w:style w:type="character" w:customStyle="1" w:styleId="12">
    <w:name w:val="页脚 Char"/>
    <w:basedOn w:val="9"/>
    <w:link w:val="5"/>
    <w:qFormat/>
    <w:uiPriority w:val="99"/>
    <w:rPr>
      <w:rFonts w:asciiTheme="minorHAnsi" w:hAnsiTheme="minorHAnsi" w:eastAsiaTheme="minorEastAsia" w:cstheme="minorBidi"/>
      <w:kern w:val="2"/>
      <w:sz w:val="18"/>
      <w:szCs w:val="18"/>
    </w:rPr>
  </w:style>
  <w:style w:type="character" w:customStyle="1" w:styleId="13">
    <w:name w:val="日期 Char"/>
    <w:basedOn w:val="9"/>
    <w:link w:val="4"/>
    <w:qFormat/>
    <w:uiPriority w:val="0"/>
    <w:rPr>
      <w:rFonts w:asciiTheme="minorHAnsi" w:hAnsiTheme="minorHAnsi" w:eastAsiaTheme="minorEastAsia" w:cstheme="minorBidi"/>
      <w:kern w:val="2"/>
      <w:sz w:val="21"/>
      <w:szCs w:val="24"/>
    </w:rPr>
  </w:style>
  <w:style w:type="character" w:customStyle="1" w:styleId="14">
    <w:name w:val="正文文本 Char"/>
    <w:basedOn w:val="9"/>
    <w:link w:val="3"/>
    <w:qFormat/>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343</Words>
  <Characters>1958</Characters>
  <Lines>16</Lines>
  <Paragraphs>4</Paragraphs>
  <TotalTime>5</TotalTime>
  <ScaleCrop>false</ScaleCrop>
  <LinksUpToDate>false</LinksUpToDate>
  <CharactersWithSpaces>2297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Administrator</cp:lastModifiedBy>
  <cp:lastPrinted>2020-04-23T09:04:00Z</cp:lastPrinted>
  <dcterms:modified xsi:type="dcterms:W3CDTF">2023-02-28T08:01:10Z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387E74DE6387496B87A9BF399268B270</vt:lpwstr>
  </property>
</Properties>
</file>