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涞源县鲜渔鲜寻商贸有限公司</w:t>
      </w:r>
      <w:bookmarkStart w:id="0" w:name="_GoBack"/>
      <w:bookmarkEnd w:id="0"/>
      <w:r>
        <w:rPr>
          <w:rFonts w:hint="eastAsia" w:ascii="仿宋_GB2312" w:hAnsi="仿宋_GB2312" w:eastAsia="仿宋_GB2312" w:cs="仿宋_GB2312"/>
          <w:sz w:val="24"/>
          <w:szCs w:val="24"/>
          <w:lang w:val="en-US" w:eastAsia="zh-CN"/>
        </w:rPr>
        <w:t>销售的多宝鱼、石斑鱼、海鲈鱼。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（一）2022年3月17日，石家庄海关技术抽检人员对涞源县鲜渔鲜寻商贸有限公司销售的多宝鱼、石斑鱼、海鲈鱼进行了抽样检测。2022年5月13日收到检验报告显示该公司销售的：</w:t>
      </w:r>
      <w:r>
        <w:rPr>
          <w:rFonts w:hint="eastAsia" w:ascii="仿宋" w:hAnsi="仿宋" w:eastAsia="仿宋" w:cs="仿宋"/>
          <w:sz w:val="24"/>
          <w:szCs w:val="24"/>
          <w:u w:val="none" w:color="auto"/>
          <w:lang w:val="en-US" w:eastAsia="zh-CN"/>
        </w:rPr>
        <w:t>1、多宝鱼环丙沙星、恩诺沙星、磺胺类（总量）；2、石斑鱼磺胺类（总量）；3、海鲈鱼磺胺类（总量）项目不符合GB31650-2019《食品安全国家标准-食品中兽药最大残留限量》的要求，检测结论为不合格。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（三）涞源县鲜渔鲜寻商贸有限公司进行了整改，严格落实进货查验制度，完善索证索索票，市场监管局对该公司进行了复查，检查结果合格。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16367C83"/>
    <w:rsid w:val="17904FF2"/>
    <w:rsid w:val="2B8037B1"/>
    <w:rsid w:val="32862F30"/>
    <w:rsid w:val="33FF6EE0"/>
    <w:rsid w:val="3AE45F64"/>
    <w:rsid w:val="3E1C7520"/>
    <w:rsid w:val="4E316791"/>
    <w:rsid w:val="590A6EC5"/>
    <w:rsid w:val="65280281"/>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490</Words>
  <Characters>512</Characters>
  <Lines>0</Lines>
  <Paragraphs>0</Paragraphs>
  <TotalTime>4</TotalTime>
  <ScaleCrop>false</ScaleCrop>
  <LinksUpToDate>false</LinksUpToDate>
  <CharactersWithSpaces>512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2022-07-18T09:38:56Z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88D202F893D846FC99B78AF899F7A985</vt:lpwstr>
  </property>
</Properties>
</file>