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涞源县市场监督管理局</w:t>
      </w:r>
    </w:p>
    <w:p>
      <w:pPr>
        <w:keepNext w:val="0"/>
        <w:keepLines w:val="0"/>
        <w:pageBreakBefore w:val="0"/>
        <w:widowControl w:val="0"/>
        <w:kinsoku/>
        <w:wordWrap/>
        <w:overflowPunct/>
        <w:topLinePunct w:val="0"/>
        <w:autoSpaceDE/>
        <w:autoSpaceDN/>
        <w:bidi w:val="0"/>
        <w:adjustRightInd/>
        <w:snapToGrid/>
        <w:spacing w:line="560" w:lineRule="exact"/>
        <w:jc w:val="center"/>
        <w:textAlignment w:val="auto"/>
        <w:rPr>
          <w:rFonts w:hint="eastAsia" w:ascii="仿宋_GB2312" w:hAnsi="仿宋_GB2312" w:eastAsia="仿宋_GB2312" w:cs="仿宋_GB2312"/>
          <w:sz w:val="30"/>
          <w:szCs w:val="30"/>
          <w:lang w:val="en-US" w:eastAsia="zh-CN"/>
        </w:rPr>
      </w:pPr>
      <w:r>
        <w:rPr>
          <w:rFonts w:hint="eastAsia" w:ascii="仿宋_GB2312" w:hAnsi="仿宋_GB2312" w:eastAsia="仿宋_GB2312" w:cs="仿宋_GB2312"/>
          <w:sz w:val="30"/>
          <w:szCs w:val="30"/>
          <w:lang w:val="en-US" w:eastAsia="zh-CN"/>
        </w:rPr>
        <w:t>关于不合格餐饮具核处置情况的通告</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0" w:firstLineChars="0"/>
        <w:textAlignment w:val="auto"/>
        <w:rPr>
          <w:rFonts w:hint="eastAsia" w:ascii="仿宋_GB2312" w:hAnsi="仿宋_GB2312" w:eastAsia="仿宋_GB2312" w:cs="仿宋_GB2312"/>
          <w:sz w:val="24"/>
          <w:szCs w:val="24"/>
          <w:lang w:val="en-US" w:eastAsia="zh-CN"/>
        </w:rPr>
      </w:pP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涞源县市场监督管理局发布的《关于2022年3月餐饮具抽检不合格情况的通告》，涉及2家餐饮单位。现将不合格食品核查处置情况通告如下：</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一、涞源县渝味捞火锅店使用的套装餐具</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（一）涞源县渝味捞火锅店使用的套装餐具大肠菌群不合格，购进（生产）日期为2022年3月16日。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3月16日，涞源县市场监督管理局对涞源县渝味捞火锅店使用的套装餐具进行了抽样检测。2022年4月24日收到检验报告显示该店使用的套装餐具大肠菌群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鉴于当事人履行了积极整改，对餐饮具进行了全面消毒，并将整改后套装餐具进行了送检，再次检测结果为合格。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（三）涞源县渝味捞火锅店进行了整改，严格落实餐饮具清洗制度，并对整改后餐具进行了送检，检测结果为合格。市场监管局对该餐饮店进行了复查，检查结果合格。</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二、涞源县荷湾饭店使用的套装餐具</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（一）涞源县荷湾饭店使用的套装餐具大肠菌群不合格，购进（生产）日期为2022年3月16日。</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（二）2022年3月16日，涞源县市场监督管理局对涞源县荷湾饭店使用的套装餐具进行了抽样检测。2022年5月13</w:t>
      </w:r>
      <w:bookmarkStart w:id="0" w:name="_GoBack"/>
      <w:bookmarkEnd w:id="0"/>
      <w:r>
        <w:rPr>
          <w:rFonts w:hint="eastAsia" w:ascii="仿宋_GB2312" w:hAnsi="仿宋_GB2312" w:eastAsia="仿宋_GB2312" w:cs="仿宋_GB2312"/>
          <w:sz w:val="24"/>
          <w:szCs w:val="24"/>
          <w:lang w:val="en-US" w:eastAsia="zh-CN"/>
        </w:rPr>
        <w:t>日收到检验报告显示该店使用的套装餐具大肠菌群不符合食品安全国家标准-消毒餐（饮）具的要求，检测结论为不合格。</w:t>
      </w:r>
      <w:r>
        <w:rPr>
          <w:rFonts w:hint="eastAsia" w:ascii="仿宋_GB2312" w:hAnsi="仿宋_GB2312" w:eastAsia="仿宋_GB2312" w:cs="仿宋_GB2312"/>
          <w:sz w:val="24"/>
          <w:szCs w:val="24"/>
        </w:rPr>
        <w:t>其行为涉嫌</w:t>
      </w:r>
      <w:r>
        <w:rPr>
          <w:rFonts w:hint="eastAsia" w:ascii="仿宋_GB2312" w:hAnsi="仿宋_GB2312" w:eastAsia="仿宋_GB2312" w:cs="仿宋_GB2312"/>
          <w:sz w:val="24"/>
          <w:szCs w:val="24"/>
          <w:lang w:eastAsia="zh-CN"/>
        </w:rPr>
        <w:t>违反</w:t>
      </w:r>
      <w:r>
        <w:rPr>
          <w:rFonts w:hint="eastAsia" w:ascii="仿宋_GB2312" w:hAnsi="仿宋_GB2312" w:eastAsia="仿宋_GB2312" w:cs="仿宋_GB2312"/>
          <w:sz w:val="24"/>
          <w:szCs w:val="24"/>
        </w:rPr>
        <w:t>了《中华人民共和国食品安全法》第</w:t>
      </w:r>
      <w:r>
        <w:rPr>
          <w:rFonts w:hint="eastAsia" w:ascii="仿宋_GB2312" w:hAnsi="仿宋_GB2312" w:eastAsia="仿宋_GB2312" w:cs="仿宋_GB2312"/>
          <w:sz w:val="24"/>
          <w:szCs w:val="24"/>
          <w:lang w:eastAsia="zh-CN"/>
        </w:rPr>
        <w:t>五十六</w:t>
      </w:r>
      <w:r>
        <w:rPr>
          <w:rFonts w:hint="eastAsia" w:ascii="仿宋_GB2312" w:hAnsi="仿宋_GB2312" w:eastAsia="仿宋_GB2312" w:cs="仿宋_GB2312"/>
          <w:sz w:val="24"/>
          <w:szCs w:val="24"/>
        </w:rPr>
        <w:t>条第</w:t>
      </w:r>
      <w:r>
        <w:rPr>
          <w:rFonts w:hint="eastAsia" w:ascii="仿宋_GB2312" w:hAnsi="仿宋_GB2312" w:eastAsia="仿宋_GB2312" w:cs="仿宋_GB2312"/>
          <w:sz w:val="24"/>
          <w:szCs w:val="24"/>
          <w:lang w:eastAsia="zh-CN"/>
        </w:rPr>
        <w:t>二</w:t>
      </w:r>
      <w:r>
        <w:rPr>
          <w:rFonts w:hint="eastAsia" w:ascii="仿宋_GB2312" w:hAnsi="仿宋_GB2312" w:eastAsia="仿宋_GB2312" w:cs="仿宋_GB2312"/>
          <w:sz w:val="24"/>
          <w:szCs w:val="24"/>
        </w:rPr>
        <w:t>款</w:t>
      </w:r>
      <w:r>
        <w:rPr>
          <w:rFonts w:hint="eastAsia" w:ascii="仿宋_GB2312" w:hAnsi="仿宋_GB2312" w:eastAsia="仿宋_GB2312" w:cs="仿宋_GB2312"/>
          <w:sz w:val="24"/>
          <w:szCs w:val="24"/>
          <w:lang w:eastAsia="zh-CN"/>
        </w:rPr>
        <w:t>的</w:t>
      </w:r>
      <w:r>
        <w:rPr>
          <w:rFonts w:hint="eastAsia" w:ascii="仿宋_GB2312" w:hAnsi="仿宋_GB2312" w:eastAsia="仿宋_GB2312" w:cs="仿宋_GB2312"/>
          <w:sz w:val="24"/>
          <w:szCs w:val="24"/>
        </w:rPr>
        <w:t>规定。</w:t>
      </w:r>
      <w:r>
        <w:rPr>
          <w:rFonts w:hint="eastAsia" w:ascii="仿宋_GB2312" w:hAnsi="仿宋_GB2312" w:eastAsia="仿宋_GB2312" w:cs="仿宋_GB2312"/>
          <w:sz w:val="24"/>
          <w:szCs w:val="24"/>
          <w:lang w:eastAsia="zh-CN"/>
        </w:rPr>
        <w:t>鉴于当事人履行了积极整改，对餐饮具进行了全面消毒，并将整改后套装餐具进行了送检，再次检测结果为合格。</w:t>
      </w:r>
      <w:r>
        <w:rPr>
          <w:rFonts w:hint="eastAsia" w:ascii="仿宋_GB2312" w:hAnsi="仿宋_GB2312" w:eastAsia="仿宋_GB2312" w:cs="仿宋_GB2312"/>
          <w:color w:val="000000"/>
          <w:sz w:val="24"/>
          <w:szCs w:val="24"/>
        </w:rPr>
        <w:t>根据《中华人民共和国食品安全法》第一百</w:t>
      </w:r>
      <w:r>
        <w:rPr>
          <w:rFonts w:hint="eastAsia" w:ascii="仿宋_GB2312" w:hAnsi="仿宋_GB2312" w:eastAsia="仿宋_GB2312" w:cs="仿宋_GB2312"/>
          <w:color w:val="000000"/>
          <w:sz w:val="24"/>
          <w:szCs w:val="24"/>
          <w:lang w:eastAsia="zh-CN"/>
        </w:rPr>
        <w:t>二</w:t>
      </w:r>
      <w:r>
        <w:rPr>
          <w:rFonts w:hint="eastAsia" w:ascii="仿宋_GB2312" w:hAnsi="仿宋_GB2312" w:eastAsia="仿宋_GB2312" w:cs="仿宋_GB2312"/>
          <w:color w:val="000000"/>
          <w:sz w:val="24"/>
          <w:szCs w:val="24"/>
        </w:rPr>
        <w:t>十六条的规定，</w:t>
      </w:r>
      <w:r>
        <w:rPr>
          <w:rFonts w:hint="eastAsia" w:ascii="仿宋_GB2312" w:hAnsi="仿宋_GB2312" w:eastAsia="仿宋_GB2312" w:cs="仿宋_GB2312"/>
          <w:color w:val="000000"/>
          <w:sz w:val="24"/>
          <w:szCs w:val="24"/>
          <w:lang w:eastAsia="zh-CN"/>
        </w:rPr>
        <w:t>决定责令改正，并给予警告的行政处罚。</w:t>
      </w:r>
    </w:p>
    <w:p>
      <w:pPr>
        <w:pStyle w:val="2"/>
        <w:keepNext w:val="0"/>
        <w:keepLines w:val="0"/>
        <w:pageBreakBefore w:val="0"/>
        <w:widowControl w:val="0"/>
        <w:kinsoku/>
        <w:wordWrap/>
        <w:overflowPunct/>
        <w:topLinePunct w:val="0"/>
        <w:autoSpaceDE/>
        <w:autoSpaceDN/>
        <w:bidi w:val="0"/>
        <w:adjustRightInd/>
        <w:snapToGrid/>
        <w:spacing w:line="520" w:lineRule="exact"/>
        <w:ind w:left="0" w:leftChars="0" w:firstLine="480" w:firstLineChars="200"/>
        <w:textAlignment w:val="auto"/>
        <w:rPr>
          <w:rFonts w:hint="eastAsia" w:ascii="仿宋_GB2312" w:hAnsi="仿宋_GB2312" w:eastAsia="仿宋_GB2312" w:cs="仿宋_GB2312"/>
          <w:sz w:val="24"/>
          <w:szCs w:val="24"/>
          <w:lang w:val="en-US" w:eastAsia="zh-CN"/>
        </w:rPr>
      </w:pPr>
      <w:r>
        <w:rPr>
          <w:rFonts w:hint="eastAsia" w:ascii="仿宋_GB2312" w:hAnsi="仿宋_GB2312" w:eastAsia="仿宋_GB2312" w:cs="仿宋_GB2312"/>
          <w:sz w:val="24"/>
          <w:szCs w:val="24"/>
          <w:lang w:val="en-US" w:eastAsia="zh-CN"/>
        </w:rPr>
        <w:t>（三）涞源县荷湾饭店进行了整改，严格落实餐饮具清洗制度，并对整改后餐具进行了送检，检测结果为合格。市场监管局对该餐饮店进行了复查，检查结果合格。</w:t>
      </w:r>
    </w:p>
    <w:p>
      <w:pPr>
        <w:pStyle w:val="2"/>
        <w:rPr>
          <w:rFonts w:hint="eastAsia" w:ascii="仿宋_GB2312" w:hAnsi="仿宋_GB2312" w:eastAsia="仿宋_GB2312" w:cs="仿宋_GB2312"/>
          <w:sz w:val="24"/>
          <w:szCs w:val="24"/>
        </w:rPr>
      </w:pPr>
    </w:p>
    <w:p>
      <w:pPr>
        <w:rPr>
          <w:rFonts w:hint="eastAsia" w:ascii="仿宋_GB2312" w:hAnsi="仿宋_GB2312" w:eastAsia="仿宋_GB2312" w:cs="仿宋_GB2312"/>
          <w:sz w:val="24"/>
          <w:szCs w:val="24"/>
        </w:rPr>
      </w:pP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altName w:val="仿宋"/>
    <w:panose1 w:val="02010609030101010101"/>
    <w:charset w:val="86"/>
    <w:family w:val="auto"/>
    <w:pitch w:val="default"/>
    <w:sig w:usb0="00000000" w:usb1="00000000" w:usb2="00000000" w:usb3="00000000" w:csb0="00040000" w:csb1="00000000"/>
  </w:font>
  <w:font w:name="仿宋">
    <w:panose1 w:val="02010609060101010101"/>
    <w:charset w:val="86"/>
    <w:family w:val="auto"/>
    <w:pitch w:val="default"/>
    <w:sig w:usb0="800002BF" w:usb1="38CF7CFA" w:usb2="00000016" w:usb3="00000000" w:csb0="00040001" w:csb1="00000000"/>
  </w:font>
  <w:font w:name="仿宋_GB2312">
    <w:altName w:val="仿宋"/>
    <w:panose1 w:val="00000000000000000000"/>
    <w:charset w:val="00"/>
    <w:family w:val="auto"/>
    <w:pitch w:val="default"/>
    <w:sig w:usb0="00000000" w:usb1="00000000" w:usb2="00000000" w:usb3="00000000" w:csb0="00000000"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90"/>
  <w:embedSystemFonts/>
  <w:bordersDoNotSurroundHeader w:val="1"/>
  <w:bordersDoNotSurroundFooter w:val="1"/>
  <w:documentProtection w:enforcement="0"/>
  <w:defaultTabStop w:val="42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zJhZjEyMWExMGFkYzEwNmI5OTJjY2M3ZDM3YjEyOTIifQ=="/>
  </w:docVars>
  <w:rsids>
    <w:rsidRoot w:val="00000000"/>
    <w:rsid w:val="17904FF2"/>
    <w:rsid w:val="1F677836"/>
    <w:rsid w:val="2B8037B1"/>
    <w:rsid w:val="49D32291"/>
    <w:rsid w:val="4A36320C"/>
    <w:rsid w:val="51493897"/>
    <w:rsid w:val="590A6EC5"/>
    <w:rsid w:val="5AAB0632"/>
    <w:rsid w:val="65280281"/>
    <w:rsid w:val="6FB25595"/>
    <w:rsid w:val="73ED3865"/>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EastAsia"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qFormat="1"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next w:val="2"/>
    <w:qFormat/>
    <w:uiPriority w:val="0"/>
    <w:pPr>
      <w:widowControl w:val="0"/>
      <w:jc w:val="both"/>
    </w:pPr>
    <w:rPr>
      <w:rFonts w:ascii="Calibri" w:hAnsi="Calibri" w:eastAsia="宋体" w:cs="Times New Roman"/>
      <w:kern w:val="2"/>
      <w:sz w:val="21"/>
      <w:szCs w:val="24"/>
      <w:lang w:val="en-US" w:eastAsia="zh-CN" w:bidi="ar-SA"/>
    </w:rPr>
  </w:style>
  <w:style w:type="character" w:default="1" w:styleId="4">
    <w:name w:val="Default Paragraph Font"/>
    <w:semiHidden/>
    <w:qFormat/>
    <w:uiPriority w:val="0"/>
  </w:style>
  <w:style w:type="table" w:default="1" w:styleId="3">
    <w:name w:val="Normal Table"/>
    <w:semiHidden/>
    <w:qFormat/>
    <w:uiPriority w:val="0"/>
    <w:tblPr>
      <w:tblCellMar>
        <w:top w:w="0" w:type="dxa"/>
        <w:left w:w="108" w:type="dxa"/>
        <w:bottom w:w="0" w:type="dxa"/>
        <w:right w:w="108" w:type="dxa"/>
      </w:tblCellMar>
    </w:tblPr>
  </w:style>
  <w:style w:type="paragraph" w:styleId="2">
    <w:name w:val="toc 2"/>
    <w:basedOn w:val="1"/>
    <w:next w:val="1"/>
    <w:qFormat/>
    <w:uiPriority w:val="0"/>
    <w:pPr>
      <w:ind w:left="420" w:leftChars="200"/>
    </w:p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450</Words>
  <Characters>465</Characters>
  <Lines>0</Lines>
  <Paragraphs>0</Paragraphs>
  <TotalTime>0</TotalTime>
  <ScaleCrop>false</ScaleCrop>
  <LinksUpToDate>false</LinksUpToDate>
  <CharactersWithSpaces>465</CharactersWithSpaces>
  <Application>WPS Office_11.1.0.11830_F1E327BC-269C-435d-A152-05C5408002CA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2021-12-04T02:31:00Z</dcterms:created>
  <dc:creator>Administrator</dc:creator>
  <cp:lastModifiedBy>Administrator</cp:lastModifiedBy>
  <dcterms:modified xsi:type="dcterms:W3CDTF">2022-07-18T03:24:35Z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2052-11.1.0.11830</vt:lpwstr>
  </property>
  <property fmtid="{D5CDD505-2E9C-101B-9397-08002B2CF9AE}" pid="3" name="ICV">
    <vt:lpwstr>88D202F893D846FC99B78AF899F7A985</vt:lpwstr>
  </property>
</Properties>
</file>