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EE4F64A">
      <w:pPr>
        <w:pStyle w:val="2"/>
        <w:widowControl/>
        <w:shd w:val="clear" w:color="auto" w:fill="FFFFFF"/>
        <w:spacing w:beforeAutospacing="0" w:afterAutospacing="0" w:line="560" w:lineRule="exact"/>
        <w:jc w:val="center"/>
        <w:rPr>
          <w:rFonts w:hint="default" w:ascii="方正小标宋简体" w:hAnsi="方正小标宋简体" w:eastAsia="方正小标宋简体" w:cs="方正小标宋简体"/>
          <w:color w:val="000000" w:themeColor="text1"/>
          <w:sz w:val="44"/>
          <w:szCs w:val="44"/>
          <w14:textFill>
            <w14:solidFill>
              <w14:schemeClr w14:val="tx1"/>
            </w14:solidFill>
          </w14:textFill>
        </w:rPr>
      </w:pPr>
      <w:r>
        <w:rPr>
          <w:rFonts w:ascii="方正小标宋简体" w:hAnsi="方正小标宋简体" w:eastAsia="方正小标宋简体" w:cs="方正小标宋简体"/>
          <w:color w:val="000000" w:themeColor="text1"/>
          <w:sz w:val="44"/>
          <w:szCs w:val="44"/>
          <w:shd w:val="clear" w:color="auto" w:fill="FFFFFF"/>
          <w14:textFill>
            <w14:solidFill>
              <w14:schemeClr w14:val="tx1"/>
            </w14:solidFill>
          </w14:textFill>
        </w:rPr>
        <w:t>关于《涞源县乌龙沟乡国土空间总体规划（2021-2035年）》批后公告</w:t>
      </w:r>
    </w:p>
    <w:p w14:paraId="0D82E4B1">
      <w:pPr>
        <w:spacing w:line="560" w:lineRule="exact"/>
        <w:rPr>
          <w:rFonts w:ascii="仿宋_GB2312" w:hAnsi="宋体" w:eastAsia="仿宋_GB2312" w:cs="仿宋_GB2312"/>
          <w:color w:val="000000" w:themeColor="text1"/>
          <w:sz w:val="32"/>
          <w:szCs w:val="32"/>
          <w:shd w:val="clear" w:color="auto" w:fill="FFFFFF"/>
          <w14:textFill>
            <w14:solidFill>
              <w14:schemeClr w14:val="tx1"/>
            </w14:solidFill>
          </w14:textFill>
        </w:rPr>
      </w:pPr>
    </w:p>
    <w:p w14:paraId="050901FA">
      <w:pPr>
        <w:spacing w:line="560" w:lineRule="exact"/>
        <w:ind w:firstLine="640" w:firstLineChars="200"/>
        <w:rPr>
          <w:rFonts w:ascii="仿宋_GB2312" w:hAnsi="仿宋_GB2312" w:eastAsia="仿宋_GB2312" w:cs="仿宋_GB2312"/>
          <w:color w:val="000000" w:themeColor="text1"/>
          <w:sz w:val="32"/>
          <w:szCs w:val="32"/>
          <w:shd w:val="clear" w:color="auto" w:fill="FFFFFF"/>
          <w14:textFill>
            <w14:solidFill>
              <w14:schemeClr w14:val="tx1"/>
            </w14:solidFill>
          </w14:textFill>
        </w:rPr>
      </w:pPr>
      <w:r>
        <w:rPr>
          <w:rFonts w:hint="eastAsia" w:ascii="仿宋_GB2312" w:hAnsi="仿宋_GB2312" w:eastAsia="仿宋_GB2312" w:cs="仿宋_GB2312"/>
          <w:color w:val="000000" w:themeColor="text1"/>
          <w:sz w:val="32"/>
          <w:szCs w:val="32"/>
          <w:shd w:val="clear" w:color="auto" w:fill="FFFFFF"/>
          <w14:textFill>
            <w14:solidFill>
              <w14:schemeClr w14:val="tx1"/>
            </w14:solidFill>
          </w14:textFill>
        </w:rPr>
        <w:t>《涞源县乌龙沟乡国土空间总体规划（2021-2035年）》（以下简称《规划》），</w:t>
      </w:r>
      <w:r>
        <w:rPr>
          <w:rFonts w:hint="eastAsia" w:ascii="仿宋_GB2312" w:hAnsi="宋体" w:eastAsia="仿宋_GB2312" w:cs="仿宋_GB2312"/>
          <w:i w:val="0"/>
          <w:iCs w:val="0"/>
          <w:caps w:val="0"/>
          <w:color w:val="000000" w:themeColor="text1"/>
          <w:spacing w:val="0"/>
          <w:sz w:val="32"/>
          <w:szCs w:val="32"/>
          <w:shd w:val="clear" w:fill="FFFFFF"/>
          <w14:textFill>
            <w14:solidFill>
              <w14:schemeClr w14:val="tx1"/>
            </w14:solidFill>
          </w14:textFill>
        </w:rPr>
        <w:t>于</w:t>
      </w:r>
      <w:r>
        <w:rPr>
          <w:rFonts w:hint="default" w:ascii="Times New Roman" w:hAnsi="Times New Roman" w:eastAsia="仿宋_GB2312" w:cs="Times New Roman"/>
          <w:i w:val="0"/>
          <w:iCs w:val="0"/>
          <w:caps w:val="0"/>
          <w:color w:val="000000" w:themeColor="text1"/>
          <w:spacing w:val="0"/>
          <w:sz w:val="32"/>
          <w:szCs w:val="32"/>
          <w:shd w:val="clear" w:fill="FFFFFF"/>
          <w14:textFill>
            <w14:solidFill>
              <w14:schemeClr w14:val="tx1"/>
            </w14:solidFill>
          </w14:textFill>
        </w:rPr>
        <w:t>2025</w:t>
      </w:r>
      <w:r>
        <w:rPr>
          <w:rFonts w:hint="eastAsia" w:ascii="仿宋_GB2312" w:hAnsi="宋体" w:eastAsia="仿宋_GB2312" w:cs="仿宋_GB2312"/>
          <w:i w:val="0"/>
          <w:iCs w:val="0"/>
          <w:caps w:val="0"/>
          <w:color w:val="000000" w:themeColor="text1"/>
          <w:spacing w:val="0"/>
          <w:sz w:val="32"/>
          <w:szCs w:val="32"/>
          <w:shd w:val="clear" w:fill="FFFFFF"/>
          <w14:textFill>
            <w14:solidFill>
              <w14:schemeClr w14:val="tx1"/>
            </w14:solidFill>
          </w14:textFill>
        </w:rPr>
        <w:t>年</w:t>
      </w:r>
      <w:r>
        <w:rPr>
          <w:rFonts w:hint="eastAsia" w:ascii="Times New Roman" w:hAnsi="Times New Roman" w:eastAsia="仿宋_GB2312" w:cs="Times New Roman"/>
          <w:i w:val="0"/>
          <w:iCs w:val="0"/>
          <w:caps w:val="0"/>
          <w:color w:val="000000" w:themeColor="text1"/>
          <w:spacing w:val="0"/>
          <w:sz w:val="32"/>
          <w:szCs w:val="32"/>
          <w:shd w:val="clear" w:fill="FFFFFF"/>
          <w:lang w:val="en-US" w:eastAsia="zh-CN"/>
          <w14:textFill>
            <w14:solidFill>
              <w14:schemeClr w14:val="tx1"/>
            </w14:solidFill>
          </w14:textFill>
        </w:rPr>
        <w:t>7</w:t>
      </w:r>
      <w:r>
        <w:rPr>
          <w:rFonts w:hint="eastAsia" w:ascii="仿宋_GB2312" w:hAnsi="宋体" w:eastAsia="仿宋_GB2312" w:cs="仿宋_GB2312"/>
          <w:i w:val="0"/>
          <w:iCs w:val="0"/>
          <w:caps w:val="0"/>
          <w:color w:val="000000" w:themeColor="text1"/>
          <w:spacing w:val="0"/>
          <w:sz w:val="32"/>
          <w:szCs w:val="32"/>
          <w:shd w:val="clear" w:fill="FFFFFF"/>
          <w14:textFill>
            <w14:solidFill>
              <w14:schemeClr w14:val="tx1"/>
            </w14:solidFill>
          </w14:textFill>
        </w:rPr>
        <w:t>月</w:t>
      </w:r>
      <w:r>
        <w:rPr>
          <w:rFonts w:hint="eastAsia" w:ascii="Times New Roman" w:hAnsi="Times New Roman" w:eastAsia="仿宋_GB2312" w:cs="Times New Roman"/>
          <w:i w:val="0"/>
          <w:iCs w:val="0"/>
          <w:caps w:val="0"/>
          <w:color w:val="000000" w:themeColor="text1"/>
          <w:spacing w:val="0"/>
          <w:sz w:val="32"/>
          <w:szCs w:val="32"/>
          <w:shd w:val="clear" w:fill="FFFFFF"/>
          <w:lang w:val="en-US" w:eastAsia="zh-CN"/>
          <w14:textFill>
            <w14:solidFill>
              <w14:schemeClr w14:val="tx1"/>
            </w14:solidFill>
          </w14:textFill>
        </w:rPr>
        <w:t>23</w:t>
      </w:r>
      <w:r>
        <w:rPr>
          <w:rFonts w:hint="eastAsia" w:ascii="仿宋_GB2312" w:hAnsi="宋体" w:eastAsia="仿宋_GB2312" w:cs="仿宋_GB2312"/>
          <w:i w:val="0"/>
          <w:iCs w:val="0"/>
          <w:caps w:val="0"/>
          <w:color w:val="000000" w:themeColor="text1"/>
          <w:spacing w:val="0"/>
          <w:sz w:val="32"/>
          <w:szCs w:val="32"/>
          <w:shd w:val="clear" w:fill="FFFFFF"/>
          <w14:textFill>
            <w14:solidFill>
              <w14:schemeClr w14:val="tx1"/>
            </w14:solidFill>
          </w14:textFill>
        </w:rPr>
        <w:t>日获</w:t>
      </w:r>
      <w:r>
        <w:rPr>
          <w:rFonts w:hint="eastAsia" w:ascii="仿宋_GB2312" w:hAnsi="宋体" w:eastAsia="仿宋_GB2312" w:cs="仿宋_GB2312"/>
          <w:i w:val="0"/>
          <w:iCs w:val="0"/>
          <w:caps w:val="0"/>
          <w:color w:val="000000" w:themeColor="text1"/>
          <w:spacing w:val="0"/>
          <w:sz w:val="32"/>
          <w:szCs w:val="32"/>
          <w:shd w:val="clear" w:fill="FFFFFF"/>
          <w:lang w:val="en-US" w:eastAsia="zh-CN"/>
          <w14:textFill>
            <w14:solidFill>
              <w14:schemeClr w14:val="tx1"/>
            </w14:solidFill>
          </w14:textFill>
        </w:rPr>
        <w:t>涞源</w:t>
      </w:r>
      <w:r>
        <w:rPr>
          <w:rFonts w:hint="eastAsia" w:ascii="仿宋_GB2312" w:hAnsi="宋体" w:eastAsia="仿宋_GB2312" w:cs="仿宋_GB2312"/>
          <w:i w:val="0"/>
          <w:iCs w:val="0"/>
          <w:caps w:val="0"/>
          <w:color w:val="000000" w:themeColor="text1"/>
          <w:spacing w:val="0"/>
          <w:sz w:val="32"/>
          <w:szCs w:val="32"/>
          <w:shd w:val="clear" w:fill="FFFFFF"/>
          <w14:textFill>
            <w14:solidFill>
              <w14:schemeClr w14:val="tx1"/>
            </w14:solidFill>
          </w14:textFill>
        </w:rPr>
        <w:t>县人民政府批复</w:t>
      </w:r>
      <w:r>
        <w:rPr>
          <w:rFonts w:hint="eastAsia" w:ascii="仿宋_GB2312" w:hAnsi="宋体" w:eastAsia="仿宋_GB2312" w:cs="仿宋_GB2312"/>
          <w:i w:val="0"/>
          <w:iCs w:val="0"/>
          <w:caps w:val="0"/>
          <w:color w:val="000000" w:themeColor="text1"/>
          <w:spacing w:val="0"/>
          <w:sz w:val="32"/>
          <w:szCs w:val="32"/>
          <w:shd w:val="clear" w:fill="FFFFFF"/>
          <w:lang w:eastAsia="zh-CN"/>
          <w14:textFill>
            <w14:solidFill>
              <w14:schemeClr w14:val="tx1"/>
            </w14:solidFill>
          </w14:textFill>
        </w:rPr>
        <w:t>（</w:t>
      </w:r>
      <w:r>
        <w:rPr>
          <w:rFonts w:hint="eastAsia" w:ascii="仿宋_GB2312" w:hAnsi="宋体" w:eastAsia="仿宋_GB2312" w:cs="仿宋_GB2312"/>
          <w:i w:val="0"/>
          <w:iCs w:val="0"/>
          <w:caps w:val="0"/>
          <w:color w:val="000000" w:themeColor="text1"/>
          <w:spacing w:val="0"/>
          <w:sz w:val="32"/>
          <w:szCs w:val="32"/>
          <w:shd w:val="clear" w:fill="FFFFFF"/>
          <w14:textFill>
            <w14:solidFill>
              <w14:schemeClr w14:val="tx1"/>
            </w14:solidFill>
          </w14:textFill>
        </w:rPr>
        <w:t>〔</w:t>
      </w:r>
      <w:r>
        <w:rPr>
          <w:rFonts w:hint="eastAsia" w:ascii="Times New Roman" w:hAnsi="Times New Roman" w:eastAsia="仿宋_GB2312" w:cs="Times New Roman"/>
          <w:i w:val="0"/>
          <w:iCs w:val="0"/>
          <w:caps w:val="0"/>
          <w:color w:val="000000" w:themeColor="text1"/>
          <w:spacing w:val="0"/>
          <w:sz w:val="32"/>
          <w:szCs w:val="32"/>
          <w:shd w:val="clear" w:fill="FFFFFF"/>
          <w:lang w:val="en-US" w:eastAsia="zh-CN"/>
          <w14:textFill>
            <w14:solidFill>
              <w14:schemeClr w14:val="tx1"/>
            </w14:solidFill>
          </w14:textFill>
        </w:rPr>
        <w:t>2025</w:t>
      </w:r>
      <w:r>
        <w:rPr>
          <w:rFonts w:hint="eastAsia" w:ascii="仿宋_GB2312" w:hAnsi="宋体" w:eastAsia="仿宋_GB2312" w:cs="仿宋_GB2312"/>
          <w:i w:val="0"/>
          <w:iCs w:val="0"/>
          <w:caps w:val="0"/>
          <w:color w:val="000000" w:themeColor="text1"/>
          <w:spacing w:val="0"/>
          <w:sz w:val="32"/>
          <w:szCs w:val="32"/>
          <w:shd w:val="clear" w:fill="FFFFFF"/>
          <w14:textFill>
            <w14:solidFill>
              <w14:schemeClr w14:val="tx1"/>
            </w14:solidFill>
          </w14:textFill>
        </w:rPr>
        <w:t>〕</w:t>
      </w:r>
      <w:r>
        <w:rPr>
          <w:rFonts w:hint="eastAsia" w:ascii="仿宋_GB2312" w:hAnsi="宋体" w:eastAsia="仿宋_GB2312" w:cs="仿宋_GB2312"/>
          <w:i w:val="0"/>
          <w:iCs w:val="0"/>
          <w:caps w:val="0"/>
          <w:color w:val="000000" w:themeColor="text1"/>
          <w:spacing w:val="0"/>
          <w:sz w:val="32"/>
          <w:szCs w:val="32"/>
          <w:shd w:val="clear" w:fill="FFFFFF"/>
          <w:lang w:val="en-US" w:eastAsia="zh-CN"/>
          <w14:textFill>
            <w14:solidFill>
              <w14:schemeClr w14:val="tx1"/>
            </w14:solidFill>
          </w14:textFill>
        </w:rPr>
        <w:t>73</w:t>
      </w:r>
      <w:r>
        <w:rPr>
          <w:rFonts w:hint="eastAsia" w:ascii="仿宋_GB2312" w:hAnsi="宋体" w:eastAsia="仿宋_GB2312" w:cs="仿宋_GB2312"/>
          <w:i w:val="0"/>
          <w:iCs w:val="0"/>
          <w:caps w:val="0"/>
          <w:color w:val="000000" w:themeColor="text1"/>
          <w:spacing w:val="0"/>
          <w:sz w:val="32"/>
          <w:szCs w:val="32"/>
          <w:shd w:val="clear" w:fill="FFFFFF"/>
          <w14:textFill>
            <w14:solidFill>
              <w14:schemeClr w14:val="tx1"/>
            </w14:solidFill>
          </w14:textFill>
        </w:rPr>
        <w:t>号</w:t>
      </w:r>
      <w:r>
        <w:rPr>
          <w:rFonts w:hint="eastAsia" w:ascii="仿宋_GB2312" w:hAnsi="宋体" w:eastAsia="仿宋_GB2312" w:cs="仿宋_GB2312"/>
          <w:i w:val="0"/>
          <w:iCs w:val="0"/>
          <w:caps w:val="0"/>
          <w:color w:val="000000" w:themeColor="text1"/>
          <w:spacing w:val="0"/>
          <w:sz w:val="32"/>
          <w:szCs w:val="32"/>
          <w:shd w:val="clear" w:fill="FFFFFF"/>
          <w:lang w:eastAsia="zh-CN"/>
          <w14:textFill>
            <w14:solidFill>
              <w14:schemeClr w14:val="tx1"/>
            </w14:solidFill>
          </w14:textFill>
        </w:rPr>
        <w:t>）</w:t>
      </w:r>
      <w:r>
        <w:rPr>
          <w:rFonts w:hint="eastAsia" w:ascii="仿宋_GB2312" w:hAnsi="仿宋_GB2312" w:eastAsia="仿宋_GB2312" w:cs="仿宋_GB2312"/>
          <w:color w:val="000000" w:themeColor="text1"/>
          <w:sz w:val="32"/>
          <w:szCs w:val="32"/>
          <w:shd w:val="clear" w:color="auto" w:fill="FFFFFF"/>
          <w14:textFill>
            <w14:solidFill>
              <w14:schemeClr w14:val="tx1"/>
            </w14:solidFill>
          </w14:textFill>
        </w:rPr>
        <w:t>。现根据《中共中央国务院关于建立国土空间规划体系并监督实施的若干意见》（中发〔2019〕18 号）、《中华人民共和国城乡规划法》、《河北省城乡规划条例》、《中华人民共和国政府信息公开条例》等法律法规，现对《规划》成果予以公开。</w:t>
      </w:r>
      <w:r>
        <w:rPr>
          <w:rFonts w:ascii="仿宋_GB2312" w:hAnsi="仿宋_GB2312" w:eastAsia="仿宋_GB2312" w:cs="仿宋_GB2312"/>
          <w:color w:val="000000" w:themeColor="text1"/>
          <w:sz w:val="32"/>
          <w:szCs w:val="32"/>
          <w:shd w:val="clear" w:color="auto" w:fill="FFFFFF"/>
          <w14:textFill>
            <w14:solidFill>
              <w14:schemeClr w14:val="tx1"/>
            </w14:solidFill>
          </w14:textFill>
        </w:rPr>
        <w:t xml:space="preserve"> </w:t>
      </w:r>
    </w:p>
    <w:p w14:paraId="67DDB77B">
      <w:pPr>
        <w:numPr>
          <w:ilvl w:val="0"/>
          <w:numId w:val="1"/>
        </w:numPr>
        <w:spacing w:line="560" w:lineRule="exact"/>
        <w:ind w:firstLine="640" w:firstLineChars="200"/>
        <w:rPr>
          <w:rFonts w:hint="eastAsia" w:ascii="黑体" w:hAnsi="黑体" w:eastAsia="黑体" w:cs="黑体"/>
          <w:color w:val="000000" w:themeColor="text1"/>
          <w:sz w:val="32"/>
          <w:szCs w:val="32"/>
          <w:shd w:val="clear" w:color="auto" w:fill="FFFFFF"/>
          <w14:textFill>
            <w14:solidFill>
              <w14:schemeClr w14:val="tx1"/>
            </w14:solidFill>
          </w14:textFill>
        </w:rPr>
      </w:pPr>
      <w:r>
        <w:rPr>
          <w:rFonts w:hint="eastAsia" w:ascii="黑体" w:hAnsi="黑体" w:eastAsia="黑体" w:cs="黑体"/>
          <w:color w:val="000000" w:themeColor="text1"/>
          <w:sz w:val="32"/>
          <w:szCs w:val="32"/>
          <w:shd w:val="clear" w:color="auto" w:fill="FFFFFF"/>
          <w14:textFill>
            <w14:solidFill>
              <w14:schemeClr w14:val="tx1"/>
            </w14:solidFill>
          </w14:textFill>
        </w:rPr>
        <w:t>规划期限</w:t>
      </w:r>
    </w:p>
    <w:p w14:paraId="65B039B6">
      <w:pPr>
        <w:numPr>
          <w:numId w:val="0"/>
        </w:numPr>
        <w:spacing w:line="560" w:lineRule="exact"/>
        <w:ind w:firstLine="640" w:firstLineChars="200"/>
        <w:rPr>
          <w:rFonts w:ascii="仿宋_GB2312" w:hAnsi="仿宋_GB2312" w:eastAsia="仿宋_GB2312" w:cs="仿宋_GB2312"/>
          <w:color w:val="000000" w:themeColor="text1"/>
          <w:sz w:val="32"/>
          <w:szCs w:val="32"/>
          <w:shd w:val="clear" w:color="auto" w:fill="FFFFFF"/>
          <w14:textFill>
            <w14:solidFill>
              <w14:schemeClr w14:val="tx1"/>
            </w14:solidFill>
          </w14:textFill>
        </w:rPr>
      </w:pPr>
      <w:r>
        <w:rPr>
          <w:rFonts w:hint="eastAsia" w:ascii="仿宋_GB2312" w:hAnsi="仿宋_GB2312" w:eastAsia="仿宋_GB2312" w:cs="仿宋_GB2312"/>
          <w:color w:val="000000" w:themeColor="text1"/>
          <w:sz w:val="32"/>
          <w:szCs w:val="32"/>
          <w:shd w:val="clear" w:color="auto" w:fill="FFFFFF"/>
          <w14:textFill>
            <w14:solidFill>
              <w14:schemeClr w14:val="tx1"/>
            </w14:solidFill>
          </w14:textFill>
        </w:rPr>
        <w:t>2021-2035年</w:t>
      </w:r>
    </w:p>
    <w:p w14:paraId="457B2D5A">
      <w:pPr>
        <w:numPr>
          <w:ilvl w:val="0"/>
          <w:numId w:val="1"/>
        </w:numPr>
        <w:spacing w:line="560" w:lineRule="exact"/>
        <w:ind w:left="0" w:leftChars="0" w:firstLine="640" w:firstLineChars="200"/>
        <w:rPr>
          <w:rFonts w:hint="eastAsia" w:ascii="黑体" w:hAnsi="黑体" w:eastAsia="黑体" w:cs="黑体"/>
          <w:color w:val="000000" w:themeColor="text1"/>
          <w:sz w:val="32"/>
          <w:szCs w:val="32"/>
          <w:shd w:val="clear" w:color="auto" w:fill="FFFFFF"/>
          <w:lang w:val="en-US" w:eastAsia="zh-CN"/>
          <w14:textFill>
            <w14:solidFill>
              <w14:schemeClr w14:val="tx1"/>
            </w14:solidFill>
          </w14:textFill>
        </w:rPr>
      </w:pPr>
      <w:r>
        <w:rPr>
          <w:rFonts w:hint="eastAsia" w:ascii="黑体" w:hAnsi="黑体" w:eastAsia="黑体" w:cs="黑体"/>
          <w:color w:val="000000" w:themeColor="text1"/>
          <w:sz w:val="32"/>
          <w:szCs w:val="32"/>
          <w:shd w:val="clear" w:color="auto" w:fill="FFFFFF"/>
          <w:lang w:val="en-US" w:eastAsia="zh-CN"/>
          <w14:textFill>
            <w14:solidFill>
              <w14:schemeClr w14:val="tx1"/>
            </w14:solidFill>
          </w14:textFill>
        </w:rPr>
        <w:t>规划范围</w:t>
      </w:r>
    </w:p>
    <w:p w14:paraId="3264DEB9">
      <w:pPr>
        <w:numPr>
          <w:numId w:val="0"/>
        </w:numPr>
        <w:spacing w:line="560" w:lineRule="exact"/>
        <w:ind w:firstLine="640" w:firstLineChars="200"/>
        <w:rPr>
          <w:rFonts w:ascii="仿宋_GB2312" w:hAnsi="仿宋_GB2312" w:eastAsia="仿宋_GB2312" w:cs="仿宋_GB2312"/>
          <w:color w:val="000000" w:themeColor="text1"/>
          <w:sz w:val="32"/>
          <w:szCs w:val="32"/>
          <w:shd w:val="clear" w:color="auto" w:fill="FFFFFF"/>
          <w14:textFill>
            <w14:solidFill>
              <w14:schemeClr w14:val="tx1"/>
            </w14:solidFill>
          </w14:textFill>
        </w:rPr>
      </w:pPr>
      <w:r>
        <w:rPr>
          <w:rFonts w:hint="eastAsia" w:ascii="仿宋_GB2312" w:hAnsi="仿宋_GB2312" w:eastAsia="仿宋_GB2312" w:cs="仿宋_GB2312"/>
          <w:color w:val="000000" w:themeColor="text1"/>
          <w:sz w:val="32"/>
          <w:szCs w:val="32"/>
          <w:shd w:val="clear" w:color="auto" w:fill="FFFFFF"/>
          <w14:textFill>
            <w14:solidFill>
              <w14:schemeClr w14:val="tx1"/>
            </w14:solidFill>
          </w14:textFill>
        </w:rPr>
        <w:t>乌龙沟乡行政管辖范围，总面积约</w:t>
      </w:r>
      <w:r>
        <w:rPr>
          <w:rFonts w:ascii="仿宋_GB2312" w:hAnsi="仿宋_GB2312" w:eastAsia="仿宋_GB2312" w:cs="仿宋_GB2312"/>
          <w:color w:val="000000" w:themeColor="text1"/>
          <w:sz w:val="32"/>
          <w:szCs w:val="32"/>
          <w:shd w:val="clear" w:color="auto" w:fill="FFFFFF"/>
          <w14:textFill>
            <w14:solidFill>
              <w14:schemeClr w14:val="tx1"/>
            </w14:solidFill>
          </w14:textFill>
        </w:rPr>
        <w:t>73.34</w:t>
      </w:r>
      <w:r>
        <w:rPr>
          <w:rFonts w:hint="eastAsia" w:ascii="仿宋_GB2312" w:hAnsi="仿宋_GB2312" w:eastAsia="仿宋_GB2312" w:cs="仿宋_GB2312"/>
          <w:color w:val="000000" w:themeColor="text1"/>
          <w:sz w:val="32"/>
          <w:szCs w:val="32"/>
          <w:shd w:val="clear" w:color="auto" w:fill="FFFFFF"/>
          <w14:textFill>
            <w14:solidFill>
              <w14:schemeClr w14:val="tx1"/>
            </w14:solidFill>
          </w14:textFill>
        </w:rPr>
        <w:t>平方公里，辖</w:t>
      </w:r>
      <w:r>
        <w:rPr>
          <w:rFonts w:ascii="仿宋_GB2312" w:hAnsi="仿宋_GB2312" w:eastAsia="仿宋_GB2312" w:cs="仿宋_GB2312"/>
          <w:color w:val="000000" w:themeColor="text1"/>
          <w:sz w:val="32"/>
          <w:szCs w:val="32"/>
          <w:shd w:val="clear" w:color="auto" w:fill="FFFFFF"/>
          <w14:textFill>
            <w14:solidFill>
              <w14:schemeClr w14:val="tx1"/>
            </w14:solidFill>
          </w14:textFill>
        </w:rPr>
        <w:t>9</w:t>
      </w:r>
      <w:r>
        <w:rPr>
          <w:rFonts w:hint="eastAsia" w:ascii="仿宋_GB2312" w:hAnsi="仿宋_GB2312" w:eastAsia="仿宋_GB2312" w:cs="仿宋_GB2312"/>
          <w:color w:val="000000" w:themeColor="text1"/>
          <w:sz w:val="32"/>
          <w:szCs w:val="32"/>
          <w:shd w:val="clear" w:color="auto" w:fill="FFFFFF"/>
          <w14:textFill>
            <w14:solidFill>
              <w14:schemeClr w14:val="tx1"/>
            </w14:solidFill>
          </w14:textFill>
        </w:rPr>
        <w:t>个行政村；本次规划乡政府驻地位于乌龙沟村，总面积为</w:t>
      </w:r>
      <w:r>
        <w:rPr>
          <w:rFonts w:ascii="仿宋_GB2312" w:hAnsi="仿宋_GB2312" w:eastAsia="仿宋_GB2312" w:cs="仿宋_GB2312"/>
          <w:color w:val="000000" w:themeColor="text1"/>
          <w:sz w:val="32"/>
          <w:szCs w:val="32"/>
          <w:shd w:val="clear" w:color="auto" w:fill="FFFFFF"/>
          <w14:textFill>
            <w14:solidFill>
              <w14:schemeClr w14:val="tx1"/>
            </w14:solidFill>
          </w14:textFill>
        </w:rPr>
        <w:t>22.24</w:t>
      </w:r>
      <w:r>
        <w:rPr>
          <w:rFonts w:hint="eastAsia" w:ascii="仿宋_GB2312" w:hAnsi="仿宋_GB2312" w:eastAsia="仿宋_GB2312" w:cs="仿宋_GB2312"/>
          <w:color w:val="000000" w:themeColor="text1"/>
          <w:sz w:val="32"/>
          <w:szCs w:val="32"/>
          <w:shd w:val="clear" w:color="auto" w:fill="FFFFFF"/>
          <w14:textFill>
            <w14:solidFill>
              <w14:schemeClr w14:val="tx1"/>
            </w14:solidFill>
          </w14:textFill>
        </w:rPr>
        <w:t>公顷。</w:t>
      </w:r>
    </w:p>
    <w:p w14:paraId="7630985C">
      <w:pPr>
        <w:numPr>
          <w:ilvl w:val="0"/>
          <w:numId w:val="1"/>
        </w:numPr>
        <w:spacing w:line="560" w:lineRule="exact"/>
        <w:ind w:left="0" w:leftChars="0" w:firstLine="640" w:firstLineChars="200"/>
        <w:rPr>
          <w:rFonts w:hint="eastAsia" w:ascii="黑体" w:hAnsi="黑体" w:eastAsia="黑体" w:cs="黑体"/>
          <w:color w:val="000000" w:themeColor="text1"/>
          <w:sz w:val="32"/>
          <w:szCs w:val="32"/>
          <w:shd w:val="clear" w:color="auto" w:fill="FFFFFF"/>
          <w:lang w:val="en-US" w:eastAsia="zh-CN"/>
          <w14:textFill>
            <w14:solidFill>
              <w14:schemeClr w14:val="tx1"/>
            </w14:solidFill>
          </w14:textFill>
        </w:rPr>
      </w:pPr>
      <w:r>
        <w:rPr>
          <w:rFonts w:hint="eastAsia" w:ascii="黑体" w:hAnsi="黑体" w:eastAsia="黑体" w:cs="黑体"/>
          <w:color w:val="000000" w:themeColor="text1"/>
          <w:sz w:val="32"/>
          <w:szCs w:val="32"/>
          <w:shd w:val="clear" w:color="auto" w:fill="FFFFFF"/>
          <w:lang w:val="en-US" w:eastAsia="zh-CN"/>
          <w14:textFill>
            <w14:solidFill>
              <w14:schemeClr w14:val="tx1"/>
            </w14:solidFill>
          </w14:textFill>
        </w:rPr>
        <w:t>乡镇性质</w:t>
      </w:r>
    </w:p>
    <w:p w14:paraId="5776248A">
      <w:pPr>
        <w:numPr>
          <w:numId w:val="0"/>
        </w:numPr>
        <w:spacing w:line="560" w:lineRule="exact"/>
        <w:ind w:firstLine="640" w:firstLineChars="200"/>
        <w:rPr>
          <w:rFonts w:ascii="仿宋_GB2312" w:hAnsi="仿宋_GB2312" w:eastAsia="仿宋_GB2312" w:cs="仿宋_GB2312"/>
          <w:color w:val="000000" w:themeColor="text1"/>
          <w:sz w:val="32"/>
          <w:szCs w:val="32"/>
          <w:shd w:val="clear" w:color="auto" w:fill="FFFFFF"/>
          <w14:textFill>
            <w14:solidFill>
              <w14:schemeClr w14:val="tx1"/>
            </w14:solidFill>
          </w14:textFill>
        </w:rPr>
      </w:pPr>
      <w:bookmarkStart w:id="0" w:name="_GoBack"/>
      <w:bookmarkEnd w:id="0"/>
      <w:r>
        <w:rPr>
          <w:rFonts w:hint="eastAsia" w:ascii="仿宋_GB2312" w:hAnsi="仿宋_GB2312" w:eastAsia="仿宋_GB2312" w:cs="仿宋_GB2312"/>
          <w:color w:val="000000" w:themeColor="text1"/>
          <w:sz w:val="32"/>
          <w:szCs w:val="32"/>
          <w:shd w:val="clear" w:color="auto" w:fill="FFFFFF"/>
          <w14:textFill>
            <w14:solidFill>
              <w14:schemeClr w14:val="tx1"/>
            </w14:solidFill>
          </w14:textFill>
        </w:rPr>
        <w:t>保西山水长城休闲度假小镇、涞源东北部生态涵养修复示范区和高品质乡村振兴先行区。</w:t>
      </w:r>
    </w:p>
    <w:p w14:paraId="07BEA6FC">
      <w:pPr>
        <w:spacing w:line="560" w:lineRule="exact"/>
        <w:ind w:firstLine="640" w:firstLineChars="200"/>
        <w:rPr>
          <w:rFonts w:hint="eastAsia" w:ascii="黑体" w:hAnsi="黑体" w:eastAsia="黑体" w:cs="黑体"/>
          <w:color w:val="000000" w:themeColor="text1"/>
          <w:sz w:val="32"/>
          <w:szCs w:val="32"/>
          <w:shd w:val="clear" w:color="auto" w:fill="FFFFFF"/>
          <w:lang w:val="en-US" w:eastAsia="zh-CN"/>
          <w14:textFill>
            <w14:solidFill>
              <w14:schemeClr w14:val="tx1"/>
            </w14:solidFill>
          </w14:textFill>
        </w:rPr>
      </w:pPr>
      <w:r>
        <w:rPr>
          <w:rFonts w:hint="eastAsia" w:ascii="黑体" w:hAnsi="黑体" w:eastAsia="黑体" w:cs="黑体"/>
          <w:color w:val="000000" w:themeColor="text1"/>
          <w:sz w:val="32"/>
          <w:szCs w:val="32"/>
          <w:shd w:val="clear" w:color="auto" w:fill="FFFFFF"/>
          <w:lang w:val="en-US" w:eastAsia="zh-CN"/>
          <w14:textFill>
            <w14:solidFill>
              <w14:schemeClr w14:val="tx1"/>
            </w14:solidFill>
          </w14:textFill>
        </w:rPr>
        <w:t>四、产业空间布局</w:t>
      </w:r>
    </w:p>
    <w:p w14:paraId="6BCD11B5">
      <w:pPr>
        <w:spacing w:line="560" w:lineRule="exact"/>
        <w:ind w:firstLine="640" w:firstLineChars="200"/>
        <w:rPr>
          <w:rFonts w:ascii="仿宋_GB2312" w:hAnsi="仿宋_GB2312" w:eastAsia="仿宋_GB2312" w:cs="仿宋_GB2312"/>
          <w:color w:val="000000" w:themeColor="text1"/>
          <w:sz w:val="32"/>
          <w:szCs w:val="32"/>
          <w:shd w:val="clear" w:color="auto" w:fill="FFFFFF"/>
          <w14:textFill>
            <w14:solidFill>
              <w14:schemeClr w14:val="tx1"/>
            </w14:solidFill>
          </w14:textFill>
        </w:rPr>
      </w:pPr>
      <w:r>
        <w:rPr>
          <w:rFonts w:hint="eastAsia" w:ascii="仿宋_GB2312" w:hAnsi="仿宋_GB2312" w:eastAsia="仿宋_GB2312" w:cs="仿宋_GB2312"/>
          <w:color w:val="000000" w:themeColor="text1"/>
          <w:sz w:val="32"/>
          <w:szCs w:val="32"/>
          <w:shd w:val="clear" w:color="auto" w:fill="FFFFFF"/>
          <w14:textFill>
            <w14:solidFill>
              <w14:schemeClr w14:val="tx1"/>
            </w14:solidFill>
          </w14:textFill>
        </w:rPr>
        <w:t>结合乌龙沟乡产业发展方向和生产力布局要求，规划乡以国道108为主要产业发展轴，带动全乡产业发展，最终形成“两点一带”的产业布局形态。</w:t>
      </w:r>
    </w:p>
    <w:p w14:paraId="352D4F81">
      <w:pPr>
        <w:spacing w:line="560" w:lineRule="exact"/>
        <w:ind w:firstLine="640" w:firstLineChars="200"/>
        <w:rPr>
          <w:rFonts w:ascii="仿宋_GB2312" w:hAnsi="仿宋_GB2312" w:eastAsia="仿宋_GB2312" w:cs="仿宋_GB2312"/>
          <w:color w:val="000000" w:themeColor="text1"/>
          <w:sz w:val="32"/>
          <w:szCs w:val="32"/>
          <w:shd w:val="clear" w:color="auto" w:fill="FFFFFF"/>
          <w14:textFill>
            <w14:solidFill>
              <w14:schemeClr w14:val="tx1"/>
            </w14:solidFill>
          </w14:textFill>
        </w:rPr>
      </w:pPr>
      <w:r>
        <w:rPr>
          <w:rFonts w:hint="eastAsia" w:ascii="仿宋_GB2312" w:hAnsi="仿宋_GB2312" w:eastAsia="仿宋_GB2312" w:cs="仿宋_GB2312"/>
          <w:color w:val="000000" w:themeColor="text1"/>
          <w:sz w:val="32"/>
          <w:szCs w:val="32"/>
          <w:shd w:val="clear" w:color="auto" w:fill="FFFFFF"/>
          <w14:textFill>
            <w14:solidFill>
              <w14:schemeClr w14:val="tx1"/>
            </w14:solidFill>
          </w14:textFill>
        </w:rPr>
        <w:t>“两点”。乌龙沟村结合乌龙沟长城及其相关配套设施营造成以第三产业为主的主要中心点；柱角石村围绕“冰雪城”完善其配套相关产业，打造乌龙沟乡第二个以第三产业为主的次中心点。</w:t>
      </w:r>
    </w:p>
    <w:p w14:paraId="6CB8ED58">
      <w:pPr>
        <w:spacing w:line="560" w:lineRule="exact"/>
        <w:ind w:firstLine="640" w:firstLineChars="200"/>
        <w:rPr>
          <w:rFonts w:ascii="仿宋_GB2312" w:hAnsi="仿宋_GB2312" w:eastAsia="仿宋_GB2312" w:cs="仿宋_GB2312"/>
          <w:color w:val="000000" w:themeColor="text1"/>
          <w:sz w:val="32"/>
          <w:szCs w:val="32"/>
          <w:shd w:val="clear" w:color="auto" w:fill="FFFFFF"/>
          <w14:textFill>
            <w14:solidFill>
              <w14:schemeClr w14:val="tx1"/>
            </w14:solidFill>
          </w14:textFill>
        </w:rPr>
      </w:pPr>
      <w:r>
        <w:rPr>
          <w:rFonts w:hint="eastAsia" w:ascii="仿宋_GB2312" w:hAnsi="仿宋_GB2312" w:eastAsia="仿宋_GB2312" w:cs="仿宋_GB2312"/>
          <w:color w:val="000000" w:themeColor="text1"/>
          <w:sz w:val="32"/>
          <w:szCs w:val="32"/>
          <w:shd w:val="clear" w:color="auto" w:fill="FFFFFF"/>
          <w14:textFill>
            <w14:solidFill>
              <w14:schemeClr w14:val="tx1"/>
            </w14:solidFill>
          </w14:textFill>
        </w:rPr>
        <w:t>“一带”。依托108国道营造一条食用菌产业带，初步以完善食用菌种植为主的第一产业发展，随后逐步完善围绕食用菌生产产业链的第二产业发展，是乌龙沟一二产结合主要发展带。</w:t>
      </w:r>
    </w:p>
    <w:p w14:paraId="24E327ED">
      <w:pPr>
        <w:spacing w:line="560" w:lineRule="exact"/>
        <w:ind w:firstLine="640" w:firstLineChars="200"/>
        <w:rPr>
          <w:rFonts w:hint="eastAsia" w:ascii="黑体" w:hAnsi="黑体" w:eastAsia="黑体" w:cs="黑体"/>
          <w:color w:val="000000" w:themeColor="text1"/>
          <w:sz w:val="32"/>
          <w:szCs w:val="32"/>
          <w:shd w:val="clear" w:color="auto" w:fill="FFFFFF"/>
          <w:lang w:val="en-US" w:eastAsia="zh-CN"/>
          <w14:textFill>
            <w14:solidFill>
              <w14:schemeClr w14:val="tx1"/>
            </w14:solidFill>
          </w14:textFill>
        </w:rPr>
      </w:pPr>
      <w:r>
        <w:rPr>
          <w:rFonts w:hint="eastAsia" w:ascii="黑体" w:hAnsi="黑体" w:eastAsia="黑体" w:cs="黑体"/>
          <w:color w:val="000000" w:themeColor="text1"/>
          <w:sz w:val="32"/>
          <w:szCs w:val="32"/>
          <w:shd w:val="clear" w:color="auto" w:fill="FFFFFF"/>
          <w:lang w:val="en-US" w:eastAsia="zh-CN"/>
          <w14:textFill>
            <w14:solidFill>
              <w14:schemeClr w14:val="tx1"/>
            </w14:solidFill>
          </w14:textFill>
        </w:rPr>
        <w:t>五、乡政府驻地规划规模与空间结构</w:t>
      </w:r>
    </w:p>
    <w:p w14:paraId="4655C3AD">
      <w:pPr>
        <w:spacing w:line="560" w:lineRule="exact"/>
        <w:ind w:firstLine="643" w:firstLineChars="200"/>
        <w:rPr>
          <w:rFonts w:ascii="仿宋_GB2312" w:hAnsi="仿宋_GB2312" w:eastAsia="仿宋_GB2312" w:cs="仿宋_GB2312"/>
          <w:b/>
          <w:bCs/>
          <w:color w:val="000000" w:themeColor="text1"/>
          <w:sz w:val="32"/>
          <w:szCs w:val="32"/>
          <w:shd w:val="clear" w:color="auto" w:fill="FFFFFF"/>
          <w14:textFill>
            <w14:solidFill>
              <w14:schemeClr w14:val="tx1"/>
            </w14:solidFill>
          </w14:textFill>
        </w:rPr>
      </w:pPr>
      <w:r>
        <w:rPr>
          <w:rFonts w:hint="eastAsia" w:ascii="仿宋_GB2312" w:hAnsi="仿宋_GB2312" w:eastAsia="仿宋_GB2312" w:cs="仿宋_GB2312"/>
          <w:b/>
          <w:bCs/>
          <w:color w:val="000000" w:themeColor="text1"/>
          <w:sz w:val="32"/>
          <w:szCs w:val="32"/>
          <w:shd w:val="clear" w:color="auto" w:fill="FFFFFF"/>
          <w14:textFill>
            <w14:solidFill>
              <w14:schemeClr w14:val="tx1"/>
            </w14:solidFill>
          </w14:textFill>
        </w:rPr>
        <w:t>（一）规划规模</w:t>
      </w:r>
    </w:p>
    <w:p w14:paraId="3F49A0B5">
      <w:pPr>
        <w:spacing w:line="560" w:lineRule="exact"/>
        <w:ind w:firstLine="640" w:firstLineChars="200"/>
        <w:rPr>
          <w:rFonts w:ascii="仿宋_GB2312" w:hAnsi="仿宋_GB2312" w:eastAsia="仿宋_GB2312" w:cs="仿宋_GB2312"/>
          <w:color w:val="000000" w:themeColor="text1"/>
          <w:sz w:val="32"/>
          <w:szCs w:val="32"/>
          <w:shd w:val="clear" w:color="auto" w:fill="FFFFFF"/>
          <w14:textFill>
            <w14:solidFill>
              <w14:schemeClr w14:val="tx1"/>
            </w14:solidFill>
          </w14:textFill>
        </w:rPr>
      </w:pPr>
      <w:r>
        <w:rPr>
          <w:rFonts w:hint="eastAsia" w:ascii="仿宋_GB2312" w:hAnsi="仿宋_GB2312" w:eastAsia="仿宋_GB2312" w:cs="仿宋_GB2312"/>
          <w:color w:val="000000" w:themeColor="text1"/>
          <w:sz w:val="32"/>
          <w:szCs w:val="32"/>
          <w:shd w:val="clear" w:color="auto" w:fill="FFFFFF"/>
          <w14:textFill>
            <w14:solidFill>
              <w14:schemeClr w14:val="tx1"/>
            </w14:solidFill>
          </w14:textFill>
        </w:rPr>
        <w:t>坚持紧凑集约布局，优化提升城镇功能，创造良好人居环境。到2035年，严格控制乡政府驻地范围内村庄建设用地规模不超过</w:t>
      </w:r>
      <w:r>
        <w:rPr>
          <w:rFonts w:ascii="仿宋_GB2312" w:hAnsi="仿宋_GB2312" w:eastAsia="仿宋_GB2312" w:cs="仿宋_GB2312"/>
          <w:color w:val="000000" w:themeColor="text1"/>
          <w:sz w:val="32"/>
          <w:szCs w:val="32"/>
          <w:shd w:val="clear" w:color="auto" w:fill="FFFFFF"/>
          <w14:textFill>
            <w14:solidFill>
              <w14:schemeClr w14:val="tx1"/>
            </w14:solidFill>
          </w14:textFill>
        </w:rPr>
        <w:t>22.24</w:t>
      </w:r>
      <w:r>
        <w:rPr>
          <w:rFonts w:hint="eastAsia" w:ascii="仿宋_GB2312" w:hAnsi="仿宋_GB2312" w:eastAsia="仿宋_GB2312" w:cs="仿宋_GB2312"/>
          <w:color w:val="000000" w:themeColor="text1"/>
          <w:sz w:val="32"/>
          <w:szCs w:val="32"/>
          <w:shd w:val="clear" w:color="auto" w:fill="FFFFFF"/>
          <w14:textFill>
            <w14:solidFill>
              <w14:schemeClr w14:val="tx1"/>
            </w14:solidFill>
          </w14:textFill>
        </w:rPr>
        <w:t>公顷。</w:t>
      </w:r>
    </w:p>
    <w:p w14:paraId="49BAF3E0">
      <w:pPr>
        <w:spacing w:line="560" w:lineRule="exact"/>
        <w:ind w:firstLine="643" w:firstLineChars="200"/>
        <w:rPr>
          <w:rFonts w:ascii="仿宋_GB2312" w:hAnsi="仿宋_GB2312" w:eastAsia="仿宋_GB2312" w:cs="仿宋_GB2312"/>
          <w:b/>
          <w:bCs/>
          <w:color w:val="000000" w:themeColor="text1"/>
          <w:sz w:val="32"/>
          <w:szCs w:val="32"/>
          <w:shd w:val="clear" w:color="auto" w:fill="FFFFFF"/>
          <w14:textFill>
            <w14:solidFill>
              <w14:schemeClr w14:val="tx1"/>
            </w14:solidFill>
          </w14:textFill>
        </w:rPr>
      </w:pPr>
      <w:r>
        <w:rPr>
          <w:rFonts w:hint="eastAsia" w:ascii="仿宋_GB2312" w:hAnsi="仿宋_GB2312" w:eastAsia="仿宋_GB2312" w:cs="仿宋_GB2312"/>
          <w:b/>
          <w:bCs/>
          <w:color w:val="000000" w:themeColor="text1"/>
          <w:sz w:val="32"/>
          <w:szCs w:val="32"/>
          <w:shd w:val="clear" w:color="auto" w:fill="FFFFFF"/>
          <w14:textFill>
            <w14:solidFill>
              <w14:schemeClr w14:val="tx1"/>
            </w14:solidFill>
          </w14:textFill>
        </w:rPr>
        <w:t>（二）空间结构</w:t>
      </w:r>
    </w:p>
    <w:p w14:paraId="46116AEA">
      <w:pPr>
        <w:spacing w:line="560" w:lineRule="exact"/>
        <w:ind w:firstLine="640" w:firstLineChars="200"/>
        <w:rPr>
          <w:rFonts w:ascii="仿宋_GB2312" w:hAnsi="仿宋_GB2312" w:eastAsia="仿宋_GB2312" w:cs="仿宋_GB2312"/>
          <w:color w:val="000000" w:themeColor="text1"/>
          <w:sz w:val="32"/>
          <w:szCs w:val="32"/>
          <w:shd w:val="clear" w:color="auto" w:fill="FFFFFF"/>
          <w14:textFill>
            <w14:solidFill>
              <w14:schemeClr w14:val="tx1"/>
            </w14:solidFill>
          </w14:textFill>
        </w:rPr>
      </w:pPr>
      <w:r>
        <w:rPr>
          <w:rFonts w:hint="eastAsia" w:ascii="仿宋_GB2312" w:hAnsi="仿宋_GB2312" w:eastAsia="仿宋_GB2312" w:cs="仿宋_GB2312"/>
          <w:color w:val="000000" w:themeColor="text1"/>
          <w:sz w:val="32"/>
          <w:szCs w:val="32"/>
          <w:shd w:val="clear" w:color="auto" w:fill="FFFFFF"/>
          <w14:textFill>
            <w14:solidFill>
              <w14:schemeClr w14:val="tx1"/>
            </w14:solidFill>
          </w14:textFill>
        </w:rPr>
        <w:t>规划形成“一轴、两心、三片区”的乡政府所在地空间结构。</w:t>
      </w:r>
    </w:p>
    <w:p w14:paraId="0C6E1AFE">
      <w:pPr>
        <w:spacing w:line="560" w:lineRule="exact"/>
        <w:ind w:firstLine="640" w:firstLineChars="200"/>
        <w:rPr>
          <w:rFonts w:ascii="仿宋_GB2312" w:hAnsi="仿宋_GB2312" w:eastAsia="仿宋_GB2312" w:cs="仿宋_GB2312"/>
          <w:color w:val="000000" w:themeColor="text1"/>
          <w:sz w:val="32"/>
          <w:szCs w:val="32"/>
          <w:shd w:val="clear" w:color="auto" w:fill="FFFFFF"/>
          <w14:textFill>
            <w14:solidFill>
              <w14:schemeClr w14:val="tx1"/>
            </w14:solidFill>
          </w14:textFill>
        </w:rPr>
      </w:pPr>
      <w:r>
        <w:rPr>
          <w:rFonts w:hint="eastAsia" w:ascii="仿宋_GB2312" w:hAnsi="仿宋_GB2312" w:eastAsia="仿宋_GB2312" w:cs="仿宋_GB2312"/>
          <w:color w:val="000000" w:themeColor="text1"/>
          <w:sz w:val="32"/>
          <w:szCs w:val="32"/>
          <w:shd w:val="clear" w:color="auto" w:fill="FFFFFF"/>
          <w14:textFill>
            <w14:solidFill>
              <w14:schemeClr w14:val="tx1"/>
            </w14:solidFill>
          </w14:textFill>
        </w:rPr>
        <w:t>一轴是一条乡镇发展轴，沿着乡内主要交通干线与功能分区的衔接脉络延伸。串联西部一般居住区、中部综合服务区等关键节点，引导产业、人口、资源等要素沿轴集聚与流动，促进各区域间的协同共进与发展联动。以交通为纽带，以产业为支撑，推动居住与服务功能的有机融合，形成乡域发展的中轴脊梁，带动全乡向更具活力与竞争力的方向迈进。</w:t>
      </w:r>
    </w:p>
    <w:p w14:paraId="770E3ED0">
      <w:pPr>
        <w:spacing w:line="560" w:lineRule="exact"/>
        <w:ind w:firstLine="640" w:firstLineChars="200"/>
        <w:rPr>
          <w:rFonts w:ascii="仿宋_GB2312" w:hAnsi="仿宋_GB2312" w:eastAsia="仿宋_GB2312" w:cs="仿宋_GB2312"/>
          <w:color w:val="000000" w:themeColor="text1"/>
          <w:sz w:val="32"/>
          <w:szCs w:val="32"/>
          <w:shd w:val="clear" w:color="auto" w:fill="FFFFFF"/>
          <w14:textFill>
            <w14:solidFill>
              <w14:schemeClr w14:val="tx1"/>
            </w14:solidFill>
          </w14:textFill>
        </w:rPr>
      </w:pPr>
      <w:r>
        <w:rPr>
          <w:rFonts w:hint="eastAsia" w:ascii="仿宋_GB2312" w:hAnsi="仿宋_GB2312" w:eastAsia="仿宋_GB2312" w:cs="仿宋_GB2312"/>
          <w:color w:val="000000" w:themeColor="text1"/>
          <w:sz w:val="32"/>
          <w:szCs w:val="32"/>
          <w:shd w:val="clear" w:color="auto" w:fill="FFFFFF"/>
          <w14:textFill>
            <w14:solidFill>
              <w14:schemeClr w14:val="tx1"/>
            </w14:solidFill>
          </w14:textFill>
        </w:rPr>
        <w:t>两心分为乡政府驻地核心和综合服务区核心。乡政府驻地处核心和综合服务区核心。乡政府驻地处核心集行政办公、公共服务等功能于一体，是乡域治理与居民办理事务的重要场所，凭借其权威性与集聚效应，整合资源，引领乡内各项事务有序推进，为全乡发展提供行政保障与服务支撑。综合服务区核心则汇聚商业、文化、休闲等多种服务业态，打造为居民提供一站式便捷服务的活力区域，满足居民日常生活与精神文化需求，同时以其为磁场，吸引人气，带动周边地块发展，成为乡域经济活跃、人气聚集的高地。</w:t>
      </w:r>
    </w:p>
    <w:p w14:paraId="44D93E94">
      <w:pPr>
        <w:spacing w:line="560" w:lineRule="exact"/>
        <w:ind w:firstLine="640" w:firstLineChars="200"/>
        <w:rPr>
          <w:rFonts w:ascii="仿宋_GB2312" w:hAnsi="仿宋_GB2312" w:eastAsia="仿宋_GB2312" w:cs="仿宋_GB2312"/>
          <w:color w:val="000000" w:themeColor="text1"/>
          <w:sz w:val="32"/>
          <w:szCs w:val="32"/>
          <w:shd w:val="clear" w:color="auto" w:fill="FFFFFF"/>
          <w14:textFill>
            <w14:solidFill>
              <w14:schemeClr w14:val="tx1"/>
            </w14:solidFill>
          </w14:textFill>
        </w:rPr>
      </w:pPr>
      <w:r>
        <w:rPr>
          <w:rFonts w:hint="eastAsia" w:ascii="仿宋_GB2312" w:hAnsi="仿宋_GB2312" w:eastAsia="仿宋_GB2312" w:cs="仿宋_GB2312"/>
          <w:color w:val="000000" w:themeColor="text1"/>
          <w:sz w:val="32"/>
          <w:szCs w:val="32"/>
          <w:shd w:val="clear" w:color="auto" w:fill="FFFFFF"/>
          <w14:textFill>
            <w14:solidFill>
              <w14:schemeClr w14:val="tx1"/>
            </w14:solidFill>
          </w14:textFill>
        </w:rPr>
        <w:t>三片即西部一般居住区、中部综合服务区、东部临近108国道的对外服务区。西部一般居住区以营造舒适宜居的生活环境为核心，注重居住品质与社区服务的提升，打造和谐稳定的居住社区，为乡民提供安居之所；中部综合服务区聚焦多元服务功能的整合，汇聚商业、文化、休闲等业态，满足居民日常需求，带动人气与经济发展；东部对外服务区凭借108国道优势，布局物流、商业、旅游接待等产业，强化对外联系与服务，吸引外部资源，三片区协同共进，推动乌龙沟乡全面发展。</w:t>
      </w:r>
    </w:p>
    <w:p w14:paraId="5A51B624">
      <w:pPr>
        <w:spacing w:line="560" w:lineRule="exact"/>
        <w:rPr>
          <w:rFonts w:ascii="仿宋_GB2312" w:hAnsi="仿宋_GB2312" w:eastAsia="仿宋_GB2312" w:cs="仿宋_GB2312"/>
          <w:color w:val="000000" w:themeColor="text1"/>
          <w:sz w:val="32"/>
          <w:szCs w:val="32"/>
          <w:shd w:val="clear" w:color="auto" w:fill="FFFFFF"/>
          <w14:textFill>
            <w14:solidFill>
              <w14:schemeClr w14:val="tx1"/>
            </w14:solidFill>
          </w14:textFill>
        </w:rPr>
      </w:pPr>
    </w:p>
    <w:p w14:paraId="399CAA59">
      <w:pPr>
        <w:spacing w:line="560" w:lineRule="exact"/>
        <w:rPr>
          <w:rFonts w:ascii="仿宋_GB2312" w:hAnsi="仿宋_GB2312" w:eastAsia="仿宋_GB2312" w:cs="仿宋_GB2312"/>
          <w:color w:val="000000" w:themeColor="text1"/>
          <w:sz w:val="32"/>
          <w:szCs w:val="32"/>
          <w:shd w:val="clear" w:color="auto" w:fill="FFFFFF"/>
          <w14:textFill>
            <w14:solidFill>
              <w14:schemeClr w14:val="tx1"/>
            </w14:solidFill>
          </w14:textFill>
        </w:rPr>
      </w:pPr>
    </w:p>
    <w:p w14:paraId="12DB4C6B">
      <w:pPr>
        <w:spacing w:line="560" w:lineRule="exact"/>
        <w:rPr>
          <w:rFonts w:ascii="仿宋_GB2312" w:hAnsi="仿宋_GB2312" w:eastAsia="仿宋_GB2312" w:cs="仿宋_GB2312"/>
          <w:color w:val="000000" w:themeColor="text1"/>
          <w:sz w:val="32"/>
          <w:szCs w:val="32"/>
          <w:shd w:val="clear" w:color="auto" w:fill="FFFFFF"/>
          <w14:textFill>
            <w14:solidFill>
              <w14:schemeClr w14:val="tx1"/>
            </w14:solidFill>
          </w14:textFill>
        </w:rPr>
      </w:pPr>
    </w:p>
    <w:p w14:paraId="2194E1D1">
      <w:pPr>
        <w:spacing w:line="560" w:lineRule="exact"/>
        <w:rPr>
          <w:rFonts w:ascii="仿宋_GB2312" w:hAnsi="仿宋_GB2312" w:eastAsia="仿宋_GB2312" w:cs="仿宋_GB2312"/>
          <w:color w:val="000000" w:themeColor="text1"/>
          <w:sz w:val="32"/>
          <w:szCs w:val="32"/>
          <w:shd w:val="clear" w:color="auto" w:fill="FFFFFF"/>
          <w14:textFill>
            <w14:solidFill>
              <w14:schemeClr w14:val="tx1"/>
            </w14:solidFill>
          </w14:textFill>
        </w:rPr>
      </w:pPr>
    </w:p>
    <w:p w14:paraId="2CAE3181">
      <w:pPr>
        <w:spacing w:line="560" w:lineRule="exact"/>
        <w:rPr>
          <w:rFonts w:ascii="仿宋_GB2312" w:hAnsi="仿宋_GB2312" w:eastAsia="仿宋_GB2312" w:cs="仿宋_GB2312"/>
          <w:color w:val="000000" w:themeColor="text1"/>
          <w:sz w:val="32"/>
          <w:szCs w:val="32"/>
          <w:shd w:val="clear" w:color="auto" w:fill="FFFFFF"/>
          <w14:textFill>
            <w14:solidFill>
              <w14:schemeClr w14:val="tx1"/>
            </w14:solidFill>
          </w14:textFill>
        </w:rPr>
      </w:pPr>
    </w:p>
    <w:p w14:paraId="78C96F24">
      <w:pPr>
        <w:spacing w:line="560" w:lineRule="exact"/>
        <w:rPr>
          <w:rFonts w:ascii="仿宋_GB2312" w:hAnsi="仿宋_GB2312" w:eastAsia="仿宋_GB2312" w:cs="仿宋_GB2312"/>
          <w:color w:val="000000" w:themeColor="text1"/>
          <w:sz w:val="32"/>
          <w:szCs w:val="32"/>
          <w:shd w:val="clear" w:color="auto" w:fill="FFFFFF"/>
          <w14:textFill>
            <w14:solidFill>
              <w14:schemeClr w14:val="tx1"/>
            </w14:solidFill>
          </w14:textFill>
        </w:rPr>
      </w:pPr>
    </w:p>
    <w:p w14:paraId="06FCB538">
      <w:pPr>
        <w:spacing w:line="560" w:lineRule="exact"/>
        <w:rPr>
          <w:rFonts w:ascii="仿宋_GB2312" w:hAnsi="仿宋_GB2312" w:eastAsia="仿宋_GB2312" w:cs="仿宋_GB2312"/>
          <w:color w:val="000000" w:themeColor="text1"/>
          <w:sz w:val="32"/>
          <w:szCs w:val="32"/>
          <w:shd w:val="clear" w:color="auto" w:fill="FFFFFF"/>
          <w14:textFill>
            <w14:solidFill>
              <w14:schemeClr w14:val="tx1"/>
            </w14:solidFill>
          </w14:textFill>
        </w:rPr>
      </w:pPr>
    </w:p>
    <w:p w14:paraId="2C0E64AE">
      <w:pPr>
        <w:spacing w:line="560" w:lineRule="exact"/>
        <w:rPr>
          <w:rFonts w:ascii="仿宋_GB2312" w:hAnsi="仿宋_GB2312" w:eastAsia="仿宋_GB2312" w:cs="仿宋_GB2312"/>
          <w:color w:val="000000" w:themeColor="text1"/>
          <w:sz w:val="32"/>
          <w:szCs w:val="32"/>
          <w:shd w:val="clear" w:color="auto" w:fill="FFFFFF"/>
          <w14:textFill>
            <w14:solidFill>
              <w14:schemeClr w14:val="tx1"/>
            </w14:solidFill>
          </w14:textFill>
        </w:rPr>
      </w:pPr>
    </w:p>
    <w:p w14:paraId="0E28F372">
      <w:pPr>
        <w:spacing w:line="560" w:lineRule="exact"/>
        <w:rPr>
          <w:rFonts w:ascii="仿宋_GB2312" w:hAnsi="仿宋_GB2312" w:eastAsia="仿宋_GB2312" w:cs="仿宋_GB2312"/>
          <w:color w:val="000000" w:themeColor="text1"/>
          <w:sz w:val="32"/>
          <w:szCs w:val="32"/>
          <w:shd w:val="clear" w:color="auto" w:fill="FFFFFF"/>
          <w14:textFill>
            <w14:solidFill>
              <w14:schemeClr w14:val="tx1"/>
            </w14:solidFill>
          </w14:textFill>
        </w:rPr>
      </w:pPr>
    </w:p>
    <w:p w14:paraId="0A776A63">
      <w:pPr>
        <w:spacing w:line="560" w:lineRule="exact"/>
        <w:rPr>
          <w:rFonts w:ascii="仿宋_GB2312" w:hAnsi="仿宋_GB2312" w:eastAsia="仿宋_GB2312" w:cs="仿宋_GB2312"/>
          <w:color w:val="000000" w:themeColor="text1"/>
          <w:sz w:val="32"/>
          <w:szCs w:val="32"/>
          <w:shd w:val="clear" w:color="auto" w:fill="FFFFFF"/>
          <w14:textFill>
            <w14:solidFill>
              <w14:schemeClr w14:val="tx1"/>
            </w14:solidFill>
          </w14:textFill>
        </w:rPr>
      </w:pPr>
    </w:p>
    <w:p w14:paraId="02619540">
      <w:pPr>
        <w:spacing w:line="560" w:lineRule="exact"/>
        <w:rPr>
          <w:rFonts w:ascii="仿宋_GB2312" w:hAnsi="仿宋_GB2312" w:eastAsia="仿宋_GB2312" w:cs="仿宋_GB2312"/>
          <w:color w:val="000000" w:themeColor="text1"/>
          <w:sz w:val="32"/>
          <w:szCs w:val="32"/>
          <w:shd w:val="clear" w:color="auto" w:fill="FFFFFF"/>
          <w14:textFill>
            <w14:solidFill>
              <w14:schemeClr w14:val="tx1"/>
            </w14:solidFill>
          </w14:textFill>
        </w:rPr>
      </w:pPr>
    </w:p>
    <w:p w14:paraId="0253CAE3">
      <w:pPr>
        <w:spacing w:line="560" w:lineRule="exact"/>
        <w:rPr>
          <w:rFonts w:ascii="仿宋_GB2312" w:hAnsi="仿宋_GB2312" w:eastAsia="仿宋_GB2312" w:cs="仿宋_GB2312"/>
          <w:color w:val="000000" w:themeColor="text1"/>
          <w:sz w:val="32"/>
          <w:szCs w:val="32"/>
          <w:shd w:val="clear" w:color="auto" w:fill="FFFFFF"/>
          <w14:textFill>
            <w14:solidFill>
              <w14:schemeClr w14:val="tx1"/>
            </w14:solidFill>
          </w14:textFill>
        </w:rPr>
      </w:pPr>
    </w:p>
    <w:p w14:paraId="277C2D61">
      <w:pPr>
        <w:spacing w:line="560" w:lineRule="exact"/>
        <w:rPr>
          <w:rFonts w:ascii="仿宋_GB2312" w:hAnsi="仿宋_GB2312" w:eastAsia="仿宋_GB2312" w:cs="仿宋_GB2312"/>
          <w:color w:val="000000" w:themeColor="text1"/>
          <w:sz w:val="32"/>
          <w:szCs w:val="32"/>
          <w:shd w:val="clear" w:color="auto" w:fill="FFFFFF"/>
          <w14:textFill>
            <w14:solidFill>
              <w14:schemeClr w14:val="tx1"/>
            </w14:solidFill>
          </w14:textFill>
        </w:rPr>
      </w:pPr>
      <w:r>
        <w:rPr>
          <w:color w:val="000000" w:themeColor="text1"/>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356235</wp:posOffset>
            </wp:positionV>
            <wp:extent cx="5274310" cy="7458710"/>
            <wp:effectExtent l="0" t="0" r="2540" b="8890"/>
            <wp:wrapSquare wrapText="bothSides"/>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5274310" cy="7458710"/>
                    </a:xfrm>
                    <a:prstGeom prst="rect">
                      <a:avLst/>
                    </a:prstGeom>
                  </pic:spPr>
                </pic:pic>
              </a:graphicData>
            </a:graphic>
          </wp:anchor>
        </w:drawing>
      </w:r>
    </w:p>
    <w:p w14:paraId="5955BB59">
      <w:pPr>
        <w:spacing w:line="560" w:lineRule="exact"/>
        <w:rPr>
          <w:rFonts w:ascii="仿宋_GB2312" w:hAnsi="仿宋_GB2312" w:eastAsia="仿宋_GB2312" w:cs="仿宋_GB2312"/>
          <w:color w:val="000000" w:themeColor="text1"/>
          <w:sz w:val="32"/>
          <w:szCs w:val="32"/>
          <w:shd w:val="clear" w:color="auto" w:fill="FFFFFF"/>
          <w14:textFill>
            <w14:solidFill>
              <w14:schemeClr w14:val="tx1"/>
            </w14:solidFill>
          </w14:textFill>
        </w:rPr>
      </w:pPr>
    </w:p>
    <w:p w14:paraId="468DE64D">
      <w:pPr>
        <w:spacing w:line="560" w:lineRule="exact"/>
        <w:rPr>
          <w:rFonts w:ascii="仿宋_GB2312" w:hAnsi="仿宋_GB2312" w:eastAsia="仿宋_GB2312" w:cs="仿宋_GB2312"/>
          <w:color w:val="000000" w:themeColor="text1"/>
          <w:sz w:val="32"/>
          <w:szCs w:val="32"/>
          <w:shd w:val="clear" w:color="auto" w:fill="FFFFFF"/>
          <w14:textFill>
            <w14:solidFill>
              <w14:schemeClr w14:val="tx1"/>
            </w14:solidFill>
          </w14:textFill>
        </w:rPr>
      </w:pPr>
    </w:p>
    <w:p w14:paraId="708C9E83">
      <w:pPr>
        <w:spacing w:line="560" w:lineRule="exact"/>
        <w:rPr>
          <w:rFonts w:ascii="仿宋_GB2312" w:hAnsi="仿宋_GB2312" w:eastAsia="仿宋_GB2312" w:cs="仿宋_GB2312"/>
          <w:color w:val="000000" w:themeColor="text1"/>
          <w:sz w:val="32"/>
          <w:szCs w:val="32"/>
          <w:shd w:val="clear" w:color="auto" w:fill="FFFFFF"/>
          <w14:textFill>
            <w14:solidFill>
              <w14:schemeClr w14:val="tx1"/>
            </w14:solidFill>
          </w14:textFill>
        </w:rPr>
      </w:pPr>
      <w:r>
        <w:rPr>
          <w:color w:val="000000" w:themeColor="text1"/>
          <w14:textFill>
            <w14:solidFill>
              <w14:schemeClr w14:val="tx1"/>
            </w14:solidFill>
          </w14:textFill>
        </w:rPr>
        <w:drawing>
          <wp:anchor distT="0" distB="0" distL="114300" distR="114300" simplePos="0" relativeHeight="251661312" behindDoc="0" locked="0" layoutInCell="1" allowOverlap="1">
            <wp:simplePos x="0" y="0"/>
            <wp:positionH relativeFrom="column">
              <wp:posOffset>0</wp:posOffset>
            </wp:positionH>
            <wp:positionV relativeFrom="paragraph">
              <wp:posOffset>356235</wp:posOffset>
            </wp:positionV>
            <wp:extent cx="5274310" cy="7458710"/>
            <wp:effectExtent l="0" t="0" r="2540" b="8890"/>
            <wp:wrapSquare wrapText="bothSides"/>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5"/>
                    <a:stretch>
                      <a:fillRect/>
                    </a:stretch>
                  </pic:blipFill>
                  <pic:spPr>
                    <a:xfrm>
                      <a:off x="0" y="0"/>
                      <a:ext cx="5274310" cy="7458710"/>
                    </a:xfrm>
                    <a:prstGeom prst="rect">
                      <a:avLst/>
                    </a:prstGeom>
                  </pic:spPr>
                </pic:pic>
              </a:graphicData>
            </a:graphic>
          </wp:anchor>
        </w:drawing>
      </w:r>
    </w:p>
    <w:p w14:paraId="0EF51329">
      <w:pPr>
        <w:spacing w:line="560" w:lineRule="exact"/>
        <w:rPr>
          <w:rFonts w:ascii="仿宋_GB2312" w:hAnsi="仿宋_GB2312" w:eastAsia="仿宋_GB2312" w:cs="仿宋_GB2312"/>
          <w:color w:val="000000" w:themeColor="text1"/>
          <w:sz w:val="32"/>
          <w:szCs w:val="32"/>
          <w:shd w:val="clear" w:color="auto" w:fill="FFFFFF"/>
          <w14:textFill>
            <w14:solidFill>
              <w14:schemeClr w14:val="tx1"/>
            </w14:solidFill>
          </w14:textFill>
        </w:rPr>
      </w:pPr>
    </w:p>
    <w:p w14:paraId="18A7237A">
      <w:pPr>
        <w:spacing w:line="560" w:lineRule="exact"/>
        <w:rPr>
          <w:rFonts w:ascii="仿宋_GB2312" w:hAnsi="仿宋_GB2312" w:eastAsia="仿宋_GB2312" w:cs="仿宋_GB2312"/>
          <w:color w:val="000000" w:themeColor="text1"/>
          <w:sz w:val="32"/>
          <w:szCs w:val="32"/>
          <w:shd w:val="clear" w:color="auto" w:fill="FFFFFF"/>
          <w14:textFill>
            <w14:solidFill>
              <w14:schemeClr w14:val="tx1"/>
            </w14:solidFill>
          </w14:textFill>
        </w:rPr>
      </w:pPr>
    </w:p>
    <w:p w14:paraId="68063115">
      <w:pPr>
        <w:spacing w:line="560" w:lineRule="exact"/>
        <w:rPr>
          <w:rFonts w:ascii="仿宋_GB2312" w:hAnsi="仿宋_GB2312" w:eastAsia="仿宋_GB2312" w:cs="仿宋_GB2312"/>
          <w:color w:val="000000" w:themeColor="text1"/>
          <w:sz w:val="32"/>
          <w:szCs w:val="32"/>
          <w:shd w:val="clear" w:color="auto" w:fill="FFFFFF"/>
          <w14:textFill>
            <w14:solidFill>
              <w14:schemeClr w14:val="tx1"/>
            </w14:solidFill>
          </w14:textFill>
        </w:rPr>
      </w:pPr>
      <w:r>
        <w:rPr>
          <w:color w:val="000000" w:themeColor="text1"/>
          <w14:textFill>
            <w14:solidFill>
              <w14:schemeClr w14:val="tx1"/>
            </w14:solidFill>
          </w14:textFill>
        </w:rPr>
        <w:drawing>
          <wp:anchor distT="0" distB="0" distL="114300" distR="114300" simplePos="0" relativeHeight="251660288" behindDoc="0" locked="0" layoutInCell="1" allowOverlap="1">
            <wp:simplePos x="0" y="0"/>
            <wp:positionH relativeFrom="column">
              <wp:posOffset>0</wp:posOffset>
            </wp:positionH>
            <wp:positionV relativeFrom="paragraph">
              <wp:posOffset>356235</wp:posOffset>
            </wp:positionV>
            <wp:extent cx="5274310" cy="7458710"/>
            <wp:effectExtent l="0" t="0" r="2540" b="8890"/>
            <wp:wrapSquare wrapText="bothSides"/>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6"/>
                    <a:stretch>
                      <a:fillRect/>
                    </a:stretch>
                  </pic:blipFill>
                  <pic:spPr>
                    <a:xfrm>
                      <a:off x="0" y="0"/>
                      <a:ext cx="5274310" cy="7458710"/>
                    </a:xfrm>
                    <a:prstGeom prst="rect">
                      <a:avLst/>
                    </a:prstGeom>
                  </pic:spPr>
                </pic:pic>
              </a:graphicData>
            </a:graphic>
          </wp:anchor>
        </w:drawing>
      </w:r>
    </w:p>
    <w:p w14:paraId="1FAC33EE">
      <w:pPr>
        <w:spacing w:line="560" w:lineRule="exact"/>
        <w:rPr>
          <w:rFonts w:ascii="仿宋_GB2312" w:hAnsi="仿宋_GB2312" w:eastAsia="仿宋_GB2312" w:cs="仿宋_GB2312"/>
          <w:color w:val="000000" w:themeColor="text1"/>
          <w:sz w:val="32"/>
          <w:szCs w:val="32"/>
          <w:shd w:val="clear" w:color="auto" w:fill="FFFFFF"/>
          <w14:textFill>
            <w14:solidFill>
              <w14:schemeClr w14:val="tx1"/>
            </w14:solidFill>
          </w14:textFill>
        </w:rPr>
      </w:pPr>
    </w:p>
    <w:p w14:paraId="37EFAB67">
      <w:pPr>
        <w:spacing w:line="560" w:lineRule="exact"/>
        <w:rPr>
          <w:rFonts w:ascii="仿宋_GB2312" w:hAnsi="仿宋_GB2312" w:eastAsia="仿宋_GB2312" w:cs="仿宋_GB2312"/>
          <w:color w:val="000000" w:themeColor="text1"/>
          <w:sz w:val="32"/>
          <w:szCs w:val="32"/>
          <w:shd w:val="clear" w:color="auto" w:fill="FFFFFF"/>
          <w14:textFill>
            <w14:solidFill>
              <w14:schemeClr w14:val="tx1"/>
            </w14:solidFill>
          </w14:textFill>
        </w:rPr>
      </w:pPr>
    </w:p>
    <w:p w14:paraId="065ECF6D">
      <w:pPr>
        <w:spacing w:line="560" w:lineRule="exact"/>
        <w:rPr>
          <w:rFonts w:ascii="仿宋_GB2312" w:hAnsi="仿宋_GB2312" w:eastAsia="仿宋_GB2312" w:cs="仿宋_GB2312"/>
          <w:color w:val="000000" w:themeColor="text1"/>
          <w:sz w:val="32"/>
          <w:szCs w:val="32"/>
          <w:shd w:val="clear" w:color="auto" w:fill="FFFFFF"/>
          <w14:textFill>
            <w14:solidFill>
              <w14:schemeClr w14:val="tx1"/>
            </w14:solidFill>
          </w14:textFill>
        </w:rPr>
      </w:pPr>
      <w:r>
        <w:rPr>
          <w:color w:val="000000" w:themeColor="text1"/>
          <w14:textFill>
            <w14:solidFill>
              <w14:schemeClr w14:val="tx1"/>
            </w14:solidFill>
          </w14:textFill>
        </w:rPr>
        <w:drawing>
          <wp:anchor distT="0" distB="0" distL="114300" distR="114300" simplePos="0" relativeHeight="251662336" behindDoc="0" locked="0" layoutInCell="1" allowOverlap="1">
            <wp:simplePos x="0" y="0"/>
            <wp:positionH relativeFrom="column">
              <wp:posOffset>0</wp:posOffset>
            </wp:positionH>
            <wp:positionV relativeFrom="paragraph">
              <wp:posOffset>356235</wp:posOffset>
            </wp:positionV>
            <wp:extent cx="5274310" cy="3729355"/>
            <wp:effectExtent l="0" t="0" r="2540" b="4445"/>
            <wp:wrapSquare wrapText="bothSides"/>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icPr>
                  <pic:blipFill>
                    <a:blip r:embed="rId7"/>
                    <a:stretch>
                      <a:fillRect/>
                    </a:stretch>
                  </pic:blipFill>
                  <pic:spPr>
                    <a:xfrm>
                      <a:off x="0" y="0"/>
                      <a:ext cx="5274310" cy="3729355"/>
                    </a:xfrm>
                    <a:prstGeom prst="rect">
                      <a:avLst/>
                    </a:prstGeom>
                  </pic:spPr>
                </pic:pic>
              </a:graphicData>
            </a:graphic>
          </wp:anchor>
        </w:drawing>
      </w:r>
    </w:p>
    <w:p w14:paraId="324FAC6E">
      <w:pPr>
        <w:spacing w:line="560" w:lineRule="exact"/>
        <w:rPr>
          <w:rFonts w:ascii="仿宋_GB2312" w:hAnsi="仿宋_GB2312" w:eastAsia="仿宋_GB2312" w:cs="仿宋_GB2312"/>
          <w:color w:val="000000" w:themeColor="text1"/>
          <w:sz w:val="32"/>
          <w:szCs w:val="32"/>
          <w:shd w:val="clear" w:color="auto" w:fill="FFFFFF"/>
          <w14:textFill>
            <w14:solidFill>
              <w14:schemeClr w14:val="tx1"/>
            </w14:solidFill>
          </w14:textFill>
        </w:rPr>
      </w:pPr>
    </w:p>
    <w:p w14:paraId="76D02D92">
      <w:pPr>
        <w:spacing w:line="560" w:lineRule="exact"/>
        <w:rPr>
          <w:rFonts w:ascii="仿宋_GB2312" w:hAnsi="仿宋_GB2312" w:eastAsia="仿宋_GB2312" w:cs="仿宋_GB2312"/>
          <w:color w:val="000000" w:themeColor="text1"/>
          <w:sz w:val="32"/>
          <w:szCs w:val="32"/>
          <w:shd w:val="clear" w:color="auto" w:fill="FFFFFF"/>
          <w14:textFill>
            <w14:solidFill>
              <w14:schemeClr w14:val="tx1"/>
            </w14:solidFill>
          </w14:textFill>
        </w:rPr>
      </w:pPr>
      <w:r>
        <w:rPr>
          <w:color w:val="000000" w:themeColor="text1"/>
          <w14:textFill>
            <w14:solidFill>
              <w14:schemeClr w14:val="tx1"/>
            </w14:solidFill>
          </w14:textFill>
        </w:rPr>
        <w:drawing>
          <wp:anchor distT="0" distB="0" distL="114300" distR="114300" simplePos="0" relativeHeight="251663360" behindDoc="0" locked="0" layoutInCell="1" allowOverlap="1">
            <wp:simplePos x="0" y="0"/>
            <wp:positionH relativeFrom="column">
              <wp:posOffset>0</wp:posOffset>
            </wp:positionH>
            <wp:positionV relativeFrom="paragraph">
              <wp:posOffset>356235</wp:posOffset>
            </wp:positionV>
            <wp:extent cx="5274310" cy="3729355"/>
            <wp:effectExtent l="0" t="0" r="2540" b="4445"/>
            <wp:wrapSquare wrapText="bothSides"/>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pic:cNvPicPr>
                  </pic:nvPicPr>
                  <pic:blipFill>
                    <a:blip r:embed="rId8"/>
                    <a:stretch>
                      <a:fillRect/>
                    </a:stretch>
                  </pic:blipFill>
                  <pic:spPr>
                    <a:xfrm>
                      <a:off x="0" y="0"/>
                      <a:ext cx="5274310" cy="3729355"/>
                    </a:xfrm>
                    <a:prstGeom prst="rect">
                      <a:avLst/>
                    </a:prstGeom>
                  </pic:spPr>
                </pic:pic>
              </a:graphicData>
            </a:graphic>
          </wp:anchor>
        </w:drawing>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panose1 w:val="02010601030101010101"/>
    <w:charset w:val="86"/>
    <w:family w:val="auto"/>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81A00D6"/>
    <w:multiLevelType w:val="singleLevel"/>
    <w:tmpl w:val="F81A00D6"/>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10EA"/>
    <w:rsid w:val="00055815"/>
    <w:rsid w:val="00056756"/>
    <w:rsid w:val="000625E7"/>
    <w:rsid w:val="00124250"/>
    <w:rsid w:val="0015649F"/>
    <w:rsid w:val="001577A0"/>
    <w:rsid w:val="001A5550"/>
    <w:rsid w:val="001C5EBF"/>
    <w:rsid w:val="00254877"/>
    <w:rsid w:val="00267AA8"/>
    <w:rsid w:val="0032038A"/>
    <w:rsid w:val="00380EE0"/>
    <w:rsid w:val="003C5219"/>
    <w:rsid w:val="00421C02"/>
    <w:rsid w:val="004D7DBD"/>
    <w:rsid w:val="0050521F"/>
    <w:rsid w:val="005758E1"/>
    <w:rsid w:val="005A5A84"/>
    <w:rsid w:val="005E00D0"/>
    <w:rsid w:val="006210EA"/>
    <w:rsid w:val="006739B3"/>
    <w:rsid w:val="006B044D"/>
    <w:rsid w:val="0070428A"/>
    <w:rsid w:val="00836EF0"/>
    <w:rsid w:val="00851573"/>
    <w:rsid w:val="008557C4"/>
    <w:rsid w:val="00864647"/>
    <w:rsid w:val="008A5FF5"/>
    <w:rsid w:val="008B307F"/>
    <w:rsid w:val="008E04FE"/>
    <w:rsid w:val="00932524"/>
    <w:rsid w:val="009C54B9"/>
    <w:rsid w:val="00B20ABF"/>
    <w:rsid w:val="00BE40F2"/>
    <w:rsid w:val="00C021A1"/>
    <w:rsid w:val="00C14085"/>
    <w:rsid w:val="00C20EEB"/>
    <w:rsid w:val="00CF2361"/>
    <w:rsid w:val="00D20FE6"/>
    <w:rsid w:val="00D44481"/>
    <w:rsid w:val="00DC5FAC"/>
    <w:rsid w:val="00DF0B00"/>
    <w:rsid w:val="00E50567"/>
    <w:rsid w:val="00F61D6D"/>
    <w:rsid w:val="00F82B4C"/>
    <w:rsid w:val="00FD1038"/>
    <w:rsid w:val="00FF16B8"/>
    <w:rsid w:val="032F6F45"/>
    <w:rsid w:val="1FCC2438"/>
    <w:rsid w:val="2EAE0F42"/>
    <w:rsid w:val="3154318D"/>
    <w:rsid w:val="33301D0B"/>
    <w:rsid w:val="391C1B5F"/>
    <w:rsid w:val="3B757DCD"/>
    <w:rsid w:val="3C6329C5"/>
    <w:rsid w:val="3F5F7F07"/>
    <w:rsid w:val="4C1D088B"/>
    <w:rsid w:val="4CAE1DDD"/>
    <w:rsid w:val="50B810F3"/>
    <w:rsid w:val="5B417F4A"/>
    <w:rsid w:val="5D213C1A"/>
    <w:rsid w:val="5E72057F"/>
    <w:rsid w:val="66F43AF7"/>
    <w:rsid w:val="6A926AF6"/>
    <w:rsid w:val="6B317A0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Autospacing="1" w:afterAutospacing="1"/>
      <w:jc w:val="left"/>
      <w:outlineLvl w:val="0"/>
    </w:pPr>
    <w:rPr>
      <w:rFonts w:hint="eastAsia" w:ascii="宋体" w:hAnsi="宋体" w:eastAsia="宋体" w:cs="Times New Roman"/>
      <w:b/>
      <w:bCs/>
      <w:kern w:val="44"/>
      <w:sz w:val="48"/>
      <w:szCs w:val="48"/>
    </w:rPr>
  </w:style>
  <w:style w:type="character" w:default="1" w:styleId="6">
    <w:name w:val="Default Paragraph Font"/>
    <w:semiHidden/>
    <w:unhideWhenUsed/>
    <w:qFormat/>
    <w:uiPriority w:val="1"/>
  </w:style>
  <w:style w:type="table" w:default="1" w:styleId="5">
    <w:name w:val="Normal Table"/>
    <w:semiHidden/>
    <w:unhideWhenUsed/>
    <w:uiPriority w:val="99"/>
    <w:tblPr>
      <w:tblCellMar>
        <w:top w:w="0" w:type="dxa"/>
        <w:left w:w="108" w:type="dxa"/>
        <w:bottom w:w="0" w:type="dxa"/>
        <w:right w:w="108" w:type="dxa"/>
      </w:tblCellMar>
    </w:tblPr>
  </w:style>
  <w:style w:type="paragraph" w:styleId="3">
    <w:name w:val="footer"/>
    <w:basedOn w:val="1"/>
    <w:link w:val="8"/>
    <w:qFormat/>
    <w:uiPriority w:val="0"/>
    <w:pPr>
      <w:tabs>
        <w:tab w:val="center" w:pos="4153"/>
        <w:tab w:val="right" w:pos="8306"/>
      </w:tabs>
      <w:snapToGrid w:val="0"/>
      <w:jc w:val="left"/>
    </w:pPr>
    <w:rPr>
      <w:sz w:val="18"/>
      <w:szCs w:val="18"/>
    </w:rPr>
  </w:style>
  <w:style w:type="paragraph" w:styleId="4">
    <w:name w:val="header"/>
    <w:basedOn w:val="1"/>
    <w:link w:val="7"/>
    <w:qFormat/>
    <w:uiPriority w:val="0"/>
    <w:pPr>
      <w:pBdr>
        <w:bottom w:val="single" w:color="auto" w:sz="6" w:space="1"/>
      </w:pBdr>
      <w:tabs>
        <w:tab w:val="center" w:pos="4153"/>
        <w:tab w:val="right" w:pos="8306"/>
      </w:tabs>
      <w:snapToGrid w:val="0"/>
      <w:jc w:val="center"/>
    </w:pPr>
    <w:rPr>
      <w:sz w:val="18"/>
      <w:szCs w:val="18"/>
    </w:rPr>
  </w:style>
  <w:style w:type="character" w:customStyle="1" w:styleId="7">
    <w:name w:val="页眉 字符"/>
    <w:basedOn w:val="6"/>
    <w:link w:val="4"/>
    <w:qFormat/>
    <w:uiPriority w:val="0"/>
    <w:rPr>
      <w:rFonts w:asciiTheme="minorHAnsi" w:hAnsiTheme="minorHAnsi" w:eastAsiaTheme="minorEastAsia" w:cstheme="minorBidi"/>
      <w:kern w:val="2"/>
      <w:sz w:val="18"/>
      <w:szCs w:val="18"/>
    </w:rPr>
  </w:style>
  <w:style w:type="character" w:customStyle="1" w:styleId="8">
    <w:name w:val="页脚 字符"/>
    <w:basedOn w:val="6"/>
    <w:link w:val="3"/>
    <w:qFormat/>
    <w:uiPriority w:val="0"/>
    <w:rPr>
      <w:rFonts w:asciiTheme="minorHAnsi" w:hAnsiTheme="minorHAnsi" w:eastAsiaTheme="minorEastAsia" w:cstheme="minorBidi"/>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image" Target="media/image5.png"/><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1249</Words>
  <Characters>1307</Characters>
  <Lines>46</Lines>
  <Paragraphs>17</Paragraphs>
  <TotalTime>1</TotalTime>
  <ScaleCrop>false</ScaleCrop>
  <LinksUpToDate>false</LinksUpToDate>
  <CharactersWithSpaces>1309</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2026-03-02T06:10:00Z</dcterms:created>
  <dc:creator>Administrator</dc:creator>
  <cp:lastModifiedBy>微信用户</cp:lastModifiedBy>
  <dcterms:modified xsi:type="dcterms:W3CDTF">2026-03-09T06:55:24Z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KSOTemplateDocerSaveRecord">
    <vt:lpwstr>eyJoZGlkIjoiZmU1NDk5N2EyNDM3ZTRkYzg3NmM2ZDQyMTcwNzE3ZDgiLCJ1c2VySWQiOiIxMjE1MDgzMjg1In0=</vt:lpwstr>
  </property>
  <property fmtid="{D5CDD505-2E9C-101B-9397-08002B2CF9AE}" pid="4" name="ICV">
    <vt:lpwstr>58147EF34CBA4746B2F1E00EE337F2DB_13</vt:lpwstr>
  </property>
</Properties>
</file>