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lang w:eastAsia="zh-CN"/>
        </w:rPr>
        <w:t>涞源县</w:t>
      </w:r>
      <w:r>
        <w:rPr>
          <w:rFonts w:hint="eastAsia" w:ascii="方正小标宋简体" w:eastAsia="方正小标宋简体"/>
          <w:color w:val="000000" w:themeColor="text1"/>
          <w:sz w:val="44"/>
          <w:szCs w:val="44"/>
        </w:rPr>
        <w:t>民政局权责清单事项分表</w:t>
      </w:r>
    </w:p>
    <w:p>
      <w:pPr>
        <w:jc w:val="center"/>
        <w:outlineLvl w:val="0"/>
        <w:rPr>
          <w:rFonts w:hint="eastAsia" w:ascii="仿宋_GB2312" w:hAnsi="黑体" w:eastAsia="仿宋_GB2312"/>
          <w:color w:val="000000" w:themeColor="text1"/>
          <w:sz w:val="36"/>
          <w:szCs w:val="36"/>
        </w:rPr>
      </w:pPr>
      <w:r>
        <w:rPr>
          <w:rFonts w:hint="eastAsia" w:ascii="仿宋_GB2312" w:hAnsi="黑体" w:eastAsia="仿宋_GB2312"/>
          <w:color w:val="000000" w:themeColor="text1"/>
          <w:sz w:val="36"/>
          <w:szCs w:val="36"/>
        </w:rPr>
        <w:t>（共</w:t>
      </w:r>
      <w:r>
        <w:rPr>
          <w:rFonts w:hint="eastAsia" w:ascii="仿宋_GB2312" w:hAnsi="黑体" w:eastAsia="仿宋_GB2312"/>
          <w:color w:val="000000" w:themeColor="text1"/>
          <w:sz w:val="36"/>
          <w:szCs w:val="36"/>
          <w:lang w:val="en-US" w:eastAsia="zh-CN"/>
        </w:rPr>
        <w:t>5</w:t>
      </w:r>
      <w:r>
        <w:rPr>
          <w:rFonts w:hint="eastAsia" w:ascii="仿宋_GB2312" w:hAnsi="黑体" w:eastAsia="仿宋_GB2312"/>
          <w:color w:val="000000" w:themeColor="text1"/>
          <w:sz w:val="36"/>
          <w:szCs w:val="36"/>
        </w:rPr>
        <w:t>类、</w:t>
      </w:r>
      <w:r>
        <w:rPr>
          <w:rFonts w:hint="eastAsia" w:ascii="仿宋_GB2312" w:hAnsi="黑体" w:eastAsia="仿宋_GB2312"/>
          <w:color w:val="000000" w:themeColor="text1"/>
          <w:sz w:val="36"/>
          <w:szCs w:val="36"/>
          <w:lang w:val="en-US" w:eastAsia="zh-CN"/>
        </w:rPr>
        <w:t>16</w:t>
      </w:r>
      <w:r>
        <w:rPr>
          <w:rFonts w:hint="eastAsia" w:ascii="仿宋_GB2312" w:hAnsi="黑体" w:eastAsia="仿宋_GB2312"/>
          <w:color w:val="000000" w:themeColor="text1"/>
          <w:sz w:val="36"/>
          <w:szCs w:val="36"/>
        </w:rPr>
        <w:t>项）</w:t>
      </w:r>
    </w:p>
    <w:p>
      <w:pPr>
        <w:outlineLvl w:val="0"/>
        <w:rPr>
          <w:rFonts w:ascii="黑体" w:hAnsi="黑体" w:eastAsia="黑体"/>
          <w:color w:val="000000" w:themeColor="text1"/>
          <w:sz w:val="32"/>
          <w:szCs w:val="32"/>
        </w:rPr>
      </w:pPr>
      <w:r>
        <w:rPr>
          <w:rFonts w:hint="eastAsia" w:asciiTheme="minorEastAsia" w:hAnsiTheme="minorEastAsia"/>
          <w:color w:val="000000" w:themeColor="text1"/>
          <w:sz w:val="32"/>
          <w:szCs w:val="32"/>
        </w:rPr>
        <w:t>单位：</w:t>
      </w:r>
      <w:r>
        <w:rPr>
          <w:rFonts w:hint="eastAsia" w:ascii="仿宋_GB2312" w:hAnsi="黑体" w:eastAsia="仿宋_GB2312"/>
          <w:color w:val="000000" w:themeColor="text1"/>
          <w:sz w:val="32"/>
          <w:szCs w:val="32"/>
          <w:lang w:eastAsia="zh-CN"/>
        </w:rPr>
        <w:t>涞源县</w:t>
      </w:r>
      <w:r>
        <w:rPr>
          <w:rFonts w:hint="eastAsia" w:ascii="仿宋_GB2312" w:hAnsi="黑体" w:eastAsia="仿宋_GB2312"/>
          <w:color w:val="000000" w:themeColor="text1"/>
          <w:sz w:val="32"/>
          <w:szCs w:val="32"/>
        </w:rPr>
        <w:t>民政局（公章）</w:t>
      </w:r>
    </w:p>
    <w:tbl>
      <w:tblPr>
        <w:tblStyle w:val="8"/>
        <w:tblW w:w="15026" w:type="dxa"/>
        <w:tblInd w:w="0" w:type="dxa"/>
        <w:tblLayout w:type="fixed"/>
        <w:tblCellMar>
          <w:top w:w="0" w:type="dxa"/>
          <w:left w:w="108" w:type="dxa"/>
          <w:bottom w:w="0" w:type="dxa"/>
          <w:right w:w="108" w:type="dxa"/>
        </w:tblCellMar>
      </w:tblPr>
      <w:tblGrid>
        <w:gridCol w:w="567"/>
        <w:gridCol w:w="709"/>
        <w:gridCol w:w="1276"/>
        <w:gridCol w:w="709"/>
        <w:gridCol w:w="3397"/>
        <w:gridCol w:w="4399"/>
        <w:gridCol w:w="3118"/>
        <w:gridCol w:w="851"/>
      </w:tblGrid>
      <w:tr>
        <w:tblPrEx>
          <w:tblCellMar>
            <w:top w:w="0" w:type="dxa"/>
            <w:left w:w="108" w:type="dxa"/>
            <w:bottom w:w="0" w:type="dxa"/>
            <w:right w:w="108" w:type="dxa"/>
          </w:tblCellMar>
        </w:tblPrEx>
        <w:trPr>
          <w:tblHeader/>
        </w:trPr>
        <w:tc>
          <w:tcPr>
            <w:tcW w:w="567"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cs="仿宋_GB2312"/>
                <w:b/>
                <w:bCs/>
                <w:color w:val="000000" w:themeColor="text1"/>
                <w:sz w:val="20"/>
                <w:szCs w:val="20"/>
              </w:rPr>
            </w:pPr>
            <w:r>
              <w:rPr>
                <w:rFonts w:hint="eastAsia" w:ascii="宋体" w:hAnsi="宋体" w:cs="仿宋_GB2312"/>
                <w:b/>
                <w:bCs/>
                <w:color w:val="000000" w:themeColor="text1"/>
                <w:sz w:val="20"/>
                <w:szCs w:val="20"/>
              </w:rPr>
              <w:t>序号</w:t>
            </w:r>
          </w:p>
        </w:tc>
        <w:tc>
          <w:tcPr>
            <w:tcW w:w="70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权力类别</w:t>
            </w:r>
          </w:p>
        </w:tc>
        <w:tc>
          <w:tcPr>
            <w:tcW w:w="1276" w:type="dxa"/>
            <w:tcBorders>
              <w:top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权力事项</w:t>
            </w:r>
          </w:p>
        </w:tc>
        <w:tc>
          <w:tcPr>
            <w:tcW w:w="709" w:type="dxa"/>
            <w:tcBorders>
              <w:top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行政主体</w:t>
            </w:r>
          </w:p>
        </w:tc>
        <w:tc>
          <w:tcPr>
            <w:tcW w:w="3397" w:type="dxa"/>
            <w:tcBorders>
              <w:top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实施依据</w:t>
            </w:r>
          </w:p>
        </w:tc>
        <w:tc>
          <w:tcPr>
            <w:tcW w:w="4399" w:type="dxa"/>
            <w:tcBorders>
              <w:top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责任事项</w:t>
            </w:r>
          </w:p>
        </w:tc>
        <w:tc>
          <w:tcPr>
            <w:tcW w:w="3118" w:type="dxa"/>
            <w:tcBorders>
              <w:top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追责情形</w:t>
            </w:r>
          </w:p>
        </w:tc>
        <w:tc>
          <w:tcPr>
            <w:tcW w:w="851" w:type="dxa"/>
            <w:tcBorders>
              <w:top w:val="single" w:color="000000" w:sz="4" w:space="0"/>
              <w:bottom w:val="single" w:color="000000" w:sz="4" w:space="0"/>
              <w:right w:val="single" w:color="000000" w:sz="4" w:space="0"/>
            </w:tcBorders>
            <w:vAlign w:val="center"/>
          </w:tcPr>
          <w:p>
            <w:pPr>
              <w:autoSpaceDN w:val="0"/>
              <w:jc w:val="center"/>
              <w:textAlignment w:val="center"/>
              <w:rPr>
                <w:rFonts w:ascii="宋体" w:hAnsi="宋体"/>
                <w:b/>
                <w:bCs/>
                <w:color w:val="000000" w:themeColor="text1"/>
                <w:sz w:val="20"/>
                <w:szCs w:val="20"/>
              </w:rPr>
            </w:pPr>
            <w:r>
              <w:rPr>
                <w:rFonts w:hint="eastAsia" w:ascii="宋体" w:hAnsi="宋体" w:cs="仿宋_GB2312"/>
                <w:b/>
                <w:bCs/>
                <w:color w:val="000000" w:themeColor="text1"/>
                <w:sz w:val="20"/>
                <w:szCs w:val="20"/>
              </w:rPr>
              <w:t>备注</w:t>
            </w: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eastAsia="zh-CN"/>
              </w:rPr>
            </w:pPr>
            <w:r>
              <w:rPr>
                <w:rFonts w:hint="eastAsia" w:cs="仿宋_GB2312" w:asciiTheme="minorEastAsia" w:hAnsiTheme="minorEastAsia"/>
                <w:color w:val="000000" w:themeColor="text1"/>
                <w:szCs w:val="21"/>
                <w:lang w:val="en-US" w:eastAsia="zh-CN"/>
              </w:rPr>
              <w:t>1</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对违反非公募基金会登记管理规定行为的处罚</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《基金会管理条例》；依据文号：</w:t>
            </w:r>
            <w:r>
              <w:rPr>
                <w:rFonts w:cs="仿宋_GB2312" w:asciiTheme="minorEastAsia" w:hAnsiTheme="minorEastAsia"/>
                <w:color w:val="000000" w:themeColor="text1"/>
                <w:szCs w:val="21"/>
              </w:rPr>
              <w:t>2004</w:t>
            </w:r>
            <w:r>
              <w:rPr>
                <w:rFonts w:hint="eastAsia" w:cs="仿宋_GB2312" w:asciiTheme="minorEastAsia" w:hAnsiTheme="minorEastAsia"/>
                <w:color w:val="000000" w:themeColor="text1"/>
                <w:szCs w:val="21"/>
              </w:rPr>
              <w:t>年</w:t>
            </w:r>
            <w:r>
              <w:rPr>
                <w:rFonts w:cs="仿宋_GB2312" w:asciiTheme="minorEastAsia" w:hAnsiTheme="minorEastAsia"/>
                <w:color w:val="000000" w:themeColor="text1"/>
                <w:szCs w:val="21"/>
              </w:rPr>
              <w:t>2</w:t>
            </w:r>
            <w:r>
              <w:rPr>
                <w:rFonts w:hint="eastAsia" w:cs="仿宋_GB2312" w:asciiTheme="minorEastAsia" w:hAnsiTheme="minorEastAsia"/>
                <w:color w:val="000000" w:themeColor="text1"/>
                <w:szCs w:val="21"/>
              </w:rPr>
              <w:t>月</w:t>
            </w:r>
            <w:r>
              <w:rPr>
                <w:rFonts w:cs="仿宋_GB2312" w:asciiTheme="minorEastAsia" w:hAnsiTheme="minorEastAsia"/>
                <w:color w:val="000000" w:themeColor="text1"/>
                <w:szCs w:val="21"/>
              </w:rPr>
              <w:t>11</w:t>
            </w:r>
            <w:r>
              <w:rPr>
                <w:rFonts w:hint="eastAsia" w:cs="仿宋_GB2312" w:asciiTheme="minorEastAsia" w:hAnsiTheme="minorEastAsia"/>
                <w:color w:val="000000" w:themeColor="text1"/>
                <w:szCs w:val="21"/>
              </w:rPr>
              <w:t>日中华人民共和国国务院令第</w:t>
            </w:r>
            <w:r>
              <w:rPr>
                <w:rFonts w:cs="仿宋_GB2312" w:asciiTheme="minorEastAsia" w:hAnsiTheme="minorEastAsia"/>
                <w:color w:val="000000" w:themeColor="text1"/>
                <w:szCs w:val="21"/>
              </w:rPr>
              <w:t>400</w:t>
            </w:r>
            <w:r>
              <w:rPr>
                <w:rFonts w:hint="eastAsia" w:cs="仿宋_GB2312" w:asciiTheme="minorEastAsia" w:hAnsiTheme="minorEastAsia"/>
                <w:color w:val="000000" w:themeColor="text1"/>
                <w:szCs w:val="21"/>
              </w:rPr>
              <w:t>号；条款号：第四十一条：“基金会、基金会分支机构、基金会代表机构或者境外基金会代表机构有下列情形之一的，登记管理机关应当撤销登记：（一）在申请登记时弄虚作假骗取登记的，或者自取得登记证书之日起</w:t>
            </w:r>
            <w:r>
              <w:rPr>
                <w:rFonts w:cs="仿宋_GB2312" w:asciiTheme="minorEastAsia" w:hAnsiTheme="minorEastAsia"/>
                <w:color w:val="000000" w:themeColor="text1"/>
                <w:szCs w:val="21"/>
              </w:rPr>
              <w:t>12</w:t>
            </w:r>
            <w:r>
              <w:rPr>
                <w:rFonts w:hint="eastAsia" w:cs="仿宋_GB2312" w:asciiTheme="minorEastAsia" w:hAnsiTheme="minorEastAsia"/>
                <w:color w:val="000000" w:themeColor="text1"/>
                <w:szCs w:val="21"/>
              </w:rPr>
              <w:t>个月内未按章程规定开展活动的；（二）符合注销条件，不按照本条例的规定办理注销登记仍继续开展活动的。”</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1、立案责任：发现社会组织涉嫌违法行为（或者其他部门移送的违法案件等），予以审查，决定是否立案。</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民政部门对立案的案件，指定专人负责，及时组织调查取证，与当事人有直接利害关系的应当回避。执法人员不得少于两人，调查时应出示执法证件，允许当事人辩解陈述。执法人员应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3、审查责任：审理案件调查报告，对案件违法事实、证据、调查取证程序、法律适用、处罚种类和幅度、当事人陈述和申辩理由等方面进行审查，提出处理意见（主要证据不足时，以适当的方式补充调查）。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4、告知责任：作出行政处罚前，应制作《行政处罚告知书》送达当事人，告知违法事实及其享有的陈述、申辩等权利。符合听证规定的，制作并送达《行政处罚听证告知书》。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5、决定责任：制作行政处罚决定书，载明行政处罚告知、当事人陈述申辩或者听证情况等内容。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7、执行责任：依照生效的行政处罚决定，进行处罚。</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2</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对未经登记，擅自以社会组织名义进行活动的行为进行处罚</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1.《社会团体登记管理条例》；依据文号：</w:t>
            </w:r>
            <w:r>
              <w:rPr>
                <w:rFonts w:cs="仿宋_GB2312" w:asciiTheme="minorEastAsia" w:hAnsiTheme="minorEastAsia"/>
                <w:color w:val="000000" w:themeColor="text1"/>
                <w:szCs w:val="21"/>
              </w:rPr>
              <w:t>1998</w:t>
            </w:r>
            <w:r>
              <w:rPr>
                <w:rFonts w:hint="eastAsia" w:cs="仿宋_GB2312" w:asciiTheme="minorEastAsia" w:hAnsiTheme="minorEastAsia"/>
                <w:color w:val="000000" w:themeColor="text1"/>
                <w:szCs w:val="21"/>
              </w:rPr>
              <w:t>年中华人民共和国国务院令第</w:t>
            </w:r>
            <w:r>
              <w:rPr>
                <w:rFonts w:cs="仿宋_GB2312" w:asciiTheme="minorEastAsia" w:hAnsiTheme="minorEastAsia"/>
                <w:color w:val="000000" w:themeColor="text1"/>
                <w:szCs w:val="21"/>
              </w:rPr>
              <w:t>250</w:t>
            </w:r>
            <w:r>
              <w:rPr>
                <w:rFonts w:hint="eastAsia" w:cs="仿宋_GB2312" w:asciiTheme="minorEastAsia" w:hAnsiTheme="minorEastAsia"/>
                <w:color w:val="000000" w:themeColor="text1"/>
                <w:szCs w:val="21"/>
              </w:rPr>
              <w:t>号，根据2016年2月6日《国务院关于修改部分行政法规的决定》国务院令第666号修订；条款号：第三十二条：“筹备期间开展筹备以外的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2.《民办非企业单位登记管理暂行条例》；依据文号：</w:t>
            </w:r>
            <w:r>
              <w:rPr>
                <w:rFonts w:cs="仿宋_GB2312" w:asciiTheme="minorEastAsia" w:hAnsiTheme="minorEastAsia"/>
                <w:color w:val="000000" w:themeColor="text1"/>
                <w:szCs w:val="21"/>
              </w:rPr>
              <w:t>1998</w:t>
            </w:r>
            <w:r>
              <w:rPr>
                <w:rFonts w:hint="eastAsia" w:cs="仿宋_GB2312" w:asciiTheme="minorEastAsia" w:hAnsiTheme="minorEastAsia"/>
                <w:color w:val="000000" w:themeColor="text1"/>
                <w:szCs w:val="21"/>
              </w:rPr>
              <w:t>年中华人民共和国国务院令第</w:t>
            </w:r>
            <w:r>
              <w:rPr>
                <w:rFonts w:cs="仿宋_GB2312" w:asciiTheme="minorEastAsia" w:hAnsiTheme="minorEastAsia"/>
                <w:color w:val="000000" w:themeColor="text1"/>
                <w:szCs w:val="21"/>
              </w:rPr>
              <w:t>251</w:t>
            </w:r>
            <w:r>
              <w:rPr>
                <w:rFonts w:hint="eastAsia" w:cs="仿宋_GB2312" w:asciiTheme="minorEastAsia" w:hAnsiTheme="minorEastAsia"/>
                <w:color w:val="000000" w:themeColor="text1"/>
                <w:szCs w:val="21"/>
              </w:rPr>
              <w:t>号；条款号：第二十七条：“未经登记，擅自以民办非企业单位名义进行活动的，或者被撤销登记的民办非企业单位继续以民办非企业单位名义进行活动的，由登记管理机关予以取缔，没收非法财产；构成犯罪的，依法追究刑事责任；尚不构成犯罪的，依法给予治安管理处罚。”</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3.《基金会管理条例》；依据文号：</w:t>
            </w:r>
            <w:r>
              <w:rPr>
                <w:rFonts w:cs="仿宋_GB2312" w:asciiTheme="minorEastAsia" w:hAnsiTheme="minorEastAsia"/>
                <w:color w:val="000000" w:themeColor="text1"/>
                <w:szCs w:val="21"/>
              </w:rPr>
              <w:t>2004</w:t>
            </w:r>
            <w:r>
              <w:rPr>
                <w:rFonts w:hint="eastAsia" w:cs="仿宋_GB2312" w:asciiTheme="minorEastAsia" w:hAnsiTheme="minorEastAsia"/>
                <w:color w:val="000000" w:themeColor="text1"/>
                <w:szCs w:val="21"/>
              </w:rPr>
              <w:t>年</w:t>
            </w:r>
            <w:r>
              <w:rPr>
                <w:rFonts w:cs="仿宋_GB2312" w:asciiTheme="minorEastAsia" w:hAnsiTheme="minorEastAsia"/>
                <w:color w:val="000000" w:themeColor="text1"/>
                <w:szCs w:val="21"/>
              </w:rPr>
              <w:t>2</w:t>
            </w:r>
            <w:r>
              <w:rPr>
                <w:rFonts w:hint="eastAsia" w:cs="仿宋_GB2312" w:asciiTheme="minorEastAsia" w:hAnsiTheme="minorEastAsia"/>
                <w:color w:val="000000" w:themeColor="text1"/>
                <w:szCs w:val="21"/>
              </w:rPr>
              <w:t>月</w:t>
            </w:r>
            <w:r>
              <w:rPr>
                <w:rFonts w:cs="仿宋_GB2312" w:asciiTheme="minorEastAsia" w:hAnsiTheme="minorEastAsia"/>
                <w:color w:val="000000" w:themeColor="text1"/>
                <w:szCs w:val="21"/>
              </w:rPr>
              <w:t>11</w:t>
            </w:r>
            <w:r>
              <w:rPr>
                <w:rFonts w:hint="eastAsia" w:cs="仿宋_GB2312" w:asciiTheme="minorEastAsia" w:hAnsiTheme="minorEastAsia"/>
                <w:color w:val="000000" w:themeColor="text1"/>
                <w:szCs w:val="21"/>
              </w:rPr>
              <w:t>日中华人民共和国国务院令第</w:t>
            </w:r>
            <w:r>
              <w:rPr>
                <w:rFonts w:cs="仿宋_GB2312" w:asciiTheme="minorEastAsia" w:hAnsiTheme="minorEastAsia"/>
                <w:color w:val="000000" w:themeColor="text1"/>
                <w:szCs w:val="21"/>
              </w:rPr>
              <w:t>400</w:t>
            </w:r>
            <w:r>
              <w:rPr>
                <w:rFonts w:hint="eastAsia" w:cs="仿宋_GB2312" w:asciiTheme="minorEastAsia" w:hAnsiTheme="minorEastAsia"/>
                <w:color w:val="000000" w:themeColor="text1"/>
                <w:szCs w:val="21"/>
              </w:rPr>
              <w:t>号；条款号：第四十条：“未经登记或者被撤销登记后以基金会、基金会分支机构、基金会代表机构或者境外基金会代表机构名义开展活动的，由登记管理机关予以取缔，没收非法财产并向社会公告。”</w:t>
            </w:r>
          </w:p>
          <w:p>
            <w:pPr>
              <w:pStyle w:val="6"/>
              <w:shd w:val="clear" w:color="auto" w:fill="FFFFFF"/>
              <w:spacing w:beforeAutospacing="0" w:afterAutospacing="0"/>
              <w:jc w:val="both"/>
              <w:rPr>
                <w:rFonts w:cs="仿宋_GB2312" w:asciiTheme="minorEastAsia" w:hAnsiTheme="minorEastAsia"/>
                <w:color w:val="000000" w:themeColor="text1"/>
                <w:szCs w:val="21"/>
              </w:rPr>
            </w:pPr>
            <w:r>
              <w:rPr>
                <w:rFonts w:hint="eastAsia" w:cs="仿宋_GB2312" w:asciiTheme="minorEastAsia" w:hAnsiTheme="minorEastAsia"/>
                <w:color w:val="000000" w:themeColor="text1"/>
                <w:kern w:val="2"/>
                <w:sz w:val="21"/>
                <w:szCs w:val="21"/>
              </w:rPr>
              <w:t>4.《取缔非法民间组织暂行办法》；依据文号：中华人民共和国民政部令﹝2000﹞第21号；条款号：第四条：“取缔非法民间组织，由违法行为发生地的登记管理机关负责。                    涉及两个以上同级登记管理机关的非法民间组织的取缔，由他们的共同上级登记管理机关负责，或者指定相关登记管理机关予以取缔。对跨省(自治区、直辖市)活动的非法民间组织，由国务院民政部门负责取缔，或者指定相关登记管理机关予以取缔。”</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1、立案责任：发现涉嫌未经登记，擅自以社会组织名义进行活动的行为（或者其他部门移送的违法案件等），予以审查，决定是否立案。</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民政部门对立案的案件，指定专人负责，及时组织调查取证，与当事人有直接利害关系的应当回避。执法人员不得少于两人，调查时应出示执法证件，允许当事人辩解陈述。执法人员应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3、审查责任：审理案件调查报告，对案件违法事实、证据、调查取证程序、法律适用、处罚种类和幅度、当事人陈述和申辩理由等方面进行审查，提出处理意见（主要证据不足时，以适当的方式补充调查）。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4、告知责任：作出行政处罚前，应制作《行政处罚告知书》送达当事人，告知违法事实及其享有的陈述、申辩等权利。符合听证规定的，制作并送达《行政处罚听证告知书》。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5、决定责任：制作行政处罚决定书，载明行政处罚告知、当事人陈述申辩或者听证情况等内容。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7、执行责任：依照生效的行政处罚决定，进行处罚。</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eastAsia="zh-CN"/>
              </w:rPr>
            </w:pPr>
            <w:r>
              <w:rPr>
                <w:rFonts w:hint="eastAsia" w:cs="仿宋_GB2312" w:asciiTheme="minorEastAsia" w:hAnsiTheme="minorEastAsia"/>
                <w:color w:val="000000" w:themeColor="text1"/>
                <w:szCs w:val="21"/>
                <w:lang w:val="en-US" w:eastAsia="zh-CN"/>
              </w:rPr>
              <w:t>3</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对行政区域界线违法的处罚</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区域界线管理条例》；依据文号：2002年5月13日中华人民共和国国务院令353号；条款号：第十七条：“违反本条例的规定，故意损毁或者擅自移动界桩或者其他行政区域界线标志物的，应当支付修复标志物的费用，并由所在地负责管理该行政区域界线标志的人民政府民政部门处</w:t>
            </w:r>
            <w:r>
              <w:rPr>
                <w:rFonts w:cs="仿宋_GB2312" w:asciiTheme="minorEastAsia" w:hAnsiTheme="minorEastAsia"/>
                <w:color w:val="000000" w:themeColor="text1"/>
                <w:szCs w:val="21"/>
              </w:rPr>
              <w:t>1000</w:t>
            </w:r>
            <w:r>
              <w:rPr>
                <w:rFonts w:hint="eastAsia" w:cs="仿宋_GB2312" w:asciiTheme="minorEastAsia" w:hAnsiTheme="minorEastAsia"/>
                <w:color w:val="000000" w:themeColor="text1"/>
                <w:szCs w:val="21"/>
              </w:rPr>
              <w:t>元以下罚款。”</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十八条：“违反本条例的规定，擅自编制行政区域界线详图，或者绘制的地图的行政区域界线的画法与行政区域界线详图的画法不一致的，由有关人民政府民政部门责令停止违法行为，没收违法编制的行政区域界线详图和违法所得，并处１万元以下的罚款。”</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1、立案责任：发现涉嫌违法行为（或者其他部门移送的违法案件等），予以审查，决定是否立案。</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3、审查责任：审理案件调查报告，对案件违法事实、证据、调查取证程序、法律适用、处罚种类和幅度、当事人陈述和申辩理由等方面进行审查，提出处理意见（主要证据不足时，以适当的方式补充调查）。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4、告知责任：作出行政处罚前，应制作《行政处罚告知书》送达当事人，告知违法事实及其享有的陈述、申辩等权利。符合听证规定的，制作并送达《行政处罚听证告知书》。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5、决定责任：制作行政处罚决定书，载明行政处罚告知、当事人陈述申辩或者听证情况等内容。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7、执行责任：依照生效的行政处罚决定，进行处罚。</w:t>
            </w:r>
          </w:p>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4</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对违反地名管理规定的处罚</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河北省地名管理规定》；依据文号：河北省人民政府令（2010）第7号；条款号：第三十六条：“违反本规定，有下列行为之一的，由民政部门责令限期改正，并处以二百元以上一千元以下罚款:(一)擅自命名、更名地名的;(二)不按本规定第二十五条第一至五项的规定使用标准地名的;(三)不按规定书写、拼写、译写地名的;(四)不按规定将建筑物名称备案的;(五)不按规定设置、维护地名标志的。”</w:t>
            </w:r>
          </w:p>
          <w:p>
            <w:pPr>
              <w:tabs>
                <w:tab w:val="left" w:pos="7937"/>
              </w:tabs>
              <w:spacing w:line="26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第三十七条：“违反本规定第二十五条第六项规定的，由民政部门责令限期改正;逾期不改正的，处以二千元以上一万元以下罚款。”</w:t>
            </w:r>
          </w:p>
          <w:p>
            <w:pPr>
              <w:tabs>
                <w:tab w:val="left" w:pos="7937"/>
              </w:tabs>
              <w:spacing w:line="26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第三十八条：“违反本规定第二十七条规定的，由民政部门责令限期改正;逾期不改正的，处以违法所得一倍以上三倍以下最高不超过三万元罚款。”</w:t>
            </w:r>
          </w:p>
          <w:p>
            <w:pPr>
              <w:tabs>
                <w:tab w:val="left" w:pos="7937"/>
              </w:tabs>
              <w:spacing w:line="26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第三十九条：“擅自涂改、玷污、遮挡、移动、拆除地名标志的，由民政部门责令限期改正;逾期不改正的，处以二百元以上一千元以下罚款;造成损失的，依法承担赔偿责任。”</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1、立案责任：发现涉嫌违法行为（或者其他部门移送的违法案件等），予以审查，决定是否立案。</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2、调查责任：对立案的案件，指定专人负责，及时组织调查取证，与当事人有直接利害关系的应当回避。执法人员不得少于两人，调查时应出示执法证件，允许当事人辩解陈述。执法人员应保守有关秘密。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3、审查责任：审理案件调查报告，对案件违法事实、证据、调查取证程序、法律适用、处罚种类和幅度、当事人陈述和申辩理由等方面进行审查，提出处理意见（主要证据不足时，以适当的方式补充调查）。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4、告知责任：作出行政处罚前，应制作《行政处罚告知书》送达当事人，告知违法事实及其享有的陈述、申辩等权利。符合听证规定的，制作并送达《行政处罚听证告知书》。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5、决定责任：制作行政处罚决定书，载明行政处罚告知、当事人陈述申辩或者听证情况等内容。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7、执行责任：依照生效的行政处罚决定，进行处罚。</w:t>
            </w:r>
          </w:p>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5</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对违反殡葬管理法律法规行为的处罚</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殡葬管理条例》；依据文号：1997年7月21日中华人民共和国国务院令225号，2012年11月9日中华人民共和国国务院令第628号予以修改；条款号：第十八条：“未经批准，擅自兴建殡葬设施的，由民政部门会同建设、土地行政管理部门予以取缔，责令恢复原状，没收违法所得，可以并处违法所得1倍以上3倍以下的罚款。 ”</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第十九条“墓穴占地面积超过省、自治区、直辖市人民政府规定的标准的，由民政部门责令限期改正，没收违法所得，可以并处违法所得1倍以上3倍以下的罚款。”</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第二十二条：“制造、销售不符合国家技术标准的殡葬设备的，由民政部门会同工商行政管理部门责令停止制造、销售，可以并处制造、销售金额1倍以上3倍以下的罚款。 制造、销售封建迷信殡葬用品的，由民政部门会同工商行政管理部门予以没收，可以并处制造、销售金额1倍以上3倍以下的罚款。”</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 xml:space="preserve">1.立案责任：对符合立案条件的案件予以审查，决定是否立案。 </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2.调查责任：对立案</w:t>
            </w:r>
            <w:r>
              <w:rPr>
                <w:rFonts w:cs="仿宋_GB2312" w:asciiTheme="minorEastAsia" w:hAnsiTheme="minorEastAsia"/>
                <w:color w:val="000000" w:themeColor="text1"/>
                <w:szCs w:val="21"/>
              </w:rPr>
              <w:t>进一步调查过程中，要指定专人负责，与当事人有直接利害关系的应当回避。</w:t>
            </w:r>
            <w:r>
              <w:rPr>
                <w:rFonts w:hint="eastAsia" w:cs="仿宋_GB2312" w:asciiTheme="minorEastAsia" w:hAnsiTheme="minorEastAsia"/>
                <w:color w:val="000000" w:themeColor="text1"/>
                <w:szCs w:val="21"/>
              </w:rPr>
              <w:t>调查</w:t>
            </w:r>
            <w:r>
              <w:rPr>
                <w:rFonts w:cs="仿宋_GB2312" w:asciiTheme="minorEastAsia" w:hAnsiTheme="minorEastAsia"/>
                <w:color w:val="000000" w:themeColor="text1"/>
                <w:szCs w:val="21"/>
              </w:rPr>
              <w:t>人员不得少于两人，允许被</w:t>
            </w:r>
            <w:r>
              <w:rPr>
                <w:rFonts w:hint="eastAsia" w:cs="仿宋_GB2312" w:asciiTheme="minorEastAsia" w:hAnsiTheme="minorEastAsia"/>
                <w:color w:val="000000" w:themeColor="text1"/>
                <w:szCs w:val="21"/>
              </w:rPr>
              <w:t>调查</w:t>
            </w:r>
            <w:r>
              <w:rPr>
                <w:rFonts w:cs="仿宋_GB2312" w:asciiTheme="minorEastAsia" w:hAnsiTheme="minorEastAsia"/>
                <w:color w:val="000000" w:themeColor="text1"/>
                <w:szCs w:val="21"/>
              </w:rPr>
              <w:t>单位和有关人员申辩和陈述。</w:t>
            </w:r>
            <w:r>
              <w:rPr>
                <w:rFonts w:hint="eastAsia" w:cs="仿宋_GB2312" w:asciiTheme="minorEastAsia" w:hAnsiTheme="minorEastAsia"/>
                <w:color w:val="000000" w:themeColor="text1"/>
                <w:szCs w:val="21"/>
              </w:rPr>
              <w:t>调查</w:t>
            </w:r>
            <w:r>
              <w:rPr>
                <w:rFonts w:cs="仿宋_GB2312" w:asciiTheme="minorEastAsia" w:hAnsiTheme="minorEastAsia"/>
                <w:color w:val="000000" w:themeColor="text1"/>
                <w:szCs w:val="21"/>
              </w:rPr>
              <w:t>人员应当保守有关秘密。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w:t>
            </w:r>
            <w:r>
              <w:rPr>
                <w:rFonts w:cs="仿宋_GB2312" w:asciiTheme="minorEastAsia" w:hAnsiTheme="minorEastAsia"/>
                <w:color w:val="000000" w:themeColor="text1"/>
                <w:szCs w:val="21"/>
              </w:rPr>
              <w:t>在做出处罚决定前，应</w:t>
            </w:r>
            <w:r>
              <w:rPr>
                <w:rFonts w:hint="eastAsia" w:cs="仿宋_GB2312" w:asciiTheme="minorEastAsia" w:hAnsiTheme="minorEastAsia"/>
                <w:color w:val="000000" w:themeColor="text1"/>
                <w:szCs w:val="21"/>
              </w:rPr>
              <w:t>制作《行政处罚告知书》送达当事人，</w:t>
            </w:r>
            <w:r>
              <w:rPr>
                <w:rFonts w:cs="仿宋_GB2312" w:asciiTheme="minorEastAsia" w:hAnsiTheme="minorEastAsia"/>
                <w:color w:val="000000" w:themeColor="text1"/>
                <w:szCs w:val="21"/>
              </w:rPr>
              <w:t>告知</w:t>
            </w:r>
            <w:r>
              <w:rPr>
                <w:rFonts w:hint="eastAsia" w:cs="仿宋_GB2312" w:asciiTheme="minorEastAsia" w:hAnsiTheme="minorEastAsia"/>
                <w:color w:val="000000" w:themeColor="text1"/>
                <w:szCs w:val="21"/>
              </w:rPr>
              <w:t>违法事实及其享有的陈述、申辩等权利。符合听证规定的，制作并送达《行政处罚听证告知书》。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5.决定责任：制作行政处罚告知书，载明行政处罚告知、当事人陈述申辩或者听证情况等内容。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7.执行责任：依照生效的行政处罚决定采取处罚。</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cs="仿宋_GB2312" w:asciiTheme="minorEastAsia" w:hAnsiTheme="minorEastAsia"/>
                <w:color w:val="000000" w:themeColor="text1"/>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6</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对养老机构未按规范和标准要求管理和服务的处罚</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养老机构管理办法》；依据文号：中华人民共和国民政部令﹝2020﹞第66号；条款号：第四十六条：“养老机构有下列行为之一的，由民政部门责令改正，给予警告;情节严重的，处以3万元以下的罚款：(一)未建立入院评估制度或者未按照规定开展评估活动的；(二)未与老年人或者其代理人签订服务协议，或者未按照协议约定提供服务的；(三)未按照有关强制性国家标准提供服务的；(四)工作人员的资格不符合规定的；(五)利用养老机构的房屋、场地、设施开展与养老服务宗旨无关的活动的；(六)未依照本办法规定预防和处置突发事件的；(七)歧视、侮辱、虐待老年人以及其他侵害老年人人身和财产权益行为的；（八）向负责监督检查的民政部门隐瞒有关情况、提供虚假材料或者拒绝提供反映其活动情况真实材料的；（九）法律、法规、规章规定的其他违法行为。”</w:t>
            </w:r>
          </w:p>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中华人民共和国老年人权益保障法》；依据文号：1996年8月29日第八届全国人民代表大会常务委员会第二十一次会议通过根据2009年8月27日第十一届全国人民代表大会常务委员会第十次会议《关于修改部分法律的决定》第一次修正2012年12月28日第十一届全国人民代表大会常务委员会第三十次会议修订2015年4月24日第十二届全国人民代表大会常务委员会第十四次会议《关于修改〈中华人民共和国电力法〉等六部法律的决定》第二次修正2018年12月29日第十三届全国人民代表大会常务委员会第七次会议《关于修改〈中华人民共和国劳动法〉等七部法律的决定》第三次修正；条款号：第四十五条：“县级以上人民政府民政部门依法履行监督检查职责，可以采取以下措施：（四）发现养老机构存在可能危及人身健康和生命财产安全风险的，责令限期改正，逾期不改正的，责令停业整顿。”</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1、立案责任：进行立案审批，决定是否立案。</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民政部门立案的案件，指定专人负责，及时组织调查取证，与当事人有直接利害关系的应当回避。执法人员不得少于两人，调查时应出示执法证件，允许当事人辩解陈述。执法人员应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3、审查责任：审理案件调查报告，对案件违法事实、证据、调查取证程序、法律适用、处罚种类和幅度、当事人陈述和申辩理由等方面进行审查，提出处理意见（主要证据不足时，以适当的方式补充调查）。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4、告知责任：作出行政处罚决定前，应制作《行政处罚事先告知书》送达当事人，告知违法事实及其享有的陈述、申辩等权利。符合听证规定的，制作并送达《听证告知书》。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5、决定责任：制作行政处罚决定书，载明行政处罚告知、当事人陈述申辩或者听证情况等内容。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7、执行责任：依照生效的行政处罚决定书执行，逾期不执行的按照《行政强制法》相关要求执行。</w:t>
            </w:r>
          </w:p>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7</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行政处罚</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对擅自改变政府投资或者资助建设、配置的养老服务设施用途的处罚</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河北省居家养老服务条例》；依据文号：2016年12月2日河北省第十二届人民代表大会常务委员会第二十四次会议通过，河北省第十二届人民代表大会常务委员会公告（第102号）；条款号：第二十七条：“违反本条例第十二条第二款规定，未按照标准配套建设养老服务设施的，由住房城乡建设部门责令限期修建，并处应建面积所需费用总额的罚款。擅自改变政府投资或者资助建设、配置的养老服务设施用途的，由民政部门责令限期改正;逾期不改正的，责令退赔补贴资金和有关费用，并处五万元以上十五万元以下的罚款，情节严重的处十五万元以上三十万元以下的罚款;造成损失的，依法承担民事责任。”</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1、立案责任：进行立案审批，决定是否立案。</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调查责任：民政部门立案的案件，指定专人负责，及时组织调查取证，与当事人有直接利害关系的应当回避。执法人员不得少于两人，调查时应出示执法证件，允许当事人辩解陈述。执法人员应保守有关秘密。</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3、审查责任：审理案件调查报告，对案件违法事实、证据、调查取证程序、法律适用、处罚种类和幅度、当事人陈述和申辩理由等方面进行审查，提出处理意见（主要证据不足时，以适当的方式补充调查）。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4、告知责任：作出行政处罚决定前，应制作《行政处罚事先告知书》送达当事人，告知违法事实及其享有的陈述、申辩等权利。符合听证规定的，制作并送达《听证告知书》。</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5、决定责任：制作行政处罚决定书，载明行政处罚告知、当事人陈述申辩或者听证情况等内容。</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6、送达责任：行政处罚决定书按法律规定的方式送达当事人。</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7、执行责任：依照生效的行政处罚决定书执行，逾期不执行的按照《行政强制法》相关要求执行。</w:t>
            </w:r>
          </w:p>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1、没有法律和事实依据实施行政处罚的；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2、行政处罚显失公正的；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3、执法人员玩忽职守，对应当予以制止和处罚的违法行为不予制止、处罚的；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4、不具备行政执法资格实施行政处罚的；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5、在制止以及查处违法案件中受阻，依照有关规定应当向本级人民政府或者上级主管部门报告而未报告的；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6、应当依法移送追究刑事责任，而未依法移送有权机关的；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7、擅自改变行政处罚种类、幅度的；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8、违反法定的行政处罚程序的；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9、符合听证条件、行政管理相对人要求听证，应予组织听证而不组织听证的；</w:t>
            </w:r>
          </w:p>
          <w:p>
            <w:pPr>
              <w:tabs>
                <w:tab w:val="left" w:pos="7937"/>
              </w:tabs>
              <w:spacing w:line="280" w:lineRule="exact"/>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10、在行政处罚过程中发生腐败行为的；</w:t>
            </w:r>
          </w:p>
          <w:p>
            <w:pPr>
              <w:tabs>
                <w:tab w:val="left" w:pos="7937"/>
              </w:tabs>
              <w:spacing w:line="280" w:lineRule="exact"/>
              <w:jc w:val="left"/>
              <w:rPr>
                <w:rFonts w:hint="eastAsia" w:cs="仿宋_GB2312" w:asciiTheme="minorEastAsia" w:hAnsiTheme="minorEastAsia"/>
                <w:color w:val="000000" w:themeColor="text1"/>
                <w:szCs w:val="21"/>
              </w:rPr>
            </w:pPr>
            <w:r>
              <w:rPr>
                <w:rFonts w:hint="eastAsia" w:cs="仿宋_GB2312" w:asciiTheme="minorEastAsia" w:hAnsiTheme="minorEastAsia"/>
                <w:color w:val="000000" w:themeColor="text1"/>
                <w:szCs w:val="21"/>
              </w:rPr>
              <w:t>11、其他违反法律法规规章文件规定的行为。</w:t>
            </w:r>
          </w:p>
          <w:p>
            <w:pPr>
              <w:tabs>
                <w:tab w:val="left" w:pos="7937"/>
              </w:tabs>
              <w:spacing w:line="280" w:lineRule="exact"/>
              <w:jc w:val="left"/>
              <w:rPr>
                <w:rFonts w:cs="仿宋_GB2312" w:asciiTheme="minorEastAsia" w:hAnsiTheme="minorEastAsia"/>
                <w:color w:val="000000" w:themeColor="text1"/>
                <w:szCs w:val="21"/>
              </w:rPr>
            </w:pP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eastAsia="zh-CN"/>
              </w:rPr>
            </w:pPr>
            <w:r>
              <w:rPr>
                <w:rFonts w:hint="eastAsia" w:cs="仿宋_GB2312" w:asciiTheme="minorEastAsia" w:hAnsiTheme="minorEastAsia"/>
                <w:color w:val="000000" w:themeColor="text1"/>
                <w:szCs w:val="21"/>
                <w:lang w:val="en-US" w:eastAsia="zh-CN"/>
              </w:rPr>
              <w:t>8</w:t>
            </w:r>
          </w:p>
        </w:tc>
        <w:tc>
          <w:tcPr>
            <w:tcW w:w="709" w:type="dxa"/>
            <w:tcBorders>
              <w:left w:val="single" w:color="000000" w:sz="4" w:space="0"/>
              <w:bottom w:val="single" w:color="000000" w:sz="4" w:space="0"/>
              <w:right w:val="single" w:color="000000" w:sz="4" w:space="0"/>
            </w:tcBorders>
            <w:vAlign w:val="center"/>
          </w:tcPr>
          <w:p>
            <w:pPr>
              <w:tabs>
                <w:tab w:val="left" w:pos="7937"/>
              </w:tabs>
              <w:spacing w:line="240" w:lineRule="exact"/>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行政检查</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对社会团体违反《社会团体登记管理条例》的问题进行监督检查</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1.《社会团体登记管理条例》；依据文号：</w:t>
            </w:r>
            <w:r>
              <w:rPr>
                <w:rFonts w:cs="仿宋_GB2312" w:asciiTheme="minorEastAsia" w:hAnsiTheme="minorEastAsia"/>
                <w:color w:val="000000" w:themeColor="text1"/>
                <w:szCs w:val="21"/>
              </w:rPr>
              <w:t>1998</w:t>
            </w:r>
            <w:r>
              <w:rPr>
                <w:rFonts w:hint="eastAsia" w:cs="仿宋_GB2312" w:asciiTheme="minorEastAsia" w:hAnsiTheme="minorEastAsia"/>
                <w:color w:val="000000" w:themeColor="text1"/>
                <w:szCs w:val="21"/>
              </w:rPr>
              <w:t>年中华人民共和国国务院令第</w:t>
            </w:r>
            <w:r>
              <w:rPr>
                <w:rFonts w:cs="仿宋_GB2312" w:asciiTheme="minorEastAsia" w:hAnsiTheme="minorEastAsia"/>
                <w:color w:val="000000" w:themeColor="text1"/>
                <w:szCs w:val="21"/>
              </w:rPr>
              <w:t>250</w:t>
            </w:r>
            <w:r>
              <w:rPr>
                <w:rFonts w:hint="eastAsia" w:cs="仿宋_GB2312" w:asciiTheme="minorEastAsia" w:hAnsiTheme="minorEastAsia"/>
                <w:color w:val="000000" w:themeColor="text1"/>
                <w:szCs w:val="21"/>
              </w:rPr>
              <w:t>号，根据2016年2月6日《国务院关于修改部分行政法规的决定》中华人民共和国国务院令第666号修订；条款号：第二十四条：“登记管理机关履行下列监督管理职责：（一）负责社会团体的成立、变更、注销的登记；（二）对社会团体实施年度检查；（三）对社会团体违反本条例的问题进行监督检查，对社会团体违反本条例的行为给予行政处罚。”</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河北省社会团体登记管理办法》；依据文号：2010年2月10日省政府第52次常务会议讨论通过，2010年2月11日河北省人民政府令第1号公布，根据2016年6月14日河北省人民政府令第1号修正；条款号：第二十六条：“民政部门在社会团体登记管理工作中应当履行下列监督管理职责：(一)负责社会团体的成立、变更、注销登记或者备案;(二)对社会团体实施年度检查;(三)对社会团体违反《条例》和本办法的行为进行监督检查，并依法给予行政处罚。”</w:t>
            </w:r>
          </w:p>
        </w:tc>
        <w:tc>
          <w:tcPr>
            <w:tcW w:w="4399"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 xml:space="preserve">1、检查责任：对违反相关法律法规的问题进行监督检查。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2、处置责任：对监督检查中发现的问题，依法采取相关处罚措施，并指导整改。</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3、移送责任：构成犯罪的，移送司法机关依法追究刑事责任。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4、事后管理责任：建立实施监督检查的运行机制和管理制度，对检查问题整改情况进行核查。</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5、法律法规规章等规定应履行的责任。</w:t>
            </w:r>
          </w:p>
        </w:tc>
        <w:tc>
          <w:tcPr>
            <w:tcW w:w="3118"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1、不按照法定职责和法定程序进行检查的；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2、不对违法违规问题组织监督检查的；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3、对在检查中发现的问题，不依法处置；</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4、不依法及时公开检查情况的；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5、工作人员滥用职权、玩忽职守、徇私舞弊的；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6、其他违反法律法规规章文件规定的行为。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cs="仿宋_GB2312" w:asciiTheme="minorEastAsia" w:hAnsiTheme="minorEastAsia"/>
                <w:color w:val="000000" w:themeColor="text1"/>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eastAsia="zh-CN"/>
              </w:rPr>
            </w:pPr>
            <w:r>
              <w:rPr>
                <w:rFonts w:hint="eastAsia" w:cs="仿宋_GB2312" w:asciiTheme="minorEastAsia" w:hAnsiTheme="minorEastAsia"/>
                <w:color w:val="000000" w:themeColor="text1"/>
                <w:szCs w:val="21"/>
                <w:lang w:val="en-US" w:eastAsia="zh-CN"/>
              </w:rPr>
              <w:t>9</w:t>
            </w:r>
          </w:p>
        </w:tc>
        <w:tc>
          <w:tcPr>
            <w:tcW w:w="709" w:type="dxa"/>
            <w:tcBorders>
              <w:left w:val="single" w:color="000000" w:sz="4" w:space="0"/>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行政检查</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对民办非企业单位违反《民办非企业单位管理暂行条例》的问题进行监督检查</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《民办非企业单位登记管理暂行条例》；依据文号：</w:t>
            </w:r>
            <w:r>
              <w:rPr>
                <w:rFonts w:cs="仿宋_GB2312" w:asciiTheme="minorEastAsia" w:hAnsiTheme="minorEastAsia"/>
                <w:color w:val="000000" w:themeColor="text1"/>
                <w:szCs w:val="21"/>
              </w:rPr>
              <w:t>1998</w:t>
            </w:r>
            <w:r>
              <w:rPr>
                <w:rFonts w:hint="eastAsia" w:cs="仿宋_GB2312" w:asciiTheme="minorEastAsia" w:hAnsiTheme="minorEastAsia"/>
                <w:color w:val="000000" w:themeColor="text1"/>
                <w:szCs w:val="21"/>
              </w:rPr>
              <w:t>年中华人民共和国国务院令第</w:t>
            </w:r>
            <w:r>
              <w:rPr>
                <w:rFonts w:cs="仿宋_GB2312" w:asciiTheme="minorEastAsia" w:hAnsiTheme="minorEastAsia"/>
                <w:color w:val="000000" w:themeColor="text1"/>
                <w:szCs w:val="21"/>
              </w:rPr>
              <w:t>251</w:t>
            </w:r>
            <w:r>
              <w:rPr>
                <w:rFonts w:hint="eastAsia" w:cs="仿宋_GB2312" w:asciiTheme="minorEastAsia" w:hAnsiTheme="minorEastAsia"/>
                <w:color w:val="000000" w:themeColor="text1"/>
                <w:szCs w:val="21"/>
              </w:rPr>
              <w:t>号；条款号：第十九条：“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p>
        </w:tc>
        <w:tc>
          <w:tcPr>
            <w:tcW w:w="4399"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 xml:space="preserve">1、检查责任：对违反相关法律法规的问题进行监督检查。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2、处置责任：对监督检查中发现的问题，依法采取相关处罚措施，并指导整改。</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3、移送责任：构成犯罪的，移送司法机关依法追究刑事责任。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4、事后管理责任：建立实施监督检查的运行机制和管理制度，对检查问题整改情况进行核查。</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5、法律法规规章等规定应履行的责任。</w:t>
            </w:r>
          </w:p>
        </w:tc>
        <w:tc>
          <w:tcPr>
            <w:tcW w:w="3118"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1、不按照法定职责和法定程序进行检查的；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2、不对违法违规问题组织监督检查的；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3、对在检查中发现的问题，不依法处置；</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4、不依法及时公开检查情况的；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5、工作人员滥用职权、玩忽职守、徇私舞弊的；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6、其他违反法律法规规章文件规定的行为。</w:t>
            </w:r>
          </w:p>
        </w:tc>
        <w:tc>
          <w:tcPr>
            <w:tcW w:w="851" w:type="dxa"/>
            <w:tcBorders>
              <w:bottom w:val="single" w:color="000000" w:sz="4" w:space="0"/>
              <w:right w:val="single" w:color="000000" w:sz="4" w:space="0"/>
            </w:tcBorders>
            <w:vAlign w:val="center"/>
          </w:tcPr>
          <w:p>
            <w:pPr>
              <w:widowControl/>
              <w:autoSpaceDN w:val="0"/>
              <w:textAlignment w:val="center"/>
              <w:rPr>
                <w:rFonts w:ascii="宋体" w:hAnsi="宋体" w:cs="仿宋_GB2312"/>
                <w:color w:val="000000" w:themeColor="text1"/>
                <w:kern w:val="0"/>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10</w:t>
            </w:r>
          </w:p>
        </w:tc>
        <w:tc>
          <w:tcPr>
            <w:tcW w:w="709" w:type="dxa"/>
            <w:tcBorders>
              <w:left w:val="single" w:color="000000" w:sz="4" w:space="0"/>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行政检查</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对儿童福利机构的监督检查</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儿童福利机构管理办法》；依据文号：中华人民共和国民政部令﹝2018﹞第63号；条款号：第三条：“国务院民政部门负责指导、监督全国儿童福利机构管理工作。县级以上地方人民政府民政部门负责本行政区域内儿童福利机构管理工作，依照有关法律法规和本办法的规定，对儿童福利机构进行监督和检查。”</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第四十七条：“县级以上地方人民政府民政部门应当建立健全日常监管制度，对其设立的儿童福利机构及工作人员履行下列监督管理职责：（一）负责对儿童福利机构建立健全内部管理制度、规范服务流程、加强风险防控等情况进行监督检查；（二）负责对执行儿童福利机构管理相关法律法规及本办法情况进行监督检查；（三）负责对违反儿童福利机构管理相关法律法规及本办法行为，依法给予处分；（四）负责儿童福利机构监督管理的其他事项。”</w:t>
            </w:r>
          </w:p>
        </w:tc>
        <w:tc>
          <w:tcPr>
            <w:tcW w:w="4399"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 xml:space="preserve">1、检查责任：根据工作实际，对辖区内儿童福利机构进行监督检查。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2、处置责任：对监督检查发现的问题，责令限期整改、依法给予处分。</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3、移送责任：构成犯罪的，移送司法机关依法追究刑事责任。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4、指导责任：上级民政部门应当加强对下级民政部门的指导和监督检查。</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5、法律法规规定的其他责任。</w:t>
            </w:r>
          </w:p>
        </w:tc>
        <w:tc>
          <w:tcPr>
            <w:tcW w:w="3118"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1、不按照法定职责和法定程序进行检查的；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2、不对违法违规问题组织监督检查的；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3、对在检查中发现的问题，不依法处置；</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4、不依法及时公开检查情况的；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5、工作人员滥用职权、玩忽职守、徇私舞弊的；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6、其他违反法律法规规章文件规定的行为。</w:t>
            </w:r>
          </w:p>
        </w:tc>
        <w:tc>
          <w:tcPr>
            <w:tcW w:w="851" w:type="dxa"/>
            <w:tcBorders>
              <w:bottom w:val="single" w:color="000000" w:sz="4" w:space="0"/>
              <w:right w:val="single" w:color="000000" w:sz="4" w:space="0"/>
            </w:tcBorders>
            <w:vAlign w:val="center"/>
          </w:tcPr>
          <w:p>
            <w:pPr>
              <w:widowControl/>
              <w:autoSpaceDN w:val="0"/>
              <w:textAlignment w:val="center"/>
              <w:rPr>
                <w:rFonts w:ascii="宋体" w:hAnsi="宋体" w:cs="仿宋_GB2312"/>
                <w:color w:val="000000" w:themeColor="text1"/>
                <w:kern w:val="0"/>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rPr>
              <w:t>1</w:t>
            </w:r>
            <w:r>
              <w:rPr>
                <w:rFonts w:hint="eastAsia" w:cs="仿宋_GB2312" w:asciiTheme="minorEastAsia" w:hAnsiTheme="minorEastAsia"/>
                <w:color w:val="000000" w:themeColor="text1"/>
                <w:szCs w:val="21"/>
                <w:lang w:val="en-US" w:eastAsia="zh-CN"/>
              </w:rPr>
              <w:t>1</w:t>
            </w:r>
          </w:p>
        </w:tc>
        <w:tc>
          <w:tcPr>
            <w:tcW w:w="709" w:type="dxa"/>
            <w:tcBorders>
              <w:left w:val="single" w:color="000000" w:sz="4" w:space="0"/>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行政检查</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对养老机构的监督检查</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中华人民共和国老年人权益保障法》；依据文号：1996年8月29日第八届全国人民代表大会常务委员会第二十一次会议通过根据2009年8月27日第十一届全国人民代表大会常务委员会第十次会议《关于修改部分法律的决定》第一次修正2012年12月28日第十一届全国人民代表大会常务委员会第三十次会议修订2015年4月24日第十二届全国人民代表大会常务委员会第十四次会议《关于修改〈中华人民共和国电力法〉等六部法律的决定》第二次修正2018年12月29日第十三届全国人民代表大会常务委员会第七次会议《关于修改〈中华人民共和国劳动法〉等七部法律的决定》第三次修正；条款号：第四十五条：“县级以上人民政府民政部门依法履行监督检查职责，可以采取下列措施：(一)向养老机构和个人了解情况;(二)进入涉嫌违法的养老机构进行现场检查;(三)查阅或者复制有关合同、票据、账簿及其他有关资料;(四)发现养老机构存在可能危及人身健康和生命财产安全风险的，责令限期改正，逾期不改正的，责令停业整顿。县级以上人民政府民政部门调查养老机构涉嫌违法的行为，应当遵守《中华人民共和国行政强制法》和其他有关法律、行政法规的规定。”</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养老机构管理办法》；依据文号：中华人民共和国民政部令﹝2020﹞第66号；条款号：第三十七条：“民政部门依法履行监督检查职责，可以采取以下措施：（一）向养老机构和个人了解情况；（二）进入涉嫌违法的养老机构进行现场检查；（三）查阅或者复制有关合同、票据、账簿及其他有关资料；（四）发现养老机构存在可能危及人身健康和生命财产安全风险的，责令限期改正，逾期不改正的，责令停业整顿。”</w:t>
            </w:r>
          </w:p>
        </w:tc>
        <w:tc>
          <w:tcPr>
            <w:tcW w:w="4399"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 xml:space="preserve">1、检查责任：根据工作实际，对辖区内养老机构进行监督检查。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2、处置责任：对监督检查发现的问题，责令限期整改，依法处置。依法处理相关投诉举报。</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3、移送责任：养老机构存在应当由其他部门查处的违法违规行为的，及时通报有关部门处理。</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4、事后管理责任：建立实施监督检查的运行机制和管理制度，对问题整改情况进行核查。</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5、法律法规规章等规定应履行的责任。</w:t>
            </w:r>
          </w:p>
        </w:tc>
        <w:tc>
          <w:tcPr>
            <w:tcW w:w="3118"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1、不按照法定职责和法定程序进行检查的；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2、不对违法违规问题组织监督检查的；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3、对在检查中发现的问题，不依法处置；</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4、不依法及时公开检查情况的；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5、工作人员滥用职权、玩忽职守、徇私舞弊的；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6、其他违反法律法规规章文件规定的行为。</w:t>
            </w:r>
          </w:p>
        </w:tc>
        <w:tc>
          <w:tcPr>
            <w:tcW w:w="851" w:type="dxa"/>
            <w:tcBorders>
              <w:bottom w:val="single" w:color="000000" w:sz="4" w:space="0"/>
              <w:right w:val="single" w:color="000000" w:sz="4" w:space="0"/>
            </w:tcBorders>
            <w:vAlign w:val="center"/>
          </w:tcPr>
          <w:p>
            <w:pPr>
              <w:widowControl/>
              <w:autoSpaceDN w:val="0"/>
              <w:textAlignment w:val="center"/>
              <w:rPr>
                <w:rFonts w:ascii="宋体" w:hAnsi="宋体" w:cs="仿宋_GB2312"/>
                <w:color w:val="000000" w:themeColor="text1"/>
                <w:kern w:val="0"/>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12</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行政确认</w:t>
            </w:r>
          </w:p>
        </w:tc>
        <w:tc>
          <w:tcPr>
            <w:tcW w:w="1276"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居住在中国内地的中国公民在内地收养登记、解除收养关系登记</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中华人民共和国收养法》；依据文号：1991年12月29日第七届全国人民代表大会常务委员会第二十三次会议通过，根据1998年11月4日第九届全国人民代表大会常务委员会第五次会议《关于修改〈中华人民共和国收养法〉的决定》修正；条款号：第十五条：“收养应当向县级以上人民政府民政部门登记。收养关系自登记之日起成立。”</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2.《中国公民收养子女登记办法》；依据文号：民政部﹝1999﹞第14号令；条款号：第二条：“办理收养登记的机关是县级人民政府民政部门。”</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3.《河北省收养登记办法》；依据文号：河北省政府令［2001］第24号；条款号：第五条：“县级民政部门是本行政区域的收养登记机关。”</w:t>
            </w:r>
          </w:p>
          <w:p>
            <w:pPr>
              <w:widowControl/>
              <w:jc w:val="left"/>
              <w:rPr>
                <w:rFonts w:cs="仿宋_GB2312" w:asciiTheme="minorEastAsia" w:hAnsiTheme="minorEastAsia"/>
                <w:color w:val="000000" w:themeColor="text1"/>
                <w:szCs w:val="21"/>
              </w:rPr>
            </w:pP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1、受理责任：公示依法应当提交的材料；一次性告知补正材料；依法受理或不予受理当事人的收养登记。</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2、审查责任：收养登记机关收到</w:t>
            </w:r>
            <w:r>
              <w:fldChar w:fldCharType="begin"/>
            </w:r>
            <w:r>
              <w:instrText xml:space="preserve"> HYPERLINK "https://baike.so.com/doc/9698717-10045060.html" \t "https://baike.so.com/doc/_blank" </w:instrText>
            </w:r>
            <w:r>
              <w:fldChar w:fldCharType="separate"/>
            </w:r>
            <w:r>
              <w:rPr>
                <w:rFonts w:hint="eastAsia" w:cs="仿宋_GB2312" w:asciiTheme="minorEastAsia" w:hAnsiTheme="minorEastAsia"/>
                <w:color w:val="000000" w:themeColor="text1"/>
                <w:szCs w:val="21"/>
              </w:rPr>
              <w:t>收养登记申请书</w:t>
            </w:r>
            <w:r>
              <w:rPr>
                <w:rFonts w:hint="eastAsia" w:cs="仿宋_GB2312" w:asciiTheme="minorEastAsia" w:hAnsiTheme="minorEastAsia"/>
                <w:color w:val="000000" w:themeColor="text1"/>
                <w:szCs w:val="21"/>
              </w:rPr>
              <w:fldChar w:fldCharType="end"/>
            </w:r>
            <w:r>
              <w:rPr>
                <w:rFonts w:hint="eastAsia" w:cs="仿宋_GB2312" w:asciiTheme="minorEastAsia" w:hAnsiTheme="minorEastAsia"/>
                <w:color w:val="000000" w:themeColor="text1"/>
                <w:szCs w:val="21"/>
              </w:rPr>
              <w:t>及有关材料后，应当自次日起30日内进行审查。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3、决定责任：做出是否予以办理收养登记的决定。</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4、送达责任：对符合要求的，颁发中华人民共和国收养登记证，并建立收养登记档案。对不符合要求的，应当书面告知。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 xml:space="preserve"> 5、其他法律法规规章文件规定应履行的责任。</w:t>
            </w:r>
          </w:p>
        </w:tc>
        <w:tc>
          <w:tcPr>
            <w:tcW w:w="3118" w:type="dxa"/>
            <w:tcBorders>
              <w:bottom w:val="single" w:color="000000" w:sz="4" w:space="0"/>
              <w:right w:val="single" w:color="000000" w:sz="4" w:space="0"/>
            </w:tcBorders>
            <w:vAlign w:val="center"/>
          </w:tcPr>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1、符合受理收养登记条件申请不予受理的，对不符合受理收养登记条件申请予以受理的。</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2、未严格按照相关的政策、法律、法规履行审查义务，对应予以认定的不予以认定，或对不予以认定的予以认定。</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3、从事收养登记工作人员滥用职权、徇私舞弊、玩忽职守的。</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4、从事收养登记工作人员索贿、受贿，谋取不正当利益的。</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5、泄漏当事人收养秘密并造成严重后果的；玩忽职守造成收养登记档案损失；购卖使用伪造收养证。</w:t>
            </w:r>
          </w:p>
          <w:p>
            <w:pPr>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6、其他违法法律法规规章文件规定的行为。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13</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行政确认</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地名命名、更名的审批</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1.《地名管理条例》；依据文号：国发</w:t>
            </w:r>
            <w:r>
              <w:rPr>
                <w:rFonts w:cs="仿宋_GB2312" w:asciiTheme="minorEastAsia" w:hAnsiTheme="minorEastAsia"/>
                <w:color w:val="000000" w:themeColor="text1"/>
                <w:szCs w:val="21"/>
              </w:rPr>
              <w:t>[1986]11</w:t>
            </w:r>
            <w:r>
              <w:rPr>
                <w:rFonts w:hint="eastAsia" w:cs="仿宋_GB2312" w:asciiTheme="minorEastAsia" w:hAnsiTheme="minorEastAsia"/>
                <w:color w:val="000000" w:themeColor="text1"/>
                <w:szCs w:val="21"/>
              </w:rPr>
              <w:t>号；条款号：第六条：“地名的命名、更名工作，可以交地名机构或管理地名工作的单位承办，也可以交其他部门承办；其他部门承办的，应征求地名机构或管理地名工作单位的意见。”</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河北省地名管理规定》；依据文号：河北省政府令[2010]第7号；条款号：第十三条：“居民区的命名，由建设单位在项目立项前提出申请，经所在地设区的市、县（市）人民政府民政部门审核后，报本级人民政府审批。居民区的更名，由建设单位或者产权所有人提出申请，经所在地设区的市、县（市）人民政府民政部门审核后，报本级人民政府审批。城镇街巷的命名、更名，由设区的市、县（市）人民政府民政部门提出方案，报本级人民政府审批。农村街区式聚落街巷的命名、更名，由村民委员会提出方案，经乡级人民政府同意、县级人民政府民政部门审核后，报县级人民政府审批。”</w:t>
            </w:r>
          </w:p>
        </w:tc>
        <w:tc>
          <w:tcPr>
            <w:tcW w:w="4399" w:type="dxa"/>
            <w:tcBorders>
              <w:bottom w:val="single" w:color="000000" w:sz="4" w:space="0"/>
              <w:right w:val="single" w:color="000000" w:sz="4" w:space="0"/>
            </w:tcBorders>
            <w:vAlign w:val="center"/>
          </w:tcPr>
          <w:p>
            <w:pPr>
              <w:pStyle w:val="20"/>
              <w:rPr>
                <w:rFonts w:cs="仿宋_GB2312" w:asciiTheme="minorEastAsia" w:hAnsiTheme="minorEastAsia" w:eastAsiaTheme="minorEastAsia"/>
                <w:color w:val="000000" w:themeColor="text1"/>
                <w:szCs w:val="21"/>
              </w:rPr>
            </w:pPr>
            <w:r>
              <w:rPr>
                <w:rFonts w:hint="eastAsia" w:cs="仿宋_GB2312" w:asciiTheme="minorEastAsia" w:hAnsiTheme="minorEastAsia" w:eastAsiaTheme="minorEastAsia"/>
                <w:color w:val="000000" w:themeColor="text1"/>
                <w:szCs w:val="21"/>
              </w:rPr>
              <w:t>1、受理责任：依法受理或不予受理县（市、区）民政部门提交的地名命名、更名材料。</w:t>
            </w:r>
          </w:p>
          <w:p>
            <w:pPr>
              <w:pStyle w:val="20"/>
              <w:rPr>
                <w:rFonts w:cs="仿宋_GB2312" w:asciiTheme="minorEastAsia" w:hAnsiTheme="minorEastAsia" w:eastAsiaTheme="minorEastAsia"/>
                <w:color w:val="000000" w:themeColor="text1"/>
                <w:szCs w:val="21"/>
              </w:rPr>
            </w:pPr>
            <w:r>
              <w:rPr>
                <w:rFonts w:hint="eastAsia" w:cs="仿宋_GB2312" w:asciiTheme="minorEastAsia" w:hAnsiTheme="minorEastAsia" w:eastAsiaTheme="minorEastAsia"/>
                <w:color w:val="000000" w:themeColor="text1"/>
                <w:szCs w:val="21"/>
              </w:rPr>
              <w:t>2、审核责任：对符合居民区、建筑物及街路巷命名、更名要求的，上报市政府审批；对行政区划的更名，根据情况组织或者委托第三方机构开展实地调查，对符合要求的，呈请市政府上报省政府。</w:t>
            </w:r>
          </w:p>
          <w:p>
            <w:pPr>
              <w:pStyle w:val="20"/>
              <w:rPr>
                <w:rFonts w:cs="仿宋_GB2312" w:asciiTheme="minorEastAsia" w:hAnsiTheme="minorEastAsia" w:eastAsiaTheme="minorEastAsia"/>
                <w:color w:val="000000" w:themeColor="text1"/>
                <w:szCs w:val="21"/>
              </w:rPr>
            </w:pPr>
            <w:r>
              <w:rPr>
                <w:rFonts w:hint="eastAsia" w:cs="仿宋_GB2312" w:asciiTheme="minorEastAsia" w:hAnsiTheme="minorEastAsia" w:eastAsiaTheme="minorEastAsia"/>
                <w:color w:val="000000" w:themeColor="text1"/>
                <w:szCs w:val="21"/>
              </w:rPr>
              <w:t>3、送达责任：经市政府批准的居民区、建筑物及街路巷命名、更名，向区民政部门送达命名、更名通知。</w:t>
            </w:r>
          </w:p>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4、其他法律法规文件规定应履行的责任。</w:t>
            </w:r>
          </w:p>
        </w:tc>
        <w:tc>
          <w:tcPr>
            <w:tcW w:w="3118" w:type="dxa"/>
            <w:tcBorders>
              <w:bottom w:val="single" w:color="000000" w:sz="4" w:space="0"/>
              <w:right w:val="single" w:color="000000" w:sz="4" w:space="0"/>
            </w:tcBorders>
            <w:vAlign w:val="center"/>
          </w:tcPr>
          <w:p>
            <w:pPr>
              <w:tabs>
                <w:tab w:val="left" w:pos="7937"/>
              </w:tabs>
              <w:spacing w:line="26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1.对符合受理条件的申请不予受理的；</w:t>
            </w:r>
            <w:r>
              <w:rPr>
                <w:rFonts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2、未严格按照相关政策、法律、法规履行审核义务，对符合条件的不予上报，或者对不符合条件的予以上报的；</w:t>
            </w:r>
            <w:r>
              <w:rPr>
                <w:rFonts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3、从事地名管理的工作人员滥用职权、徇私舞弊、玩忽职守的；</w:t>
            </w:r>
            <w:r>
              <w:rPr>
                <w:rFonts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4、从事地名管理的工作人员索贿、受贿、谋取不正当利益的；</w:t>
            </w:r>
            <w:r>
              <w:rPr>
                <w:rFonts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5、其他违反法律法规规章文件规定的行为。</w:t>
            </w:r>
          </w:p>
          <w:p>
            <w:pPr>
              <w:widowControl/>
              <w:jc w:val="center"/>
              <w:rPr>
                <w:rFonts w:cs="仿宋_GB2312" w:asciiTheme="minorEastAsia" w:hAnsiTheme="minorEastAsia"/>
                <w:color w:val="000000" w:themeColor="text1"/>
                <w:szCs w:val="21"/>
              </w:rPr>
            </w:pPr>
          </w:p>
        </w:tc>
        <w:tc>
          <w:tcPr>
            <w:tcW w:w="851" w:type="dxa"/>
            <w:tcBorders>
              <w:bottom w:val="single" w:color="000000" w:sz="4" w:space="0"/>
              <w:right w:val="single" w:color="000000" w:sz="4" w:space="0"/>
            </w:tcBorders>
            <w:vAlign w:val="center"/>
          </w:tcPr>
          <w:p>
            <w:pPr>
              <w:pStyle w:val="20"/>
              <w:rPr>
                <w:rFonts w:ascii="宋体" w:hAnsi="宋体"/>
                <w:color w:val="000000" w:themeColor="text1"/>
                <w:sz w:val="20"/>
                <w:szCs w:val="20"/>
              </w:rPr>
            </w:pPr>
            <w:bookmarkStart w:id="0" w:name="_GoBack"/>
            <w:bookmarkEnd w:id="0"/>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14</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行政奖励</w:t>
            </w:r>
          </w:p>
        </w:tc>
        <w:tc>
          <w:tcPr>
            <w:tcW w:w="1276"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慈善表彰</w:t>
            </w:r>
          </w:p>
        </w:tc>
        <w:tc>
          <w:tcPr>
            <w:tcW w:w="70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中华人民共和国慈善法》，依据文号：2016年3月16日中华人民共和国主席令第43号；条款号：第九十一条：“国家建立慈善表彰制度，对在慈善事业发展中做出突出贡献的自然人、法人和其他组织，由县级以上人民政府或者有关部门予以表彰。”</w:t>
            </w:r>
          </w:p>
        </w:tc>
        <w:tc>
          <w:tcPr>
            <w:tcW w:w="4399"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w:t>
            </w:r>
            <w:r>
              <w:rPr>
                <w:rFonts w:hint="eastAsia" w:ascii="宋体" w:hAnsi="宋体" w:eastAsia="宋体" w:cs="仿宋_GB2312"/>
                <w:color w:val="000000"/>
                <w:szCs w:val="21"/>
              </w:rPr>
              <w:t>方案公开责任：及时公开奖励方案，明确奖励标准、审核流程等内容。</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2、组织推荐责任：严格按照表彰方案规定的条件、程序，组织推荐工作，对推荐对象进行初审。</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3、审核公示责任：对符合条件的申请对象进行审核，报请上级部门审定，并进行公示。</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4、决定公开责任：对最终表彰决定进行公开。</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5、其他责任：其他法律法规规章文件规定应履行的责任。</w:t>
            </w:r>
          </w:p>
        </w:tc>
        <w:tc>
          <w:tcPr>
            <w:tcW w:w="3118" w:type="dxa"/>
            <w:tcBorders>
              <w:bottom w:val="single" w:color="000000" w:sz="4" w:space="0"/>
              <w:right w:val="single" w:color="000000" w:sz="4" w:space="0"/>
            </w:tcBorders>
            <w:vAlign w:val="center"/>
          </w:tcPr>
          <w:p>
            <w:pPr>
              <w:widowControl/>
              <w:jc w:val="lef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因不履行或不正确履行行政责任，有下列情形的，行政机关及相关工作人员应承担相应责任：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1、不符合申请条件，违规受理，造成不良影响的；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2、未经批准擅自进行表彰活动的；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3、向参评单位和个人收取费用的；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4、未按照规定进行公示的；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5、工作中滥用职权、徇私舞弊、玩忽职守造成不良后果的；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6、工作中发生贪污腐败行为的；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7、其他违反法律法规规章文件规定的行为。</w:t>
            </w:r>
          </w:p>
        </w:tc>
        <w:tc>
          <w:tcPr>
            <w:tcW w:w="851" w:type="dxa"/>
            <w:tcBorders>
              <w:bottom w:val="single" w:color="000000" w:sz="4" w:space="0"/>
              <w:right w:val="single" w:color="000000" w:sz="4" w:space="0"/>
            </w:tcBorders>
            <w:vAlign w:val="center"/>
          </w:tcPr>
          <w:p>
            <w:pPr>
              <w:pStyle w:val="20"/>
              <w:rPr>
                <w:rFonts w:cs="仿宋_GB2312" w:asciiTheme="minorEastAsia" w:hAnsiTheme="minorEastAsia" w:eastAsiaTheme="minorEastAsia"/>
                <w:color w:val="000000" w:themeColor="text1"/>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15</w:t>
            </w:r>
          </w:p>
        </w:tc>
        <w:tc>
          <w:tcPr>
            <w:tcW w:w="709" w:type="dxa"/>
            <w:tcBorders>
              <w:left w:val="single" w:color="000000" w:sz="4" w:space="0"/>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其他类</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对社会团体、民办非企业单位实施年度检查</w:t>
            </w:r>
          </w:p>
        </w:tc>
        <w:tc>
          <w:tcPr>
            <w:tcW w:w="709" w:type="dxa"/>
            <w:tcBorders>
              <w:bottom w:val="single" w:color="000000" w:sz="4" w:space="0"/>
              <w:right w:val="single" w:color="000000" w:sz="4" w:space="0"/>
            </w:tcBorders>
            <w:vAlign w:val="center"/>
          </w:tcPr>
          <w:p>
            <w:pPr>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1.《社会团体登记管理条例》；依据文号：</w:t>
            </w:r>
            <w:r>
              <w:rPr>
                <w:rFonts w:cs="仿宋_GB2312" w:asciiTheme="minorEastAsia" w:hAnsiTheme="minorEastAsia"/>
                <w:color w:val="000000" w:themeColor="text1"/>
                <w:szCs w:val="21"/>
              </w:rPr>
              <w:t>1998</w:t>
            </w:r>
            <w:r>
              <w:rPr>
                <w:rFonts w:hint="eastAsia" w:cs="仿宋_GB2312" w:asciiTheme="minorEastAsia" w:hAnsiTheme="minorEastAsia"/>
                <w:color w:val="000000" w:themeColor="text1"/>
                <w:szCs w:val="21"/>
              </w:rPr>
              <w:t>年中华人民共和国国务院令第</w:t>
            </w:r>
            <w:r>
              <w:rPr>
                <w:rFonts w:cs="仿宋_GB2312" w:asciiTheme="minorEastAsia" w:hAnsiTheme="minorEastAsia"/>
                <w:color w:val="000000" w:themeColor="text1"/>
                <w:szCs w:val="21"/>
              </w:rPr>
              <w:t>250</w:t>
            </w:r>
            <w:r>
              <w:rPr>
                <w:rFonts w:hint="eastAsia" w:cs="仿宋_GB2312" w:asciiTheme="minorEastAsia" w:hAnsiTheme="minorEastAsia"/>
                <w:color w:val="000000" w:themeColor="text1"/>
                <w:szCs w:val="21"/>
              </w:rPr>
              <w:t>号，根据2016年2月6日《国务院关于修改部分行政法规的决定》中华人民共和国国务院令第666号修订；条款号：第二十四条：“登记管理机关履行下列监督管理职责：（一）负责社会团体的成立、变更、注销的登记；（二）对社会团体实施年度检查；（三）对社会团体违反本条例的问题进行监督检查，对社会团体违反本条例的行为给予行政处罚。”</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2.《民办非企业单位登记管理暂行条例》；依据文号：</w:t>
            </w:r>
            <w:r>
              <w:rPr>
                <w:rFonts w:cs="仿宋_GB2312" w:asciiTheme="minorEastAsia" w:hAnsiTheme="minorEastAsia"/>
                <w:color w:val="000000" w:themeColor="text1"/>
                <w:szCs w:val="21"/>
              </w:rPr>
              <w:t>1998</w:t>
            </w:r>
            <w:r>
              <w:rPr>
                <w:rFonts w:hint="eastAsia" w:cs="仿宋_GB2312" w:asciiTheme="minorEastAsia" w:hAnsiTheme="minorEastAsia"/>
                <w:color w:val="000000" w:themeColor="text1"/>
                <w:szCs w:val="21"/>
              </w:rPr>
              <w:t>年中华人民共和国国务院令第</w:t>
            </w:r>
            <w:r>
              <w:rPr>
                <w:rFonts w:cs="仿宋_GB2312" w:asciiTheme="minorEastAsia" w:hAnsiTheme="minorEastAsia"/>
                <w:color w:val="000000" w:themeColor="text1"/>
                <w:szCs w:val="21"/>
              </w:rPr>
              <w:t>251</w:t>
            </w:r>
            <w:r>
              <w:rPr>
                <w:rFonts w:hint="eastAsia" w:cs="仿宋_GB2312" w:asciiTheme="minorEastAsia" w:hAnsiTheme="minorEastAsia"/>
                <w:color w:val="000000" w:themeColor="text1"/>
                <w:szCs w:val="21"/>
              </w:rPr>
              <w:t>号；条款号：第十九条：“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3.《民办非企业单位年度检查办法》；依据文号：中华人民共和国民政部令 ﹝2005﹞第27号；条款号：第二条：“民办非企业单位年度检查（以下简称年检），是指登记管理机关对民办非企业单位，依法按年度进行检查和监督管理的制度。”</w:t>
            </w:r>
          </w:p>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val="en-US" w:eastAsia="zh-CN"/>
              </w:rPr>
              <w:t>4</w:t>
            </w:r>
            <w:r>
              <w:rPr>
                <w:rFonts w:hint="eastAsia" w:cs="仿宋_GB2312" w:asciiTheme="minorEastAsia" w:hAnsiTheme="minorEastAsia"/>
                <w:color w:val="000000" w:themeColor="text1"/>
                <w:szCs w:val="21"/>
              </w:rPr>
              <w:t>.《河北省社会团体登记管理办法》；依据文号：河北省人民政府令﹝2010﹞第1号；条款号：第二十六条：“民政部门在社会团体登记管理工作中应当履行下列监督管理职责：(一)负责社会团体的成立、变更、注销登记或者备案;(二)对社会团体实施年度检查;(三)对社会团体违反《条例》和本办法的行为进行监督检查，并依法给予行政处罚。”</w:t>
            </w:r>
          </w:p>
        </w:tc>
        <w:tc>
          <w:tcPr>
            <w:tcW w:w="4399"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1、通知受理责任：通知社会团体、民办非企业对其的年检材料的齐全性、内容的完整性进行查验。符合要求的，直接受理。不符合要求的，一次性告之原因及补正材料。</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 xml:space="preserve">2、审查责任：按照办理条件和标准，对符合条件的，提出同意的审查意见；对不符合条件的，提出不同意意见及理由。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3、决定责任：对准许年检的，在《年检报告书》及《法人登记证》（或《登记证》）副本等证书上签署年检结论并加盖年检印鉴。</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 xml:space="preserve">4、送达责任：送达年度检查报告书。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 xml:space="preserve">5、监管责任：定期或不定期对社会团体年检进行监督管理。 </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6、法律法规规定的其他责任。</w:t>
            </w:r>
          </w:p>
        </w:tc>
        <w:tc>
          <w:tcPr>
            <w:tcW w:w="3118"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因不履行或不正确履行行政职责，出现以下情形的，行政机关及相关工作人员应承担相应责任：</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1、对符合条件规定的申请不予受理的；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2、对不符合条件规定的申请予以受理的；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3、对年检中发现问题，不及时处理的；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4、在年检过程中发生腐败行为的；</w:t>
            </w:r>
            <w:r>
              <w:rPr>
                <w:rFonts w:hint="eastAsia" w:cs="仿宋_GB2312" w:asciiTheme="minorEastAsia" w:hAnsiTheme="minorEastAsia"/>
                <w:color w:val="000000" w:themeColor="text1"/>
                <w:szCs w:val="21"/>
              </w:rPr>
              <w:br w:type="textWrapping"/>
            </w:r>
            <w:r>
              <w:rPr>
                <w:rFonts w:hint="eastAsia" w:cs="仿宋_GB2312" w:asciiTheme="minorEastAsia" w:hAnsiTheme="minorEastAsia"/>
                <w:color w:val="000000" w:themeColor="text1"/>
                <w:szCs w:val="21"/>
              </w:rPr>
              <w:t>5、其他违反法律法规规章文件规定的行为。</w:t>
            </w:r>
          </w:p>
        </w:tc>
        <w:tc>
          <w:tcPr>
            <w:tcW w:w="851" w:type="dxa"/>
            <w:tcBorders>
              <w:bottom w:val="single" w:color="000000" w:sz="4" w:space="0"/>
              <w:right w:val="single" w:color="000000" w:sz="4" w:space="0"/>
            </w:tcBorders>
            <w:vAlign w:val="center"/>
          </w:tcPr>
          <w:p>
            <w:pPr>
              <w:pStyle w:val="20"/>
              <w:rPr>
                <w:rFonts w:cs="仿宋_GB2312" w:asciiTheme="minorEastAsia" w:hAnsiTheme="minorEastAsia" w:eastAsiaTheme="minorEastAsia"/>
                <w:color w:val="000000" w:themeColor="text1"/>
                <w:szCs w:val="21"/>
              </w:rPr>
            </w:pPr>
          </w:p>
        </w:tc>
      </w:tr>
      <w:tr>
        <w:tblPrEx>
          <w:tblCellMar>
            <w:top w:w="0" w:type="dxa"/>
            <w:left w:w="108" w:type="dxa"/>
            <w:bottom w:w="0" w:type="dxa"/>
            <w:right w:w="108" w:type="dxa"/>
          </w:tblCellMar>
        </w:tblPrEx>
        <w:tc>
          <w:tcPr>
            <w:tcW w:w="567"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cs="仿宋_GB2312" w:asciiTheme="minorEastAsia" w:hAnsiTheme="minorEastAsia" w:eastAsiaTheme="minorEastAsia"/>
                <w:color w:val="000000" w:themeColor="text1"/>
                <w:szCs w:val="21"/>
                <w:lang w:val="en-US" w:eastAsia="zh-CN"/>
              </w:rPr>
            </w:pPr>
            <w:r>
              <w:rPr>
                <w:rFonts w:hint="eastAsia" w:cs="仿宋_GB2312" w:asciiTheme="minorEastAsia" w:hAnsiTheme="minorEastAsia"/>
                <w:color w:val="000000" w:themeColor="text1"/>
                <w:szCs w:val="21"/>
                <w:lang w:val="en-US" w:eastAsia="zh-CN"/>
              </w:rPr>
              <w:t>16</w:t>
            </w:r>
          </w:p>
        </w:tc>
        <w:tc>
          <w:tcPr>
            <w:tcW w:w="709" w:type="dxa"/>
            <w:tcBorders>
              <w:left w:val="single" w:color="000000" w:sz="4" w:space="0"/>
              <w:bottom w:val="single" w:color="000000" w:sz="4" w:space="0"/>
              <w:right w:val="single" w:color="000000" w:sz="4" w:space="0"/>
            </w:tcBorders>
            <w:vAlign w:val="center"/>
          </w:tcPr>
          <w:p>
            <w:pPr>
              <w:autoSpaceDN w:val="0"/>
              <w:jc w:val="center"/>
              <w:textAlignment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其它类</w:t>
            </w:r>
          </w:p>
        </w:tc>
        <w:tc>
          <w:tcPr>
            <w:tcW w:w="1276" w:type="dxa"/>
            <w:tcBorders>
              <w:bottom w:val="single" w:color="000000" w:sz="4" w:space="0"/>
              <w:right w:val="single" w:color="000000" w:sz="4" w:space="0"/>
            </w:tcBorders>
            <w:vAlign w:val="center"/>
          </w:tcPr>
          <w:p>
            <w:p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养老机构备案</w:t>
            </w:r>
          </w:p>
        </w:tc>
        <w:tc>
          <w:tcPr>
            <w:tcW w:w="709" w:type="dxa"/>
            <w:tcBorders>
              <w:bottom w:val="single" w:color="000000" w:sz="4" w:space="0"/>
              <w:right w:val="single" w:color="000000" w:sz="4" w:space="0"/>
            </w:tcBorders>
            <w:vAlign w:val="center"/>
          </w:tcPr>
          <w:p>
            <w:pPr>
              <w:widowControl/>
              <w:jc w:val="cente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lang w:eastAsia="zh-CN"/>
              </w:rPr>
              <w:t>涞源县</w:t>
            </w:r>
            <w:r>
              <w:rPr>
                <w:rFonts w:hint="eastAsia" w:cs="仿宋_GB2312" w:asciiTheme="minorEastAsia" w:hAnsiTheme="minorEastAsia"/>
                <w:color w:val="000000" w:themeColor="text1"/>
                <w:szCs w:val="21"/>
              </w:rPr>
              <w:t>民政局</w:t>
            </w:r>
          </w:p>
        </w:tc>
        <w:tc>
          <w:tcPr>
            <w:tcW w:w="3397" w:type="dxa"/>
            <w:tcBorders>
              <w:bottom w:val="single" w:color="000000" w:sz="4" w:space="0"/>
              <w:right w:val="single" w:color="000000" w:sz="4" w:space="0"/>
            </w:tcBorders>
            <w:vAlign w:val="center"/>
          </w:tcPr>
          <w:p>
            <w:pPr>
              <w:widowControl/>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养老机构管理办法》；依据文号：中华人民共和国民政部令﹝2020﹞第66号；条款号：第十条：“营利性养老机构办理备案，应当在收住老年人后10个工作日以内向服务场所所在地的县级人民政府民政部门提出。非营利性养老机构办理备案，应当在收住老年人后10个工作日以内向登记管理机关同级的人民政府民政部门提出。”</w:t>
            </w:r>
          </w:p>
          <w:p>
            <w:pPr>
              <w:rPr>
                <w:rFonts w:cs="仿宋_GB2312" w:asciiTheme="minorEastAsia" w:hAnsiTheme="minorEastAsia"/>
                <w:color w:val="000000" w:themeColor="text1"/>
                <w:szCs w:val="21"/>
              </w:rPr>
            </w:pPr>
          </w:p>
        </w:tc>
        <w:tc>
          <w:tcPr>
            <w:tcW w:w="4399" w:type="dxa"/>
            <w:tcBorders>
              <w:bottom w:val="single" w:color="000000" w:sz="4" w:space="0"/>
              <w:right w:val="single" w:color="000000" w:sz="4" w:space="0"/>
            </w:tcBorders>
            <w:vAlign w:val="center"/>
          </w:tcPr>
          <w:p>
            <w:pPr>
              <w:widowControl/>
              <w:numPr>
                <w:ilvl w:val="0"/>
                <w:numId w:val="1"/>
              </w:num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受理责任：公示备案应当提交的材料，一次性告知补正材料。</w:t>
            </w:r>
          </w:p>
          <w:p>
            <w:pPr>
              <w:widowControl/>
              <w:numPr>
                <w:ilvl w:val="0"/>
                <w:numId w:val="1"/>
              </w:num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审查责任：对备案机构提交的材料进行审查。</w:t>
            </w:r>
          </w:p>
          <w:p>
            <w:pPr>
              <w:widowControl/>
              <w:numPr>
                <w:ilvl w:val="0"/>
                <w:numId w:val="1"/>
              </w:num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决定责任：资料齐全的给予备案，不齐全的要求补充材料。</w:t>
            </w:r>
          </w:p>
          <w:p>
            <w:pPr>
              <w:widowControl/>
              <w:numPr>
                <w:ilvl w:val="0"/>
                <w:numId w:val="1"/>
              </w:num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送达责任：资料齐全通过备案的给予备案回执。</w:t>
            </w:r>
          </w:p>
          <w:p>
            <w:pPr>
              <w:widowControl/>
              <w:numPr>
                <w:ilvl w:val="0"/>
                <w:numId w:val="1"/>
              </w:num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事后监管责任：对已备案的养老机构进行事后监管，开展定期和不定期检查，依法依规采取相关处置措施。</w:t>
            </w:r>
          </w:p>
          <w:p>
            <w:pPr>
              <w:widowControl/>
              <w:numPr>
                <w:ilvl w:val="0"/>
                <w:numId w:val="1"/>
              </w:numPr>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其他法律法规规章文件规定应履行的责任。</w:t>
            </w:r>
          </w:p>
        </w:tc>
        <w:tc>
          <w:tcPr>
            <w:tcW w:w="3118" w:type="dxa"/>
            <w:tcBorders>
              <w:bottom w:val="single" w:color="000000" w:sz="4" w:space="0"/>
              <w:right w:val="single" w:color="000000" w:sz="4" w:space="0"/>
            </w:tcBorders>
            <w:vAlign w:val="center"/>
          </w:tcPr>
          <w:p>
            <w:pPr>
              <w:tabs>
                <w:tab w:val="left" w:pos="7937"/>
              </w:tabs>
              <w:spacing w:line="260" w:lineRule="exact"/>
              <w:rPr>
                <w:rFonts w:cs="仿宋_GB2312" w:asciiTheme="minorEastAsia" w:hAnsiTheme="minorEastAsia"/>
                <w:color w:val="000000" w:themeColor="text1"/>
                <w:szCs w:val="21"/>
              </w:rPr>
            </w:pPr>
          </w:p>
          <w:p>
            <w:pPr>
              <w:tabs>
                <w:tab w:val="left" w:pos="7937"/>
              </w:tabs>
              <w:spacing w:line="26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因不履行或不正确履行行政职责，有下列情形的，行政机关及相关工作人员应承担相应责任：</w:t>
            </w:r>
          </w:p>
          <w:p>
            <w:pPr>
              <w:spacing w:line="24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1、对符合受理条件的备案申请不予受理的；</w:t>
            </w:r>
          </w:p>
          <w:p>
            <w:pPr>
              <w:spacing w:line="24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2、未严格按照相关政策、法律、法规履行审查义务，对应当予以备案的未予备案，或者不应予以备案的予以备案；</w:t>
            </w:r>
          </w:p>
          <w:p>
            <w:pPr>
              <w:spacing w:line="24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3、从事养机构监管的工作人员不依法履行监督职责或者监督不力的；</w:t>
            </w:r>
          </w:p>
          <w:p>
            <w:pPr>
              <w:spacing w:line="24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4、从事养老机构监管的工作人员在监督管理工作中滥用职权、徇私舞弊、玩忽职守的；</w:t>
            </w:r>
          </w:p>
          <w:p>
            <w:pPr>
              <w:spacing w:line="24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5、从事养老机构监管的工作人员索贿、受贿，谋取不正当利益的；</w:t>
            </w:r>
          </w:p>
          <w:p>
            <w:pPr>
              <w:spacing w:line="240" w:lineRule="exact"/>
              <w:rPr>
                <w:rFonts w:cs="仿宋_GB2312" w:asciiTheme="minorEastAsia" w:hAnsiTheme="minorEastAsia"/>
                <w:color w:val="000000" w:themeColor="text1"/>
                <w:szCs w:val="21"/>
              </w:rPr>
            </w:pPr>
            <w:r>
              <w:rPr>
                <w:rFonts w:hint="eastAsia" w:cs="仿宋_GB2312" w:asciiTheme="minorEastAsia" w:hAnsiTheme="minorEastAsia"/>
                <w:color w:val="000000" w:themeColor="text1"/>
                <w:szCs w:val="21"/>
              </w:rPr>
              <w:t>6、其他违反法律法规规章文件规定的行为。</w:t>
            </w:r>
          </w:p>
        </w:tc>
        <w:tc>
          <w:tcPr>
            <w:tcW w:w="851" w:type="dxa"/>
            <w:tcBorders>
              <w:bottom w:val="single" w:color="000000" w:sz="4" w:space="0"/>
              <w:right w:val="single" w:color="000000" w:sz="4" w:space="0"/>
            </w:tcBorders>
            <w:vAlign w:val="center"/>
          </w:tcPr>
          <w:p>
            <w:pPr>
              <w:autoSpaceDN w:val="0"/>
              <w:textAlignment w:val="center"/>
              <w:rPr>
                <w:rFonts w:ascii="宋体" w:hAnsi="宋体"/>
                <w:color w:val="000000" w:themeColor="text1"/>
                <w:sz w:val="20"/>
                <w:szCs w:val="20"/>
              </w:rPr>
            </w:pPr>
          </w:p>
        </w:tc>
      </w:tr>
    </w:tbl>
    <w:p>
      <w:pPr>
        <w:spacing w:line="360" w:lineRule="exact"/>
        <w:rPr>
          <w:rFonts w:ascii="黑体" w:hAnsi="黑体" w:eastAsia="黑体"/>
          <w:color w:val="000000" w:themeColor="text1"/>
        </w:rPr>
      </w:pPr>
    </w:p>
    <w:sectPr>
      <w:pgSz w:w="16838" w:h="11906" w:orient="landscape"/>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5AD5CE"/>
    <w:multiLevelType w:val="singleLevel"/>
    <w:tmpl w:val="0F5AD5C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299C"/>
    <w:rsid w:val="00003EC8"/>
    <w:rsid w:val="00015B75"/>
    <w:rsid w:val="000215D2"/>
    <w:rsid w:val="00027F4F"/>
    <w:rsid w:val="00041097"/>
    <w:rsid w:val="0005598C"/>
    <w:rsid w:val="000577A5"/>
    <w:rsid w:val="000709A8"/>
    <w:rsid w:val="00073466"/>
    <w:rsid w:val="0009539D"/>
    <w:rsid w:val="00095F70"/>
    <w:rsid w:val="000A1F8B"/>
    <w:rsid w:val="000C36F6"/>
    <w:rsid w:val="000C5C19"/>
    <w:rsid w:val="000C7E5C"/>
    <w:rsid w:val="000D0BF6"/>
    <w:rsid w:val="000D1FF2"/>
    <w:rsid w:val="000D586F"/>
    <w:rsid w:val="000F7CF6"/>
    <w:rsid w:val="00114F8F"/>
    <w:rsid w:val="00125625"/>
    <w:rsid w:val="00145222"/>
    <w:rsid w:val="00167B90"/>
    <w:rsid w:val="001736CD"/>
    <w:rsid w:val="0018359B"/>
    <w:rsid w:val="001B0D22"/>
    <w:rsid w:val="001B380D"/>
    <w:rsid w:val="001B7DFA"/>
    <w:rsid w:val="001E25DD"/>
    <w:rsid w:val="001E6D76"/>
    <w:rsid w:val="001F0C3E"/>
    <w:rsid w:val="001F528F"/>
    <w:rsid w:val="00201374"/>
    <w:rsid w:val="00207E7D"/>
    <w:rsid w:val="002142DF"/>
    <w:rsid w:val="00240475"/>
    <w:rsid w:val="0025111C"/>
    <w:rsid w:val="00263A15"/>
    <w:rsid w:val="0027692A"/>
    <w:rsid w:val="00277E60"/>
    <w:rsid w:val="002851F5"/>
    <w:rsid w:val="00285D60"/>
    <w:rsid w:val="00287E22"/>
    <w:rsid w:val="00290A7E"/>
    <w:rsid w:val="0029282F"/>
    <w:rsid w:val="002A1175"/>
    <w:rsid w:val="002B0B89"/>
    <w:rsid w:val="002C483F"/>
    <w:rsid w:val="002C5477"/>
    <w:rsid w:val="002F0412"/>
    <w:rsid w:val="002F10EB"/>
    <w:rsid w:val="0030299C"/>
    <w:rsid w:val="00327AC8"/>
    <w:rsid w:val="00331D43"/>
    <w:rsid w:val="00350369"/>
    <w:rsid w:val="00360747"/>
    <w:rsid w:val="00373832"/>
    <w:rsid w:val="00385FD6"/>
    <w:rsid w:val="003A2233"/>
    <w:rsid w:val="003B064E"/>
    <w:rsid w:val="003E22DD"/>
    <w:rsid w:val="003F5538"/>
    <w:rsid w:val="00446A56"/>
    <w:rsid w:val="00452917"/>
    <w:rsid w:val="00457FDE"/>
    <w:rsid w:val="00470AE6"/>
    <w:rsid w:val="00490BD4"/>
    <w:rsid w:val="004A5E63"/>
    <w:rsid w:val="004B387D"/>
    <w:rsid w:val="004D62D4"/>
    <w:rsid w:val="005004D9"/>
    <w:rsid w:val="00505352"/>
    <w:rsid w:val="00514EA1"/>
    <w:rsid w:val="00517F88"/>
    <w:rsid w:val="005226CE"/>
    <w:rsid w:val="0052280B"/>
    <w:rsid w:val="0053052E"/>
    <w:rsid w:val="005332F9"/>
    <w:rsid w:val="005334A7"/>
    <w:rsid w:val="00553367"/>
    <w:rsid w:val="00562267"/>
    <w:rsid w:val="0056286C"/>
    <w:rsid w:val="00596BDA"/>
    <w:rsid w:val="005A4E60"/>
    <w:rsid w:val="005B1FED"/>
    <w:rsid w:val="005B7921"/>
    <w:rsid w:val="005C1470"/>
    <w:rsid w:val="005D22FC"/>
    <w:rsid w:val="005E5048"/>
    <w:rsid w:val="005F0C32"/>
    <w:rsid w:val="005F19CA"/>
    <w:rsid w:val="005F36D8"/>
    <w:rsid w:val="00613C33"/>
    <w:rsid w:val="0062612E"/>
    <w:rsid w:val="006403E9"/>
    <w:rsid w:val="006533FF"/>
    <w:rsid w:val="00675A10"/>
    <w:rsid w:val="006778E1"/>
    <w:rsid w:val="0069503A"/>
    <w:rsid w:val="006A7511"/>
    <w:rsid w:val="006B0234"/>
    <w:rsid w:val="006B0978"/>
    <w:rsid w:val="006B1027"/>
    <w:rsid w:val="006E49B9"/>
    <w:rsid w:val="006E6412"/>
    <w:rsid w:val="006F0381"/>
    <w:rsid w:val="006F639E"/>
    <w:rsid w:val="0070135E"/>
    <w:rsid w:val="007021D8"/>
    <w:rsid w:val="00711E6F"/>
    <w:rsid w:val="007219E5"/>
    <w:rsid w:val="00752733"/>
    <w:rsid w:val="007847F5"/>
    <w:rsid w:val="00796B3A"/>
    <w:rsid w:val="007B3EE6"/>
    <w:rsid w:val="007B6B71"/>
    <w:rsid w:val="007F046F"/>
    <w:rsid w:val="00814C73"/>
    <w:rsid w:val="0083286D"/>
    <w:rsid w:val="00834A33"/>
    <w:rsid w:val="00844B24"/>
    <w:rsid w:val="008528FA"/>
    <w:rsid w:val="008530FF"/>
    <w:rsid w:val="0086571A"/>
    <w:rsid w:val="00880F4E"/>
    <w:rsid w:val="00885877"/>
    <w:rsid w:val="008871AB"/>
    <w:rsid w:val="008A21ED"/>
    <w:rsid w:val="008A4BE1"/>
    <w:rsid w:val="008C1767"/>
    <w:rsid w:val="008D01FD"/>
    <w:rsid w:val="008D645E"/>
    <w:rsid w:val="008D7AAA"/>
    <w:rsid w:val="008F060C"/>
    <w:rsid w:val="008F77A5"/>
    <w:rsid w:val="00900A2C"/>
    <w:rsid w:val="00912FD4"/>
    <w:rsid w:val="00951AC2"/>
    <w:rsid w:val="00963775"/>
    <w:rsid w:val="009763E1"/>
    <w:rsid w:val="00996EB7"/>
    <w:rsid w:val="009B4341"/>
    <w:rsid w:val="009C10F2"/>
    <w:rsid w:val="009C34FC"/>
    <w:rsid w:val="009C44AA"/>
    <w:rsid w:val="009C50B2"/>
    <w:rsid w:val="009D23D2"/>
    <w:rsid w:val="009D61ED"/>
    <w:rsid w:val="009F5060"/>
    <w:rsid w:val="009F63CC"/>
    <w:rsid w:val="00A15475"/>
    <w:rsid w:val="00A170F5"/>
    <w:rsid w:val="00A24D6B"/>
    <w:rsid w:val="00A25A8B"/>
    <w:rsid w:val="00A301C5"/>
    <w:rsid w:val="00A31CD1"/>
    <w:rsid w:val="00A43354"/>
    <w:rsid w:val="00A4466A"/>
    <w:rsid w:val="00A44F4D"/>
    <w:rsid w:val="00A622B0"/>
    <w:rsid w:val="00A772EE"/>
    <w:rsid w:val="00A8541C"/>
    <w:rsid w:val="00A9567B"/>
    <w:rsid w:val="00AA1F1E"/>
    <w:rsid w:val="00AB47E5"/>
    <w:rsid w:val="00AC25C9"/>
    <w:rsid w:val="00AE4BB7"/>
    <w:rsid w:val="00B001B1"/>
    <w:rsid w:val="00B12A4B"/>
    <w:rsid w:val="00B14B3F"/>
    <w:rsid w:val="00B16818"/>
    <w:rsid w:val="00B30F4E"/>
    <w:rsid w:val="00B6422A"/>
    <w:rsid w:val="00B81FF3"/>
    <w:rsid w:val="00B82C21"/>
    <w:rsid w:val="00BD650B"/>
    <w:rsid w:val="00BF45D1"/>
    <w:rsid w:val="00C02504"/>
    <w:rsid w:val="00C17F2C"/>
    <w:rsid w:val="00C2355F"/>
    <w:rsid w:val="00C2456F"/>
    <w:rsid w:val="00C45192"/>
    <w:rsid w:val="00C65665"/>
    <w:rsid w:val="00C708B5"/>
    <w:rsid w:val="00C7096F"/>
    <w:rsid w:val="00C72B81"/>
    <w:rsid w:val="00C7399B"/>
    <w:rsid w:val="00C75FBF"/>
    <w:rsid w:val="00CA6FE9"/>
    <w:rsid w:val="00CB1A28"/>
    <w:rsid w:val="00CC178C"/>
    <w:rsid w:val="00CD2BF3"/>
    <w:rsid w:val="00CD552C"/>
    <w:rsid w:val="00CE7A50"/>
    <w:rsid w:val="00CF48CD"/>
    <w:rsid w:val="00D0281C"/>
    <w:rsid w:val="00D21584"/>
    <w:rsid w:val="00D30F5B"/>
    <w:rsid w:val="00D33517"/>
    <w:rsid w:val="00D40988"/>
    <w:rsid w:val="00D50BE5"/>
    <w:rsid w:val="00D6065A"/>
    <w:rsid w:val="00D63FD6"/>
    <w:rsid w:val="00D65D27"/>
    <w:rsid w:val="00D83ED3"/>
    <w:rsid w:val="00D94C44"/>
    <w:rsid w:val="00DA404C"/>
    <w:rsid w:val="00DC2ED7"/>
    <w:rsid w:val="00DC6A88"/>
    <w:rsid w:val="00DD22CC"/>
    <w:rsid w:val="00DD457D"/>
    <w:rsid w:val="00DF0A66"/>
    <w:rsid w:val="00E028FA"/>
    <w:rsid w:val="00E038B3"/>
    <w:rsid w:val="00E03B8A"/>
    <w:rsid w:val="00E11E1D"/>
    <w:rsid w:val="00E15BE1"/>
    <w:rsid w:val="00E20A05"/>
    <w:rsid w:val="00E42355"/>
    <w:rsid w:val="00E46C02"/>
    <w:rsid w:val="00E56C0B"/>
    <w:rsid w:val="00E640C2"/>
    <w:rsid w:val="00E66963"/>
    <w:rsid w:val="00E775B9"/>
    <w:rsid w:val="00EA12A5"/>
    <w:rsid w:val="00EA6B57"/>
    <w:rsid w:val="00EB12CA"/>
    <w:rsid w:val="00EB5A0A"/>
    <w:rsid w:val="00EC0F2E"/>
    <w:rsid w:val="00EC168D"/>
    <w:rsid w:val="00F100C0"/>
    <w:rsid w:val="00F40EB3"/>
    <w:rsid w:val="00F41C8E"/>
    <w:rsid w:val="00F41E22"/>
    <w:rsid w:val="00F476F3"/>
    <w:rsid w:val="00F50B3E"/>
    <w:rsid w:val="00F55AE7"/>
    <w:rsid w:val="00F63392"/>
    <w:rsid w:val="00F65CE0"/>
    <w:rsid w:val="00F80E69"/>
    <w:rsid w:val="00F93CCF"/>
    <w:rsid w:val="00F969E9"/>
    <w:rsid w:val="00FB02B2"/>
    <w:rsid w:val="00FC222B"/>
    <w:rsid w:val="00FD1DFB"/>
    <w:rsid w:val="00FD24F6"/>
    <w:rsid w:val="00FD5050"/>
    <w:rsid w:val="00FE13B9"/>
    <w:rsid w:val="00FE69B4"/>
    <w:rsid w:val="00FE7FDE"/>
    <w:rsid w:val="17971114"/>
    <w:rsid w:val="21A840B3"/>
    <w:rsid w:val="279B6BAB"/>
    <w:rsid w:val="2814297D"/>
    <w:rsid w:val="2AF51320"/>
    <w:rsid w:val="39EE1049"/>
    <w:rsid w:val="3E4B405E"/>
    <w:rsid w:val="40557313"/>
    <w:rsid w:val="4EA75175"/>
    <w:rsid w:val="69FD1511"/>
    <w:rsid w:val="6B0415E3"/>
    <w:rsid w:val="6E793C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spacing w:beforeAutospacing="1" w:afterAutospacing="1"/>
      <w:jc w:val="left"/>
    </w:pPr>
    <w:rPr>
      <w:rFonts w:cs="Times New Roman"/>
      <w:kern w:val="0"/>
      <w:sz w:val="24"/>
    </w:rPr>
  </w:style>
  <w:style w:type="paragraph" w:styleId="7">
    <w:name w:val="annotation subject"/>
    <w:basedOn w:val="2"/>
    <w:next w:val="2"/>
    <w:link w:val="15"/>
    <w:semiHidden/>
    <w:unhideWhenUsed/>
    <w:uiPriority w:val="99"/>
    <w:rPr>
      <w:b/>
      <w:bCs/>
    </w:rPr>
  </w:style>
  <w:style w:type="character" w:styleId="10">
    <w:name w:val="Hyperlink"/>
    <w:basedOn w:val="9"/>
    <w:semiHidden/>
    <w:unhideWhenUsed/>
    <w:qFormat/>
    <w:uiPriority w:val="99"/>
    <w:rPr>
      <w:color w:val="0000FF"/>
      <w:u w:val="single"/>
    </w:rPr>
  </w:style>
  <w:style w:type="character" w:styleId="11">
    <w:name w:val="annotation reference"/>
    <w:basedOn w:val="9"/>
    <w:semiHidden/>
    <w:unhideWhenUsed/>
    <w:uiPriority w:val="99"/>
    <w:rPr>
      <w:sz w:val="21"/>
      <w:szCs w:val="21"/>
    </w:rPr>
  </w:style>
  <w:style w:type="character" w:customStyle="1" w:styleId="12">
    <w:name w:val="页眉 Char"/>
    <w:basedOn w:val="9"/>
    <w:link w:val="5"/>
    <w:semiHidden/>
    <w:qFormat/>
    <w:uiPriority w:val="99"/>
    <w:rPr>
      <w:sz w:val="18"/>
      <w:szCs w:val="18"/>
    </w:rPr>
  </w:style>
  <w:style w:type="character" w:customStyle="1" w:styleId="13">
    <w:name w:val="页脚 Char"/>
    <w:basedOn w:val="9"/>
    <w:link w:val="4"/>
    <w:semiHidden/>
    <w:qFormat/>
    <w:uiPriority w:val="99"/>
    <w:rPr>
      <w:sz w:val="18"/>
      <w:szCs w:val="18"/>
    </w:rPr>
  </w:style>
  <w:style w:type="character" w:customStyle="1" w:styleId="14">
    <w:name w:val="批注文字 Char"/>
    <w:basedOn w:val="9"/>
    <w:link w:val="2"/>
    <w:semiHidden/>
    <w:qFormat/>
    <w:uiPriority w:val="99"/>
  </w:style>
  <w:style w:type="character" w:customStyle="1" w:styleId="15">
    <w:name w:val="批注主题 Char"/>
    <w:basedOn w:val="14"/>
    <w:link w:val="7"/>
    <w:semiHidden/>
    <w:qFormat/>
    <w:uiPriority w:val="99"/>
    <w:rPr>
      <w:b/>
      <w:bCs/>
    </w:rPr>
  </w:style>
  <w:style w:type="character" w:customStyle="1" w:styleId="16">
    <w:name w:val="批注框文本 Char"/>
    <w:basedOn w:val="9"/>
    <w:link w:val="3"/>
    <w:semiHidden/>
    <w:uiPriority w:val="99"/>
    <w:rPr>
      <w:sz w:val="18"/>
      <w:szCs w:val="18"/>
    </w:rPr>
  </w:style>
  <w:style w:type="paragraph" w:customStyle="1" w:styleId="17">
    <w:name w:val="Char"/>
    <w:basedOn w:val="1"/>
    <w:uiPriority w:val="0"/>
    <w:pPr>
      <w:snapToGrid w:val="0"/>
      <w:spacing w:afterLines="50" w:line="360" w:lineRule="auto"/>
      <w:ind w:firstLine="480" w:firstLineChars="200"/>
    </w:pPr>
    <w:rPr>
      <w:rFonts w:ascii="Times New Roman" w:hAnsi="Times New Roman" w:eastAsia="仿宋_GB2312" w:cs="Times New Roman"/>
      <w:sz w:val="32"/>
      <w:szCs w:val="32"/>
    </w:rPr>
  </w:style>
  <w:style w:type="paragraph" w:styleId="18">
    <w:name w:val="List Paragraph"/>
    <w:basedOn w:val="1"/>
    <w:qFormat/>
    <w:uiPriority w:val="34"/>
    <w:pPr>
      <w:ind w:firstLine="420" w:firstLineChars="200"/>
    </w:pPr>
  </w:style>
  <w:style w:type="paragraph" w:customStyle="1" w:styleId="19">
    <w:name w:val="Char1"/>
    <w:basedOn w:val="1"/>
    <w:uiPriority w:val="0"/>
    <w:pPr>
      <w:snapToGrid w:val="0"/>
      <w:spacing w:afterLines="50" w:line="360" w:lineRule="auto"/>
      <w:ind w:firstLine="480" w:firstLineChars="200"/>
    </w:pPr>
    <w:rPr>
      <w:rFonts w:ascii="Times New Roman" w:hAnsi="Times New Roman" w:eastAsia="仿宋_GB2312" w:cs="Times New Roman"/>
      <w:sz w:val="32"/>
      <w:szCs w:val="32"/>
    </w:rPr>
  </w:style>
  <w:style w:type="paragraph" w:styleId="20">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ED2DD2-9379-45ED-B862-70279AA6940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31</Pages>
  <Words>4151</Words>
  <Characters>23666</Characters>
  <Lines>197</Lines>
  <Paragraphs>55</Paragraphs>
  <TotalTime>232</TotalTime>
  <ScaleCrop>false</ScaleCrop>
  <LinksUpToDate>false</LinksUpToDate>
  <CharactersWithSpaces>27762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2021-03-22T05:30:00Z</dcterms:created>
  <dc:creator>lenovo</dc:creator>
  <cp:lastModifiedBy>dh</cp:lastModifiedBy>
  <cp:lastPrinted>2021-03-18T07:23:00Z</cp:lastPrinted>
  <dcterms:modified xsi:type="dcterms:W3CDTF">2021-06-21T06:27:55Z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195E95A1B35F48978BC2EB62C7A3E0A4</vt:lpwstr>
  </property>
</Properties>
</file>