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宋体" w:hAnsi="宋体" w:eastAsia="宋体" w:cs="宋体"/>
          <w:color w:val="auto"/>
          <w:sz w:val="44"/>
          <w:szCs w:val="44"/>
          <w:lang w:val="en-US" w:eastAsia="zh-CN"/>
        </w:rPr>
      </w:pPr>
      <w:r>
        <w:rPr>
          <w:rFonts w:hint="eastAsia" w:ascii="宋体" w:hAnsi="宋体" w:eastAsia="宋体" w:cs="宋体"/>
          <w:color w:val="auto"/>
          <w:sz w:val="44"/>
          <w:szCs w:val="44"/>
          <w:lang w:val="en-US" w:eastAsia="zh-CN"/>
        </w:rPr>
        <w:t>涞源县发展和改革局权责事项分表</w:t>
      </w:r>
    </w:p>
    <w:p>
      <w:pPr>
        <w:jc w:val="center"/>
        <w:rPr>
          <w:b w:val="0"/>
          <w:bCs w:val="0"/>
        </w:rPr>
      </w:pPr>
      <w:r>
        <w:rPr>
          <w:rFonts w:hint="eastAsia" w:ascii="仿宋" w:hAnsi="仿宋" w:eastAsia="仿宋" w:cs="仿宋"/>
          <w:b w:val="0"/>
          <w:bCs w:val="0"/>
          <w:sz w:val="30"/>
          <w:szCs w:val="30"/>
          <w:lang w:eastAsia="zh-CN"/>
        </w:rPr>
        <w:t>（共</w:t>
      </w:r>
      <w:r>
        <w:rPr>
          <w:rFonts w:hint="eastAsia" w:ascii="仿宋" w:hAnsi="仿宋" w:eastAsia="仿宋" w:cs="仿宋"/>
          <w:b w:val="0"/>
          <w:bCs w:val="0"/>
          <w:sz w:val="30"/>
          <w:szCs w:val="30"/>
          <w:lang w:val="en-US" w:eastAsia="zh-CN"/>
        </w:rPr>
        <w:t>4类、64项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楷体_GB2312" w:hAnsi="楷体_GB2312" w:eastAsia="楷体_GB2312" w:cs="Arial"/>
          <w:color w:val="auto"/>
          <w:sz w:val="28"/>
          <w:lang w:val="en-US" w:eastAsia="zh-CN"/>
        </w:rPr>
      </w:pPr>
      <w:r>
        <w:rPr>
          <w:rFonts w:hint="eastAsia" w:ascii="楷体_GB2312" w:hAnsi="楷体_GB2312" w:eastAsia="楷体_GB2312"/>
          <w:color w:val="auto"/>
          <w:sz w:val="28"/>
          <w:lang w:val="en-US" w:eastAsia="zh-CN"/>
        </w:rPr>
        <w:t>单位：涞源</w:t>
      </w:r>
      <w:r>
        <w:rPr>
          <w:rFonts w:hint="eastAsia" w:ascii="楷体_GB2312" w:hAnsi="楷体_GB2312" w:eastAsia="楷体_GB2312" w:cs="Arial"/>
          <w:color w:val="auto"/>
          <w:sz w:val="28"/>
          <w:lang w:val="en-US" w:eastAsia="zh-CN"/>
        </w:rPr>
        <w:t>县发展和改革局</w:t>
      </w:r>
    </w:p>
    <w:tbl>
      <w:tblPr>
        <w:tblStyle w:val="6"/>
        <w:tblpPr w:leftFromText="180" w:rightFromText="180" w:vertAnchor="text" w:horzAnchor="page" w:tblpX="862" w:tblpY="630"/>
        <w:tblOverlap w:val="never"/>
        <w:tblW w:w="15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804"/>
        <w:gridCol w:w="1185"/>
        <w:gridCol w:w="801"/>
        <w:gridCol w:w="4614"/>
        <w:gridCol w:w="4005"/>
        <w:gridCol w:w="3345"/>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trPr>
        <w:tc>
          <w:tcPr>
            <w:tcW w:w="55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序号</w:t>
            </w:r>
          </w:p>
        </w:tc>
        <w:tc>
          <w:tcPr>
            <w:tcW w:w="80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权力类型</w:t>
            </w: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权力事项</w:t>
            </w:r>
          </w:p>
        </w:tc>
        <w:tc>
          <w:tcPr>
            <w:tcW w:w="80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行政主体</w:t>
            </w:r>
          </w:p>
        </w:tc>
        <w:tc>
          <w:tcPr>
            <w:tcW w:w="461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实施依据</w:t>
            </w:r>
          </w:p>
        </w:tc>
        <w:tc>
          <w:tcPr>
            <w:tcW w:w="400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责任事项</w:t>
            </w:r>
          </w:p>
        </w:tc>
        <w:tc>
          <w:tcPr>
            <w:tcW w:w="33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追责情形</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b w:val="0"/>
                <w:i w:val="0"/>
                <w:snapToGrid/>
                <w:color w:val="auto"/>
                <w:sz w:val="21"/>
                <w:szCs w:val="21"/>
                <w:u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b w:val="0"/>
                <w:i w:val="0"/>
                <w:snapToGrid/>
                <w:color w:val="auto"/>
                <w:sz w:val="21"/>
                <w:szCs w:val="21"/>
                <w:u w:val="none"/>
                <w:lang w:val="en-US"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对未按规定程序办理招标核准手续的行政处罚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18"/>
                <w:szCs w:val="18"/>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numPr>
                <w:ilvl w:val="0"/>
                <w:numId w:val="2"/>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w:t>
            </w:r>
            <w:r>
              <w:rPr>
                <w:rFonts w:hint="eastAsia" w:ascii="仿宋" w:hAnsi="仿宋" w:eastAsia="仿宋" w:cs="仿宋"/>
                <w:color w:val="auto"/>
                <w:sz w:val="21"/>
                <w:szCs w:val="21"/>
                <w:lang w:eastAsia="zh-CN"/>
              </w:rPr>
              <w:t>法律</w:t>
            </w:r>
            <w:r>
              <w:rPr>
                <w:rFonts w:hint="eastAsia" w:ascii="仿宋" w:hAnsi="仿宋" w:eastAsia="仿宋" w:cs="仿宋"/>
                <w:color w:val="auto"/>
                <w:sz w:val="21"/>
                <w:szCs w:val="21"/>
                <w:lang w:val="en-US" w:eastAsia="zh-CN"/>
              </w:rPr>
              <w:t>]《中华人民共和国招标投标法》（</w:t>
            </w:r>
            <w:r>
              <w:rPr>
                <w:rFonts w:hint="eastAsia" w:ascii="仿宋" w:hAnsi="仿宋" w:eastAsia="仿宋" w:cs="仿宋"/>
                <w:color w:val="auto"/>
                <w:sz w:val="21"/>
                <w:szCs w:val="21"/>
                <w:lang w:eastAsia="zh-CN"/>
              </w:rPr>
              <w:t>1999年</w:t>
            </w:r>
            <w:r>
              <w:rPr>
                <w:rFonts w:hint="eastAsia" w:ascii="仿宋" w:hAnsi="仿宋" w:eastAsia="仿宋" w:cs="仿宋"/>
                <w:color w:val="auto"/>
                <w:sz w:val="21"/>
                <w:szCs w:val="21"/>
                <w:lang w:val="en-US" w:eastAsia="zh-CN"/>
              </w:rPr>
              <w:t>8</w:t>
            </w:r>
            <w:r>
              <w:rPr>
                <w:rFonts w:hint="eastAsia" w:ascii="仿宋" w:hAnsi="仿宋" w:eastAsia="仿宋" w:cs="仿宋"/>
                <w:color w:val="auto"/>
                <w:sz w:val="21"/>
                <w:szCs w:val="21"/>
                <w:lang w:eastAsia="zh-CN"/>
              </w:rPr>
              <w:t>月通过，2017年12月修订</w:t>
            </w:r>
            <w:r>
              <w:rPr>
                <w:rFonts w:hint="eastAsia" w:ascii="仿宋" w:hAnsi="仿宋" w:eastAsia="仿宋" w:cs="仿宋"/>
                <w:color w:val="auto"/>
                <w:sz w:val="21"/>
                <w:szCs w:val="21"/>
                <w:lang w:val="en-US" w:eastAsia="zh-CN"/>
              </w:rPr>
              <w:t>）</w:t>
            </w:r>
            <w:r>
              <w:rPr>
                <w:rFonts w:hint="eastAsia" w:ascii="仿宋" w:hAnsi="仿宋" w:eastAsia="仿宋" w:cs="仿宋"/>
                <w:color w:val="auto"/>
                <w:sz w:val="21"/>
                <w:szCs w:val="21"/>
                <w:lang w:eastAsia="zh-CN"/>
              </w:rPr>
              <w:t>，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p>
            <w:pPr>
              <w:numPr>
                <w:ilvl w:val="0"/>
                <w:numId w:val="2"/>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【地方性法规】《河北省实施</w:t>
            </w:r>
            <w:r>
              <w:rPr>
                <w:rFonts w:hint="eastAsia" w:ascii="仿宋" w:hAnsi="仿宋" w:eastAsia="仿宋" w:cs="仿宋"/>
                <w:color w:val="auto"/>
                <w:sz w:val="21"/>
                <w:szCs w:val="21"/>
                <w:lang w:val="en-US" w:eastAsia="zh-CN"/>
              </w:rPr>
              <w:t>&lt;</w:t>
            </w:r>
            <w:r>
              <w:rPr>
                <w:rFonts w:hint="eastAsia" w:ascii="仿宋" w:hAnsi="仿宋" w:eastAsia="仿宋" w:cs="仿宋"/>
                <w:color w:val="auto"/>
                <w:sz w:val="21"/>
                <w:szCs w:val="21"/>
                <w:lang w:eastAsia="zh-CN"/>
              </w:rPr>
              <w:t>中华人民共和国招标投标法</w:t>
            </w:r>
            <w:r>
              <w:rPr>
                <w:rFonts w:hint="eastAsia" w:ascii="仿宋" w:hAnsi="仿宋" w:eastAsia="仿宋" w:cs="仿宋"/>
                <w:color w:val="auto"/>
                <w:sz w:val="21"/>
                <w:szCs w:val="21"/>
                <w:lang w:val="en-US" w:eastAsia="zh-CN"/>
              </w:rPr>
              <w:t>&gt;</w:t>
            </w:r>
            <w:r>
              <w:rPr>
                <w:rFonts w:hint="eastAsia" w:ascii="仿宋" w:hAnsi="仿宋" w:eastAsia="仿宋" w:cs="仿宋"/>
                <w:color w:val="auto"/>
                <w:sz w:val="21"/>
                <w:szCs w:val="21"/>
                <w:lang w:eastAsia="zh-CN"/>
              </w:rPr>
              <w:t>办法》</w:t>
            </w:r>
            <w:r>
              <w:rPr>
                <w:rFonts w:hint="eastAsia" w:ascii="仿宋" w:hAnsi="仿宋" w:eastAsia="仿宋" w:cs="仿宋"/>
                <w:color w:val="auto"/>
                <w:sz w:val="21"/>
                <w:szCs w:val="21"/>
                <w:lang w:val="en-US" w:eastAsia="zh-CN"/>
              </w:rPr>
              <w:t>(2001年9月）</w:t>
            </w:r>
            <w:r>
              <w:rPr>
                <w:rFonts w:hint="eastAsia" w:ascii="仿宋" w:hAnsi="仿宋" w:eastAsia="仿宋" w:cs="仿宋"/>
                <w:color w:val="auto"/>
                <w:sz w:val="21"/>
                <w:szCs w:val="21"/>
                <w:lang w:eastAsia="zh-CN"/>
              </w:rPr>
              <w:t>第四十三条 违反本办法规定，必须进行招标的项目而不招标的，将必须进行招标的项目化整为零或者以其他方式规避招标的，以及虚假招标、与投标人串通损害国家利益、社会公共利益和其他投标人合法权益的，责令限期改正，可以处项目合同金额千分之五以上千分之十以下的罚款；对全部或者部分使用国有资金的项目，可以暂停项目执行或者暂停资金拨付；对单位直接负责的主管人员和其他直接责任人员依法给予行政处分；构成犯罪的，依法追究刑事责任。</w:t>
            </w:r>
          </w:p>
          <w:p>
            <w:pPr>
              <w:numPr>
                <w:ilvl w:val="0"/>
                <w:numId w:val="0"/>
              </w:numPr>
              <w:tabs>
                <w:tab w:val="left" w:pos="7937"/>
              </w:tabs>
              <w:spacing w:line="240" w:lineRule="exact"/>
              <w:ind w:left="0" w:leftChars="0" w:firstLine="0" w:firstLineChars="0"/>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第四十四条 违反本办法规定，依法必须进行招标项目的招标方案应当经项目审批部门核准而未经核准的，或者未按项目审批部门核准的招标方案进行招标的，由项目审批部门责令限期改正，可以处一万元以上五万元以下的罚款；对单位直接负责的主管人员和其他直接责任人员依法给予行政处分。</w:t>
            </w:r>
          </w:p>
        </w:tc>
        <w:tc>
          <w:tcPr>
            <w:tcW w:w="4005" w:type="dxa"/>
            <w:vAlign w:val="center"/>
          </w:tcPr>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1、立案责任：发现涉嫌未按规定程序办理招标核准手续的项目或其他机关移送的相关案件等，予以审查，决定是否立案。</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2、调查责任：招投标主管部门对立案的案件，指定专人负责，及时组织调查取证，与当事人有直接利害关系的应当回避。执法人员不得少于两人，调查时应出示执法证件，允许当事人辩解陈述。执法人员应保守有关秘密。</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3、审查责任：审理案件调查报告，对案件违法事实、证据、调查取证程序、法律适用、处罚种类和幅度、当事人陈述和申辩理由等方面进行审查，提出处理意见（主要证据不足时，以适当的方式补充调查）。</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4、告知责任：作出行政处罚决定前，应制作《行政处罚告知书》送达当事人，告知违法事实及其享有的陈述、申辩等权利。符合听证规定的，制作并送达《行政处罚听证告知书》。</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5、决定责任：制作行政处罚决定书，载明行政处罚告知、当事人陈述申辩或者听证情况等内容。</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6、送达责任：行政处罚决定书按法律规定的方式送达当事人。</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7、执行责任：依照生效的行政处罚决定，按相关法律执行。</w:t>
            </w:r>
          </w:p>
          <w:p>
            <w:pPr>
              <w:numPr>
                <w:ilvl w:val="0"/>
                <w:numId w:val="0"/>
              </w:numPr>
              <w:tabs>
                <w:tab w:val="left" w:pos="7937"/>
              </w:tabs>
              <w:spacing w:line="240" w:lineRule="exact"/>
              <w:ind w:left="0" w:leftChars="0" w:firstLine="0" w:firstLineChars="0"/>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8、其他法律法规规章文件规定应履行的责任。</w:t>
            </w:r>
          </w:p>
        </w:tc>
        <w:tc>
          <w:tcPr>
            <w:tcW w:w="3345" w:type="dxa"/>
            <w:vAlign w:val="center"/>
          </w:tcPr>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因不履行或不正确履行行政职责，有下列情形的，行政机关及相关工作人员应承担相应责任：</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1、没有法律和事实依据实施行政处罚的；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2、行政处罚显失公正的；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3、执法人员玩忽职守，对应当予以制止和处罚的违法行为不予制止、处罚，致使招投标人的合法权益遭受损害的；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4、不具备行政执法资格实施行政处罚的；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5、在制止以及查处违法案件中受阻，依照有关规定应当向本级人民政府报告而未报告的；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6、应当依法移送追究刑事责任，而未依法移送有权机关的；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7、擅自改变行政处罚种类、幅度的；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8、违反法定的行政处罚程序的；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9、符合听证条件、行政管理相对人要求听证，应予组织听证而不组织听证的；</w:t>
            </w:r>
          </w:p>
          <w:p>
            <w:pPr>
              <w:numPr>
                <w:ilvl w:val="0"/>
                <w:numId w:val="0"/>
              </w:numPr>
              <w:tabs>
                <w:tab w:val="left" w:pos="7937"/>
              </w:tabs>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10、在行政处罚过程中发生腐败行为的；</w:t>
            </w:r>
          </w:p>
          <w:p>
            <w:pPr>
              <w:numPr>
                <w:ilvl w:val="0"/>
                <w:numId w:val="0"/>
              </w:numPr>
              <w:tabs>
                <w:tab w:val="left" w:pos="7937"/>
              </w:tabs>
              <w:spacing w:line="240" w:lineRule="exact"/>
              <w:ind w:left="0" w:leftChars="0" w:firstLine="0" w:firstLineChars="0"/>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社会事业股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2" w:hRule="atLeast"/>
        </w:trPr>
        <w:tc>
          <w:tcPr>
            <w:tcW w:w="556" w:type="dxa"/>
            <w:vAlign w:val="center"/>
          </w:tcPr>
          <w:p>
            <w:pPr>
              <w:numPr>
                <w:ilvl w:val="0"/>
                <w:numId w:val="1"/>
              </w:numPr>
              <w:tabs>
                <w:tab w:val="left" w:pos="7937"/>
              </w:tabs>
              <w:spacing w:line="280" w:lineRule="exact"/>
              <w:ind w:left="425" w:leftChars="0" w:hanging="425" w:firstLineChars="0"/>
              <w:jc w:val="center"/>
              <w:rPr>
                <w:rFonts w:hint="default" w:ascii="仿宋" w:hAnsi="仿宋" w:eastAsia="仿宋" w:cs="仿宋"/>
                <w:color w:val="000000" w:themeColor="text1"/>
                <w:sz w:val="21"/>
                <w:szCs w:val="21"/>
                <w:lang w:val="en-US" w:eastAsia="zh-CN"/>
                <w14:textFill>
                  <w14:solidFill>
                    <w14:schemeClr w14:val="tx1"/>
                  </w14:solidFill>
                </w14:textFill>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color w:val="0000FF"/>
                <w:sz w:val="21"/>
                <w:szCs w:val="21"/>
              </w:rPr>
            </w:pPr>
            <w:r>
              <w:rPr>
                <w:rFonts w:hint="eastAsia" w:ascii="仿宋" w:hAnsi="仿宋" w:eastAsia="仿宋" w:cs="仿宋"/>
                <w:color w:val="auto"/>
                <w:sz w:val="21"/>
                <w:szCs w:val="21"/>
              </w:rPr>
              <w:t>处罚</w:t>
            </w:r>
          </w:p>
        </w:tc>
        <w:tc>
          <w:tcPr>
            <w:tcW w:w="1185" w:type="dxa"/>
            <w:vAlign w:val="center"/>
          </w:tcPr>
          <w:p>
            <w:pPr>
              <w:tabs>
                <w:tab w:val="left" w:pos="7937"/>
              </w:tabs>
              <w:spacing w:line="280" w:lineRule="exact"/>
              <w:jc w:val="center"/>
              <w:rPr>
                <w:rFonts w:hint="eastAsia" w:ascii="仿宋" w:hAnsi="仿宋" w:eastAsia="仿宋" w:cs="仿宋"/>
                <w:color w:val="0000FF"/>
                <w:sz w:val="21"/>
                <w:szCs w:val="21"/>
              </w:rPr>
            </w:pPr>
            <w:r>
              <w:rPr>
                <w:rFonts w:hint="eastAsia" w:ascii="仿宋" w:hAnsi="仿宋" w:eastAsia="仿宋" w:cs="仿宋"/>
                <w:color w:val="auto"/>
                <w:sz w:val="21"/>
                <w:szCs w:val="21"/>
                <w:lang w:eastAsia="zh-CN"/>
              </w:rPr>
              <w:t>对未按规定程序办理备案手续的行政处罚</w:t>
            </w:r>
          </w:p>
        </w:tc>
        <w:tc>
          <w:tcPr>
            <w:tcW w:w="801" w:type="dxa"/>
            <w:vAlign w:val="center"/>
          </w:tcPr>
          <w:p>
            <w:pPr>
              <w:tabs>
                <w:tab w:val="left" w:pos="7937"/>
              </w:tabs>
              <w:spacing w:line="280" w:lineRule="exact"/>
              <w:jc w:val="center"/>
              <w:rPr>
                <w:rFonts w:hint="eastAsia" w:ascii="仿宋" w:hAnsi="仿宋" w:eastAsia="仿宋" w:cs="仿宋"/>
                <w:color w:val="0000FF"/>
                <w:sz w:val="18"/>
                <w:szCs w:val="18"/>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《河北省企业投资项目核准和备案实施办法》第三十八条　实行备案管理的项目，项目单位应当在开工建设前通过在线平台将相关信息告知项目备案机关，依法履行投资项目信息告知义务，并遵循诚信和规范原则。第四十条　项目备案机关收到本办法第三十九条规定的全部信息即为备案。项目备案信息不完整的，备案机关应当在3个工作日内通过在线平台以适当方式提醒和指导项目单位补正。</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项目备案机关发现项目属产业政策禁止投资建设或者依法应实行核准管理，以及不属于固定资产投资项目、依法应实施审批管理、不属于本备案机关权限等情形的，应当通过在线平台在5个工作日内告知企业予以纠正或者依法申请办理相关手续。</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第四十一条　项目单位需要备案证明的，可以通过在线平台自行打印或者要求备案机关出具。</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第四十二条　项目备案后，备案信息发生变更，包括项目法人发生变化，项目建设地点、规模、内容等发生变更，或者放弃项目建设的，项目单位应当通过在线平台及时告知项目备案机关，并修改相关信息。</w:t>
            </w:r>
          </w:p>
          <w:p>
            <w:pPr>
              <w:tabs>
                <w:tab w:val="left" w:pos="7937"/>
              </w:tabs>
              <w:spacing w:line="280" w:lineRule="exact"/>
              <w:jc w:val="both"/>
              <w:rPr>
                <w:rFonts w:hint="eastAsia" w:ascii="仿宋" w:hAnsi="仿宋" w:eastAsia="仿宋" w:cs="仿宋"/>
                <w:color w:val="auto"/>
                <w:sz w:val="21"/>
                <w:szCs w:val="21"/>
              </w:rPr>
            </w:pPr>
          </w:p>
          <w:p>
            <w:pPr>
              <w:tabs>
                <w:tab w:val="left" w:pos="7937"/>
              </w:tabs>
              <w:spacing w:line="280" w:lineRule="exact"/>
              <w:jc w:val="both"/>
              <w:rPr>
                <w:rFonts w:hint="eastAsia" w:ascii="仿宋" w:hAnsi="仿宋" w:eastAsia="仿宋" w:cs="仿宋"/>
                <w:color w:val="0000FF"/>
                <w:sz w:val="21"/>
                <w:szCs w:val="21"/>
                <w:lang w:eastAsia="zh-CN"/>
              </w:rPr>
            </w:pPr>
          </w:p>
        </w:tc>
        <w:tc>
          <w:tcPr>
            <w:tcW w:w="4005" w:type="dxa"/>
            <w:vAlign w:val="center"/>
          </w:tcPr>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项目备案机关收到修改后的全部信息即为告知备案变更。项目备案变更信息不完整的，备案机关应当在3个工作日内通过在线平台或适当方式提醒和指导项目单位补正。</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项目备案机关发现项目备案信息变更后属产业政策禁止投资建设或者依法应实行核准管理，以及不属于固定资产投资项目、依法应实施审批管理、不属于本备案机关权限等情形的，应当通过在线平台在5个工作日内告知企业予以纠正。</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企业投资项目事中事后监管办法》（2018年1月国家发展改革委令第14号）第十九条：“县级以上地方发展改革部门发现本行政区域内的已开工项目应备案但未依法备案的，应当报告对该项目有备案权限的机关，由备案机关责令其限期改正；逾期不改正的，依法处以罚款并列入失信企业名单，向社会公开。”</w:t>
            </w:r>
          </w:p>
          <w:p>
            <w:pPr>
              <w:tabs>
                <w:tab w:val="left" w:pos="7937"/>
              </w:tabs>
              <w:spacing w:line="280" w:lineRule="exact"/>
              <w:jc w:val="both"/>
              <w:rPr>
                <w:rFonts w:hint="eastAsia" w:ascii="仿宋" w:hAnsi="仿宋" w:eastAsia="仿宋" w:cs="仿宋"/>
                <w:color w:val="0000FF"/>
                <w:sz w:val="21"/>
                <w:szCs w:val="21"/>
              </w:rPr>
            </w:pPr>
          </w:p>
        </w:tc>
        <w:tc>
          <w:tcPr>
            <w:tcW w:w="3345" w:type="dxa"/>
            <w:vAlign w:val="center"/>
          </w:tcPr>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第五十一条　项目备案机关有下列情形之一的，由其上级行政机关责令改正，对负有责任的领导人员和直接责任人员由有关单位和部门依法依纪给予处分：（一）超越法定职权予以备案的；</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（二）擅自增减核准审查条件的，或者以备案名义变相审批、核准的；</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w:t>
            </w:r>
            <w:r>
              <w:rPr>
                <w:rFonts w:hint="eastAsia" w:ascii="仿宋" w:hAnsi="仿宋" w:eastAsia="仿宋" w:cs="仿宋"/>
                <w:color w:val="auto"/>
                <w:sz w:val="21"/>
                <w:szCs w:val="21"/>
                <w:lang w:eastAsia="zh-CN"/>
              </w:rPr>
              <w:t>三</w:t>
            </w:r>
            <w:r>
              <w:rPr>
                <w:rFonts w:hint="eastAsia" w:ascii="仿宋" w:hAnsi="仿宋" w:eastAsia="仿宋" w:cs="仿宋"/>
                <w:color w:val="auto"/>
                <w:sz w:val="21"/>
                <w:szCs w:val="21"/>
              </w:rPr>
              <w:t>）不依法履行监管职责或者监督不力，造成严重后果的。</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　　第五十二条项目备案机关及其工作人员，以及其他相关部门及其工作人员，在项目备案以及相关审批手续办理过程中玩忽职守、滥用职权、徇私舞弊、索贿受贿的，对负有责任的领导人员和直接责任人员依法给予处分；构成犯罪的，依法追究刑事责任。</w:t>
            </w:r>
          </w:p>
          <w:p>
            <w:pPr>
              <w:tabs>
                <w:tab w:val="left" w:pos="7937"/>
              </w:tabs>
              <w:spacing w:line="280" w:lineRule="exact"/>
              <w:jc w:val="both"/>
              <w:rPr>
                <w:rFonts w:hint="eastAsia" w:ascii="仿宋" w:hAnsi="仿宋" w:eastAsia="仿宋" w:cs="仿宋"/>
                <w:color w:val="auto"/>
                <w:sz w:val="21"/>
                <w:szCs w:val="21"/>
              </w:rPr>
            </w:pPr>
            <w:r>
              <w:rPr>
                <w:rFonts w:hint="eastAsia" w:ascii="仿宋" w:hAnsi="仿宋" w:eastAsia="仿宋" w:cs="仿宋"/>
                <w:color w:val="auto"/>
                <w:sz w:val="21"/>
                <w:szCs w:val="21"/>
              </w:rPr>
              <w:t>项目备案机关，以及城乡规划、住房城乡建设、国土资源（海洋）、水行政管理、环境保护、节能审查、安全监管等部门违反相关法律、法规规定，未依法履行监管职责的，对直接负责的主管人员和其他直接责任人员依法给予处分；构成犯罪的，依法追究刑事责任。</w:t>
            </w:r>
          </w:p>
          <w:p>
            <w:pPr>
              <w:tabs>
                <w:tab w:val="left" w:pos="7937"/>
              </w:tabs>
              <w:spacing w:line="280" w:lineRule="exact"/>
              <w:jc w:val="both"/>
              <w:rPr>
                <w:rFonts w:hint="eastAsia" w:ascii="仿宋" w:hAnsi="仿宋" w:eastAsia="仿宋" w:cs="仿宋"/>
                <w:color w:val="0000FF"/>
                <w:sz w:val="21"/>
                <w:szCs w:val="21"/>
              </w:rPr>
            </w:pP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 w:hAnsi="仿宋" w:eastAsia="仿宋" w:cs="仿宋"/>
                <w:color w:val="0000FF"/>
                <w:sz w:val="21"/>
                <w:szCs w:val="21"/>
                <w:lang w:eastAsia="zh-CN"/>
              </w:rPr>
            </w:pPr>
            <w:r>
              <w:rPr>
                <w:rFonts w:hint="eastAsia" w:ascii="仿宋" w:hAnsi="仿宋" w:eastAsia="仿宋" w:cs="仿宋"/>
                <w:color w:val="auto"/>
                <w:sz w:val="21"/>
                <w:szCs w:val="21"/>
                <w:lang w:eastAsia="zh-CN"/>
              </w:rPr>
              <w:t>社会事业股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2"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000000" w:themeColor="text1"/>
                <w:sz w:val="21"/>
                <w:szCs w:val="21"/>
                <w:lang w:val="en-US" w:eastAsia="zh-CN"/>
                <w14:textFill>
                  <w14:solidFill>
                    <w14:schemeClr w14:val="tx1"/>
                  </w14:solidFill>
                </w14:textFill>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18"/>
                <w:szCs w:val="18"/>
              </w:rPr>
              <w:t>行政处罚</w:t>
            </w:r>
          </w:p>
        </w:tc>
        <w:tc>
          <w:tcPr>
            <w:tcW w:w="1185" w:type="dxa"/>
            <w:vAlign w:val="center"/>
          </w:tcPr>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18"/>
                <w:szCs w:val="18"/>
              </w:rPr>
              <w:t>对招标代理机构违法泄露与招标投标活动有关的情况和资料，或者与招标人、投标人串通损害国家利益的处罚</w:t>
            </w:r>
          </w:p>
        </w:tc>
        <w:tc>
          <w:tcPr>
            <w:tcW w:w="801" w:type="dxa"/>
            <w:vAlign w:val="center"/>
          </w:tcPr>
          <w:p>
            <w:pPr>
              <w:spacing w:line="240" w:lineRule="exact"/>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center"/>
              <w:rPr>
                <w:rFonts w:hint="eastAsia" w:ascii="仿宋" w:hAnsi="仿宋" w:eastAsia="仿宋" w:cs="仿宋"/>
                <w:color w:val="0000FF"/>
                <w:sz w:val="21"/>
                <w:szCs w:val="21"/>
                <w:lang w:eastAsia="zh-CN"/>
              </w:rPr>
            </w:pPr>
            <w:r>
              <w:rPr>
                <w:rFonts w:hint="eastAsia" w:ascii="仿宋" w:hAnsi="仿宋" w:eastAsia="仿宋" w:cs="仿宋"/>
                <w:color w:val="auto"/>
                <w:sz w:val="18"/>
                <w:szCs w:val="18"/>
              </w:rPr>
              <w:t xml:space="preserve">《工程建设项目施工招标投标办法》（七部委30号令）第六十九条：招标代理机构违法泄露应当保密的与招标投标活动有关的情况和资料的，或者与招标人、投标人串通损害国家利益、社会公共利益或者他人合法权益的，由有关行政监督部门处五万元以上二十五万元以下罚款，对单位直接负责的主管人员和其他直接责任人员处单位罚款数额百分之五以上百分之十以下罚款；有违法所得的，并处没收违法所得；情节严重的，有关行政监督部门可停止其一定时期内参与相关领域的招标代理业务，资格认定部门可暂停直至取消招标代理资格；构成犯罪的，由司法部门依法追究刑事责任。给他人造成损失的，依法承担赔偿责任。前款所列行为影响中标结果，并且中标人为前款所列行为的受益人的，中标无效。 </w:t>
            </w:r>
          </w:p>
        </w:tc>
        <w:tc>
          <w:tcPr>
            <w:tcW w:w="400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1、立案责任：发现涉嫌未按规定程序办理招标核准手续的项目或其他机关移送的相关案件等，予以审查，决定是否立案。</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调查责任：招投标主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7、执行责任：依照生效的行政处罚决定，按相关法律执行。</w:t>
            </w:r>
          </w:p>
          <w:p>
            <w:pPr>
              <w:tabs>
                <w:tab w:val="left" w:pos="7937"/>
              </w:tabs>
              <w:spacing w:line="240" w:lineRule="exact"/>
              <w:jc w:val="left"/>
              <w:rPr>
                <w:rFonts w:hint="eastAsia" w:ascii="仿宋" w:hAnsi="仿宋" w:eastAsia="仿宋" w:cs="仿宋"/>
                <w:color w:val="0000FF"/>
                <w:sz w:val="21"/>
                <w:szCs w:val="21"/>
              </w:rPr>
            </w:pPr>
            <w:r>
              <w:rPr>
                <w:rFonts w:hint="eastAsia" w:ascii="仿宋" w:hAnsi="仿宋" w:eastAsia="仿宋" w:cs="仿宋"/>
                <w:color w:val="auto"/>
                <w:sz w:val="18"/>
                <w:szCs w:val="18"/>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1、没有法律和事实依据实施行政处罚的；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2、行政处罚显失公正的；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3、执法人员玩忽职守，对应当予以制止和处罚的违法行为不予制止、处罚，致使招投标人的合法权益遭受损害的；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4、不具备行政执法资格实施行政处罚的；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6、应当依法移送追究刑事责任，而未依法移送有权机关的；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7、擅自改变行政处罚种类、幅度的；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8、违反法定的行政处罚程序的；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10、在行政处罚过程中发生腐败行为的；</w:t>
            </w:r>
          </w:p>
          <w:p>
            <w:pPr>
              <w:tabs>
                <w:tab w:val="left" w:pos="7937"/>
              </w:tabs>
              <w:spacing w:line="240" w:lineRule="exact"/>
              <w:jc w:val="left"/>
              <w:rPr>
                <w:rFonts w:hint="eastAsia" w:ascii="仿宋" w:hAnsi="仿宋" w:eastAsia="仿宋" w:cs="仿宋"/>
                <w:color w:val="0000FF"/>
                <w:sz w:val="21"/>
                <w:szCs w:val="21"/>
              </w:rPr>
            </w:pPr>
            <w:r>
              <w:rPr>
                <w:rFonts w:hint="eastAsia" w:ascii="仿宋" w:hAnsi="仿宋" w:eastAsia="仿宋" w:cs="仿宋"/>
                <w:color w:val="auto"/>
                <w:sz w:val="18"/>
                <w:szCs w:val="18"/>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社会事业股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2"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000000" w:themeColor="text1"/>
                <w:sz w:val="21"/>
                <w:szCs w:val="21"/>
                <w:lang w:val="en-US" w:eastAsia="zh-CN"/>
                <w14:textFill>
                  <w14:solidFill>
                    <w14:schemeClr w14:val="tx1"/>
                  </w14:solidFill>
                </w14:textFill>
              </w:rPr>
            </w:pPr>
          </w:p>
        </w:tc>
        <w:tc>
          <w:tcPr>
            <w:tcW w:w="80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行政处罚</w:t>
            </w:r>
          </w:p>
        </w:tc>
        <w:tc>
          <w:tcPr>
            <w:tcW w:w="118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lang w:eastAsia="zh-CN"/>
              </w:rPr>
              <w:t>政府性投资项目</w:t>
            </w:r>
            <w:r>
              <w:rPr>
                <w:rFonts w:hint="eastAsia" w:ascii="仿宋" w:hAnsi="仿宋" w:eastAsia="仿宋" w:cs="仿宋"/>
                <w:color w:val="auto"/>
                <w:sz w:val="18"/>
                <w:szCs w:val="18"/>
              </w:rPr>
              <w:t>对招标人违法行为的处罚</w:t>
            </w:r>
          </w:p>
        </w:tc>
        <w:tc>
          <w:tcPr>
            <w:tcW w:w="801" w:type="dxa"/>
            <w:vAlign w:val="center"/>
          </w:tcPr>
          <w:p>
            <w:pPr>
              <w:spacing w:line="240" w:lineRule="exact"/>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《河北省实施〈中华人民共和国招标投标法〉办法》（省第九届人大常委会公告第54号）第四十三条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第四十四条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第四十五条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第四十六条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第四十七条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《工程建设项目施工招标投标办法》（七部委30号令）第七十条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第七十一条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第七十二条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第七十三条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第七十六条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第八十一条。《工程建设项目货物招标投标办法》（七部委2005年第27号令）第五十五条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第五十六条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第五十八条。《工程建设项目勘察设计招标投标办法》（八部委2号令）第五十条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五十三条。《中华人民共和国招投标法》（1999年8月30公布）规定，对依法必须进行招标的项目，应当发布招标的以及招标公告含有欺诈内容的，责令限期改正，可以处项目合同金额千分之五以上千分之十以下的罚款。不在指定媒介发布依法必须招标的项目招标公告的，或者招标公告中有关获取招标文件的时间和办法的规定明显不合理的以及招标公告中以不合理的条件限制或者排斥潜在投标人的，责令限期改正，可以处一万元以上五万元以下的罚款。</w:t>
            </w:r>
          </w:p>
        </w:tc>
        <w:tc>
          <w:tcPr>
            <w:tcW w:w="400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1、立案责任：发现涉嫌未按规定程序办理招标核准手续的项目或其他机关移送的相关案件等，予以审查，决定是否立案。</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调查责任：招投标主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7、执行责任：依照生效的行政处罚决定，按相关法律执行。</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1、没有法律和事实依据实施行政处罚的；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2、行政处罚显失公正的；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3、执法人员玩忽职守，对应当予以制止和处罚的违法行为不予制止、处罚，致使招投标人的合法权益遭受损害的；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4、不具备行政执法资格实施行政处罚的；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6、应当依法移送追究刑事责任，而未依法移送有权机关的；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7、擅自改变行政处罚种类、幅度的；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8、违反法定的行政处罚程序的；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10、在行政处罚过程中发生腐败行为的；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社会事业股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2"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000000" w:themeColor="text1"/>
                <w:sz w:val="21"/>
                <w:szCs w:val="21"/>
                <w:lang w:val="en-US" w:eastAsia="zh-CN"/>
                <w14:textFill>
                  <w14:solidFill>
                    <w14:schemeClr w14:val="tx1"/>
                  </w14:solidFill>
                </w14:textFill>
              </w:rPr>
            </w:pPr>
          </w:p>
        </w:tc>
        <w:tc>
          <w:tcPr>
            <w:tcW w:w="80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行政处罚</w:t>
            </w:r>
          </w:p>
        </w:tc>
        <w:tc>
          <w:tcPr>
            <w:tcW w:w="1185" w:type="dxa"/>
            <w:vAlign w:val="center"/>
          </w:tcPr>
          <w:p>
            <w:pPr>
              <w:tabs>
                <w:tab w:val="left" w:pos="7937"/>
              </w:tabs>
              <w:spacing w:line="240" w:lineRule="exact"/>
              <w:jc w:val="left"/>
              <w:rPr>
                <w:rFonts w:hint="eastAsia" w:ascii="仿宋" w:hAnsi="仿宋" w:eastAsia="仿宋" w:cs="仿宋"/>
                <w:color w:val="auto"/>
                <w:sz w:val="18"/>
                <w:szCs w:val="18"/>
                <w:lang w:eastAsia="zh-CN"/>
              </w:rPr>
            </w:pPr>
            <w:r>
              <w:rPr>
                <w:rFonts w:hint="eastAsia" w:ascii="仿宋" w:hAnsi="仿宋" w:eastAsia="仿宋" w:cs="仿宋"/>
                <w:color w:val="auto"/>
                <w:sz w:val="18"/>
                <w:szCs w:val="18"/>
              </w:rPr>
              <w:t>对评标专家、评标委员会成员违法行为的处罚</w:t>
            </w:r>
          </w:p>
        </w:tc>
        <w:tc>
          <w:tcPr>
            <w:tcW w:w="801" w:type="dxa"/>
            <w:vAlign w:val="center"/>
          </w:tcPr>
          <w:p>
            <w:pPr>
              <w:tabs>
                <w:tab w:val="left" w:pos="7937"/>
              </w:tabs>
              <w:spacing w:line="240" w:lineRule="exact"/>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河北省实施〈中华人民共和国招标投标法〉办法》（2001年9月27日公布）第四十九条：评标委员会成员收受投标人、其他利害关系人的财物或者其他好处的，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项目的评标；构成犯罪的，依法追究刑事责任。《评标专家和评标专家库管理暂行办法》（2013年国家发展和计划委令第29号）第十五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2013年七部委令第12号）第五十三条：评标委员会成员在评标过程中擅离职守，影响评标程序正常进行，或者在评标过程中不能客观公正地履行职责的，给予警告；情节严重的，取消担任评标委员会成员的资格，不得再参加任何依法必须进行招标项目的评标，并处一万元以下的罚款。《工程建设项目施工招标投标办法》（七部委30号令）第七十九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《工程建设项目勘察设计招标投标办法》（八部委2号令）第五十四条。《工程建设项目货物招标投标办法》（七部委2005年第27号令）第五十七条</w:t>
            </w:r>
            <w:r>
              <w:rPr>
                <w:rFonts w:hint="eastAsia" w:ascii="仿宋" w:hAnsi="仿宋" w:eastAsia="仿宋" w:cs="仿宋"/>
                <w:color w:val="auto"/>
                <w:sz w:val="18"/>
                <w:szCs w:val="18"/>
                <w:lang w:eastAsia="zh-CN"/>
              </w:rPr>
              <w:t>。</w:t>
            </w:r>
          </w:p>
        </w:tc>
        <w:tc>
          <w:tcPr>
            <w:tcW w:w="400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1、立案责任：发现涉嫌未按规定程序办理招标核准手续的项目或其他机关移送的相关案件等，予以审查，决定是否立案。</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调查责任：招投标主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7、执行责任：依照生效的行政处罚决定，按相关法律执行。</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1、没有法律和事实依据实施行政处罚的；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2、行政处罚显失公正的；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3、执法人员玩忽职守，对应当予以制止和处罚的违法行为不予制止、处罚，致使招投标人的合法权益遭受损害的；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4、不具备行政执法资格实施行政处罚的；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6、应当依法移送追究刑事责任，而未依法移送有权机关的；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7、擅自改变行政处罚种类、幅度的；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8、违反法定的行政处罚程序的；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10、在行政处罚过程中发生腐败行为的；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社会事业股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2"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000000" w:themeColor="text1"/>
                <w:sz w:val="21"/>
                <w:szCs w:val="21"/>
                <w:lang w:val="en-US" w:eastAsia="zh-CN"/>
                <w14:textFill>
                  <w14:solidFill>
                    <w14:schemeClr w14:val="tx1"/>
                  </w14:solidFill>
                </w14:textFill>
              </w:rPr>
            </w:pPr>
          </w:p>
        </w:tc>
        <w:tc>
          <w:tcPr>
            <w:tcW w:w="80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行政处罚</w:t>
            </w:r>
          </w:p>
        </w:tc>
        <w:tc>
          <w:tcPr>
            <w:tcW w:w="118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对投标人、中标人违法行为的处罚</w:t>
            </w:r>
          </w:p>
        </w:tc>
        <w:tc>
          <w:tcPr>
            <w:tcW w:w="801" w:type="dxa"/>
            <w:vAlign w:val="center"/>
          </w:tcPr>
          <w:p>
            <w:pPr>
              <w:tabs>
                <w:tab w:val="left" w:pos="7937"/>
              </w:tabs>
              <w:spacing w:line="240" w:lineRule="exact"/>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河北省实施〈中华人民共和国招标投标法〉办法》（2001年9月27日公布）第五十条：中标人不按合同约定履行义务，将中标项目转让给他人的，将中标项目肢解后分别转让给他人的，或者将中标项目的部分主体、关键性工作分包给他人的，转让、分包无效，处转让、分包项目金额千分之五以上千分之十以下的罚款；有违法所得的，并处没收违法所得；可以责令停业整顿；情节严重的，由工商行政管理机关吊销营业执照。《评标委员会和评标方法暂行规定》（2013年七部委令第12号）第五十六条：招标人与中标人不按照招标文件和中标人的投标文件订立合同的，或者招标人、中标人订立背离合同实质性内容的协议的，责令改正；可以处中标项目金额千分之五以上千分之十以下的罚款。 第五十七条：中标人不与招标人订立合同的，投标保证金不予退还并取消其中标资格，给招标人造成的损失超过投标保证金数额的，应当对超过部分予以赔偿；没有提交投标保证金的，应当对招标人的损失承担赔偿责任。《工程建设项目勘察设计招标投标办法》（八部委2号令）第五十一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第五十二条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第五十五条 </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《工程建设项目施工招标投标办法》（七部委30号令）第七十四条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 xml:space="preserve"> 第七十五条</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第八十三条。</w:t>
            </w:r>
          </w:p>
        </w:tc>
        <w:tc>
          <w:tcPr>
            <w:tcW w:w="400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1、立案责任：发现涉嫌未按规定程序办理招标核准手续的项目或其他机关移送的相关案件等，予以审查，决定是否立案。</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调查责任：招投标主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7、执行责任：依照生效的行政处罚决定，按相关法律执行。</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1、没有法律和事实依据实施行政处罚的；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2、行政处罚显失公正的；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3、执法人员玩忽职守，对应当予以制止和处罚的违法行为不予制止、处罚，致使招投标人的合法权益遭受损害的；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4、不具备行政执法资格实施行政处罚的；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6、应当依法移送追究刑事责任，而未依法移送有权机关的；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7、擅自改变行政处罚种类、幅度的；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8、违反法定的行政处罚程序的；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10、在行政处罚过程中发生腐败行为的；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社会事业股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2"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auto"/>
                <w:sz w:val="21"/>
                <w:szCs w:val="21"/>
                <w:lang w:val="en-US"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行政处罚</w:t>
            </w:r>
          </w:p>
        </w:tc>
        <w:tc>
          <w:tcPr>
            <w:tcW w:w="118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lang w:eastAsia="zh-CN"/>
              </w:rPr>
              <w:t>政府性投资项目</w:t>
            </w:r>
            <w:r>
              <w:rPr>
                <w:rFonts w:hint="eastAsia" w:ascii="仿宋" w:hAnsi="仿宋" w:eastAsia="仿宋" w:cs="仿宋"/>
                <w:color w:val="auto"/>
                <w:sz w:val="18"/>
                <w:szCs w:val="18"/>
              </w:rPr>
              <w:t>对招标公布发布指定媒介违法行为的处罚</w:t>
            </w:r>
          </w:p>
        </w:tc>
        <w:tc>
          <w:tcPr>
            <w:tcW w:w="801" w:type="dxa"/>
            <w:vAlign w:val="center"/>
          </w:tcPr>
          <w:p>
            <w:pPr>
              <w:tabs>
                <w:tab w:val="left" w:pos="7937"/>
              </w:tabs>
              <w:spacing w:line="240" w:lineRule="exact"/>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center"/>
              <w:rPr>
                <w:rFonts w:hint="eastAsia" w:ascii="仿宋" w:hAnsi="仿宋" w:eastAsia="仿宋" w:cs="仿宋"/>
                <w:color w:val="auto"/>
                <w:sz w:val="18"/>
                <w:szCs w:val="18"/>
              </w:rPr>
            </w:pPr>
            <w:r>
              <w:rPr>
                <w:rFonts w:hint="eastAsia" w:ascii="仿宋" w:hAnsi="仿宋" w:eastAsia="仿宋" w:cs="仿宋"/>
                <w:color w:val="auto"/>
                <w:sz w:val="18"/>
                <w:szCs w:val="18"/>
              </w:rPr>
              <w:t>《招标公布发布暂行办法》（2007年7月1日国家计委公布）第十七条：指定媒介有下列情形之一的，给予警告；情节严重的，取消指定：(一)违法收取或变相收取招标公告发布费用的；(二)无正当理由拒绝发布招标公告的；(三)不向网络抄送招标公告的；(四)无正当理由延误招标公告的发布时间的；(五)名称、住所发生变更后，没有及时公告并备案的；(六)其他违法行为。</w:t>
            </w:r>
          </w:p>
        </w:tc>
        <w:tc>
          <w:tcPr>
            <w:tcW w:w="400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1、立案责任：发现涉嫌未按规定程序办理招标核准手续的项目或其他机关移送的相关案件等，予以审查，决定是否立案。</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调查责任：招投标主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7、执行责任：依照生效的行政处罚决定，按相关法律执行。</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1、没有法律和事实依据实施行政处罚的；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2、行政处罚显失公正的；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3、执法人员玩忽职守，对应当予以制止和处罚的违法行为不予制止、处罚，致使招投标人的合法权益遭受损害的；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4、不具备行政执法资格实施行政处罚的；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6、应当依法移送追究刑事责任，而未依法移送有权机关的；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7、擅自改变行政处罚种类、幅度的；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8、违反法定的行政处罚程序的；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10、在行政处罚过程中发生腐败行为的；</w:t>
            </w:r>
          </w:p>
          <w:p>
            <w:pPr>
              <w:tabs>
                <w:tab w:val="left" w:pos="7937"/>
              </w:tabs>
              <w:spacing w:line="240" w:lineRule="exact"/>
              <w:jc w:val="left"/>
              <w:rPr>
                <w:rFonts w:hint="eastAsia" w:ascii="仿宋" w:hAnsi="仿宋" w:eastAsia="仿宋" w:cs="仿宋"/>
                <w:color w:val="auto"/>
                <w:sz w:val="18"/>
                <w:szCs w:val="18"/>
              </w:rPr>
            </w:pPr>
            <w:r>
              <w:rPr>
                <w:rFonts w:hint="eastAsia" w:ascii="仿宋" w:hAnsi="仿宋" w:eastAsia="仿宋" w:cs="仿宋"/>
                <w:color w:val="auto"/>
                <w:sz w:val="18"/>
                <w:szCs w:val="18"/>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社会事业股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5"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470"/>
                <w:tab w:val="left" w:pos="7937"/>
              </w:tabs>
              <w:spacing w:line="240" w:lineRule="exact"/>
              <w:jc w:val="left"/>
              <w:rPr>
                <w:rFonts w:hint="eastAsia" w:ascii="仿宋" w:hAnsi="仿宋" w:eastAsia="仿宋" w:cs="仿宋"/>
                <w:b w:val="0"/>
                <w:i w:val="0"/>
                <w:snapToGrid/>
                <w:color w:val="auto"/>
                <w:sz w:val="21"/>
                <w:szCs w:val="21"/>
                <w:highlight w:val="yellow"/>
                <w:u w:val="none"/>
                <w:lang w:eastAsia="zh-CN"/>
              </w:rPr>
            </w:pPr>
            <w:r>
              <w:rPr>
                <w:rFonts w:hint="eastAsia" w:ascii="仿宋" w:hAnsi="仿宋" w:eastAsia="仿宋" w:cs="仿宋"/>
                <w:color w:val="auto"/>
                <w:sz w:val="21"/>
                <w:szCs w:val="21"/>
              </w:rPr>
              <w:t>对违反国家规定，使用明令淘汰的用能设备或者生产工艺的</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超过单位产品能耗限额标准用能，限期治理，逾期不治理或者没有达到治理要求的处罚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《中华人民共和国节约能源法》第七十一条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第七十二条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生产单位超过单位产品能耗限额标准用能，情节严重，经限期治理逾期不治理或者没有达到治理要求的，可以由管理节能工作的部门提出意见，报请本级人民政府按照国务院规定的权限责令停业整顿或者关闭</w:t>
            </w:r>
            <w:r>
              <w:rPr>
                <w:rFonts w:hint="eastAsia" w:ascii="仿宋" w:hAnsi="仿宋" w:eastAsia="仿宋" w:cs="仿宋"/>
                <w:color w:val="auto"/>
                <w:sz w:val="21"/>
                <w:szCs w:val="21"/>
                <w:lang w:eastAsia="zh-CN"/>
              </w:rPr>
              <w:t>”。</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《中华人民共和国循环经济促进法》第五十条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生产、销售列入淘汰名录的产品、设备的，依照《中华人民共和国产品质量法》的规定处罚</w:t>
            </w:r>
            <w:r>
              <w:rPr>
                <w:rFonts w:hint="eastAsia" w:ascii="仿宋" w:hAnsi="仿宋" w:eastAsia="仿宋" w:cs="仿宋"/>
                <w:color w:val="auto"/>
                <w:sz w:val="21"/>
                <w:szCs w:val="21"/>
                <w:lang w:eastAsia="zh-CN"/>
              </w:rPr>
              <w:t>”。</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国家发展和改革委员会《重点用能单位节能管理办法》第三十二条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重点用能单位超过单位产品能耗限额标准用能，限期治理，逾期不治理或者没有达到治理要求的，由管理节能工作的部门提请执行惩罚性电价</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、第三十三条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点用能单位不按期淘汰落后生产工艺、用能设备和产品的，由管理节能工作的部门责令停止使用，没收国家明令淘汰的用能设备，并按照《中华人民共和国循环经济促进法》有关规定处以罚款;情节严重的，由管理节能工作的部门报请本级人民政府按照国务院规定的权限责令停业整顿或者关闭</w:t>
            </w:r>
            <w:r>
              <w:rPr>
                <w:rFonts w:hint="eastAsia" w:ascii="仿宋" w:hAnsi="仿宋" w:eastAsia="仿宋" w:cs="仿宋"/>
                <w:color w:val="auto"/>
                <w:sz w:val="21"/>
                <w:szCs w:val="21"/>
                <w:lang w:eastAsia="zh-CN"/>
              </w:rPr>
              <w:t>”。</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1、立案责任：发现涉嫌违反节能法律、法规相关的违法行为，予以审查，决定是否立案。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4、告知责任：作出行政处罚决定前，应制作《限期整改通知书》送达当事人，告知违法事实并在规定期限内完成整改。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7、执行责任：依照生效的行政处罚决定进行处罚</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3、执法人员玩忽职守，对应当予以制止和处罚的违法行为不予制止、处罚，致使</w:t>
            </w:r>
            <w:r>
              <w:rPr>
                <w:rFonts w:hint="eastAsia" w:ascii="仿宋" w:hAnsi="仿宋" w:eastAsia="仿宋" w:cs="仿宋"/>
                <w:color w:val="auto"/>
                <w:sz w:val="21"/>
                <w:szCs w:val="21"/>
                <w:lang w:eastAsia="zh-CN"/>
              </w:rPr>
              <w:t>招投标人</w:t>
            </w:r>
            <w:r>
              <w:rPr>
                <w:rFonts w:hint="eastAsia" w:ascii="仿宋" w:hAnsi="仿宋" w:eastAsia="仿宋" w:cs="仿宋"/>
                <w:color w:val="auto"/>
                <w:sz w:val="21"/>
                <w:szCs w:val="21"/>
              </w:rPr>
              <w:t>的合法权益遭受损害的；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tabs>
                <w:tab w:val="left" w:pos="7937"/>
              </w:tabs>
              <w:spacing w:line="28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基建股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b w:val="0"/>
                <w:i w:val="0"/>
                <w:snapToGrid/>
                <w:color w:val="auto"/>
                <w:sz w:val="21"/>
                <w:szCs w:val="21"/>
                <w:highlight w:val="yellow"/>
                <w:u w:val="none"/>
                <w:lang w:eastAsia="zh-CN"/>
              </w:rPr>
            </w:pPr>
            <w:r>
              <w:rPr>
                <w:rFonts w:hint="eastAsia" w:ascii="仿宋" w:hAnsi="仿宋" w:eastAsia="仿宋" w:cs="仿宋"/>
                <w:color w:val="auto"/>
                <w:sz w:val="21"/>
                <w:szCs w:val="21"/>
              </w:rPr>
              <w:t>对未按规定配备、使用能源计量器具，逾期不改正的</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违反规定瞒报、伪造、篡改能源统计资料或者编造虚假能源统计数据,提供不真实或者不完整的统计资料的处罚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《中华人民共和国节约能源法》第七十四条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用能单位未按照规定配备、使用能源计量器具的，由产品质量监督部门责令限期改正；逾期不改正的，处一万元以上五万元以下罚款</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、第七十五条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瞒报、伪造、篡改能源统计资料或者编造虚假能源统计数据的，依照《中华人民共和国统计法》的规定处罚</w:t>
            </w:r>
            <w:r>
              <w:rPr>
                <w:rFonts w:hint="eastAsia" w:ascii="仿宋" w:hAnsi="仿宋" w:eastAsia="仿宋" w:cs="仿宋"/>
                <w:color w:val="auto"/>
                <w:sz w:val="21"/>
                <w:szCs w:val="21"/>
                <w:lang w:eastAsia="zh-CN"/>
              </w:rPr>
              <w:t>”。</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《中华人民共和国统计法》第四十一条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w:t>
            </w:r>
            <w:r>
              <w:rPr>
                <w:rFonts w:hint="eastAsia" w:ascii="仿宋" w:hAnsi="仿宋" w:eastAsia="仿宋" w:cs="仿宋"/>
                <w:color w:val="auto"/>
                <w:sz w:val="21"/>
                <w:szCs w:val="21"/>
                <w:lang w:eastAsia="zh-CN"/>
              </w:rPr>
              <w:t>”。</w:t>
            </w: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1、立案责任：发现涉嫌违反节能法律、法规相关的违法行为，予以审查，决定是否立案。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4、告知责任：作出行政处罚决定前，应制作《限期整改通知书》送达当事人，告知违法事实并在规定期限内完成整改。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7、执行责任：依照生效的行政处罚决定进行处罚</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3、执法人员玩忽职守，对应当予以制止和处罚的违法行为不予制止、处罚，致使</w:t>
            </w:r>
            <w:r>
              <w:rPr>
                <w:rFonts w:hint="eastAsia" w:ascii="仿宋" w:hAnsi="仿宋" w:eastAsia="仿宋" w:cs="仿宋"/>
                <w:color w:val="auto"/>
                <w:sz w:val="21"/>
                <w:szCs w:val="21"/>
                <w:lang w:eastAsia="zh-CN"/>
              </w:rPr>
              <w:t>招投标人</w:t>
            </w:r>
            <w:r>
              <w:rPr>
                <w:rFonts w:hint="eastAsia" w:ascii="仿宋" w:hAnsi="仿宋" w:eastAsia="仿宋" w:cs="仿宋"/>
                <w:color w:val="auto"/>
                <w:sz w:val="21"/>
                <w:szCs w:val="21"/>
              </w:rPr>
              <w:t>的合法权益遭受损害的；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基建股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5"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b w:val="0"/>
                <w:i w:val="0"/>
                <w:snapToGrid/>
                <w:color w:val="auto"/>
                <w:sz w:val="21"/>
                <w:szCs w:val="21"/>
                <w:highlight w:val="yellow"/>
                <w:u w:val="none"/>
                <w:lang w:eastAsia="zh-CN"/>
              </w:rPr>
            </w:pPr>
            <w:r>
              <w:rPr>
                <w:rFonts w:hint="eastAsia" w:ascii="仿宋" w:hAnsi="仿宋" w:eastAsia="仿宋" w:cs="仿宋"/>
                <w:color w:val="auto"/>
                <w:sz w:val="21"/>
                <w:szCs w:val="21"/>
              </w:rPr>
              <w:t>对从事节能咨询、设计、评估、检测、审计、认证等服务的机构提供虚假信息的</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违反国家规定无偿向本单位职工提供能源或者对能源消费实行包费制的</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违反节能管理制度、节能措施的重点用能单位，责令实施能源审计，并提出书面整改要求，限期整改</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无正当理由拒不落实整改要求或者整改没有达到要求的处罚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《中华人民共和国节约能源法》第七十六条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从事节能咨询、设计、评估、检测、审计、认证等服务的机构提供虚假信息的，由管理节能工作的部门责令改正，没收违法所得，并处五万元以上十万元以下罚款</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、第七十七条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违反本法规定，无偿向本单位职工提供能源或者对能源消费实行包费制的，由管理节能工作的部门责令限期改正；逾期不改正的，处五万元以上二十万元以下罚款</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、第八十二条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重点用能单位未按照本法规定报送能源利用状况报告或者报告内容不实的，由管理节能工作的部门责令限期改正；逾期不改正的，处一万元以上五万元以下罚款</w:t>
            </w:r>
            <w:r>
              <w:rPr>
                <w:rFonts w:hint="eastAsia" w:ascii="仿宋" w:hAnsi="仿宋" w:eastAsia="仿宋" w:cs="仿宋"/>
                <w:color w:val="auto"/>
                <w:sz w:val="21"/>
                <w:szCs w:val="21"/>
                <w:lang w:eastAsia="zh-CN"/>
              </w:rPr>
              <w:t>”</w:t>
            </w: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1、立案责任：发现涉嫌违反节能法律、法规相关的违法行为，予以审查，决定是否立案。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4、告知责任：作出行政处罚决定前，应制作《限期整改通知书》送达当事人，告知违法事实并在规定期限内完成整改。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7、执行责任：依照生效的行政处罚决定进行处罚</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3、执法人员玩忽职守，对应当予以制止和处罚的违法行为不予制止、处罚，致使</w:t>
            </w:r>
            <w:r>
              <w:rPr>
                <w:rFonts w:hint="eastAsia" w:ascii="仿宋" w:hAnsi="仿宋" w:eastAsia="仿宋" w:cs="仿宋"/>
                <w:color w:val="auto"/>
                <w:sz w:val="21"/>
                <w:szCs w:val="21"/>
                <w:lang w:eastAsia="zh-CN"/>
              </w:rPr>
              <w:t>招投标人</w:t>
            </w:r>
            <w:r>
              <w:rPr>
                <w:rFonts w:hint="eastAsia" w:ascii="仿宋" w:hAnsi="仿宋" w:eastAsia="仿宋" w:cs="仿宋"/>
                <w:color w:val="auto"/>
                <w:sz w:val="21"/>
                <w:szCs w:val="21"/>
              </w:rPr>
              <w:t>的合法权益遭受损害的；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基建股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对未按规定设立能源管理岗位，聘任能源管理负责人，并报管理节能工作的部门和有关部门备案的处罚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《中华人民共和国节约能源法》第八十三条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重点用能单位无正当理由拒不落实本法第五十四条规定的整改要求或者整改没有达到要求的，由管理节能工作的部门处十万元以上三十万元以下罚款</w:t>
            </w:r>
            <w:r>
              <w:rPr>
                <w:rFonts w:hint="eastAsia" w:ascii="仿宋" w:hAnsi="仿宋" w:eastAsia="仿宋" w:cs="仿宋"/>
                <w:color w:val="auto"/>
                <w:sz w:val="21"/>
                <w:szCs w:val="21"/>
                <w:lang w:eastAsia="zh-CN"/>
              </w:rPr>
              <w:t>”</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国家发展和改革委员会令第33号《节能监察办法》第二十</w:t>
            </w:r>
            <w:r>
              <w:rPr>
                <w:rFonts w:hint="eastAsia" w:ascii="仿宋" w:hAnsi="仿宋" w:eastAsia="仿宋" w:cs="仿宋"/>
                <w:color w:val="auto"/>
                <w:sz w:val="21"/>
                <w:szCs w:val="21"/>
                <w:lang w:eastAsia="zh-CN"/>
              </w:rPr>
              <w:t>三</w:t>
            </w:r>
            <w:r>
              <w:rPr>
                <w:rFonts w:hint="eastAsia" w:ascii="仿宋" w:hAnsi="仿宋" w:eastAsia="仿宋" w:cs="仿宋"/>
                <w:color w:val="auto"/>
                <w:sz w:val="21"/>
                <w:szCs w:val="21"/>
              </w:rPr>
              <w:t>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被监察单位拒绝依法实施的节能监察的，由有处罚权的节能监察机构或委托开展节能监察的单位给予警告，责令限期改正;拒不改正的，处1 万元以上3 万元以下罚款。阻碍依法实施节能监察的，移交公安机关按照《治安管理处罚法》相关规定处理，构成犯罪的，依法追究刑事责任</w:t>
            </w:r>
            <w:r>
              <w:rPr>
                <w:rFonts w:hint="eastAsia" w:ascii="仿宋" w:hAnsi="仿宋" w:eastAsia="仿宋" w:cs="仿宋"/>
                <w:color w:val="auto"/>
                <w:sz w:val="21"/>
                <w:szCs w:val="21"/>
                <w:lang w:eastAsia="zh-CN"/>
              </w:rPr>
              <w:t>”</w:t>
            </w: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1、立案责任：发现涉嫌违反节能法律、法规相关的违法行为，予以审查，决定是否立案。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4、告知责任：作出行政处罚决定前，应制作《限期整改通知书》送达当事人，告知违法事实并在规定期限内完成整改。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7、执行责任：依照生效的行政处罚决定进行处罚</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3、执法人员玩忽职守，对应当予以制止和处罚的违法行为不予制止、处罚，致使</w:t>
            </w:r>
            <w:r>
              <w:rPr>
                <w:rFonts w:hint="eastAsia" w:ascii="仿宋" w:hAnsi="仿宋" w:eastAsia="仿宋" w:cs="仿宋"/>
                <w:color w:val="auto"/>
                <w:sz w:val="21"/>
                <w:szCs w:val="21"/>
                <w:lang w:eastAsia="zh-CN"/>
              </w:rPr>
              <w:t>招投标人</w:t>
            </w:r>
            <w:r>
              <w:rPr>
                <w:rFonts w:hint="eastAsia" w:ascii="仿宋" w:hAnsi="仿宋" w:eastAsia="仿宋" w:cs="仿宋"/>
                <w:color w:val="auto"/>
                <w:sz w:val="21"/>
                <w:szCs w:val="21"/>
              </w:rPr>
              <w:t>的合法权益遭受损害的；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基建股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对违反规定拒绝依法实施的节能监察的，责令限期改正</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拒不改正的处罚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kern w:val="2"/>
                <w:sz w:val="21"/>
                <w:szCs w:val="21"/>
                <w:u w:val="none"/>
                <w:lang w:val="en-US" w:eastAsia="zh-CN" w:bidi="ar-SA"/>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《中华人民共和国节约能源法》第八十四条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重点用能单位未按照本法规定设立能源管理岗位，聘任能源管理负责人，并报管理节能工作的部门和有关部门备案的，由管理节能工作的部门责令改正；拒不改正的，处一万元以上三万元以下罚款</w:t>
            </w:r>
            <w:r>
              <w:rPr>
                <w:rFonts w:hint="eastAsia" w:ascii="仿宋" w:hAnsi="仿宋" w:eastAsia="仿宋" w:cs="仿宋"/>
                <w:color w:val="auto"/>
                <w:sz w:val="21"/>
                <w:szCs w:val="21"/>
                <w:lang w:eastAsia="zh-CN"/>
              </w:rPr>
              <w:t>”</w:t>
            </w: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1、立案责任：发现涉嫌违反节能法律、法规相关的违法行为，予以审查，决定是否立案。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4、告知责任：作出行政处罚决定前，应制作《限期整改通知书》送达当事人，告知违法事实并在规定期限内完成整改。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7、执行责任：依照生效的行政处罚决定进行处罚</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3、执法人员玩忽职守，对应当予以制止和处罚的违法行为不予制止、处罚，致使</w:t>
            </w:r>
            <w:r>
              <w:rPr>
                <w:rFonts w:hint="eastAsia" w:ascii="仿宋" w:hAnsi="仿宋" w:eastAsia="仿宋" w:cs="仿宋"/>
                <w:color w:val="auto"/>
                <w:sz w:val="21"/>
                <w:szCs w:val="21"/>
                <w:lang w:eastAsia="zh-CN"/>
              </w:rPr>
              <w:t>招投标人</w:t>
            </w:r>
            <w:r>
              <w:rPr>
                <w:rFonts w:hint="eastAsia" w:ascii="仿宋" w:hAnsi="仿宋" w:eastAsia="仿宋" w:cs="仿宋"/>
                <w:color w:val="auto"/>
                <w:sz w:val="21"/>
                <w:szCs w:val="21"/>
              </w:rPr>
              <w:t>的合法权益遭受损害的；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基建股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对节能考核结果为未完成等级的重点用能单位，拒不落实管理节能工作的部门要求实施能源审计、报送能源审计报告、提出整改措施并限期整改</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未按规定设立能源管理岗位，能源管理负责人并报有关部门备案的，责令改正，拒不改正</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被监察单位在整改期限届满后，整改未达到要求的处罚</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国家发展和改革委员会令第33号《节能监察办法》第二十</w:t>
            </w:r>
            <w:r>
              <w:rPr>
                <w:rFonts w:hint="eastAsia" w:ascii="仿宋" w:hAnsi="仿宋" w:eastAsia="仿宋" w:cs="仿宋"/>
                <w:color w:val="auto"/>
                <w:sz w:val="21"/>
                <w:szCs w:val="21"/>
                <w:lang w:eastAsia="zh-CN"/>
              </w:rPr>
              <w:t>三</w:t>
            </w:r>
            <w:r>
              <w:rPr>
                <w:rFonts w:hint="eastAsia" w:ascii="仿宋" w:hAnsi="仿宋" w:eastAsia="仿宋" w:cs="仿宋"/>
                <w:color w:val="auto"/>
                <w:sz w:val="21"/>
                <w:szCs w:val="21"/>
              </w:rPr>
              <w:t>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被监察单位拒绝依法实施的节能监察的，由有处罚权的节能监察机构或委托开展节能监察的单位给予警告，责令限期改正;拒不改正的，处1 万元以上3 万元以下罚款。阻碍依法实施节能监察的，移交公安机关按照《治安管理处罚法》相关规定处理，构成犯罪的，依法追究刑事责任</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、第二十</w:t>
            </w:r>
            <w:r>
              <w:rPr>
                <w:rFonts w:hint="eastAsia" w:ascii="仿宋" w:hAnsi="仿宋" w:eastAsia="仿宋" w:cs="仿宋"/>
                <w:color w:val="auto"/>
                <w:sz w:val="21"/>
                <w:szCs w:val="21"/>
                <w:lang w:eastAsia="zh-CN"/>
              </w:rPr>
              <w:t>四</w:t>
            </w:r>
            <w:r>
              <w:rPr>
                <w:rFonts w:hint="eastAsia" w:ascii="仿宋" w:hAnsi="仿宋" w:eastAsia="仿宋" w:cs="仿宋"/>
                <w:color w:val="auto"/>
                <w:sz w:val="21"/>
                <w:szCs w:val="21"/>
              </w:rPr>
              <w:t>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被监察单位在整改期限届满后，整改未达到要求的，由节能监察机构将相关情况向社会公布，并纳入社会信用体系记录。被监察单位仍有违反节能法律、法规、规章和强制性节能标准的用能行为的，由节能监察机构将有关线索转交有处罚权的机关进行处理</w:t>
            </w:r>
            <w:r>
              <w:rPr>
                <w:rFonts w:hint="eastAsia" w:ascii="仿宋" w:hAnsi="仿宋" w:eastAsia="仿宋" w:cs="仿宋"/>
                <w:color w:val="auto"/>
                <w:sz w:val="21"/>
                <w:szCs w:val="21"/>
                <w:lang w:eastAsia="zh-CN"/>
              </w:rPr>
              <w:t>”</w:t>
            </w: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1、立案责任：发现涉嫌违反节能法律、法规相关的违法行为，予以审查，决定是否立案。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4、告知责任：作出行政处罚决定前，应制作《限期整改通知书》送达当事人，告知违法事实并在规定期限内完成整改。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7、执行责任：依照生效的行政处罚决定进行处罚</w:t>
            </w:r>
            <w:r>
              <w:rPr>
                <w:rFonts w:hint="eastAsia" w:ascii="仿宋" w:hAnsi="仿宋" w:eastAsia="仿宋" w:cs="仿宋"/>
                <w:color w:val="auto"/>
                <w:sz w:val="21"/>
                <w:szCs w:val="21"/>
                <w:lang w:eastAsia="zh-CN"/>
              </w:rPr>
              <w:t>。</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3、执法人员玩忽职守，对应当予以制止和处罚的违法行为不予制止、处罚，致使</w:t>
            </w:r>
            <w:r>
              <w:rPr>
                <w:rFonts w:hint="eastAsia" w:ascii="仿宋" w:hAnsi="仿宋" w:eastAsia="仿宋" w:cs="仿宋"/>
                <w:color w:val="auto"/>
                <w:sz w:val="21"/>
                <w:szCs w:val="21"/>
                <w:lang w:eastAsia="zh-CN"/>
              </w:rPr>
              <w:t>招投标人</w:t>
            </w:r>
            <w:r>
              <w:rPr>
                <w:rFonts w:hint="eastAsia" w:ascii="仿宋" w:hAnsi="仿宋" w:eastAsia="仿宋" w:cs="仿宋"/>
                <w:color w:val="auto"/>
                <w:sz w:val="21"/>
                <w:szCs w:val="21"/>
              </w:rPr>
              <w:t>的合法权益遭受损害的；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基建股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5"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对未按规定报送能源利用状况报告或者报告内容不实的，对未按要求开展能耗在线监测系统建设和能耗在线监测工作的，责令限期整改</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逾期不整改的或者没有达到整改要求的处罚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国家发展和改革委员会《重点用能单位节能管理办法》第三十条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重点用能单位未按照本办法规定报送能源利用状况报告或者报告内容不实的，由管理节能工作的部门责令限期改正;逾期不改正的，处一万元以上五万元以下罚款</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、第三十一条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重点用能单位不按要求开展能耗在线监测系统建设和能耗在线监测工作的，由管理节能工作的部门以书面形式责令限期整改;逾期不整改的或者没有达到整改要求的，由管理节能工作的部门处一万元以上三万元以下罚款</w:t>
            </w:r>
            <w:r>
              <w:rPr>
                <w:rFonts w:hint="eastAsia" w:ascii="仿宋" w:hAnsi="仿宋" w:eastAsia="仿宋" w:cs="仿宋"/>
                <w:color w:val="auto"/>
                <w:sz w:val="21"/>
                <w:szCs w:val="21"/>
                <w:lang w:eastAsia="zh-CN"/>
              </w:rPr>
              <w:t>”</w:t>
            </w: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1、立案责任：发现涉嫌违反节能法律、法规相关的违法行为，予以审查，决定是否立案。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4、告知责任：作出行政处罚决定前，应制作《限期整改通知书》送达当事人，告知违法事实并在规定期限内完成整改。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7、执行责任：依照生效的行政处罚决定进行处罚</w:t>
            </w:r>
            <w:r>
              <w:rPr>
                <w:rFonts w:hint="eastAsia" w:ascii="仿宋" w:hAnsi="仿宋" w:eastAsia="仿宋" w:cs="仿宋"/>
                <w:color w:val="auto"/>
                <w:sz w:val="21"/>
                <w:szCs w:val="21"/>
                <w:lang w:eastAsia="zh-CN"/>
              </w:rPr>
              <w:t>。</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3、执法人员玩忽职守，对应当予以制止和处罚的违法行为不予制止、处罚，致使</w:t>
            </w:r>
            <w:r>
              <w:rPr>
                <w:rFonts w:hint="eastAsia" w:ascii="仿宋" w:hAnsi="仿宋" w:eastAsia="仿宋" w:cs="仿宋"/>
                <w:color w:val="auto"/>
                <w:sz w:val="21"/>
                <w:szCs w:val="21"/>
                <w:lang w:eastAsia="zh-CN"/>
              </w:rPr>
              <w:t>招投标人</w:t>
            </w:r>
            <w:r>
              <w:rPr>
                <w:rFonts w:hint="eastAsia" w:ascii="仿宋" w:hAnsi="仿宋" w:eastAsia="仿宋" w:cs="仿宋"/>
                <w:color w:val="auto"/>
                <w:sz w:val="21"/>
                <w:szCs w:val="21"/>
              </w:rPr>
              <w:t>的合法权益遭受损害的；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基建股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b w:val="0"/>
                <w:i w:val="0"/>
                <w:snapToGrid/>
                <w:color w:val="auto"/>
                <w:sz w:val="21"/>
                <w:szCs w:val="21"/>
                <w:u w:val="none"/>
                <w:lang w:val="en-US"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对</w:t>
            </w:r>
            <w:r>
              <w:rPr>
                <w:rFonts w:hint="eastAsia" w:ascii="仿宋" w:hAnsi="仿宋" w:eastAsia="仿宋" w:cs="仿宋"/>
                <w:color w:val="auto"/>
                <w:sz w:val="21"/>
                <w:szCs w:val="21"/>
              </w:rPr>
              <w:t>粮食</w:t>
            </w:r>
            <w:r>
              <w:rPr>
                <w:rFonts w:hint="eastAsia" w:ascii="仿宋" w:hAnsi="仿宋" w:eastAsia="仿宋" w:cs="仿宋"/>
                <w:color w:val="auto"/>
                <w:sz w:val="21"/>
                <w:szCs w:val="21"/>
                <w:lang w:eastAsia="zh-CN"/>
              </w:rPr>
              <w:t>收购、经营者违法</w:t>
            </w:r>
            <w:r>
              <w:rPr>
                <w:rFonts w:hint="eastAsia" w:ascii="仿宋" w:hAnsi="仿宋" w:eastAsia="仿宋" w:cs="仿宋"/>
                <w:color w:val="auto"/>
                <w:sz w:val="21"/>
                <w:szCs w:val="21"/>
              </w:rPr>
              <w:t>情形的处罚</w:t>
            </w: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《中国人民共和国行政处罚法》第38条：法律、法规授权的具有管理公共事务职能的组织可以在法定授权范围内实施行政处罚。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粮食流通管理条例》第43条：有以下情形之一的，由粮食行政管理部门责令改正，予以警告，可以处20万元以下的罚款；情节严重的，并由粮食行政管理部门暂停或者取消粮食收购资格：（一）粮食收购者未执行国家粮食质量标准的；（二）粮食收购者被售粮者举报未及时支付售粮款的；（三）粮食收购者违法本条例规定代扣、代缴税、费和其他款项的；（四）从事粮食收购、销售、储存、加工的粮食经营者以及饲料、工业用粮企业未建立粮食经营台账，或者未按照规定报送粮食基本数据和有关情况的；（五）接受委托的粮食经营者从事政策性用粮的购销活动未执行国家有关政策。</w:t>
            </w:r>
          </w:p>
          <w:p>
            <w:pPr>
              <w:tabs>
                <w:tab w:val="left" w:pos="7937"/>
              </w:tabs>
              <w:spacing w:line="240" w:lineRule="exac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1、立案责任：发现</w:t>
            </w:r>
            <w:r>
              <w:rPr>
                <w:rFonts w:hint="eastAsia" w:ascii="仿宋" w:hAnsi="仿宋" w:eastAsia="仿宋" w:cs="仿宋"/>
                <w:color w:val="auto"/>
                <w:sz w:val="21"/>
                <w:szCs w:val="21"/>
                <w:lang w:val="en-US" w:eastAsia="zh-CN"/>
              </w:rPr>
              <w:t>违反粮食流通相关法规的</w:t>
            </w:r>
            <w:r>
              <w:rPr>
                <w:rFonts w:hint="eastAsia" w:ascii="仿宋" w:hAnsi="仿宋" w:eastAsia="仿宋" w:cs="仿宋"/>
                <w:color w:val="auto"/>
                <w:sz w:val="21"/>
                <w:szCs w:val="21"/>
              </w:rPr>
              <w:t>违法行为，予以审查，决定是否立案。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2、调查责任：指定专人负责，及时组织调查取证，与当事人有直接利害关系的应当回避。执法人员不得少于两人，调查时应出示执法证件，允许当事人辩解陈述。执法人员应保守有关秘密。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3、执法人员玩忽职守，对应当予以制止和处罚的违法行为不予制止、处罚4、不具备行政执法资格实施行政处罚的；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对</w:t>
            </w:r>
            <w:r>
              <w:rPr>
                <w:rFonts w:hint="eastAsia" w:ascii="仿宋" w:hAnsi="仿宋" w:eastAsia="仿宋" w:cs="仿宋"/>
                <w:color w:val="auto"/>
                <w:sz w:val="21"/>
                <w:szCs w:val="21"/>
              </w:rPr>
              <w:t>从事粮食收购、加工、销售的经营者的粮食库存低于规定的最低库存量、超出规定的最高库存量的处罚</w:t>
            </w:r>
          </w:p>
          <w:p>
            <w:pPr>
              <w:tabs>
                <w:tab w:val="left" w:pos="7937"/>
              </w:tabs>
              <w:spacing w:line="240" w:lineRule="exac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《中国人民共和国行政处罚法》第38条：法律、法规授权的具有管理公共事务职能的组织可以在法定授权范围内实施行政处罚。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 《粮食流通管理条例》第45条：从事粮食收购、加工、销售的经营者的粮食库存低于规定的最低库存量的，由粮食行政管理部门责令改正，给予警告；情节严重的，处不足部分粮食价值1倍以上5倍以下的罚款，并可以取消粮食收购资格。</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从事粮食收购、加工、销售的经营者的粮食库存超出规定的最高库存量的，由粮食行政管理部门责令改正，给予警告；情节严重的，处超出部门粮食价值1倍以上5倍以下的罚款，并可以取消粮食收购资格。</w:t>
            </w: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4005"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w:t>
            </w:r>
            <w:r>
              <w:rPr>
                <w:rFonts w:hint="eastAsia" w:ascii="仿宋" w:hAnsi="仿宋" w:eastAsia="仿宋" w:cs="仿宋"/>
                <w:color w:val="auto"/>
                <w:sz w:val="21"/>
                <w:szCs w:val="21"/>
                <w:lang w:val="en-US" w:eastAsia="zh-CN"/>
              </w:rPr>
              <w:t>违反粮食流通相关法规的</w:t>
            </w:r>
            <w:r>
              <w:rPr>
                <w:rFonts w:hint="eastAsia" w:ascii="仿宋" w:hAnsi="仿宋" w:eastAsia="仿宋" w:cs="仿宋"/>
                <w:color w:val="auto"/>
                <w:sz w:val="21"/>
                <w:szCs w:val="21"/>
              </w:rPr>
              <w:t>违法行为，予以审查，决定是否立案。</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w:t>
            </w:r>
          </w:p>
          <w:p>
            <w:pPr>
              <w:tabs>
                <w:tab w:val="left" w:pos="7937"/>
              </w:tabs>
              <w:spacing w:line="24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3、执法人员玩忽职守，对应当予以制止和处罚的违法行为不予制止、处罚4、不具备行政执法资格实施行政处罚的；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4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tabs>
                <w:tab w:val="left" w:pos="7937"/>
              </w:tabs>
              <w:spacing w:line="240" w:lineRule="exact"/>
              <w:jc w:val="center"/>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对</w:t>
            </w:r>
            <w:r>
              <w:rPr>
                <w:rFonts w:hint="eastAsia" w:ascii="仿宋" w:hAnsi="仿宋" w:eastAsia="仿宋" w:cs="仿宋"/>
                <w:color w:val="auto"/>
                <w:sz w:val="21"/>
                <w:szCs w:val="21"/>
              </w:rPr>
              <w:t>粮食经营者未按照《粮食流通管理条例》使用粮食仓储设施、运输工具的处罚</w:t>
            </w:r>
          </w:p>
        </w:tc>
        <w:tc>
          <w:tcPr>
            <w:tcW w:w="801"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《中国人民共和国行政处罚法》第38条：法律、法规授权的具有管理公共事务职能的组织可以在法定授权范围内实施行政处罚。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 《粮食流通管理条例》第46条：经营者未按照本条例规定使用粮食仓储设施、运输工具的，由粮食行政管理部门或卫生部门责令改正，给予井盖；被污染的粮食不得非法销售、加工。</w:t>
            </w:r>
          </w:p>
          <w:p>
            <w:pPr>
              <w:tabs>
                <w:tab w:val="left" w:pos="7937"/>
              </w:tabs>
              <w:spacing w:line="240" w:lineRule="exac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4005"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w:t>
            </w:r>
            <w:r>
              <w:rPr>
                <w:rFonts w:hint="eastAsia" w:ascii="仿宋" w:hAnsi="仿宋" w:eastAsia="仿宋" w:cs="仿宋"/>
                <w:color w:val="auto"/>
                <w:sz w:val="21"/>
                <w:szCs w:val="21"/>
                <w:lang w:val="en-US" w:eastAsia="zh-CN"/>
              </w:rPr>
              <w:t>违反粮食流通相关法规的</w:t>
            </w:r>
            <w:r>
              <w:rPr>
                <w:rFonts w:hint="eastAsia" w:ascii="仿宋" w:hAnsi="仿宋" w:eastAsia="仿宋" w:cs="仿宋"/>
                <w:color w:val="auto"/>
                <w:sz w:val="21"/>
                <w:szCs w:val="21"/>
              </w:rPr>
              <w:t>违法行为，予以审查，决定是否立案。</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3、执法人员玩忽职守，对应当予以制止和处罚的违法行为不予制止、处罚4、不具备行政执法资格实施行政处罚的；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b w:val="0"/>
                <w:i w:val="0"/>
                <w:snapToGrid/>
                <w:color w:val="auto"/>
                <w:sz w:val="21"/>
                <w:szCs w:val="21"/>
                <w:u w:val="none"/>
                <w:lang w:val="en-US"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对违反粮食收购许可管理制度的处罚</w:t>
            </w:r>
          </w:p>
        </w:tc>
        <w:tc>
          <w:tcPr>
            <w:tcW w:w="80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keepNext w:val="0"/>
              <w:keepLines w:val="0"/>
              <w:pageBreakBefore w:val="0"/>
              <w:widowControl w:val="0"/>
              <w:numPr>
                <w:ilvl w:val="0"/>
                <w:numId w:val="3"/>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val="en-US" w:eastAsia="zh-CN"/>
              </w:rPr>
            </w:pPr>
            <w:r>
              <w:rPr>
                <w:rFonts w:hint="eastAsia" w:ascii="仿宋" w:hAnsi="仿宋" w:eastAsia="仿宋" w:cs="仿宋"/>
                <w:b w:val="0"/>
                <w:i w:val="0"/>
                <w:snapToGrid/>
                <w:color w:val="auto"/>
                <w:sz w:val="21"/>
                <w:szCs w:val="21"/>
                <w:u w:val="none"/>
                <w:lang w:val="en-US" w:eastAsia="zh-CN"/>
              </w:rPr>
              <w:t>《粮食流通管理条例》（2016年2月6日修订）第四十条“未经粮食行政管理部门许可擅自从事粮食收购活动的，由粮食行政管理部门没收非法收购的粮食;情节严重的，并处非法收购粮食价值1倍以上5倍以下的罚款;构成犯罪的，依法追究刑事责任”、第四十一条“以欺骗、贿赂等不正当手段取得粮食收购资格许可的，由粮食行政管理部门取消粮食收购资格，没收违法所得;构成犯罪的，依法追究刑事责任”</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《河北省粮食流通管理规定》（河北省人民政府令〔2016〕第1号令）第三十四条“ 违反本规定第五条第一款规定的，由粮食行政管理部门、工商行政管理部门依照有关法律、法规、规章的规定予以处罚”、第三十五条“违反本规定第六条规定，以欺骗、贿赂等不正当手段取得粮食收购许可证的，由粮食行政管理部门取消粮食收购许可证，工商行政管理部门依法吊销营业执照，没收违法所得;情节严重构成犯罪的，依法追究刑事责任”、第三十六条“违反本规定第十条第二款规定的，由粮食行政管理部门处五千元以上二万元以下罚款。情节严重构成犯罪的，依法追究刑事责任”</w:t>
            </w:r>
          </w:p>
        </w:tc>
        <w:tc>
          <w:tcPr>
            <w:tcW w:w="4005" w:type="dxa"/>
            <w:vAlign w:val="center"/>
          </w:tcPr>
          <w:p>
            <w:p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立案责任：发现涉嫌未经粮食行政管理部门许可擅自从事粮食收购活动，以及以欺骗、贿赂等不正当手段取得粮食收购资格许可的违法行为（或者上级粮食行政管理部门交办或其他机关移送的违法案件等），予以审查，决定是否立案。</w:t>
            </w:r>
            <w:r>
              <w:rPr>
                <w:rFonts w:hint="eastAsia" w:ascii="仿宋" w:hAnsi="仿宋" w:eastAsia="仿宋" w:cs="仿宋"/>
                <w:color w:val="auto"/>
                <w:sz w:val="21"/>
                <w:szCs w:val="21"/>
                <w:lang w:val="en-US" w:eastAsia="zh-CN"/>
              </w:rPr>
              <w:br w:type="textWrapping"/>
            </w:r>
            <w:r>
              <w:rPr>
                <w:rFonts w:hint="eastAsia" w:ascii="仿宋" w:hAnsi="仿宋" w:eastAsia="仿宋" w:cs="仿宋"/>
                <w:color w:val="auto"/>
                <w:sz w:val="21"/>
                <w:szCs w:val="21"/>
                <w:lang w:val="en-US" w:eastAsia="zh-CN"/>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 w:hAnsi="仿宋" w:eastAsia="仿宋" w:cs="仿宋"/>
                <w:color w:val="auto"/>
                <w:sz w:val="21"/>
                <w:szCs w:val="21"/>
                <w:lang w:val="en-US" w:eastAsia="zh-CN"/>
              </w:rPr>
              <w:br w:type="textWrapping"/>
            </w:r>
            <w:r>
              <w:rPr>
                <w:rFonts w:hint="eastAsia" w:ascii="仿宋" w:hAnsi="仿宋" w:eastAsia="仿宋" w:cs="仿宋"/>
                <w:color w:val="auto"/>
                <w:sz w:val="21"/>
                <w:szCs w:val="21"/>
                <w:lang w:val="en-US" w:eastAsia="zh-CN"/>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 w:hAnsi="仿宋" w:eastAsia="仿宋" w:cs="仿宋"/>
                <w:color w:val="auto"/>
                <w:sz w:val="21"/>
                <w:szCs w:val="21"/>
                <w:lang w:val="en-US" w:eastAsia="zh-CN"/>
              </w:rPr>
              <w:br w:type="textWrapping"/>
            </w:r>
            <w:r>
              <w:rPr>
                <w:rFonts w:hint="eastAsia" w:ascii="仿宋" w:hAnsi="仿宋" w:eastAsia="仿宋" w:cs="仿宋"/>
                <w:color w:val="auto"/>
                <w:sz w:val="21"/>
                <w:szCs w:val="21"/>
                <w:lang w:val="en-US" w:eastAsia="zh-CN"/>
              </w:rPr>
              <w:t>4、告知责任：作出行政处罚决定前，应制作《行政处罚告知书》送达当事人，告知违法事实及其享有的陈述、申辩等权利。符合听证规定的，制作并送达《行政处罚听证告知书》。</w:t>
            </w:r>
            <w:r>
              <w:rPr>
                <w:rFonts w:hint="eastAsia" w:ascii="仿宋" w:hAnsi="仿宋" w:eastAsia="仿宋" w:cs="仿宋"/>
                <w:color w:val="auto"/>
                <w:sz w:val="21"/>
                <w:szCs w:val="21"/>
                <w:lang w:val="en-US" w:eastAsia="zh-CN"/>
              </w:rPr>
              <w:br w:type="textWrapping"/>
            </w:r>
            <w:r>
              <w:rPr>
                <w:rFonts w:hint="eastAsia" w:ascii="仿宋" w:hAnsi="仿宋" w:eastAsia="仿宋" w:cs="仿宋"/>
                <w:color w:val="auto"/>
                <w:sz w:val="21"/>
                <w:szCs w:val="21"/>
                <w:lang w:val="en-US" w:eastAsia="zh-CN"/>
              </w:rPr>
              <w:t>5、决定责任：制作行政处罚决定书，载明行政处罚告知、当事人陈述申辩或者听证情况等内容。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3、执法人员玩忽职守，对应当予以制止和处罚的违法行为不予制止、处罚4、不具备行政执法资格实施行政处罚的；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对粮食流通违法案件的处罚</w:t>
            </w:r>
          </w:p>
        </w:tc>
        <w:tc>
          <w:tcPr>
            <w:tcW w:w="80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仿宋" w:hAnsi="仿宋" w:eastAsia="仿宋" w:cs="仿宋"/>
                <w:b w:val="0"/>
                <w:i w:val="0"/>
                <w:snapToGrid/>
                <w:color w:val="auto"/>
                <w:sz w:val="21"/>
                <w:szCs w:val="21"/>
                <w:u w:val="none"/>
                <w:lang w:val="en-US" w:eastAsia="zh-CN"/>
              </w:rPr>
            </w:pPr>
            <w:r>
              <w:rPr>
                <w:rFonts w:hint="eastAsia" w:ascii="仿宋" w:hAnsi="仿宋" w:eastAsia="仿宋" w:cs="仿宋"/>
                <w:b w:val="0"/>
                <w:i w:val="0"/>
                <w:snapToGrid/>
                <w:color w:val="auto"/>
                <w:kern w:val="2"/>
                <w:sz w:val="21"/>
                <w:szCs w:val="21"/>
                <w:u w:val="none"/>
                <w:lang w:val="en-US" w:eastAsia="zh-CN" w:bidi="ar-SA"/>
              </w:rPr>
              <w:t>《粮食流通管理条例》（2016年2月6日修订）第四十三条“有下列情形之一的，由粮食行政管理部门责令改正，予以警告，可以处20万元以下的罚款;情节严重的，并由粮食行政管理部门暂停或者取消粮食收购资格:(一)粮食收购者未执行国家粮食质量标准的;(二)粮食收购者被售粮者举报未及时支付售粮款的;(三)粮食收购者违反本条例规定代扣、代缴税、费和其他款项的;(四)从事粮食收购、销售、储存、加工的粮食经营者以及饲料、工业用粮企业未建立粮食经营台账，或者未按照规定报送粮食基本数据和有关情况的;(五)接受委托的粮食经营者从事政策性用粮的购销活动未执行国家有关政策的”</w:t>
            </w:r>
            <w:r>
              <w:rPr>
                <w:rFonts w:hint="eastAsia" w:ascii="仿宋" w:hAnsi="仿宋" w:eastAsia="仿宋" w:cs="仿宋"/>
                <w:b w:val="0"/>
                <w:i w:val="0"/>
                <w:snapToGrid/>
                <w:color w:val="auto"/>
                <w:kern w:val="2"/>
                <w:sz w:val="21"/>
                <w:szCs w:val="21"/>
                <w:u w:val="none"/>
                <w:lang w:val="en-US" w:eastAsia="zh-CN" w:bidi="ar-SA"/>
              </w:rPr>
              <w:br w:type="textWrapping"/>
            </w:r>
            <w:r>
              <w:rPr>
                <w:rFonts w:hint="eastAsia" w:ascii="仿宋" w:hAnsi="仿宋" w:eastAsia="仿宋" w:cs="仿宋"/>
                <w:b w:val="0"/>
                <w:i w:val="0"/>
                <w:snapToGrid/>
                <w:color w:val="auto"/>
                <w:kern w:val="2"/>
                <w:sz w:val="21"/>
                <w:szCs w:val="21"/>
                <w:u w:val="none"/>
                <w:lang w:val="en-US" w:eastAsia="zh-CN" w:bidi="ar-SA"/>
              </w:rPr>
              <w:t>《河北省粮食流通管理规定》（河北省人民政府令〔2016〕第1号令）第三</w:t>
            </w:r>
            <w:r>
              <w:rPr>
                <w:rFonts w:hint="eastAsia" w:ascii="仿宋" w:hAnsi="仿宋" w:eastAsia="仿宋" w:cs="仿宋"/>
                <w:color w:val="auto"/>
                <w:kern w:val="2"/>
                <w:sz w:val="21"/>
                <w:szCs w:val="21"/>
                <w:lang w:val="en-US" w:eastAsia="zh-CN" w:bidi="ar-SA"/>
              </w:rPr>
              <w:t>十七条“ 违反本规定第十一条第二项规定的，由粮食行政管理部门予以警告，责令改正;拒不改正的，可以对企业处二万元以上二十万元以下的罚款，对个体工商户处一千元以上二万元以下的罚款。情节严重的，取消粮食收购许可证”、第三十八条“违反本规定第十一条第三项规定，经售粮者举报并查实的，由粮食行政管理部门予以警告，责令限期改正;欠付30日以上不足60日的，可以并处五万元以下的罚款;欠付60日以上不足90日的，可以并处五万元以上十万元以下的罚款;欠付90日以上的，可以并处十万元以上二十万元以下的罚款。情节严重的，暂停或者取消粮食收购许可证”、第三十九条“ 违反本规定第十一条第四项规定的，由粮食行政管理部门予以警告，责令限期改正;可以并处代扣、代缴税费款项金额一倍的罚款，但最高不得超过二十万元。情节严重的，暂停或者取消粮食收购许可证”</w:t>
            </w:r>
          </w:p>
        </w:tc>
        <w:tc>
          <w:tcPr>
            <w:tcW w:w="4005" w:type="dxa"/>
            <w:vAlign w:val="center"/>
          </w:tcPr>
          <w:p>
            <w:pPr>
              <w:keepNext w:val="0"/>
              <w:keepLines w:val="0"/>
              <w:pageBreakBefore w:val="0"/>
              <w:widowControl w:val="0"/>
              <w:numPr>
                <w:ilvl w:val="0"/>
                <w:numId w:val="4"/>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val="en-US" w:eastAsia="zh-CN"/>
              </w:rPr>
            </w:pPr>
            <w:r>
              <w:rPr>
                <w:rFonts w:hint="eastAsia" w:ascii="仿宋" w:hAnsi="仿宋" w:eastAsia="仿宋" w:cs="仿宋"/>
                <w:b w:val="0"/>
                <w:i w:val="0"/>
                <w:snapToGrid/>
                <w:color w:val="auto"/>
                <w:sz w:val="21"/>
                <w:szCs w:val="21"/>
                <w:u w:val="none"/>
                <w:lang w:val="en-US" w:eastAsia="zh-CN"/>
              </w:rPr>
              <w:t>立案责任：发现涉嫌粮食流通违法行为的（或者上级粮食行政管理部门交办或其他机关移送的违法案件等），予以审查，决定是否立案。</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4、告知责任：作出行政处罚决定前，应制作《行政处罚告知书》送达当事人，告知违法事实及其享有的陈述、申辩等权利。符合听证规定的，制作并送达《行政处罚听证告知书》。</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5、决定责任：制作行政处罚决定书，载明行政处罚告知、当事人陈述申辩或者听证情况等内容。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3、执法人员玩忽职守，对应当予以制止和处罚的违法行为不予制止、处罚4、不具备行政执法资格实施行政处罚的；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对违反粮食最低、最高库存量规定的处罚</w:t>
            </w:r>
          </w:p>
        </w:tc>
        <w:tc>
          <w:tcPr>
            <w:tcW w:w="80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粮食流通管理条例》（2016年2月6日修订）第四十五条“从事粮食收购、加工、销售的经营者的粮食库存低于规定的最低库存量的，由粮食行政管理部门责令改正，给予警告;情节严重的，处不足部分粮食价值l倍以上5倍以下的罚款，并可以取消粮食收购资格。从事粮食收购、加工、销售的经营者的粮食库存超出规定的最高库存量的，由粮食行政管理部门责令改正，给予警告;情节严重的，处超出部分粮食价值1倍以上5倍以下的罚款，并可以取消粮食收购资格”</w:t>
            </w:r>
            <w:r>
              <w:rPr>
                <w:rFonts w:hint="eastAsia" w:ascii="仿宋" w:hAnsi="仿宋" w:eastAsia="仿宋" w:cs="仿宋"/>
                <w:color w:val="auto"/>
                <w:kern w:val="2"/>
                <w:sz w:val="21"/>
                <w:szCs w:val="21"/>
                <w:lang w:val="en-US" w:eastAsia="zh-CN" w:bidi="ar-SA"/>
              </w:rPr>
              <w:br w:type="textWrapping"/>
            </w:r>
            <w:r>
              <w:rPr>
                <w:rFonts w:hint="eastAsia" w:ascii="仿宋" w:hAnsi="仿宋" w:eastAsia="仿宋" w:cs="仿宋"/>
                <w:color w:val="auto"/>
                <w:kern w:val="2"/>
                <w:sz w:val="21"/>
                <w:szCs w:val="21"/>
                <w:lang w:val="en-US" w:eastAsia="zh-CN" w:bidi="ar-SA"/>
              </w:rPr>
              <w:t>《河北省粮食流通管理规定》（河北省人民政府令〔2016〕第1号令）第四十一条“违反本规定第十八条规定的，由粮食行政管理部门予以警告，责令限期改正;情节严重的，处不足或者超出标准部分粮食价值一倍以上五倍以下的罚款，并可以取消粮食收购资格。对情节严重的，工商行政管理部门可以依法吊销营业执照”</w:t>
            </w:r>
          </w:p>
        </w:tc>
        <w:tc>
          <w:tcPr>
            <w:tcW w:w="4005" w:type="dxa"/>
            <w:vAlign w:val="center"/>
          </w:tcPr>
          <w:p>
            <w:pPr>
              <w:keepNext w:val="0"/>
              <w:keepLines w:val="0"/>
              <w:pageBreakBefore w:val="0"/>
              <w:widowControl w:val="0"/>
              <w:numPr>
                <w:ilvl w:val="0"/>
                <w:numId w:val="5"/>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立案责任：发现涉嫌违反粮食最低、最高库存量规定的违法行为（或者上级粮食行政管理部门交办或其他机关移送的违法案件等），予以审查，决定是否立案。</w:t>
            </w:r>
            <w:r>
              <w:rPr>
                <w:rFonts w:hint="eastAsia" w:ascii="仿宋" w:hAnsi="仿宋" w:eastAsia="仿宋" w:cs="仿宋"/>
                <w:color w:val="auto"/>
                <w:kern w:val="2"/>
                <w:sz w:val="21"/>
                <w:szCs w:val="21"/>
                <w:lang w:val="en-US" w:eastAsia="zh-CN" w:bidi="ar-SA"/>
              </w:rPr>
              <w:br w:type="textWrapping"/>
            </w:r>
            <w:r>
              <w:rPr>
                <w:rFonts w:hint="eastAsia" w:ascii="仿宋" w:hAnsi="仿宋" w:eastAsia="仿宋" w:cs="仿宋"/>
                <w:color w:val="auto"/>
                <w:kern w:val="2"/>
                <w:sz w:val="21"/>
                <w:szCs w:val="21"/>
                <w:lang w:val="en-US" w:eastAsia="zh-CN" w:bidi="ar-SA"/>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 w:hAnsi="仿宋" w:eastAsia="仿宋" w:cs="仿宋"/>
                <w:color w:val="auto"/>
                <w:kern w:val="2"/>
                <w:sz w:val="21"/>
                <w:szCs w:val="21"/>
                <w:lang w:val="en-US" w:eastAsia="zh-CN" w:bidi="ar-SA"/>
              </w:rPr>
              <w:br w:type="textWrapping"/>
            </w:r>
            <w:r>
              <w:rPr>
                <w:rFonts w:hint="eastAsia" w:ascii="仿宋" w:hAnsi="仿宋" w:eastAsia="仿宋" w:cs="仿宋"/>
                <w:color w:val="auto"/>
                <w:kern w:val="2"/>
                <w:sz w:val="21"/>
                <w:szCs w:val="21"/>
                <w:lang w:val="en-US" w:eastAsia="zh-CN" w:bidi="ar-SA"/>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 w:hAnsi="仿宋" w:eastAsia="仿宋" w:cs="仿宋"/>
                <w:color w:val="auto"/>
                <w:kern w:val="2"/>
                <w:sz w:val="21"/>
                <w:szCs w:val="21"/>
                <w:lang w:val="en-US" w:eastAsia="zh-CN" w:bidi="ar-SA"/>
              </w:rPr>
              <w:br w:type="textWrapping"/>
            </w:r>
            <w:r>
              <w:rPr>
                <w:rFonts w:hint="eastAsia" w:ascii="仿宋" w:hAnsi="仿宋" w:eastAsia="仿宋" w:cs="仿宋"/>
                <w:color w:val="auto"/>
                <w:kern w:val="2"/>
                <w:sz w:val="21"/>
                <w:szCs w:val="21"/>
                <w:lang w:val="en-US" w:eastAsia="zh-CN" w:bidi="ar-SA"/>
              </w:rPr>
              <w:t>4、告知责任：作出行政处罚决定前，应制作《行政处罚告知书》送达当事人，告知违法事实及其享有的陈述、申辩等权利。符合听证规定的，制作并送达《行政处罚听证告知书》。</w:t>
            </w:r>
            <w:r>
              <w:rPr>
                <w:rFonts w:hint="eastAsia" w:ascii="仿宋" w:hAnsi="仿宋" w:eastAsia="仿宋" w:cs="仿宋"/>
                <w:color w:val="auto"/>
                <w:kern w:val="2"/>
                <w:sz w:val="21"/>
                <w:szCs w:val="21"/>
                <w:lang w:val="en-US" w:eastAsia="zh-CN" w:bidi="ar-SA"/>
              </w:rPr>
              <w:br w:type="textWrapping"/>
            </w:r>
            <w:r>
              <w:rPr>
                <w:rFonts w:hint="eastAsia" w:ascii="仿宋" w:hAnsi="仿宋" w:eastAsia="仿宋" w:cs="仿宋"/>
                <w:color w:val="auto"/>
                <w:kern w:val="2"/>
                <w:sz w:val="21"/>
                <w:szCs w:val="21"/>
                <w:lang w:val="en-US" w:eastAsia="zh-CN" w:bidi="ar-SA"/>
              </w:rPr>
              <w:t>5、决定责任：制作行政处罚决定书，载明行政处罚告知、当事人陈述申辩或者听证情况等内容。</w:t>
            </w:r>
          </w:p>
          <w:p>
            <w:pPr>
              <w:tabs>
                <w:tab w:val="left" w:pos="7937"/>
              </w:tabs>
              <w:spacing w:line="280" w:lineRule="exac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6、送达责任：行政处罚决定书按法律规定的方式送达当事人。</w:t>
            </w:r>
          </w:p>
          <w:p>
            <w:pPr>
              <w:tabs>
                <w:tab w:val="left" w:pos="7937"/>
              </w:tabs>
              <w:spacing w:line="280" w:lineRule="exac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7、执行责任：依照生效的行政处罚决定。</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8、其他法律法规规章文件规定应履行的责任。</w:t>
            </w:r>
          </w:p>
        </w:tc>
        <w:tc>
          <w:tcPr>
            <w:tcW w:w="3345" w:type="dxa"/>
            <w:vAlign w:val="center"/>
          </w:tcPr>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80" w:lineRule="exact"/>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3、执法人员玩忽职守，对应当予以制止和处罚的违法行为不予制止、处罚</w:t>
            </w:r>
            <w:r>
              <w:rPr>
                <w:rFonts w:hint="eastAsia" w:ascii="仿宋" w:hAnsi="仿宋" w:eastAsia="仿宋" w:cs="仿宋"/>
                <w:color w:val="auto"/>
                <w:sz w:val="21"/>
                <w:szCs w:val="21"/>
                <w:lang w:eastAsia="zh-CN"/>
              </w:rPr>
              <w:t>；</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对陈粮出库未按规定进行质量鉴定的处罚</w:t>
            </w:r>
          </w:p>
        </w:tc>
        <w:tc>
          <w:tcPr>
            <w:tcW w:w="80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《粮食流通管理条例》（2016年2月6日修订）第四十四条</w:t>
            </w:r>
            <w:r>
              <w:rPr>
                <w:rFonts w:hint="eastAsia" w:ascii="仿宋" w:hAnsi="仿宋" w:eastAsia="仿宋" w:cs="仿宋"/>
                <w:b w:val="0"/>
                <w:i w:val="0"/>
                <w:snapToGrid/>
                <w:color w:val="auto"/>
                <w:kern w:val="2"/>
                <w:sz w:val="21"/>
                <w:szCs w:val="21"/>
                <w:u w:val="none"/>
                <w:lang w:val="en-US" w:eastAsia="zh-CN" w:bidi="ar-SA"/>
              </w:rPr>
              <w:t>“陈粮出库未按照本条例规定进行质量鉴定的，由粮食行政管理部门责令改正，给予警告;情节严重的，处出库粮食价值1倍以上5倍以下的罚款。倒卖陈化粮或者不按照规定使用陈化粮的，由工商行政管理部门没收非法倒卖的粮食，并处非法倒卖粮食价值20%以下的罚款;情节严重的，由工商行政管理部门并处非法倒卖粮食价值1倍以上5倍以下的罚款，吊销营业执照;构成犯罪的，依法追究刑事责任</w:t>
            </w:r>
            <w:r>
              <w:rPr>
                <w:rFonts w:hint="eastAsia" w:ascii="仿宋" w:hAnsi="仿宋" w:eastAsia="仿宋" w:cs="仿宋"/>
                <w:b w:val="0"/>
                <w:i w:val="0"/>
                <w:snapToGrid/>
                <w:color w:val="auto"/>
                <w:sz w:val="21"/>
                <w:szCs w:val="21"/>
                <w:u w:val="none"/>
                <w:lang w:val="en-US" w:eastAsia="zh-CN"/>
              </w:rPr>
              <w:t>”</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《河北省粮食流通管理规定》（河北省人民政府令〔2016〕第1号令）第四十条“ 违反本规定第十五条第六项规定的，由粮食行政管理部门予以警告，责令改正;拒不改正的，处出库粮食价值一倍以上二倍以下的罚款;发现出库未经检验的粮食中有陈化粮的，处出库粮食价值二倍以上三倍以下的罚款;对明知是陈化粮仍未按陈化粮销售处理有关规定出库的，处出库粮食价值三倍以上五倍以下的罚款。情节严重的，工商行政管理部门可以依法吊销营业执照”</w:t>
            </w:r>
          </w:p>
        </w:tc>
        <w:tc>
          <w:tcPr>
            <w:tcW w:w="4005" w:type="dxa"/>
            <w:vAlign w:val="center"/>
          </w:tcPr>
          <w:p>
            <w:pPr>
              <w:keepNext w:val="0"/>
              <w:keepLines w:val="0"/>
              <w:pageBreakBefore w:val="0"/>
              <w:widowControl w:val="0"/>
              <w:numPr>
                <w:ilvl w:val="0"/>
                <w:numId w:val="6"/>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val="en-US" w:eastAsia="zh-CN"/>
              </w:rPr>
            </w:pPr>
            <w:r>
              <w:rPr>
                <w:rFonts w:hint="eastAsia" w:ascii="仿宋" w:hAnsi="仿宋" w:eastAsia="仿宋" w:cs="仿宋"/>
                <w:b w:val="0"/>
                <w:i w:val="0"/>
                <w:snapToGrid/>
                <w:color w:val="auto"/>
                <w:sz w:val="21"/>
                <w:szCs w:val="21"/>
                <w:u w:val="none"/>
                <w:lang w:val="en-US" w:eastAsia="zh-CN"/>
              </w:rPr>
              <w:t>立案责任：发现涉嫌陈粮出库未按规定进行质量鉴定的违法行为（或者上级粮食行政管理部门交办或其他机关移送的违法案件等），予以审查，决定是否立案。</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4、告知责任：作出行政处罚决定前，应制作《行政处罚告知书》送达当事人，告知违法事实及其享有的陈述、申辩等权利。符合听证规定的，制作并送达《行政处罚听证告知书》。</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5、决定责任：制作行政处罚决定书，载明行政处罚告知、当事人陈述申辩或者听证情况等内容。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3、执法人员玩忽职守，对应当予以制止和处罚的违法行为不予制止、处罚4、不具备行政执法资格实施行政处罚的；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b w:val="0"/>
                <w:i w:val="0"/>
                <w:snapToGrid/>
                <w:color w:val="auto"/>
                <w:sz w:val="21"/>
                <w:szCs w:val="21"/>
                <w:u w:val="none"/>
                <w:lang w:eastAsia="zh-CN"/>
              </w:rPr>
            </w:pP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处罚</w:t>
            </w: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对粮油仓储单位违反备案规定的处罚</w:t>
            </w:r>
          </w:p>
        </w:tc>
        <w:tc>
          <w:tcPr>
            <w:tcW w:w="80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粮油仓储管理办法》（国家发展和改革委员会〔2009〕第5号令）第二十八条“粮油仓储单位违反本办法第六条规定，未在规定时间向粮食行政管理部门备案，或者备案内容弄虚作假的，由负责备案管理的粮食行政管理部门责令改正，给予警告；拒不改正的，处1万元以下罚款”第二十九条“粮油仓储单位不具备本办法第七条规定条件的，由负责备案管理的粮食行政管理部门责令改正，给予警告；拒不改正的，处1万元以上3万元以下罚款”</w:t>
            </w:r>
          </w:p>
        </w:tc>
        <w:tc>
          <w:tcPr>
            <w:tcW w:w="4005" w:type="dxa"/>
            <w:vAlign w:val="center"/>
          </w:tcPr>
          <w:p>
            <w:pPr>
              <w:keepNext w:val="0"/>
              <w:keepLines w:val="0"/>
              <w:pageBreakBefore w:val="0"/>
              <w:widowControl w:val="0"/>
              <w:numPr>
                <w:ilvl w:val="0"/>
                <w:numId w:val="7"/>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val="en-US" w:eastAsia="zh-CN"/>
              </w:rPr>
            </w:pPr>
            <w:r>
              <w:rPr>
                <w:rFonts w:hint="eastAsia" w:ascii="仿宋" w:hAnsi="仿宋" w:eastAsia="仿宋" w:cs="仿宋"/>
                <w:b w:val="0"/>
                <w:i w:val="0"/>
                <w:snapToGrid/>
                <w:color w:val="auto"/>
                <w:sz w:val="21"/>
                <w:szCs w:val="21"/>
                <w:u w:val="none"/>
                <w:lang w:val="en-US" w:eastAsia="zh-CN"/>
              </w:rPr>
              <w:t>立案责任：发现涉嫌粮油仓储单位违反备案规定的违法行为（或者上级粮食行政管理部门交办或其他机关移送的违法案件等），予以审查，决定是否立案。</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4、告知责任：作出行政处罚决定前，应制作《行政处罚告知书》送达当事人，告知违法事实及其享有的陈述、申辩等权利。符合听证规定的，制作并送达《行政处罚听证告知书》。</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5、决定责任：制作行政处罚决定书，载明行政处罚告知、当事人陈述申辩或者听证情况等内容。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3、执法人员玩忽职守，对应当予以制止和处罚的违法行为不予制止、处罚4、不具备行政执法资格实施行政处罚的；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5、在制止以及查处违法案件中受阻，依照有关规定应当向本级人民政府或者上级主管部门报告而未报告的；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8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default"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sz w:val="21"/>
                <w:szCs w:val="21"/>
                <w:lang w:eastAsia="zh-CN"/>
              </w:rPr>
              <w:t>对其他（除集团、品牌、规模）发卡企业未按规定办理备案行为的处罚</w:t>
            </w:r>
          </w:p>
        </w:tc>
        <w:tc>
          <w:tcPr>
            <w:tcW w:w="801" w:type="dxa"/>
            <w:vAlign w:val="center"/>
          </w:tcPr>
          <w:p>
            <w:pPr>
              <w:spacing w:line="240" w:lineRule="exact"/>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b/>
                <w:color w:val="auto"/>
                <w:sz w:val="21"/>
                <w:szCs w:val="21"/>
              </w:rPr>
              <w:t>部委规章：</w:t>
            </w:r>
            <w:r>
              <w:rPr>
                <w:rFonts w:hint="eastAsia" w:ascii="仿宋" w:hAnsi="仿宋" w:eastAsia="仿宋" w:cs="仿宋"/>
                <w:color w:val="auto"/>
                <w:sz w:val="21"/>
                <w:szCs w:val="21"/>
              </w:rPr>
              <w:t>《单用途商业预付卡管理办法》（商务部令2016年第2号）第三十六条 发卡企业违反本办法第七条规定的，由违法行为发生地县级以上地方人民政府商务主管部门责令限期改正;逾期仍不改正的，处以1万元以上3万元以下罚款。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1、立案责任：发现企业没有备案开展发卡违法行为（或其他机关移送的违法案件等），予以审查，决定是否立案。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w:t>
            </w:r>
            <w:r>
              <w:rPr>
                <w:rFonts w:hint="eastAsia" w:ascii="仿宋" w:hAnsi="仿宋" w:eastAsia="仿宋" w:cs="仿宋"/>
                <w:color w:val="auto"/>
                <w:sz w:val="21"/>
                <w:szCs w:val="21"/>
                <w:lang w:eastAsia="zh-CN"/>
              </w:rPr>
              <w:t>发展和改革</w:t>
            </w:r>
            <w:r>
              <w:rPr>
                <w:rFonts w:hint="eastAsia" w:ascii="仿宋" w:hAnsi="仿宋" w:eastAsia="仿宋" w:cs="仿宋"/>
                <w:color w:val="auto"/>
                <w:sz w:val="21"/>
                <w:szCs w:val="21"/>
              </w:rPr>
              <w:t>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spacing w:line="24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5"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sz w:val="21"/>
                <w:szCs w:val="21"/>
              </w:rPr>
              <w:t>对</w:t>
            </w:r>
            <w:r>
              <w:rPr>
                <w:rFonts w:hint="eastAsia" w:ascii="仿宋" w:hAnsi="仿宋" w:eastAsia="仿宋" w:cs="仿宋"/>
                <w:sz w:val="21"/>
                <w:szCs w:val="21"/>
                <w:lang w:eastAsia="zh-CN"/>
              </w:rPr>
              <w:t>其他（除集团、品牌、规模）</w:t>
            </w:r>
            <w:r>
              <w:rPr>
                <w:rFonts w:hint="eastAsia" w:ascii="仿宋" w:hAnsi="仿宋" w:eastAsia="仿宋" w:cs="仿宋"/>
                <w:sz w:val="21"/>
                <w:szCs w:val="21"/>
              </w:rPr>
              <w:t>发卡企业的发行与服务及资金管理违反管理办法的处罚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《单用途商业预付卡管理办法》（商务部令2016年第2号）第三十七条第一款 发卡企业或售卡企业违反本办法第十四条至第二十二条规定的，由违法行为发生地县级以上地方人民政府商务主管部门责令限期改正；逾期仍不改正的，处以1万元以上3万元以下罚款。第二款 发卡企业违反本办法第二十四条至第二十七条、第三十一条规定的，由备案机关责令限期改正；逾期仍不改正的，处以1万元以上3万元以下罚款。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1、立案责任：发现发卡企业违法行为（或其他机关移送的违法案件等），予以审查，决定是否立案。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default"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sz w:val="21"/>
                <w:szCs w:val="21"/>
              </w:rPr>
              <w:t>对</w:t>
            </w:r>
            <w:r>
              <w:rPr>
                <w:rFonts w:hint="eastAsia" w:ascii="仿宋" w:hAnsi="仿宋" w:eastAsia="仿宋" w:cs="仿宋"/>
                <w:sz w:val="21"/>
                <w:szCs w:val="21"/>
                <w:lang w:eastAsia="zh-CN"/>
              </w:rPr>
              <w:t>其他（除集团、品牌、规模）</w:t>
            </w:r>
            <w:r>
              <w:rPr>
                <w:rFonts w:hint="eastAsia" w:ascii="仿宋" w:hAnsi="仿宋" w:eastAsia="仿宋" w:cs="仿宋"/>
                <w:sz w:val="21"/>
                <w:szCs w:val="21"/>
              </w:rPr>
              <w:t>发卡企业未按规定建立业务处理系统并保障其运行质量相关的处罚</w:t>
            </w:r>
          </w:p>
        </w:tc>
        <w:tc>
          <w:tcPr>
            <w:tcW w:w="801" w:type="dxa"/>
            <w:vAlign w:val="center"/>
          </w:tcPr>
          <w:p>
            <w:pPr>
              <w:spacing w:line="240" w:lineRule="exact"/>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《单用途商业预付卡管理办法》（商务部令2016年第2号）第三十八条 发卡企业违反本办法第二十九条（业务处理系统）规定，造成重大损失的，由备案机关处以1万元以上3万元以下罚款。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1、立案责任：发现发卡企业违法行为（或者下级商务部门上报或其他机关移送的违法案件等），予以审查，决定是否立案。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spacing w:line="24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40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对零售商供应商违反公平交易规定的处罚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《零售商供应商公平交易管理办法》（商务部、发改委、公安部、税务总局、工商总局令2006年第17号）第二十一条第一款　各地商务、价格、税务、工商等部门依照法律法规及本办法，在各自的职责范围内对本办法规定的行为进行监督管理。对涉嫌犯罪的，由公安机关依法予以查处。 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1、立案责任：发现零售商供应商违反公平交易规定违法行为</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或其他机关移送的违法案件等），予以审查，决定是否立案。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对零售商未按规定开展促销活动的处罚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《零售商促销行为管理办法》（商务部、发改委、公安部、税务总局、工商总局令2006年第18号）第二十一条　各地商务、价格、税务、工商等部门依照法律法规及有关规定，在各自职责范围内对促销行为进行监督管理。……第二十三条 零售商违反本办法规定，法律法规有规定的，从其规定；没有规定的，责令改正，有违法所得的，可处违法所得三倍以下罚款，但最高不超过三万元；没有违法所得的，可处一万元以下罚款；并可予以公告。</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1、立案责任：发现零售商开展促销活动违法行为（</w:t>
            </w:r>
            <w:r>
              <w:rPr>
                <w:rFonts w:hint="eastAsia" w:ascii="仿宋" w:hAnsi="仿宋" w:eastAsia="仿宋" w:cs="仿宋"/>
                <w:color w:val="auto"/>
                <w:sz w:val="21"/>
                <w:szCs w:val="21"/>
                <w:lang w:eastAsia="zh-CN"/>
              </w:rPr>
              <w:t>或</w:t>
            </w:r>
            <w:r>
              <w:rPr>
                <w:rFonts w:hint="eastAsia" w:ascii="仿宋" w:hAnsi="仿宋" w:eastAsia="仿宋" w:cs="仿宋"/>
                <w:color w:val="auto"/>
                <w:sz w:val="21"/>
                <w:szCs w:val="21"/>
              </w:rPr>
              <w:t>其他机关移送的违法案件等），予以审查，决定是否立案。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5"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sz w:val="21"/>
                <w:szCs w:val="21"/>
              </w:rPr>
              <w:t>对经营者违反洗染业管理规定的处罚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sz w:val="21"/>
                <w:szCs w:val="21"/>
              </w:rPr>
              <w:t>部委规章：</w:t>
            </w:r>
            <w:r>
              <w:rPr>
                <w:rFonts w:hint="eastAsia" w:ascii="仿宋" w:hAnsi="仿宋" w:eastAsia="仿宋" w:cs="仿宋"/>
                <w:sz w:val="21"/>
                <w:szCs w:val="21"/>
              </w:rPr>
              <w:t>《洗染业管理办法》（商务部、工商总局、环保总局令2007年第5号）第三条第一款　商务部对全国洗染行业进行指导、协调、监督和管理，地方各级商务主管部门负责本行政区域内洗染行业指导、协调、监督和管理工作。 第二十二条 经营者违反本办法规定，法律法规有规定的，从其规定；没有规定的，由商务、工商、环保部门依据本办法第三条规定的职能责令改正，有违法所得的，可处违法所得3倍以下罚款，但最高不超过3万元；没有违法所得的，可处1万元以下罚款；并可予以公告。</w:t>
            </w:r>
          </w:p>
        </w:tc>
        <w:tc>
          <w:tcPr>
            <w:tcW w:w="4005" w:type="dxa"/>
            <w:vAlign w:val="center"/>
          </w:tcPr>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1、立案责任：发现企业违反相关规定的，予以审查，决定是否立案。</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6、送达责任：行政处罚决定书按法律规定的方式送达当事人。</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1、没有法律和事实依据实施行政处罚的；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2、行政处罚显失公正的；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4、不具备行政执法资格实施行政处罚的；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6、应当依法移送追究刑事责任，而未依法移送有权机关的；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7、擅自改变行政处罚种类、幅度的；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8、违反法定的行政处罚程序的；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sz w:val="21"/>
                <w:szCs w:val="21"/>
              </w:rPr>
            </w:pPr>
            <w:r>
              <w:rPr>
                <w:rFonts w:hint="eastAsia" w:ascii="仿宋" w:hAnsi="仿宋" w:eastAsia="仿宋" w:cs="仿宋"/>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对家电维修服务违法的处罚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《家电维修服务业管理办法》（商务部令2012年第7号）第三条 商务部负责家电维修服务业的行业管理工作，各级商务主管部门负责本行政区域内的家电维修服务业的指导、协调和监督管理工作。 第十四条 各级商务主管部门对于违反本办法的家电维修经营者可以予以警告，责令限期改正；拒不改正的，可以向社会公告；违反本办法第九条规定，情节严重的，可处三万元以下罚款；对依据有关法律、法规应予以处罚的，各级商务主管部门应提请有关部门依法处罚。第九条 家电维修经营者和从业人员应恪守职业道德，不得有下列行为：（一）虚列、夸大、伪造维修服务项目或内容；（二）隐瞒、掩饰因维修服务导致用户产品损毁的事实；（三）虚报故障部件，故意替换性能正常的部件；（四）冒用家电生产者商标或特约维修标识。</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1、立案责任：发现企业违反相关规定的，予以审查，决定是否立案。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0" w:hRule="atLeast"/>
        </w:trPr>
        <w:tc>
          <w:tcPr>
            <w:tcW w:w="556" w:type="dxa"/>
            <w:vAlign w:val="center"/>
          </w:tcPr>
          <w:p>
            <w:pPr>
              <w:numPr>
                <w:ilvl w:val="0"/>
                <w:numId w:val="1"/>
              </w:numPr>
              <w:tabs>
                <w:tab w:val="left" w:pos="7937"/>
              </w:tabs>
              <w:spacing w:line="280" w:lineRule="exact"/>
              <w:ind w:left="425" w:leftChars="0" w:hanging="425" w:firstLineChars="0"/>
              <w:jc w:val="center"/>
              <w:rPr>
                <w:rFonts w:hint="default"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对家庭服务机构未公开服务项目、收费标准和投诉监督电话的处罚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《家庭服务业管理暂行办法》（商务部令2012年第11号）第四条 商务部承担全国家庭服务业行业管理职责，负责监督管理家庭服务机构的服务质量，指导协调合同文本规范和服务矛盾纠纷处理工作。县级以上商务主管部门负责本行政区域内家庭服务业的监督管理。三十二条 家庭服务机构违反本办法第九条规定，未公开服务项目、收费标准和投诉监督电话的，由商务主管部门责令改正；拒不改正的，可处5000元以下罚款。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1、立案责任：发现企业违反相关规定的，予以审查，决定是否立案。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对家庭服务机构未按要求建立工作档案、跟踪管理制度及不妥善处理消费和家庭服务员之间投诉的处罚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《家庭服务业管理暂行办法》（商务部令2012年第11号）第四条 商务部承担全国家庭服务业行业管理职责，负责监督管理家庭服务机构的服务质量，指导协调合同文本规范和服务矛盾纠纷处理工作。县级以上商务主管部门负责本行政区域内家庭服务业的监督管理。第三十三条 家庭服务机构违反本办法第十条规定，未按要求建立工作档案、跟踪管理制度，对消费者和家庭服务员之间的投诉不予妥善处理的，由商务主管部门责令改正；拒不改正的，可处2万元以下罚款。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1、立案责任：发现企业违反相关规定的，予以审查，决定是否立案。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对家庭服务机构未按要求提供经营档案信息和经营状况信息的处罚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《家庭服务业管理暂行办法》（商务部令2012年第11号）第四条 商务部承担全国家庭服务业行业管理职责，负责监督管理家庭服务机构的服务质量，指导协调合同文本规范和服务矛盾纠纷处理工作。县级以上商务主管部门负责本行政区域内家庭服务业的监督管理。第三十四条 家庭服务机构违反本办法第十一条、第二十六条规定，未按要求提供信息的，由商务主管部门责令改正；拒不改正的，可处1万元以下罚款。 第十一条 家庭服务机构应按照县级以上商务主管部门要求及时准确地提供经营档案信息。 第二十六条 商务部建立家庭服务业信息报送系统。家庭服务机构应按要求及时报送经营情况信息，具体报送内容由商务部另行规定。</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1、立案责任：发现企业违反相关规定的，予以审查，决定是否立案。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对家庭服务机构部分违规从事家庭服务活动的处罚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《家庭服务业管理暂行办法》（商务部令2012年第11号）第四条 商务部承担全国家庭服务业行业管理职责，负责监督管理家庭服务机构的服务质量，指导协调合同文本规范和服务矛盾纠纷处理工作。县级以上商务主管部门负责本行政区域内家庭服务业的监督管理。第三十五条 家庭服务机构有本办法第十二条规定行为的，由商务主管部门或有关主管部门责令改正；拒不改正的，属于商务主管部门职责的，可处3万元以下罚款，属于其他部门职责的，由商务主管部门提请有关主管部门处理。第十二条 家庭服务机构在家庭服务活动中不得有下列行为：...（三）唆使家庭服务员哄抬价格或有意违约骗取服务费用；...（五）利用家庭服务之便强行向消费者推销商品；（六）扣押、拖欠家庭服务员工资或收取高额管理费，以及其他损害家庭服务员合法权益的行为；（七）扣押家庭服务员身份、学历、资格证明等证件原件。</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1、立案责任：发现企业违反相关规定的，予以审查，决定是否立案。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对家庭服务机构未按要求订立家庭服务合同及拒绝家庭服务员获取家庭服务合同的处罚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《家庭服务业管理暂行办法》（商务部令2012年第11号）第四条 商务部承担全国家庭服务业行业管理职责，负责监督管理家庭服务机构的服务质量，指导协调合同文本规范和服务矛盾纠纷处理工作。县级以上商务主管部门负责本行政区域内家庭服务业的监督管理。 第三十六条 家庭服务机构违反本办法第十三条、第十四条、第十五条规定，未按要求订立家庭服务合同的，拒绝家庭服务员获取家庭服务合同的，由商务主管部门或有关部门责令改正；拒不改正的，可处3万元以下罚款。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1、立案责任：发现企业违反相关规定的，予以审查，决定是否立案。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对餐饮经营者未建立节俭消费提醒提示制度、未在醒目位置张贴节约标识及违规开展促销的处罚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《餐饮业经营管理办法（试行）》（商务部令2014年第4号）第十八条  县级以上地方商务主管部门应当定期对餐饮行业开展反食品浪费相关行为进行监督检查，并给予相应奖励或处罚。第二十一条  商务、价格等主管部门依照法律法规、规章及有关规定，在各自职责范围内对餐饮业经营行为进行监督管理。对于餐饮经营者违反本办法的行为，法律法规及规章有规定的，商务主管部门可提请有关部门依法处罚；没有规定的，由商务主管部门责令限期改正，其中有违法所得的，可处违法所得3倍以下罚款，但最高不超过3万元；没有违法所得的，可处1万元以下罚款；对涉嫌犯罪的，依法移送司法机关处理。……第七条第二款 餐饮经营者应当建立节俭消费提醒提示制度，并在醒目位置张贴节约标识，贯彻节约用餐、文明用餐标准。第十四条 餐饮经营者开展促销活动的，应当明示促销内容，包括促销原因、促销方式、促销规则、促销期限、促销商品的范围，以及相关限制性条件。餐饮经营者应当在促销活动开始前做好原材料储备及服务准备工作，依照承诺履行相关义务。促销活动期间，餐饮经营者不得故意拖延提供相关商品或服务，不得以任何形式降低商品质量或服务水平。</w:t>
            </w:r>
            <w:r>
              <w:rPr>
                <w:rFonts w:hint="eastAsia" w:ascii="仿宋" w:hAnsi="仿宋" w:eastAsia="仿宋" w:cs="仿宋"/>
                <w:b/>
                <w:bCs/>
                <w:color w:val="auto"/>
                <w:sz w:val="21"/>
                <w:szCs w:val="21"/>
              </w:rPr>
              <w:t>地方性法规：</w:t>
            </w:r>
            <w:r>
              <w:rPr>
                <w:rFonts w:hint="eastAsia" w:ascii="仿宋" w:hAnsi="仿宋" w:eastAsia="仿宋" w:cs="仿宋"/>
                <w:color w:val="auto"/>
                <w:sz w:val="21"/>
                <w:szCs w:val="21"/>
              </w:rPr>
              <w:t>《河北省人民代表大会常务委员会关于厉行节约、反对餐饮浪费的规定》（2020年9月24日河北省第十三届人民代表大会常务委员会第十九次会议通过）第三十二条 违反本规定，餐饮经营者未建立节约用餐提醒提示制度，未在显著位置张贴或者摆放厉行节约、反对浪费的标识的，由商务等负有厉行节约、反对餐饮浪费职责的部门责令改正；拒不改正的，处一百元以上五百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1、立案责任：发现企业违反相关规定的，予以审查，决定是否立案。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7、执行责任：依照生效的行政处罚决定，对其进行罚没。</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对市场经营者违法从事商品现货交易行为的处罚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 xml:space="preserve">《商品现货市场交易特别规定（试行）》(商务部令2013年第3号)第二十三条 市场经营者违反第十一条、第十二条、第十三条、第十四条、第十七条、第十八条、第十九条、第二十一条规定，由县级以上商务主管部门会同有关部门责令改正。逾期不改的，处一万元以上三万元以下罚款。 </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1、立案责任：发现商品现货市场经营者涉嫌违反本规定第十一条、第十二条、第十三条、第十四条、第十七条、第十八条、第十九条、第二十一条规定有关规定的，予以审查，决定是否立案。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7、执行责任：依照生效的行政处罚决定，给予警告或罚款。</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对供应商经销商或售后服务商违反</w:t>
            </w:r>
            <w:r>
              <w:rPr>
                <w:rFonts w:hint="eastAsia" w:ascii="仿宋" w:hAnsi="仿宋" w:eastAsia="仿宋" w:cs="仿宋"/>
                <w:color w:val="auto"/>
                <w:sz w:val="21"/>
                <w:szCs w:val="21"/>
                <w:lang w:eastAsia="zh-CN"/>
              </w:rPr>
              <w:t>《汽车销售管理办法》</w:t>
            </w:r>
            <w:r>
              <w:rPr>
                <w:rFonts w:hint="eastAsia" w:ascii="仿宋" w:hAnsi="仿宋" w:eastAsia="仿宋" w:cs="仿宋"/>
                <w:color w:val="auto"/>
                <w:sz w:val="21"/>
                <w:szCs w:val="21"/>
              </w:rPr>
              <w:t>第十条、第十二条、第十四条、第十七条第一款、第二十一条、第二十三条第二款、第二十四条、第二十五条、第二十六条有关规定的处罚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《汽车销售管理办法》(商务部令2017年第1号） 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供应商经销商或售后服务商涉嫌违反本办法第十条、第十二条、第十四条、第十七条第一款、第二十一条、第二十三条第二款、第二十四条、第二十五条、第二十六条有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7、执行责任：依照生效的行政处罚决定，给予警告或罚款。</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对供应商或经销商违法违反</w:t>
            </w:r>
            <w:r>
              <w:rPr>
                <w:rFonts w:hint="eastAsia" w:ascii="仿宋" w:hAnsi="仿宋" w:eastAsia="仿宋" w:cs="仿宋"/>
                <w:color w:val="auto"/>
                <w:sz w:val="21"/>
                <w:szCs w:val="21"/>
                <w:lang w:eastAsia="zh-CN"/>
              </w:rPr>
              <w:t>《汽车销售管理办法》</w:t>
            </w:r>
            <w:r>
              <w:rPr>
                <w:rFonts w:hint="eastAsia" w:ascii="仿宋" w:hAnsi="仿宋" w:eastAsia="仿宋" w:cs="仿宋"/>
                <w:color w:val="auto"/>
                <w:sz w:val="21"/>
                <w:szCs w:val="21"/>
              </w:rPr>
              <w:t>第十一条、第十五条、第十八条、第二十条第二款、第二十七条、第二十八条有关规定的处罚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《汽车销售管理办法》(商务部令2017年第1号）第三十三条 违反本办法第十一条、第十五条、第十八条、第二十条第二款、第二十七条、第二十八条有关规定的，由县级以上地方商务主管部门责令改正，并可给予警告或1万元以下罚款。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1、立案责任：发现供应商或经销商涉嫌违反本办法第十一条、第十五条、第十八条、第二十条第二款、第二十七条、第二十八条有关规定的，予以审查，决定是否立案。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商务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7、执行责任：依照生效的行政处罚决定，给予警告或罚款。</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对未取得资质认定擅自从事机动车回收活动的处罚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行政法规：</w:t>
            </w:r>
            <w:r>
              <w:rPr>
                <w:rFonts w:hint="eastAsia" w:ascii="仿宋" w:hAnsi="仿宋" w:eastAsia="仿宋" w:cs="仿宋"/>
                <w:color w:val="auto"/>
                <w:sz w:val="21"/>
                <w:szCs w:val="21"/>
              </w:rPr>
              <w:t>《报废机动车回收管理办法》（国务院令第715号）第十九条 未取得资质认定，擅自从事报废机动车回收活动的，由负责报废机动车回收管理的部门没收非法回收的报废机动车、报废机动车“五大总成”和其他零部件，没收违法所得；违法所得在5万元以上的，并处违法所得2倍以上5倍以下的罚款；违法所得不足5万元或者没有违法所得的，并处5万元以上10万元以下的罚款。对负责报废机动车回收管理的部门没收非法回收的报废机动车、报废机动车“五大总成”和其他零部件，必要时有关主管部门应当予以配合。《报废机动车回收管理办法实施细则》（商务部令2020年第2号）第四十条第一款 违反本细则第七条第一款规定，未取得资质认定，擅自从事报废机动车回收拆解活动的，由县级以上地方商务主管部门会同有关部门按照《管理办法》第十九条规定没收非法回收拆解的报废机动车、报废机动车“五大总成”和其他零部件，没收违法所得；违法所得在5万元以上的，并处违法所得2倍以上5倍以下的罚款；违法所得不足5万元或者没有违法所得的，并处5万元以上10万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1、立案责任：发现未取得资质认定擅自从事机动车回收活动的，会同相关部门予以审查，决定是否立案。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会同相关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7、执行责任：依照生效的行政处罚决定，给予没收违法所得及罚款。</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对出售不具备再制造条件的报废机动车“五大总成”、 不能继续使用的报废机动车“五大总成”以外的零部件、出售的报废机动车“五大总成”以外的零部件未标明“报废机动车回用件”的处罚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行政法规：</w:t>
            </w:r>
            <w:r>
              <w:rPr>
                <w:rFonts w:hint="eastAsia" w:ascii="仿宋" w:hAnsi="仿宋" w:eastAsia="仿宋" w:cs="仿宋"/>
                <w:color w:val="auto"/>
                <w:sz w:val="21"/>
                <w:szCs w:val="21"/>
              </w:rPr>
              <w:t>《报废机动车回收管理办法》（国务院令第715号）第二十一条 报废机动车回收企业有下列情形之一的，由负责报废机动车回收管理的部门责令改正，没收报废机动车“五大总成”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一）出售不具备再制造条件的报废机动车“五大总成”；（二）出售不能继续使用的报废机动车“五大总成”以外的零部件；（三）出售的报废机动车“五大总成”以外的零部件未标明“报废机动车回用件”。</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1、立案责任：发现涉嫌出售不具备再制造条件的报废机动车“五大总成”、 不能继续使用的报废机动车“五大总成”以外的零部件、出售的报废机动车“五大总成”以外的零部件未标明“报废机动车回用件”的，予以审查，决定是否立案。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7、执行责任：依照生效的行政处罚决定，给予罚款、停业整顿或由由原发证部门吊销资质认定书。</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对报废机动车回收企业对回收的报废机动车，未按照国家有关规定及时向公安机关交通管理部门办理注销登记并将注销证明转交机动车所有人的处罚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行政法规：</w:t>
            </w:r>
            <w:r>
              <w:rPr>
                <w:rFonts w:hint="eastAsia" w:ascii="仿宋" w:hAnsi="仿宋" w:eastAsia="仿宋" w:cs="仿宋"/>
                <w:color w:val="auto"/>
                <w:sz w:val="21"/>
                <w:szCs w:val="21"/>
              </w:rPr>
              <w:t>《报废机动车回收管理办法》（国务院令第715号）第二十二条 报废机动车回收企业对回收的报废机动车，未按照国家有关规定及时向公安机关交通管理部门办理注销登记并将注销证明转交机动车所有人的，由负责报废机动车回收管理的部门责令改正，可以处1万元以上5万元以下的罚款。 利用报废机动车“五大总成”和其他零部件拼装机动车或者出售报废机动车整车、拼装的机动车的，依照《中华人民共和国道路交通安全法》的规定予以处罚。《报废机动车回收管理办法实施细则》（商务部令2020年第2号）第四十四条 违反本细则第十九条第二款规定，回收拆解企业未按照国家有关规定及时向公安机关交通管理部门办理机动车注销登记，并将注销证明转交机动车所有人的，由县级以上地方商务主管部门按照《管理办法》第二十二条规定责令改正，可以处1万元以上5万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1、立案责任：发现涉嫌报废机动车回收企业对回收的报废机动车，未按照国家有关规定及时向公安机关交通管理部门办理注销登记并将注销证明转交机动车所有人的，予以审查，决定是否立案。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对报废机动车回收企业未如实记录本企业回收的报废机动车“五大总成”等主要部件的数量、型号、流向等信息并上传至报废机动车回收信息系统的处罚</w:t>
            </w:r>
          </w:p>
        </w:tc>
        <w:tc>
          <w:tcPr>
            <w:tcW w:w="801" w:type="dxa"/>
            <w:vAlign w:val="center"/>
          </w:tcPr>
          <w:p>
            <w:pPr>
              <w:spacing w:line="240" w:lineRule="exact"/>
              <w:jc w:val="both"/>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行政法规：</w:t>
            </w:r>
            <w:r>
              <w:rPr>
                <w:rFonts w:hint="eastAsia" w:ascii="仿宋" w:hAnsi="仿宋" w:eastAsia="仿宋" w:cs="仿宋"/>
                <w:color w:val="auto"/>
                <w:sz w:val="21"/>
                <w:szCs w:val="21"/>
              </w:rPr>
              <w:t>《报废机动车回收管理办法》（国务院令第715号）第二十三条 报废机动车回收企业未如实记录本企业回收的报废机动车“五大总成”等主要部件的数量、型号、流向等信息并上传至报废机动车回收信息系统的，由负责报废机动车回收管理的部门责令改正，并处1万元以上5万元以下的罚款；情节严重的，责令停业整顿。</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1、立案责任：发现报废机动车回收企业涉嫌未如实记录本企业回收的报废机动车“五大总成”等主要部件的数量、型号、流向等信息并上传至报废机动车回收信息系统的，予以审查，决定是否立案。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7、执行责任：依照生效的行政处罚决定，给予罚款、责令停业整顿。</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对回收拆解企业涂改、出租、出借或者以其他形式非法转让《资质认定书》的处罚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《报废机动车回收管理办法实施细则》（商务部令2020年第2号）第四十一条 违反本细则第十四条规定，回收拆解企业涂改、出租、出借或者以其他形式非法转让《资质认定书》的，由县级以上地方商务主管部门责令改正，并处1万元以上3万元以下的罚款。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1、立案责任：发现报废机动车回收企业涉嫌涂改、出租、出借或者以其他形式非法转让《资质认定书》的，予以审查，决定是否立案。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8、其他法律法规规章文件规定应履行的责任。</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对回收拆解企业违规开具或者发放《报废机动车回收证明》或者未按照规定对已出具《报废机动车回收证明》的报废机动车进行拆解的的处罚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《报废机动车回收管理办法实施细则》（商务部令2020年第2号）第四十三条第一款 违反本细则第十九条第一款、第二十条、第二十一条的规定，回收拆解企业违规开具或者发放《报废机动车回收证明》，或者未按照规定对已出具《报废机动车回收证明》的报废机动车进行拆解的，由县级以上地方商务主管部门责令限期改正，整改期间暂停打印《报废机动车回收证明》；情节严重的，处1万元以上3万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1、立案责任：发现报废机动车回收企业涉嫌违规开具或者发放《报废机动车回收证明》或者未按照规定对已出具《报废机动车回收证明》的报废机动车进行拆解的的，予以审查，决定是否立案。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7、执行责任：依照生效的行政处罚决定，给予罚款或责令限期改正。</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对回收拆解企业未在其资质认定的拆解经营场地内对回收的报废机动车予以拆解，或者交易报废机动车整车、拼装车的处罚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《报废机动车回收管理办法实施细则》（商务部令2020年第2号）第四十五条 违反本细则第二十三条规定，回收拆解企业未在其资质认定的拆解经营场地内对回收的报废机动车予以拆解，或者交易报废机动车整车、拼装车的，由县级以上地方商务主管部门责令改正，并处3万元罚款；拒不改正或者情节严重的，由原发证部门吊销《资质认定书》。</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1、立案责任：发现报废机动车回收企业涉嫌未在其资质认定的拆解经营场地内对回收的报废机动车予以拆解，或者交易报废机动车整车、拼装车的，予以审查，决定是否立案。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7、执行责任：依照生效的行政处罚决定，给予罚款或原发证部门吊销《资质认定书》。</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对回收拆解企业未建立生产经营全覆盖的电子监控系统或者录像保存不足1年的处罚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《报废机动车回收管理办法实施细则》（商务部令2020年第2号）第四十六条 违反本细则第二十四条规定，回收拆解企业未建立生产经营全覆盖的电子监控系统，或者录像保存不足1年的，由县级以上地方商务主管部门责令限期改正，整改期间暂停打印《报废机动车回收证明》；情节严重的，处1万元以上3万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1、立案责任：发现报废机动车回收企业涉嫌未建立生产经营全覆盖的电子监控系统或者录像保存不足1年的，予以审查，决定是否立案。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7、执行责任：依照生效的行政处罚决定，给予限期整改或罚款。</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对回收拆解企业未按照要求建立报废机动车零部件销售台账并如实记录“五大总成”信息并上传信息系统的处罚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《报废机动车回收管理办法实施细则》（商务部令2020年第2号）第四十八条 违反本细则第二十六条规定，回收拆解企业未按照要求建立报废机动车零部件销售台账并如实记录“五大总成”信息并上传信息系统的，由县级以上地方商务主管部门按照《管理办法》第二十三条规定责令改正，并处1万元以上5万元以下的罚款；情节严重的，责令停业整顿。</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1、立案责任：发现报废机动车回收企业涉嫌未按照要求建立报废机动车零部件销售台账并如实记录“五大总成”信息并上传信息系统的，予以审查，决定是否立案。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7、执行责任：依照生效的行政处罚决定，给予罚款或责令停业整顿。</w:t>
            </w:r>
          </w:p>
          <w:p>
            <w:pPr>
              <w:spacing w:line="240" w:lineRule="exact"/>
              <w:rPr>
                <w:rFonts w:hint="eastAsia" w:ascii="仿宋" w:hAnsi="仿宋" w:eastAsia="仿宋" w:cs="仿宋"/>
                <w:color w:val="auto"/>
                <w:sz w:val="21"/>
                <w:szCs w:val="21"/>
              </w:rPr>
            </w:pP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对回收拆解企业未按照国家有关标准和规定要求对报废新能源汽车的废旧动力蓄电池或者其他类型储能设施进行拆卸、收集、贮存、运输及回收利用的，或者未将报废新能源汽车车辆相关信息录入有关平台的处罚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《报废机动车回收管理办法实施细则》（商务部令2020年第2号）第四十九条 违反本细则第二十七条规定，回收拆解企业未按照国家有关标准和规定要求，对报废新能源汽车的废旧动力蓄电池或者其他类型储能设施进行拆卸、收集、贮存、运输及回收利用的，或者未将报废新能源汽车车辆识别代号及动力蓄电池编码、数量、型号、流向等信息录入有关平台的，由县级以上地方商务主管部门会同工业和信息化主管部门责令改正，并处1万元以上3万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未按照国家有关标准和规定要求对报废新能源汽车的废旧动力蓄电池或者其他类型储能设施进行拆卸、收集、贮存、运输及回收利用的，或者未将报废新能源汽车车辆相关信息录入有关平台的，会同工信部门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2、调查责任：会同工信部门对立案的案件，指定专人负责，及时组织调查取证，与当事人有直接利害关系的应当回避。执法人员不得少于两人，调查时应出示执法证件，允许当应保守有关秘密。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7、执行责任：依照生效的行政处罚决定，给予罚款或责令改正。</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对回收拆解企业将报废机动车“五大总成”及其他零部件出售给或者交予规定以外企业处理的处罚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《报废机动车回收管理办法实施细则》（商务部令2020年第2号）第五十条第二款 回收拆解企业将报废机动车“五大总成”及其他零部件出售给或者交予本细则第二十八条、第二十九条规定以外企业处理的，由县级以上地方商务主管部门会同有关部门责令改正，并处1万元以上3万元以下的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报废机动车回收企业涉嫌未按照国家有关标准和规定要求对报废新能源汽车的废旧动力蓄电池或者其他类型储能设施进行拆卸、收集、贮存、运输及回收利用的，或者未将报废新能源汽车车辆相关信息录入有关平台的，会同有关部门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2、调查责任：会同有关部门对立案的案件，指定专人负责，及时组织调查取证，与当事人有直接利害关系的应当回避。执法人员不得少于两人，调查时应出示执法证件，允许当应保守有关秘密。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7、执行责任：依照生效的行政处罚决定，给予罚款或责令改正。</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sz w:val="21"/>
                <w:szCs w:val="21"/>
              </w:rPr>
              <w:t>对</w:t>
            </w:r>
            <w:r>
              <w:rPr>
                <w:rFonts w:hint="eastAsia" w:ascii="仿宋" w:hAnsi="仿宋" w:eastAsia="仿宋" w:cs="仿宋"/>
                <w:sz w:val="21"/>
                <w:szCs w:val="21"/>
                <w:lang w:eastAsia="zh-CN"/>
              </w:rPr>
              <w:t>旧电器电子产品</w:t>
            </w:r>
            <w:r>
              <w:rPr>
                <w:rFonts w:hint="eastAsia" w:ascii="仿宋" w:hAnsi="仿宋" w:eastAsia="仿宋" w:cs="仿宋"/>
                <w:sz w:val="21"/>
                <w:szCs w:val="21"/>
              </w:rPr>
              <w:t>经营者违反《旧电器电子产品流通管理办法》第七条、第八条、第十五条规定的处罚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《旧电器电子产品流通管理办法》（商务部令2013年第1号）第十九条 经营者违反本办法第七条、第八条、第十五条规定的，由县级以上地方商务主管部门责令改正；逾期不改正的，可处二千元以上一万元以下罚款。</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1、立案责任：发现经营者违反本办法第七条、第八条、第十五条规定的，会同有关部门予以审查，决定是否立案。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2、调查责任：会同有关部门对立案的案件，指定专人负责，及时组织调查取证，与当事人有直接利害关系的应当回避。执法人员不得少于两人，调查时应出示执法证件，允许当应保守有关秘密。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7、执行责任：依照生效的行政处罚决定，给予罚款或责令改正。</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556" w:type="dxa"/>
            <w:vAlign w:val="center"/>
          </w:tcPr>
          <w:p>
            <w:pPr>
              <w:numPr>
                <w:ilvl w:val="0"/>
                <w:numId w:val="1"/>
              </w:numPr>
              <w:tabs>
                <w:tab w:val="left" w:pos="7937"/>
              </w:tabs>
              <w:spacing w:line="240" w:lineRule="exact"/>
              <w:ind w:left="425" w:leftChars="0" w:hanging="425" w:firstLineChars="0"/>
              <w:jc w:val="center"/>
              <w:rPr>
                <w:rFonts w:hint="default"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sz w:val="21"/>
                <w:szCs w:val="21"/>
              </w:rPr>
              <w:t>对</w:t>
            </w:r>
            <w:r>
              <w:rPr>
                <w:rFonts w:hint="eastAsia" w:ascii="仿宋" w:hAnsi="仿宋" w:eastAsia="仿宋" w:cs="仿宋"/>
                <w:sz w:val="21"/>
                <w:szCs w:val="21"/>
                <w:lang w:eastAsia="zh-CN"/>
              </w:rPr>
              <w:t>旧电器电子产品</w:t>
            </w:r>
            <w:r>
              <w:rPr>
                <w:rFonts w:hint="eastAsia" w:ascii="仿宋" w:hAnsi="仿宋" w:eastAsia="仿宋" w:cs="仿宋"/>
                <w:sz w:val="21"/>
                <w:szCs w:val="21"/>
              </w:rPr>
              <w:t>经营者违反《旧电器电子产品流通管理办法》第九条、第十一条、第十二条、第十三条、第十八条规定的处罚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《旧电器电子产品流通管理办法》（商务部令2013年第1号）第二十条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1、立案责任：发现经营者违反本办法第九条、第十一条、第十二条、第十三条、第十八条规定的，会同有关部门予以审查，决定是否立案。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2、调查责任：会同有关部门对立案的案件，指定专人负责，及时组织调查取证，与当事人有直接利害关系的应当回避。执法人员不得少于两人，调查时应出示执法证件，允许当应保守有关秘密。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7、执行责任：依照生效的行政处罚决定，给予罚款或责令改正。</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5" w:hRule="atLeast"/>
        </w:trPr>
        <w:tc>
          <w:tcPr>
            <w:tcW w:w="556" w:type="dxa"/>
            <w:vAlign w:val="center"/>
          </w:tcPr>
          <w:p>
            <w:pPr>
              <w:numPr>
                <w:ilvl w:val="0"/>
                <w:numId w:val="1"/>
              </w:numPr>
              <w:tabs>
                <w:tab w:val="left" w:pos="7937"/>
              </w:tabs>
              <w:spacing w:line="240" w:lineRule="exact"/>
              <w:ind w:left="425" w:leftChars="0" w:hanging="425" w:firstLineChars="0"/>
              <w:jc w:val="center"/>
              <w:rPr>
                <w:rFonts w:hint="eastAsia" w:ascii="仿宋" w:hAnsi="仿宋" w:eastAsia="仿宋" w:cs="仿宋"/>
                <w:color w:val="auto"/>
                <w:sz w:val="21"/>
                <w:szCs w:val="21"/>
                <w:lang w:val="en-US" w:eastAsia="zh-CN"/>
              </w:rPr>
            </w:pPr>
          </w:p>
        </w:tc>
        <w:tc>
          <w:tcPr>
            <w:tcW w:w="804" w:type="dxa"/>
            <w:vAlign w:val="center"/>
          </w:tcPr>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处罚</w:t>
            </w:r>
          </w:p>
        </w:tc>
        <w:tc>
          <w:tcPr>
            <w:tcW w:w="118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sz w:val="21"/>
                <w:szCs w:val="21"/>
              </w:rPr>
              <w:t>对</w:t>
            </w:r>
            <w:r>
              <w:rPr>
                <w:rFonts w:hint="eastAsia" w:ascii="仿宋" w:hAnsi="仿宋" w:eastAsia="仿宋" w:cs="仿宋"/>
                <w:sz w:val="21"/>
                <w:szCs w:val="21"/>
                <w:lang w:eastAsia="zh-CN"/>
              </w:rPr>
              <w:t>旧电器电子产品</w:t>
            </w:r>
            <w:r>
              <w:rPr>
                <w:rFonts w:hint="eastAsia" w:ascii="仿宋" w:hAnsi="仿宋" w:eastAsia="仿宋" w:cs="仿宋"/>
                <w:sz w:val="21"/>
                <w:szCs w:val="21"/>
              </w:rPr>
              <w:t>经营者违反《旧电器电子产品流通管理办法》第十条、第十四条规定的处罚</w:t>
            </w:r>
          </w:p>
        </w:tc>
        <w:tc>
          <w:tcPr>
            <w:tcW w:w="801" w:type="dxa"/>
            <w:vAlign w:val="center"/>
          </w:tcPr>
          <w:p>
            <w:pPr>
              <w:spacing w:line="24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18"/>
                <w:szCs w:val="18"/>
                <w:lang w:val="en-US" w:eastAsia="zh-CN"/>
              </w:rPr>
              <w:t>涞源县发展和改革局</w:t>
            </w:r>
          </w:p>
        </w:tc>
        <w:tc>
          <w:tcPr>
            <w:tcW w:w="4614" w:type="dxa"/>
            <w:vAlign w:val="center"/>
          </w:tcPr>
          <w:p>
            <w:pPr>
              <w:spacing w:line="240" w:lineRule="exact"/>
              <w:rPr>
                <w:rFonts w:hint="eastAsia" w:ascii="仿宋" w:hAnsi="仿宋" w:eastAsia="仿宋" w:cs="仿宋"/>
                <w:b/>
                <w:bCs/>
                <w:color w:val="auto"/>
                <w:sz w:val="21"/>
                <w:szCs w:val="21"/>
              </w:rPr>
            </w:pPr>
            <w:r>
              <w:rPr>
                <w:rFonts w:hint="eastAsia" w:ascii="仿宋" w:hAnsi="仿宋" w:eastAsia="仿宋" w:cs="仿宋"/>
                <w:b/>
                <w:bCs/>
                <w:color w:val="auto"/>
                <w:sz w:val="21"/>
                <w:szCs w:val="21"/>
              </w:rPr>
              <w:t>部委规章：</w:t>
            </w:r>
            <w:r>
              <w:rPr>
                <w:rFonts w:hint="eastAsia" w:ascii="仿宋" w:hAnsi="仿宋" w:eastAsia="仿宋" w:cs="仿宋"/>
                <w:color w:val="auto"/>
                <w:sz w:val="21"/>
                <w:szCs w:val="21"/>
              </w:rPr>
              <w:t>《旧电器电子产品流通管理办法》（商务部令2013年第1号）第二十一条 经营者违反本办法第十条、第十四条规定的，由法律、行政法规规定的有关部门依法处理；法律法规未作规定的，由县级以上地方商务主管部门责令改正；逾期不改正的，可处一万元以上三万元以下罚款；构成犯罪的，依法追究刑事责任。第十条　禁止经营者收购下列旧电器电子产品：（一）依法查封、扣押的；（二）明知是通过盗窃、抢劫、诈骗、走私或其他违法犯罪手段获得的；（三）不能说明合法来源的；（四）其他法律、行政法规禁止收购的。</w:t>
            </w:r>
          </w:p>
        </w:tc>
        <w:tc>
          <w:tcPr>
            <w:tcW w:w="400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1、立案责任：发现经营者违反本办法第十条、第十四条规定的，会同有关部门予以审查，决定是否立案。</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2、调查责任：会同有关部门对立案的案件，指定专人负责，及时组织调查取证，与当事人有直接利害关系的应当回避。执法人员不得少于两人，调查时应出示执法证件，允许当应保守有关秘密。</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4、告知责任：作出行政处罚决定前，应制作《行政处罚告知书》送达当事人，告知违法事实及其享有的陈述、申辩等权利。符合听证规定的，制作并送达《行政处罚听证告知书》。</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5、决定责任：制作行政处罚决定书，载明行政处罚告知、当事人陈述申辩或者听证情况等内容。</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6、送达责任：行政处罚决定书按法律规定的方式送达当事人。</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7、执行责任：依照生效的行政处罚决定，给予罚款或责令改正。</w:t>
            </w:r>
          </w:p>
        </w:tc>
        <w:tc>
          <w:tcPr>
            <w:tcW w:w="3345" w:type="dxa"/>
            <w:vAlign w:val="center"/>
          </w:tcPr>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1、没有法律和事实依据实施行政处罚的；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2、行政处罚显失公正的；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3、执法人员玩忽职守，对应当予以制止和处罚的违法行为不予制止、处罚；</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4、不具备行政执法资格实施行政处罚的；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5、在制止以及查处违法案件中受阻，依照有关规定应当向本级人民政府或者上级商务主管部门报告而未报告的；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6、应当依法移送追究刑事责任，而未依法移送有权机关的；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7、擅自改变行政处罚种类、幅度的；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8、违反法定的行政处罚程序的；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9、符合听证条件、行政管理相对人要求听证，应予组织听证而不组织听证的；</w:t>
            </w:r>
          </w:p>
          <w:p>
            <w:pPr>
              <w:tabs>
                <w:tab w:val="left" w:pos="7937"/>
              </w:tabs>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10、在行政处罚过程中发生腐败行为的；</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11、其他违反法律法规规章文件规定的行为。</w:t>
            </w:r>
          </w:p>
        </w:tc>
        <w:tc>
          <w:tcPr>
            <w:tcW w:w="426" w:type="dxa"/>
            <w:vAlign w:val="center"/>
          </w:tcPr>
          <w:p>
            <w:pPr>
              <w:spacing w:line="24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商务股</w:t>
            </w:r>
          </w:p>
        </w:tc>
      </w:tr>
    </w:tbl>
    <w:p>
      <w:pPr>
        <w:spacing w:line="600" w:lineRule="exact"/>
        <w:jc w:val="both"/>
        <w:rPr>
          <w:rFonts w:hint="eastAsia" w:ascii="宋体" w:hAnsi="宋体" w:eastAsia="宋体" w:cs="宋体"/>
          <w:color w:val="auto"/>
          <w:sz w:val="36"/>
        </w:rPr>
      </w:pPr>
    </w:p>
    <w:tbl>
      <w:tblPr>
        <w:tblStyle w:val="6"/>
        <w:tblpPr w:leftFromText="180" w:rightFromText="180" w:vertAnchor="text" w:horzAnchor="page" w:tblpX="682" w:tblpY="893"/>
        <w:tblOverlap w:val="never"/>
        <w:tblW w:w="15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804"/>
        <w:gridCol w:w="1185"/>
        <w:gridCol w:w="780"/>
        <w:gridCol w:w="4635"/>
        <w:gridCol w:w="4005"/>
        <w:gridCol w:w="3345"/>
        <w:gridCol w:w="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0"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53</w:t>
            </w:r>
          </w:p>
        </w:tc>
        <w:tc>
          <w:tcPr>
            <w:tcW w:w="804" w:type="dxa"/>
            <w:vAlign w:val="center"/>
          </w:tcPr>
          <w:p>
            <w:pPr>
              <w:tabs>
                <w:tab w:val="left" w:pos="7937"/>
              </w:tabs>
              <w:spacing w:line="28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检查</w:t>
            </w:r>
          </w:p>
        </w:tc>
        <w:tc>
          <w:tcPr>
            <w:tcW w:w="1185" w:type="dxa"/>
            <w:vAlign w:val="center"/>
          </w:tcPr>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对节能法律、法规和节能标准执行情况监督检查</w:t>
            </w:r>
          </w:p>
        </w:tc>
        <w:tc>
          <w:tcPr>
            <w:tcW w:w="780"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35"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1.《中华人民共和国节约能源法》第十二条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县级以上人民政府管理节能工作的部门和有关部门应当在各自的职责范围内，加强对节能法律、法规和节能标准执行情况的监督检查，依法查处违法用能行为</w:t>
            </w:r>
            <w:r>
              <w:rPr>
                <w:rFonts w:hint="eastAsia" w:ascii="仿宋" w:hAnsi="仿宋" w:eastAsia="仿宋" w:cs="仿宋"/>
                <w:color w:val="auto"/>
                <w:sz w:val="21"/>
                <w:szCs w:val="21"/>
                <w:lang w:eastAsia="zh-CN"/>
              </w:rPr>
              <w:t>”</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2.《河北省节约能源条例》第五条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省和设区的市人民政府节能行政主管部门设置的节能监察机构负责本行政区域内的日常节能监察工作</w:t>
            </w:r>
            <w:r>
              <w:rPr>
                <w:rFonts w:hint="eastAsia" w:ascii="仿宋" w:hAnsi="仿宋" w:eastAsia="仿宋" w:cs="仿宋"/>
                <w:color w:val="auto"/>
                <w:sz w:val="21"/>
                <w:szCs w:val="21"/>
                <w:lang w:eastAsia="zh-CN"/>
              </w:rPr>
              <w:t>”</w:t>
            </w:r>
          </w:p>
        </w:tc>
        <w:tc>
          <w:tcPr>
            <w:tcW w:w="4005"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1.检查责任：对节能法律、法规和节能标准执行情况组织监督检查</w:t>
            </w:r>
            <w:r>
              <w:rPr>
                <w:rFonts w:hint="eastAsia" w:ascii="仿宋" w:hAnsi="仿宋" w:eastAsia="仿宋" w:cs="仿宋"/>
                <w:color w:val="auto"/>
                <w:sz w:val="21"/>
                <w:szCs w:val="21"/>
                <w:lang w:eastAsia="zh-CN"/>
              </w:rPr>
              <w:t>。</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2.处置责任：对监督检查发现的问题，责令其限期整改、依法实施处罚</w:t>
            </w:r>
            <w:r>
              <w:rPr>
                <w:rFonts w:hint="eastAsia" w:ascii="仿宋" w:hAnsi="仿宋" w:eastAsia="仿宋" w:cs="仿宋"/>
                <w:color w:val="auto"/>
                <w:sz w:val="21"/>
                <w:szCs w:val="21"/>
                <w:lang w:eastAsia="zh-CN"/>
              </w:rPr>
              <w:t>。</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3.移送责任：及时予以公告，对构成违法犯罪的移交司法机关</w:t>
            </w:r>
            <w:r>
              <w:rPr>
                <w:rFonts w:hint="eastAsia" w:ascii="仿宋" w:hAnsi="仿宋" w:eastAsia="仿宋" w:cs="仿宋"/>
                <w:color w:val="auto"/>
                <w:sz w:val="21"/>
                <w:szCs w:val="21"/>
                <w:lang w:eastAsia="zh-CN"/>
              </w:rPr>
              <w:t>。</w:t>
            </w:r>
          </w:p>
          <w:p>
            <w:p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4.</w:t>
            </w:r>
            <w:r>
              <w:rPr>
                <w:rFonts w:hint="eastAsia" w:ascii="仿宋" w:hAnsi="仿宋" w:eastAsia="仿宋" w:cs="仿宋"/>
                <w:color w:val="auto"/>
                <w:sz w:val="21"/>
                <w:szCs w:val="21"/>
                <w:lang w:val="en-US" w:eastAsia="zh-CN"/>
              </w:rPr>
              <w:t>事后管理责任：对监督检查发现的问题整改情况进行核查。</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.其他法律法规规章文件规定应履行的责任。</w:t>
            </w:r>
          </w:p>
        </w:tc>
        <w:tc>
          <w:tcPr>
            <w:tcW w:w="3345"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1.不对本辖区内</w:t>
            </w:r>
            <w:r>
              <w:rPr>
                <w:rFonts w:hint="eastAsia" w:ascii="仿宋" w:hAnsi="仿宋" w:eastAsia="仿宋" w:cs="仿宋"/>
                <w:color w:val="auto"/>
                <w:sz w:val="21"/>
                <w:szCs w:val="21"/>
                <w:lang w:eastAsia="zh-CN"/>
              </w:rPr>
              <w:t>重点用能单位</w:t>
            </w:r>
            <w:r>
              <w:rPr>
                <w:rFonts w:hint="eastAsia" w:ascii="仿宋" w:hAnsi="仿宋" w:eastAsia="仿宋" w:cs="仿宋"/>
                <w:color w:val="auto"/>
                <w:sz w:val="21"/>
                <w:szCs w:val="21"/>
              </w:rPr>
              <w:t>进行监督检查的；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2.对检查中发现的问题不责令限期整改、依法实施处罚的；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3.对构成犯罪的不移交司法机关的；</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4.对监督检查发现的问题，整改完成后，不对整改情况组织进行核查；</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其他违反法律法规规章文件规定的行为。</w:t>
            </w:r>
          </w:p>
        </w:tc>
        <w:tc>
          <w:tcPr>
            <w:tcW w:w="42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pacing w:val="-4"/>
                <w:sz w:val="21"/>
                <w:szCs w:val="21"/>
                <w:lang w:eastAsia="zh-CN"/>
              </w:rPr>
              <w:t>投资股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54</w:t>
            </w:r>
          </w:p>
        </w:tc>
        <w:tc>
          <w:tcPr>
            <w:tcW w:w="804" w:type="dxa"/>
            <w:vAlign w:val="center"/>
          </w:tcPr>
          <w:p>
            <w:pPr>
              <w:autoSpaceDN w:val="0"/>
              <w:spacing w:line="30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autoSpaceDN w:val="0"/>
              <w:spacing w:line="300" w:lineRule="exact"/>
              <w:jc w:val="center"/>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检查</w:t>
            </w:r>
          </w:p>
        </w:tc>
        <w:tc>
          <w:tcPr>
            <w:tcW w:w="1185" w:type="dxa"/>
            <w:vAlign w:val="center"/>
          </w:tcPr>
          <w:p>
            <w:pPr>
              <w:pStyle w:val="5"/>
              <w:spacing w:line="240" w:lineRule="atLeas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对职责所涉及的</w:t>
            </w:r>
            <w:r>
              <w:rPr>
                <w:rFonts w:hint="eastAsia" w:ascii="仿宋" w:hAnsi="仿宋" w:eastAsia="仿宋" w:cs="仿宋"/>
                <w:color w:val="auto"/>
                <w:sz w:val="21"/>
                <w:szCs w:val="21"/>
                <w:lang w:eastAsia="zh-CN"/>
              </w:rPr>
              <w:t>县</w:t>
            </w:r>
            <w:r>
              <w:rPr>
                <w:rFonts w:hint="eastAsia" w:ascii="仿宋" w:hAnsi="仿宋" w:eastAsia="仿宋" w:cs="仿宋"/>
                <w:color w:val="auto"/>
                <w:sz w:val="21"/>
                <w:szCs w:val="21"/>
              </w:rPr>
              <w:t>级粮食储备进行监督检查</w:t>
            </w:r>
          </w:p>
        </w:tc>
        <w:tc>
          <w:tcPr>
            <w:tcW w:w="780" w:type="dxa"/>
            <w:vAlign w:val="center"/>
          </w:tcPr>
          <w:p>
            <w:pPr>
              <w:autoSpaceDN w:val="0"/>
              <w:spacing w:line="300" w:lineRule="exact"/>
              <w:jc w:val="center"/>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35" w:type="dxa"/>
            <w:vAlign w:val="center"/>
          </w:tcPr>
          <w:p>
            <w:pPr>
              <w:autoSpaceDN w:val="0"/>
              <w:spacing w:line="30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 xml:space="preserve">   《保定市发展和改革委员会职能配置、内设机构和人员编制规定》保办字﹝2019﹞49号第七条（三十八）粮食储备处。落实粮食储备政策、规章制度。研究提出全市粮食储备体系建设的建议。负责实施市级粮食储备的收储、轮换和日常管理，拟订市级粮食储备管理办法并组织实施。指导县（市、区）粮食储备工作。</w:t>
            </w:r>
          </w:p>
          <w:p>
            <w:pPr>
              <w:autoSpaceDN w:val="0"/>
              <w:spacing w:line="300" w:lineRule="exact"/>
              <w:ind w:firstLine="315" w:firstLineChars="150"/>
              <w:jc w:val="left"/>
              <w:textAlignment w:val="center"/>
              <w:rPr>
                <w:rFonts w:hint="eastAsia" w:ascii="仿宋" w:hAnsi="仿宋" w:eastAsia="仿宋" w:cs="仿宋"/>
                <w:color w:val="auto"/>
                <w:kern w:val="0"/>
                <w:sz w:val="21"/>
                <w:szCs w:val="21"/>
              </w:rPr>
            </w:pPr>
            <w:r>
              <w:rPr>
                <w:rFonts w:hint="eastAsia" w:ascii="仿宋" w:hAnsi="仿宋" w:eastAsia="仿宋" w:cs="仿宋"/>
                <w:color w:val="auto"/>
                <w:sz w:val="21"/>
                <w:szCs w:val="21"/>
              </w:rPr>
              <w:t>《保定市市级储备粮管理办法》（保政发〔2018〕27号）第六章监督检查第45条、第46条、第47条相关规定，</w:t>
            </w:r>
            <w:r>
              <w:rPr>
                <w:rFonts w:hint="eastAsia" w:ascii="仿宋" w:hAnsi="仿宋" w:eastAsia="仿宋" w:cs="仿宋"/>
                <w:color w:val="auto"/>
                <w:kern w:val="0"/>
                <w:sz w:val="21"/>
                <w:szCs w:val="21"/>
              </w:rPr>
              <w:t>依法对承储企业执行本办法及有关粮食法规的情况进行监督检查。</w:t>
            </w:r>
          </w:p>
          <w:p>
            <w:pPr>
              <w:autoSpaceDN w:val="0"/>
              <w:spacing w:line="300" w:lineRule="exact"/>
              <w:ind w:firstLine="420" w:firstLineChars="200"/>
              <w:jc w:val="left"/>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充分发挥各县（市、区）政府属地监管作用，</w:t>
            </w:r>
            <w:r>
              <w:rPr>
                <w:rFonts w:hint="eastAsia" w:ascii="仿宋" w:hAnsi="仿宋" w:eastAsia="仿宋" w:cs="仿宋"/>
                <w:color w:val="auto"/>
                <w:kern w:val="0"/>
                <w:sz w:val="21"/>
                <w:szCs w:val="21"/>
              </w:rPr>
              <w:t>协助省局做好辖区内省级储备粮的监管、</w:t>
            </w:r>
            <w:r>
              <w:rPr>
                <w:rFonts w:hint="eastAsia" w:ascii="仿宋" w:hAnsi="仿宋" w:eastAsia="仿宋" w:cs="仿宋"/>
                <w:color w:val="auto"/>
                <w:sz w:val="21"/>
                <w:szCs w:val="21"/>
              </w:rPr>
              <w:t>指导县（市、区）做好粮食储备工作。</w:t>
            </w:r>
          </w:p>
        </w:tc>
        <w:tc>
          <w:tcPr>
            <w:tcW w:w="4005" w:type="dxa"/>
            <w:vAlign w:val="center"/>
          </w:tcPr>
          <w:p>
            <w:pPr>
              <w:autoSpaceDN w:val="0"/>
              <w:spacing w:line="30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1.检查责任：定期对职责所涉及的市级粮食储备收储、轮换和日常管理组织监督检查</w:t>
            </w:r>
            <w:r>
              <w:rPr>
                <w:rFonts w:hint="eastAsia" w:ascii="仿宋" w:hAnsi="仿宋" w:eastAsia="仿宋" w:cs="仿宋"/>
                <w:color w:val="auto"/>
                <w:sz w:val="21"/>
                <w:szCs w:val="21"/>
                <w:lang w:eastAsia="zh-CN"/>
              </w:rPr>
              <w:t>。</w:t>
            </w:r>
          </w:p>
          <w:p>
            <w:pPr>
              <w:autoSpaceDN w:val="0"/>
              <w:spacing w:line="30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2.处置责任：对监督检查中发现问题，责令限期整改，依据管理办法和协议规定实施处罚或取消粮食储备资格。对监督检查中发现构成违法犯罪的，及时上报委局（主管）领导，做出处理</w:t>
            </w:r>
            <w:r>
              <w:rPr>
                <w:rFonts w:hint="eastAsia" w:ascii="仿宋" w:hAnsi="仿宋" w:eastAsia="仿宋" w:cs="仿宋"/>
                <w:color w:val="auto"/>
                <w:sz w:val="21"/>
                <w:szCs w:val="21"/>
                <w:lang w:eastAsia="zh-CN"/>
              </w:rPr>
              <w:t>。</w:t>
            </w:r>
          </w:p>
          <w:p>
            <w:pPr>
              <w:autoSpaceDN w:val="0"/>
              <w:spacing w:line="30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sz w:val="21"/>
                <w:szCs w:val="21"/>
                <w:lang w:eastAsia="zh-CN"/>
              </w:rPr>
              <w:t>移送</w:t>
            </w:r>
            <w:r>
              <w:rPr>
                <w:rFonts w:hint="eastAsia" w:ascii="仿宋" w:hAnsi="仿宋" w:eastAsia="仿宋" w:cs="仿宋"/>
                <w:color w:val="auto"/>
                <w:sz w:val="21"/>
                <w:szCs w:val="21"/>
              </w:rPr>
              <w:t>责任：</w:t>
            </w:r>
            <w:r>
              <w:rPr>
                <w:rFonts w:hint="eastAsia" w:ascii="仿宋" w:hAnsi="仿宋" w:eastAsia="仿宋" w:cs="仿宋"/>
                <w:color w:val="auto"/>
                <w:sz w:val="21"/>
                <w:szCs w:val="21"/>
                <w:lang w:eastAsia="zh-CN"/>
              </w:rPr>
              <w:t>及时予以公告，对构成违法犯罪的移交司法机关。</w:t>
            </w:r>
          </w:p>
          <w:p>
            <w:pPr>
              <w:autoSpaceDN w:val="0"/>
              <w:spacing w:line="30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4.事后管理责任：对监督检查发现的问题整改情况进行核查</w:t>
            </w:r>
            <w:r>
              <w:rPr>
                <w:rFonts w:hint="eastAsia" w:ascii="仿宋" w:hAnsi="仿宋" w:eastAsia="仿宋" w:cs="仿宋"/>
                <w:color w:val="auto"/>
                <w:sz w:val="21"/>
                <w:szCs w:val="21"/>
                <w:lang w:eastAsia="zh-CN"/>
              </w:rPr>
              <w:t>。</w:t>
            </w:r>
          </w:p>
          <w:p>
            <w:pPr>
              <w:autoSpaceDN w:val="0"/>
              <w:spacing w:line="300" w:lineRule="exact"/>
              <w:jc w:val="left"/>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5.</w:t>
            </w:r>
            <w:r>
              <w:rPr>
                <w:rFonts w:hint="eastAsia" w:ascii="仿宋" w:hAnsi="仿宋" w:eastAsia="仿宋" w:cs="仿宋"/>
                <w:color w:val="auto"/>
                <w:sz w:val="21"/>
                <w:szCs w:val="21"/>
                <w:lang w:eastAsia="zh-CN"/>
              </w:rPr>
              <w:t>其他法律法规规章文件规定应履行的责任。</w:t>
            </w:r>
          </w:p>
        </w:tc>
        <w:tc>
          <w:tcPr>
            <w:tcW w:w="3345" w:type="dxa"/>
            <w:vAlign w:val="top"/>
          </w:tcPr>
          <w:p>
            <w:pPr>
              <w:tabs>
                <w:tab w:val="left" w:pos="7937"/>
              </w:tabs>
              <w:spacing w:line="26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1.不对本辖区相关职责内工作情况组织监督检查；</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2.对在检查中发现的问题，不责令限期整改、不依法实施处罚；</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3.不及时予以公告，对构成违法犯罪的不移交司法机关；</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4.对监督检查发现的问题，整改完成后，不对整改情况组织进行核查；</w:t>
            </w:r>
          </w:p>
          <w:p>
            <w:pPr>
              <w:spacing w:line="240" w:lineRule="exact"/>
              <w:rPr>
                <w:rFonts w:hint="eastAsia" w:ascii="仿宋" w:hAnsi="仿宋" w:eastAsia="仿宋" w:cs="仿宋"/>
                <w:color w:val="auto"/>
                <w:sz w:val="21"/>
                <w:szCs w:val="21"/>
              </w:rPr>
            </w:pPr>
            <w:r>
              <w:rPr>
                <w:rFonts w:hint="eastAsia" w:ascii="仿宋" w:hAnsi="仿宋" w:eastAsia="仿宋" w:cs="仿宋"/>
                <w:color w:val="auto"/>
                <w:spacing w:val="-4"/>
                <w:sz w:val="21"/>
                <w:szCs w:val="21"/>
              </w:rPr>
              <w:t>5.其他违反法律法规规章文件规定的行为。</w:t>
            </w:r>
          </w:p>
          <w:p>
            <w:pPr>
              <w:autoSpaceDN w:val="0"/>
              <w:spacing w:line="300" w:lineRule="exact"/>
              <w:ind w:firstLine="420" w:firstLineChars="200"/>
              <w:jc w:val="left"/>
              <w:textAlignment w:val="center"/>
              <w:rPr>
                <w:rFonts w:hint="eastAsia" w:ascii="仿宋" w:hAnsi="仿宋" w:eastAsia="仿宋" w:cs="仿宋"/>
                <w:b w:val="0"/>
                <w:i w:val="0"/>
                <w:snapToGrid/>
                <w:color w:val="auto"/>
                <w:sz w:val="21"/>
                <w:szCs w:val="21"/>
                <w:u w:val="none"/>
                <w:lang w:eastAsia="zh-CN"/>
              </w:rPr>
            </w:pPr>
          </w:p>
        </w:tc>
        <w:tc>
          <w:tcPr>
            <w:tcW w:w="420" w:type="dxa"/>
            <w:vAlign w:val="center"/>
          </w:tcPr>
          <w:p>
            <w:pPr>
              <w:tabs>
                <w:tab w:val="left" w:pos="7937"/>
              </w:tabs>
              <w:spacing w:line="26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55</w:t>
            </w: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检查</w:t>
            </w:r>
          </w:p>
        </w:tc>
        <w:tc>
          <w:tcPr>
            <w:tcW w:w="118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对辖区内</w:t>
            </w:r>
            <w:r>
              <w:rPr>
                <w:rFonts w:hint="eastAsia" w:ascii="仿宋" w:hAnsi="仿宋" w:eastAsia="仿宋" w:cs="仿宋"/>
                <w:color w:val="auto"/>
                <w:sz w:val="21"/>
                <w:szCs w:val="21"/>
              </w:rPr>
              <w:t>粮食收购、储存、运输活动和政策性用粮购销活动的检查</w:t>
            </w:r>
          </w:p>
          <w:p>
            <w:pPr>
              <w:tabs>
                <w:tab w:val="left" w:pos="7937"/>
              </w:tabs>
              <w:spacing w:line="240" w:lineRule="exact"/>
              <w:jc w:val="lef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780"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3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《粮食流通条例》第34条：粮食行政管理部门依照本条例对粮食经营者从事粮食收购、储存、运输活动和政策性用粮的购销活动，以及执行国家粮食流通统计制度的情况进行监督检查。</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1.检查责任：对本辖区负责粮食收购、储存、运输活动和政策性粮食用粮购销活动的监督检查。</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2.处置责任：对监督检查发现的问题，责令限期整改、依法实施处罚</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3.移送责任：及时予以公告，对构成违法犯罪的移交司法机关</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4.事后管理责任：对监督检查发现的问题，责令整改完成后，对整改情况组织进行核查</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5.其他法律法规规章文件规定应履行的责任。</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p>
        </w:tc>
        <w:tc>
          <w:tcPr>
            <w:tcW w:w="3345" w:type="dxa"/>
            <w:vAlign w:val="center"/>
          </w:tcPr>
          <w:p>
            <w:pPr>
              <w:tabs>
                <w:tab w:val="left" w:pos="7937"/>
              </w:tabs>
              <w:spacing w:line="260" w:lineRule="exact"/>
              <w:rPr>
                <w:rFonts w:hint="eastAsia" w:ascii="仿宋" w:hAnsi="仿宋" w:eastAsia="仿宋" w:cs="仿宋"/>
                <w:color w:val="auto"/>
                <w:sz w:val="21"/>
                <w:szCs w:val="21"/>
              </w:rPr>
            </w:pP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因不履行或不正确履行行政职责，有下列情形的，行政机关及相关工作人员应承担相应责任：</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1.不对本辖区相关职责内工作情况组织监督检查；</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2.对在检查中发现的问题，不责令限期整改、不依法实施处罚；</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3.不及时予以公告，对构成违法犯罪的不移交司法机关；</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4.对监督检查发现的问题，整改完成后，不对整改情况组织进行核查；</w:t>
            </w:r>
          </w:p>
          <w:p>
            <w:pPr>
              <w:spacing w:line="240" w:lineRule="exact"/>
              <w:rPr>
                <w:rFonts w:hint="eastAsia" w:ascii="仿宋" w:hAnsi="仿宋" w:eastAsia="仿宋" w:cs="仿宋"/>
                <w:color w:val="auto"/>
                <w:sz w:val="21"/>
                <w:szCs w:val="21"/>
              </w:rPr>
            </w:pPr>
            <w:r>
              <w:rPr>
                <w:rFonts w:hint="eastAsia" w:ascii="仿宋" w:hAnsi="仿宋" w:eastAsia="仿宋" w:cs="仿宋"/>
                <w:color w:val="auto"/>
                <w:spacing w:val="-4"/>
                <w:sz w:val="21"/>
                <w:szCs w:val="21"/>
              </w:rPr>
              <w:t>5.其他违反法律法规规章文件规定的行为。</w:t>
            </w:r>
          </w:p>
          <w:p>
            <w:pPr>
              <w:tabs>
                <w:tab w:val="left" w:pos="7937"/>
              </w:tabs>
              <w:spacing w:line="260" w:lineRule="exact"/>
              <w:rPr>
                <w:rFonts w:hint="eastAsia" w:ascii="仿宋" w:hAnsi="仿宋" w:eastAsia="仿宋" w:cs="仿宋"/>
                <w:b w:val="0"/>
                <w:i w:val="0"/>
                <w:snapToGrid/>
                <w:color w:val="auto"/>
                <w:sz w:val="21"/>
                <w:szCs w:val="21"/>
                <w:u w:val="none"/>
                <w:lang w:eastAsia="zh-CN"/>
              </w:rPr>
            </w:pPr>
          </w:p>
        </w:tc>
        <w:tc>
          <w:tcPr>
            <w:tcW w:w="42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56</w:t>
            </w: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检查</w:t>
            </w:r>
          </w:p>
        </w:tc>
        <w:tc>
          <w:tcPr>
            <w:tcW w:w="118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对</w:t>
            </w:r>
            <w:r>
              <w:rPr>
                <w:rFonts w:hint="eastAsia" w:ascii="仿宋" w:hAnsi="仿宋" w:eastAsia="仿宋" w:cs="仿宋"/>
                <w:color w:val="auto"/>
                <w:sz w:val="21"/>
                <w:szCs w:val="21"/>
              </w:rPr>
              <w:t>辖区内粮油仓储单位仓容量登统备案管理和组织实施粮食最低、最高库存量核定核查工作；社会粮食、食物植物油供需平衡调查工作；各类粮油企业基本情况数据库，掌握粮油产、消、存情况</w:t>
            </w:r>
            <w:r>
              <w:rPr>
                <w:rFonts w:hint="eastAsia" w:ascii="仿宋" w:hAnsi="仿宋" w:eastAsia="仿宋" w:cs="仿宋"/>
                <w:color w:val="auto"/>
                <w:sz w:val="21"/>
                <w:szCs w:val="21"/>
                <w:lang w:eastAsia="zh-CN"/>
              </w:rPr>
              <w:t>的检查</w:t>
            </w:r>
          </w:p>
          <w:p>
            <w:pPr>
              <w:tabs>
                <w:tab w:val="left" w:pos="7937"/>
              </w:tabs>
              <w:spacing w:line="240" w:lineRule="exact"/>
              <w:jc w:val="lef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780"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3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《粮油仓储管理办法》第6条：粮油仓储单位应当自设立或开始从事粮油仓储活动之日起30个工作日内，向所在地粮食行政管理部门备案。</w:t>
            </w:r>
          </w:p>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《粮食流通管理条例》第19条：从事粮食收购、价格、销售的经营者，必须保持必要的库存量。</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p>
        </w:tc>
        <w:tc>
          <w:tcPr>
            <w:tcW w:w="400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rPr>
              <w:t>1.检查责任：对本辖区粮油仓储单位仓容量登统备案和核定最低最高库存量，社会粮食、食物植物油供需平衡调查工作；各类粮油企业基本情况数据库，粮油产、消、存情况</w:t>
            </w:r>
            <w:r>
              <w:rPr>
                <w:rFonts w:hint="eastAsia" w:ascii="仿宋" w:hAnsi="仿宋" w:eastAsia="仿宋" w:cs="仿宋"/>
                <w:color w:val="auto"/>
                <w:sz w:val="21"/>
                <w:szCs w:val="21"/>
                <w:lang w:eastAsia="zh-CN"/>
              </w:rPr>
              <w:t>的监督检查</w:t>
            </w:r>
            <w:r>
              <w:rPr>
                <w:rFonts w:hint="eastAsia" w:ascii="仿宋" w:hAnsi="仿宋" w:eastAsia="仿宋" w:cs="仿宋"/>
                <w:color w:val="auto"/>
                <w:sz w:val="21"/>
                <w:szCs w:val="21"/>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2.处置责任：对监督检查发现的问题，责令限期整改、依法实施处罚</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3.移送责任：及时予以公告，对构成违法犯罪的移交司法机关</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4.事后管理责任：对监督检查发现的问题，责令整改完成后，对整改情况组织进行核查</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5.其他法律法规规章文件规定应履行的责任。</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p>
        </w:tc>
        <w:tc>
          <w:tcPr>
            <w:tcW w:w="3345" w:type="dxa"/>
            <w:vAlign w:val="center"/>
          </w:tcPr>
          <w:p>
            <w:pPr>
              <w:tabs>
                <w:tab w:val="left" w:pos="7937"/>
              </w:tabs>
              <w:spacing w:line="260" w:lineRule="exact"/>
              <w:rPr>
                <w:rFonts w:hint="eastAsia" w:ascii="仿宋" w:hAnsi="仿宋" w:eastAsia="仿宋" w:cs="仿宋"/>
                <w:color w:val="auto"/>
                <w:sz w:val="21"/>
                <w:szCs w:val="21"/>
              </w:rPr>
            </w:pP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因不履行或不正确履行行政职责，有下列情形的，行政机关及相关工作人员应承担相应责任：</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1.不对本辖区相关职责内工作情况组织监督检查；</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2.对在检查中发现的问题，不责令限期整改、不依法实施处罚；</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3.不及时予以公告，对构成违法犯罪的不移交司法机关；</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4.对监督检查发现的问题，整改完成后，不对整改情况组织进行核查；</w:t>
            </w:r>
          </w:p>
          <w:p>
            <w:pPr>
              <w:spacing w:line="240" w:lineRule="exact"/>
              <w:rPr>
                <w:rFonts w:hint="eastAsia" w:ascii="仿宋" w:hAnsi="仿宋" w:eastAsia="仿宋" w:cs="仿宋"/>
                <w:color w:val="auto"/>
                <w:sz w:val="21"/>
                <w:szCs w:val="21"/>
              </w:rPr>
            </w:pPr>
            <w:r>
              <w:rPr>
                <w:rFonts w:hint="eastAsia" w:ascii="仿宋" w:hAnsi="仿宋" w:eastAsia="仿宋" w:cs="仿宋"/>
                <w:color w:val="auto"/>
                <w:spacing w:val="-4"/>
                <w:sz w:val="21"/>
                <w:szCs w:val="21"/>
              </w:rPr>
              <w:t>5.其他违反法律法规规章文件规定的行为。</w:t>
            </w:r>
          </w:p>
          <w:p>
            <w:pPr>
              <w:tabs>
                <w:tab w:val="left" w:pos="7937"/>
              </w:tabs>
              <w:spacing w:line="260" w:lineRule="exact"/>
              <w:rPr>
                <w:rFonts w:hint="eastAsia" w:ascii="仿宋" w:hAnsi="仿宋" w:eastAsia="仿宋" w:cs="仿宋"/>
                <w:b w:val="0"/>
                <w:i w:val="0"/>
                <w:snapToGrid/>
                <w:color w:val="auto"/>
                <w:sz w:val="21"/>
                <w:szCs w:val="21"/>
                <w:u w:val="none"/>
                <w:lang w:eastAsia="zh-CN"/>
              </w:rPr>
            </w:pPr>
          </w:p>
        </w:tc>
        <w:tc>
          <w:tcPr>
            <w:tcW w:w="42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pacing w:val="-4"/>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57</w:t>
            </w:r>
          </w:p>
        </w:tc>
        <w:tc>
          <w:tcPr>
            <w:tcW w:w="804" w:type="dxa"/>
            <w:vAlign w:val="center"/>
          </w:tcPr>
          <w:p>
            <w:pPr>
              <w:tabs>
                <w:tab w:val="left" w:pos="7937"/>
              </w:tabs>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检查</w:t>
            </w:r>
          </w:p>
        </w:tc>
        <w:tc>
          <w:tcPr>
            <w:tcW w:w="1185" w:type="dxa"/>
            <w:vAlign w:val="center"/>
          </w:tcPr>
          <w:p>
            <w:pPr>
              <w:tabs>
                <w:tab w:val="left" w:pos="7937"/>
              </w:tabs>
              <w:spacing w:line="240" w:lineRule="exact"/>
              <w:jc w:val="lef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对辖区内</w:t>
            </w:r>
            <w:r>
              <w:rPr>
                <w:rFonts w:hint="eastAsia" w:ascii="仿宋" w:hAnsi="仿宋" w:eastAsia="仿宋" w:cs="仿宋"/>
                <w:color w:val="auto"/>
                <w:sz w:val="21"/>
                <w:szCs w:val="21"/>
              </w:rPr>
              <w:t>粮食经营及饲料、工业用粮企业的社会统计工作</w:t>
            </w:r>
            <w:r>
              <w:rPr>
                <w:rFonts w:hint="eastAsia" w:ascii="仿宋" w:hAnsi="仿宋" w:eastAsia="仿宋" w:cs="仿宋"/>
                <w:color w:val="auto"/>
                <w:sz w:val="21"/>
                <w:szCs w:val="21"/>
                <w:lang w:eastAsia="zh-CN"/>
              </w:rPr>
              <w:t>的检查</w:t>
            </w:r>
          </w:p>
          <w:p>
            <w:pPr>
              <w:tabs>
                <w:tab w:val="left" w:pos="7937"/>
              </w:tabs>
              <w:spacing w:line="240" w:lineRule="exact"/>
              <w:jc w:val="left"/>
              <w:rPr>
                <w:rFonts w:hint="eastAsia" w:ascii="仿宋" w:hAnsi="仿宋" w:eastAsia="仿宋" w:cs="仿宋"/>
                <w:color w:val="auto"/>
                <w:sz w:val="21"/>
                <w:szCs w:val="21"/>
              </w:rPr>
            </w:pPr>
          </w:p>
          <w:p>
            <w:pPr>
              <w:tabs>
                <w:tab w:val="left" w:pos="7937"/>
              </w:tabs>
              <w:spacing w:line="240" w:lineRule="exact"/>
              <w:rPr>
                <w:rFonts w:hint="eastAsia" w:ascii="仿宋" w:hAnsi="仿宋" w:eastAsia="仿宋" w:cs="仿宋"/>
                <w:b w:val="0"/>
                <w:i w:val="0"/>
                <w:snapToGrid/>
                <w:color w:val="auto"/>
                <w:sz w:val="21"/>
                <w:szCs w:val="21"/>
                <w:u w:val="none"/>
                <w:lang w:eastAsia="zh-CN"/>
              </w:rPr>
            </w:pPr>
          </w:p>
        </w:tc>
        <w:tc>
          <w:tcPr>
            <w:tcW w:w="780" w:type="dxa"/>
            <w:vAlign w:val="center"/>
          </w:tcPr>
          <w:p>
            <w:pPr>
              <w:tabs>
                <w:tab w:val="left" w:pos="7937"/>
              </w:tabs>
              <w:spacing w:line="24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35" w:type="dxa"/>
            <w:vAlign w:val="center"/>
          </w:tcPr>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粮食流通管理条例》第22条：所有从事粮收购、销售、储存、加工的粮食经营者以及饲料、工业用粮企业，应当建立经营台账，并向所在地的县级人民政府粮食行政管理部门报送粮食购进、销售、储存等基本数据和有关情况。</w:t>
            </w:r>
          </w:p>
        </w:tc>
        <w:tc>
          <w:tcPr>
            <w:tcW w:w="4005" w:type="dxa"/>
            <w:vAlign w:val="center"/>
          </w:tcPr>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1.检查责任：对本辖区粮食经营及饲料、工业用粮企业的社会统计工作</w:t>
            </w:r>
            <w:r>
              <w:rPr>
                <w:rFonts w:hint="eastAsia" w:ascii="仿宋" w:hAnsi="仿宋" w:eastAsia="仿宋" w:cs="仿宋"/>
                <w:color w:val="auto"/>
                <w:sz w:val="21"/>
                <w:szCs w:val="21"/>
                <w:lang w:eastAsia="zh-CN"/>
              </w:rPr>
              <w:t>进行监督检查</w:t>
            </w:r>
            <w:r>
              <w:rPr>
                <w:rFonts w:hint="eastAsia" w:ascii="仿宋" w:hAnsi="仿宋" w:eastAsia="仿宋" w:cs="仿宋"/>
                <w:color w:val="auto"/>
                <w:sz w:val="21"/>
                <w:szCs w:val="21"/>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2.处置责任：对监督检查发现的问题，责令限期整改、依法实施处罚</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3.移送责任：及时予以公告，对构成违法犯罪的移交司法机关</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4.事后管理责任：对监督检查发现的问题，责令整改完成后，对整改情况组织进行核查</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5.其他法律法规规章文件规定应履行的责任。</w:t>
            </w:r>
          </w:p>
          <w:p>
            <w:pPr>
              <w:tabs>
                <w:tab w:val="left" w:pos="7937"/>
              </w:tabs>
              <w:spacing w:line="240" w:lineRule="exact"/>
              <w:jc w:val="left"/>
              <w:rPr>
                <w:rFonts w:hint="eastAsia" w:ascii="仿宋" w:hAnsi="仿宋" w:eastAsia="仿宋" w:cs="仿宋"/>
                <w:b w:val="0"/>
                <w:i w:val="0"/>
                <w:snapToGrid/>
                <w:color w:val="auto"/>
                <w:sz w:val="21"/>
                <w:szCs w:val="21"/>
                <w:u w:val="none"/>
                <w:lang w:eastAsia="zh-CN"/>
              </w:rPr>
            </w:pPr>
          </w:p>
        </w:tc>
        <w:tc>
          <w:tcPr>
            <w:tcW w:w="3345" w:type="dxa"/>
            <w:vAlign w:val="center"/>
          </w:tcPr>
          <w:p>
            <w:pPr>
              <w:tabs>
                <w:tab w:val="left" w:pos="7937"/>
              </w:tabs>
              <w:spacing w:line="260" w:lineRule="exact"/>
              <w:rPr>
                <w:rFonts w:hint="eastAsia" w:ascii="仿宋" w:hAnsi="仿宋" w:eastAsia="仿宋" w:cs="仿宋"/>
                <w:color w:val="auto"/>
                <w:sz w:val="21"/>
                <w:szCs w:val="21"/>
              </w:rPr>
            </w:pP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因不履行或不正确履行行政职责，有下列情形的，行政机关及相关工作人员应承担相应责任：</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1.不对本辖区相关职责内工作情况组织监督检查；</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2.对在检查中发现的问题，不责令限期整改、不依法实施处罚；</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3.不及时予以公告，对构成违法犯罪的不移交司法机关；</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4.对监督检查发现的问题，整改完成后，不对整改情况组织进行核查；</w:t>
            </w:r>
          </w:p>
          <w:p>
            <w:pPr>
              <w:spacing w:line="240" w:lineRule="exact"/>
              <w:rPr>
                <w:rFonts w:hint="eastAsia" w:ascii="仿宋" w:hAnsi="仿宋" w:eastAsia="仿宋" w:cs="仿宋"/>
                <w:color w:val="auto"/>
                <w:sz w:val="21"/>
                <w:szCs w:val="21"/>
              </w:rPr>
            </w:pPr>
            <w:r>
              <w:rPr>
                <w:rFonts w:hint="eastAsia" w:ascii="仿宋" w:hAnsi="仿宋" w:eastAsia="仿宋" w:cs="仿宋"/>
                <w:color w:val="auto"/>
                <w:spacing w:val="-4"/>
                <w:sz w:val="21"/>
                <w:szCs w:val="21"/>
              </w:rPr>
              <w:t>5.其他违反法律法规规章文件规定的行为。</w:t>
            </w:r>
          </w:p>
          <w:p>
            <w:pPr>
              <w:tabs>
                <w:tab w:val="left" w:pos="7937"/>
              </w:tabs>
              <w:spacing w:line="260" w:lineRule="exact"/>
              <w:rPr>
                <w:rFonts w:hint="eastAsia" w:ascii="仿宋" w:hAnsi="仿宋" w:eastAsia="仿宋" w:cs="仿宋"/>
                <w:b w:val="0"/>
                <w:i w:val="0"/>
                <w:snapToGrid/>
                <w:color w:val="auto"/>
                <w:sz w:val="21"/>
                <w:szCs w:val="21"/>
                <w:u w:val="none"/>
                <w:lang w:eastAsia="zh-CN"/>
              </w:rPr>
            </w:pPr>
          </w:p>
        </w:tc>
        <w:tc>
          <w:tcPr>
            <w:tcW w:w="420" w:type="dxa"/>
            <w:vAlign w:val="center"/>
          </w:tcPr>
          <w:p>
            <w:pPr>
              <w:tabs>
                <w:tab w:val="left" w:pos="7937"/>
              </w:tabs>
              <w:spacing w:line="26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58</w:t>
            </w:r>
          </w:p>
        </w:tc>
        <w:tc>
          <w:tcPr>
            <w:tcW w:w="804" w:type="dxa"/>
            <w:vAlign w:val="center"/>
          </w:tcPr>
          <w:p>
            <w:pPr>
              <w:autoSpaceDN w:val="0"/>
              <w:spacing w:line="30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autoSpaceDN w:val="0"/>
              <w:spacing w:line="300" w:lineRule="exact"/>
              <w:jc w:val="center"/>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检查</w:t>
            </w:r>
          </w:p>
        </w:tc>
        <w:tc>
          <w:tcPr>
            <w:tcW w:w="1185" w:type="dxa"/>
            <w:vAlign w:val="center"/>
          </w:tcPr>
          <w:p>
            <w:pPr>
              <w:autoSpaceDN w:val="0"/>
              <w:spacing w:line="300" w:lineRule="exact"/>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对</w:t>
            </w:r>
            <w:r>
              <w:rPr>
                <w:rFonts w:hint="eastAsia" w:ascii="仿宋" w:hAnsi="仿宋" w:eastAsia="仿宋" w:cs="仿宋"/>
                <w:color w:val="auto"/>
                <w:sz w:val="21"/>
                <w:szCs w:val="21"/>
              </w:rPr>
              <w:t>粮食流通统计和粮食产业经济统计工作</w:t>
            </w:r>
            <w:r>
              <w:rPr>
                <w:rFonts w:hint="eastAsia" w:ascii="仿宋" w:hAnsi="仿宋" w:eastAsia="仿宋" w:cs="仿宋"/>
                <w:color w:val="auto"/>
                <w:sz w:val="21"/>
                <w:szCs w:val="21"/>
                <w:lang w:eastAsia="zh-CN"/>
              </w:rPr>
              <w:t>的检查</w:t>
            </w:r>
          </w:p>
        </w:tc>
        <w:tc>
          <w:tcPr>
            <w:tcW w:w="780" w:type="dxa"/>
            <w:vAlign w:val="center"/>
          </w:tcPr>
          <w:p>
            <w:pPr>
              <w:autoSpaceDN w:val="0"/>
              <w:spacing w:line="300" w:lineRule="exact"/>
              <w:jc w:val="center"/>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35" w:type="dxa"/>
            <w:vAlign w:val="center"/>
          </w:tcPr>
          <w:p>
            <w:pPr>
              <w:autoSpaceDN w:val="0"/>
              <w:spacing w:line="300" w:lineRule="exac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粮食流通管理条例》(2004年5月26日颁布，2016年2月6日，第二次修订)第二十二条：所有从事粮食收购、销售、储存、加工的粮食经营者以及饲料、工业用粮企业，应当建立粮食经营台账，并向所在地的县级人民政府粮食行政管理部门报送粮食购进、销售、储存等基本数据和有关情况。粮食经营者保留粮食经营台账的期限不得少于3年。粮食经营者报送的基本数据和有关情况涉及商业秘密的，粮食行政管理部门负有保密义务。“三定”方案：牵头负责行业统计，具体负责粮食流通统计和粮食产业经济统计。</w:t>
            </w:r>
          </w:p>
          <w:p>
            <w:pPr>
              <w:autoSpaceDN w:val="0"/>
              <w:spacing w:line="300" w:lineRule="exact"/>
              <w:textAlignment w:val="center"/>
              <w:rPr>
                <w:rFonts w:hint="eastAsia" w:ascii="仿宋" w:hAnsi="仿宋" w:eastAsia="仿宋" w:cs="仿宋"/>
                <w:color w:val="auto"/>
                <w:sz w:val="21"/>
                <w:szCs w:val="21"/>
                <w:lang w:eastAsia="zh-CN"/>
              </w:rPr>
            </w:pPr>
          </w:p>
        </w:tc>
        <w:tc>
          <w:tcPr>
            <w:tcW w:w="4005" w:type="dxa"/>
            <w:vAlign w:val="center"/>
          </w:tcPr>
          <w:p>
            <w:pPr>
              <w:autoSpaceDN w:val="0"/>
              <w:spacing w:line="300" w:lineRule="exac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1.检查责任：对县（市、区）粮食主管部门的粮食流通统计和粮食产业经济统计相关工作进行日常监管</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2.处置责任：对发现的问题，责令限期整改</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3.移送责任：及时对构成违法犯罪的移交司法机关</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4.事后管理责任：对发现的问题，整改完成后，对整改情况组织进行核查</w:t>
            </w:r>
            <w:r>
              <w:rPr>
                <w:rFonts w:hint="eastAsia" w:ascii="仿宋" w:hAnsi="仿宋" w:eastAsia="仿宋" w:cs="仿宋"/>
                <w:color w:val="auto"/>
                <w:sz w:val="21"/>
                <w:szCs w:val="21"/>
                <w:lang w:eastAsia="zh-CN"/>
              </w:rPr>
              <w:t>。</w:t>
            </w:r>
          </w:p>
          <w:p>
            <w:pPr>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5.其他法律法规规章文件规定应履行的责任。</w:t>
            </w:r>
          </w:p>
          <w:p>
            <w:pPr>
              <w:autoSpaceDN w:val="0"/>
              <w:spacing w:line="300" w:lineRule="exact"/>
              <w:textAlignment w:val="center"/>
              <w:rPr>
                <w:rFonts w:hint="eastAsia" w:ascii="仿宋" w:hAnsi="仿宋" w:eastAsia="仿宋" w:cs="仿宋"/>
                <w:b w:val="0"/>
                <w:i w:val="0"/>
                <w:snapToGrid/>
                <w:color w:val="auto"/>
                <w:sz w:val="21"/>
                <w:szCs w:val="21"/>
                <w:u w:val="none"/>
                <w:lang w:eastAsia="zh-CN"/>
              </w:rPr>
            </w:pPr>
          </w:p>
        </w:tc>
        <w:tc>
          <w:tcPr>
            <w:tcW w:w="3345" w:type="dxa"/>
            <w:vAlign w:val="center"/>
          </w:tcPr>
          <w:p>
            <w:pPr>
              <w:tabs>
                <w:tab w:val="left" w:pos="7937"/>
              </w:tabs>
              <w:spacing w:line="26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1.不对本辖区相关职责内工作情况组织监督检查；</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2.对在检查中发现的问题，不责令限期整改、不依法实施处罚；</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3.不及时予以公告，对构成违法犯罪的不移交司法机关；</w:t>
            </w:r>
          </w:p>
          <w:p>
            <w:pPr>
              <w:spacing w:line="240" w:lineRule="exac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4.对监督检查发现的问题，整改完成后，不对整改情况组织进行核查；</w:t>
            </w:r>
          </w:p>
          <w:p>
            <w:pPr>
              <w:spacing w:line="240" w:lineRule="exact"/>
              <w:rPr>
                <w:rFonts w:hint="eastAsia" w:ascii="仿宋" w:hAnsi="仿宋" w:eastAsia="仿宋" w:cs="仿宋"/>
                <w:color w:val="auto"/>
                <w:sz w:val="21"/>
                <w:szCs w:val="21"/>
              </w:rPr>
            </w:pPr>
            <w:r>
              <w:rPr>
                <w:rFonts w:hint="eastAsia" w:ascii="仿宋" w:hAnsi="仿宋" w:eastAsia="仿宋" w:cs="仿宋"/>
                <w:color w:val="auto"/>
                <w:spacing w:val="-4"/>
                <w:sz w:val="21"/>
                <w:szCs w:val="21"/>
              </w:rPr>
              <w:t>5.其他违反法律法规规章文件规定的行为。</w:t>
            </w:r>
          </w:p>
          <w:p>
            <w:pPr>
              <w:autoSpaceDN w:val="0"/>
              <w:spacing w:line="300" w:lineRule="exact"/>
              <w:textAlignment w:val="center"/>
              <w:rPr>
                <w:rFonts w:hint="eastAsia" w:ascii="仿宋" w:hAnsi="仿宋" w:eastAsia="仿宋" w:cs="仿宋"/>
                <w:b w:val="0"/>
                <w:i w:val="0"/>
                <w:snapToGrid/>
                <w:color w:val="auto"/>
                <w:sz w:val="21"/>
                <w:szCs w:val="21"/>
                <w:u w:val="none"/>
                <w:lang w:eastAsia="zh-CN"/>
              </w:rPr>
            </w:pPr>
          </w:p>
        </w:tc>
        <w:tc>
          <w:tcPr>
            <w:tcW w:w="42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59</w:t>
            </w:r>
          </w:p>
        </w:tc>
        <w:tc>
          <w:tcPr>
            <w:tcW w:w="804" w:type="dxa"/>
            <w:vAlign w:val="center"/>
          </w:tcPr>
          <w:p>
            <w:pPr>
              <w:autoSpaceDN w:val="0"/>
              <w:spacing w:line="300" w:lineRule="exact"/>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行政</w:t>
            </w:r>
          </w:p>
          <w:p>
            <w:pPr>
              <w:autoSpaceDN w:val="0"/>
              <w:spacing w:line="300" w:lineRule="exact"/>
              <w:jc w:val="center"/>
              <w:textAlignment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检查</w:t>
            </w: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对本辖区粮食的监督检查</w:t>
            </w:r>
          </w:p>
        </w:tc>
        <w:tc>
          <w:tcPr>
            <w:tcW w:w="78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35" w:type="dxa"/>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粮食流通管理条例》（2016年2月6日修订）第三十四条“粮食行政管理部门依照本条例对粮食经营者从事粮食收购、储存、运输活动和政策性用粮的购销活动，以及执行国家粮食流通统计制度的情况进行监督检查。粮食行政管理部门应当根据国家要求对粮食收购资格进行核查。粮食行政管理部门在监督检查过程中，可以进入粮食经营者经营场所检查粮食的库存量和收购、储存活动中的粮食质量以及原粮卫生;检查粮食仓储设施、设备是否符合国家技术规范;查阅粮食经营者有关资料、凭证;向有关单位和人员调查了解相关情况”</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《河北省粮食流通管理规定》（河北省人民政府令〔2016〕第1号令）第27条“ 粮食行政管理部门依照国家有关规定，对粮食经营者从事粮食收购、储存、运输活动和政策性粮食的购销活动以及执行粮食流通统计制度的情况进行监督检查，对粮食收购许可证进行核查”</w:t>
            </w:r>
          </w:p>
        </w:tc>
        <w:tc>
          <w:tcPr>
            <w:tcW w:w="400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1.检查责任：对本辖区粮食经营者从事 粮食收购、储存、运输活动和政策性粮食的购销活动以及执行粮食流通统计制 度的情况进行监督检查。</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2.处置责任：对监督检查发现的问题，责令限期整改、依法实施处罚。</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3.移送责任：及时予以公告，对构成违法犯罪的移交司法机关。</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4.事后管理责任：对监督检查发现的问题，粮食经营者整改完成后，对整改情况组织进行核查。</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5.其他法律法规规章文件规定应履行的责任。</w:t>
            </w:r>
          </w:p>
        </w:tc>
        <w:tc>
          <w:tcPr>
            <w:tcW w:w="33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val="en-US" w:eastAsia="zh-CN"/>
              </w:rPr>
              <w:t>因不履行或不正确履行行政职责，有下列情形的，行政机关及相关工作人员应承担相应责任：</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1.不对本辖区内粮食经营者从事粮食收购、储存、运输活动和政策性粮食的购销活动以及执行粮食流通统计制 度的情况组织监督检查；</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2.对在检查中发现的问题，不责令限期整改、不依法实施处罚；</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3.不及时予以公告，对构成违法犯罪的不移交司法机关；</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4.对监督检查发现的问题，粮食经营者整改完成后，不对整改情况组织进行核查；</w:t>
            </w:r>
            <w:r>
              <w:rPr>
                <w:rFonts w:hint="eastAsia" w:ascii="仿宋" w:hAnsi="仿宋" w:eastAsia="仿宋" w:cs="仿宋"/>
                <w:b w:val="0"/>
                <w:i w:val="0"/>
                <w:snapToGrid/>
                <w:color w:val="auto"/>
                <w:sz w:val="21"/>
                <w:szCs w:val="21"/>
                <w:u w:val="none"/>
                <w:lang w:val="en-US" w:eastAsia="zh-CN"/>
              </w:rPr>
              <w:br w:type="textWrapping"/>
            </w:r>
            <w:r>
              <w:rPr>
                <w:rFonts w:hint="eastAsia" w:ascii="仿宋" w:hAnsi="仿宋" w:eastAsia="仿宋" w:cs="仿宋"/>
                <w:b w:val="0"/>
                <w:i w:val="0"/>
                <w:snapToGrid/>
                <w:color w:val="auto"/>
                <w:sz w:val="21"/>
                <w:szCs w:val="21"/>
                <w:u w:val="none"/>
                <w:lang w:val="en-US" w:eastAsia="zh-CN"/>
              </w:rPr>
              <w:t>5.其他违反法律法规规章文件规定的行为。</w:t>
            </w:r>
          </w:p>
        </w:tc>
        <w:tc>
          <w:tcPr>
            <w:tcW w:w="42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粮食和物资储备股</w:t>
            </w:r>
          </w:p>
        </w:tc>
      </w:tr>
    </w:tbl>
    <w:p>
      <w:pPr>
        <w:spacing w:line="400" w:lineRule="exact"/>
        <w:jc w:val="center"/>
        <w:rPr>
          <w:rFonts w:hint="eastAsia" w:ascii="仿宋" w:hAnsi="仿宋" w:eastAsia="仿宋" w:cs="仿宋"/>
          <w:color w:val="auto"/>
          <w:sz w:val="21"/>
          <w:szCs w:val="21"/>
        </w:rPr>
        <w:sectPr>
          <w:pgSz w:w="16838" w:h="11906" w:orient="landscape"/>
          <w:pgMar w:top="1349" w:right="1270" w:bottom="1349" w:left="1270" w:header="851" w:footer="992" w:gutter="0"/>
          <w:pgNumType w:fmt="decimal"/>
          <w:cols w:space="425" w:num="1"/>
          <w:docGrid w:type="lines" w:linePitch="312" w:charSpace="0"/>
        </w:sectPr>
      </w:pPr>
    </w:p>
    <w:tbl>
      <w:tblPr>
        <w:tblStyle w:val="6"/>
        <w:tblpPr w:leftFromText="180" w:rightFromText="180" w:vertAnchor="text" w:horzAnchor="page" w:tblpX="621" w:tblpY="1338"/>
        <w:tblOverlap w:val="never"/>
        <w:tblW w:w="15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804"/>
        <w:gridCol w:w="1185"/>
        <w:gridCol w:w="780"/>
        <w:gridCol w:w="4830"/>
        <w:gridCol w:w="3810"/>
        <w:gridCol w:w="3345"/>
        <w:gridCol w:w="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6" w:type="dxa"/>
            <w:vAlign w:val="center"/>
          </w:tcPr>
          <w:p>
            <w:pPr>
              <w:tabs>
                <w:tab w:val="left" w:pos="7937"/>
              </w:tabs>
              <w:spacing w:line="280" w:lineRule="exact"/>
              <w:jc w:val="center"/>
              <w:rPr>
                <w:rFonts w:hint="default" w:ascii="仿宋" w:hAnsi="仿宋" w:eastAsia="仿宋" w:cs="仿宋"/>
                <w:b w:val="0"/>
                <w:i w:val="0"/>
                <w:snapToGrid/>
                <w:color w:val="auto"/>
                <w:sz w:val="21"/>
                <w:szCs w:val="21"/>
                <w:u w:val="none"/>
                <w:lang w:val="en-US" w:eastAsia="zh-CN"/>
              </w:rPr>
            </w:pPr>
            <w:r>
              <w:rPr>
                <w:rFonts w:hint="eastAsia" w:ascii="仿宋" w:hAnsi="仿宋" w:eastAsia="仿宋" w:cs="仿宋"/>
                <w:color w:val="auto"/>
                <w:sz w:val="21"/>
                <w:szCs w:val="21"/>
                <w:lang w:val="en-US" w:eastAsia="zh-CN"/>
              </w:rPr>
              <w:t>60</w:t>
            </w:r>
          </w:p>
        </w:tc>
        <w:tc>
          <w:tcPr>
            <w:tcW w:w="804"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行政</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确认</w:t>
            </w:r>
          </w:p>
        </w:tc>
        <w:tc>
          <w:tcPr>
            <w:tcW w:w="1185" w:type="dxa"/>
            <w:vAlign w:val="center"/>
          </w:tcPr>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价格认定</w:t>
            </w:r>
          </w:p>
        </w:tc>
        <w:tc>
          <w:tcPr>
            <w:tcW w:w="780"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830" w:type="dxa"/>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kern w:val="2"/>
                <w:sz w:val="21"/>
                <w:szCs w:val="21"/>
                <w:lang w:val="en-US" w:eastAsia="zh-CN" w:bidi="ar-SA"/>
              </w:rPr>
              <w:t>1.国务院清理经济鉴证类社会中介机构领导小组《关于印发＜关于规范价格鉴证机构管理意见＞的通知》（国清3号）一、……为规范价格鉴证工作，最高人民法院、最高人民检察院、国家计委和公安部于1994年联合发出《关于统一赃物估价工作的通知》（法发[1994]9号），规定赃物估价工作统一由各级政府价格主管部门所属的价格事务所承担。1997年，国家计委、最高人民法院、最高人民检察院和公安部联合发布了《扣押、追缴、没收物品估价管理办法》（计办[1997]808号），规定各级政府价格主管部门所属的价格事务所是受执法机关委托进行扣押、追缴、没收物品价格鉴证的唯一机构。二、价格鉴证工作的基本特性涉案物品价格鉴证工作是司法、执法程序在价格领域的延伸，是社会主义法制建设的需要，与一般社会中介机构评估的业务有所不同。（一）涉案物品价格鉴证业务主要来源于法院、检察院、公安、海关、仲裁、行政执法机关或机构（以下简称司法机关）办理的刑事、民事和经济案件，其严肃性、客观性要求高于一般的资产和价格评估。（二）涉案物品价格鉴证工作在程序上，实行上级价格鉴证机构对下级价格鉴证机构的鉴证结果复核裁定制度。每个行政区只设一个涉案物品价格鉴证机构，接受价格主管部门的直接指导。（三）价格鉴证机构是不以盈利为目的的事业单位，主要任务是保证司法和执法活动的正常运行，具有一定的公益性。（四）许多价格鉴证业务，涉及党政领导干部的党风、兼政问题，鉴于其特定性质，政治性和保密性要求高。2.国家发展改革委关于印发《价格认定规定》的通知（发改价格〔2015〕2251号）第八条 省、自治区、直辖市人民政府价格主管部门的价格认定机构办理本省、自治区、直辖市纪律检查委员会、高级人民法院、人民检察院、人民政府各部门以及国务院垂直管理部门所属机构，直辖市中级人民法院、人民检察院分院提出的价格认定事项和本行政区域内的价格认定复核事项。</w:t>
            </w:r>
          </w:p>
        </w:tc>
        <w:tc>
          <w:tcPr>
            <w:tcW w:w="381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1.审查责任:对纪检监察、司法、行政工作中所涉及的，价格不明或者价格有争议的，实行市场调节价的有形产品、无形资产和各类有偿服务进行价格确认。</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2.决定责任:作出价格认定结论。</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3.其他法律法规规章文件规定应履行的责任。</w:t>
            </w:r>
          </w:p>
        </w:tc>
        <w:tc>
          <w:tcPr>
            <w:tcW w:w="3345" w:type="dxa"/>
            <w:vAlign w:val="center"/>
          </w:tcPr>
          <w:p>
            <w:pPr>
              <w:tabs>
                <w:tab w:val="left" w:pos="7937"/>
              </w:tabs>
              <w:spacing w:line="26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60" w:lineRule="exact"/>
              <w:rPr>
                <w:rFonts w:hint="eastAsia" w:ascii="仿宋" w:hAnsi="仿宋" w:eastAsia="仿宋" w:cs="仿宋"/>
                <w:color w:val="auto"/>
                <w:sz w:val="21"/>
                <w:szCs w:val="21"/>
              </w:rPr>
            </w:pPr>
            <w:r>
              <w:rPr>
                <w:rFonts w:hint="eastAsia" w:ascii="仿宋" w:hAnsi="仿宋" w:eastAsia="仿宋" w:cs="仿宋"/>
                <w:color w:val="auto"/>
                <w:sz w:val="21"/>
                <w:szCs w:val="21"/>
              </w:rPr>
              <w:t>1.价格认定人员因主观故意或者过失，出具虚假价格认定结论或者价格认定结论有重大差错的；</w:t>
            </w:r>
          </w:p>
          <w:p>
            <w:pPr>
              <w:tabs>
                <w:tab w:val="left" w:pos="7937"/>
              </w:tabs>
              <w:spacing w:line="26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2.将依法取得的价格认定资料或者了解的情况用于其他目的的</w:t>
            </w:r>
            <w:r>
              <w:rPr>
                <w:rFonts w:hint="eastAsia" w:ascii="仿宋" w:hAnsi="仿宋" w:eastAsia="仿宋" w:cs="仿宋"/>
                <w:color w:val="auto"/>
                <w:sz w:val="21"/>
                <w:szCs w:val="21"/>
                <w:lang w:eastAsia="zh-CN"/>
              </w:rPr>
              <w:t>；</w:t>
            </w:r>
          </w:p>
          <w:p>
            <w:pPr>
              <w:tabs>
                <w:tab w:val="left" w:pos="7937"/>
              </w:tabs>
              <w:spacing w:line="26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3.其他违反法律法规规章文件规定的行为。</w:t>
            </w:r>
          </w:p>
        </w:tc>
        <w:tc>
          <w:tcPr>
            <w:tcW w:w="42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价格管理股</w:t>
            </w:r>
          </w:p>
        </w:tc>
      </w:tr>
    </w:tbl>
    <w:p>
      <w:pPr>
        <w:spacing w:line="400" w:lineRule="exact"/>
        <w:jc w:val="center"/>
        <w:rPr>
          <w:rFonts w:hint="eastAsia" w:ascii="仿宋" w:hAnsi="仿宋" w:eastAsia="仿宋" w:cs="仿宋"/>
          <w:color w:val="auto"/>
          <w:sz w:val="21"/>
          <w:szCs w:val="21"/>
        </w:rPr>
      </w:pPr>
    </w:p>
    <w:p>
      <w:pPr>
        <w:spacing w:line="400" w:lineRule="exact"/>
        <w:jc w:val="center"/>
        <w:rPr>
          <w:rFonts w:hint="eastAsia" w:ascii="仿宋" w:hAnsi="仿宋" w:eastAsia="仿宋" w:cs="仿宋"/>
          <w:color w:val="auto"/>
          <w:sz w:val="21"/>
          <w:szCs w:val="21"/>
        </w:rPr>
        <w:sectPr>
          <w:pgSz w:w="16838" w:h="11906" w:orient="landscape"/>
          <w:pgMar w:top="1349" w:right="1270" w:bottom="1349" w:left="1270" w:header="851" w:footer="992" w:gutter="0"/>
          <w:pgNumType w:fmt="decimal"/>
          <w:cols w:space="425" w:num="1"/>
          <w:docGrid w:type="lines" w:linePitch="312" w:charSpace="0"/>
        </w:sectPr>
      </w:pPr>
    </w:p>
    <w:tbl>
      <w:tblPr>
        <w:tblStyle w:val="6"/>
        <w:tblpPr w:leftFromText="180" w:rightFromText="180" w:vertAnchor="text" w:horzAnchor="page" w:tblpX="471" w:tblpY="1265"/>
        <w:tblOverlap w:val="never"/>
        <w:tblW w:w="1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804"/>
        <w:gridCol w:w="1185"/>
        <w:gridCol w:w="780"/>
        <w:gridCol w:w="4650"/>
        <w:gridCol w:w="3870"/>
        <w:gridCol w:w="3300"/>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35" w:hRule="atLeast"/>
        </w:trPr>
        <w:tc>
          <w:tcPr>
            <w:tcW w:w="556"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61</w:t>
            </w:r>
          </w:p>
        </w:tc>
        <w:tc>
          <w:tcPr>
            <w:tcW w:w="804"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其他类</w:t>
            </w:r>
          </w:p>
        </w:tc>
        <w:tc>
          <w:tcPr>
            <w:tcW w:w="1185" w:type="dxa"/>
            <w:vAlign w:val="center"/>
          </w:tcPr>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用煤投资项目煤炭替代方案审查</w:t>
            </w:r>
          </w:p>
        </w:tc>
        <w:tc>
          <w:tcPr>
            <w:tcW w:w="780"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50" w:type="dxa"/>
            <w:vAlign w:val="center"/>
          </w:tcPr>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《河北省人民政府办公厅关于印发河北省用煤投资项目煤炭替代管理办法的通知》依据文号：〔2019〕-41；条款号：第三条新建、改建、扩建用煤项目，应当实行煤炭的等量或者减量替代。</w:t>
            </w:r>
          </w:p>
        </w:tc>
        <w:tc>
          <w:tcPr>
            <w:tcW w:w="387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1.受理责任：</w:t>
            </w:r>
            <w:r>
              <w:rPr>
                <w:rFonts w:hint="eastAsia" w:ascii="仿宋" w:hAnsi="仿宋" w:eastAsia="仿宋" w:cs="仿宋"/>
                <w:color w:val="auto"/>
                <w:sz w:val="21"/>
                <w:szCs w:val="21"/>
                <w:lang w:val="en-US" w:eastAsia="zh-CN"/>
              </w:rPr>
              <w:t>受理各县（市、区）提交申请报告及耗煤项目（煤炭替代方案）等相关资料后，一次性告知补正材料，依法受理或不予受理（不予受理应当告知理由）</w:t>
            </w:r>
            <w:r>
              <w:rPr>
                <w:rFonts w:hint="eastAsia" w:ascii="仿宋" w:hAnsi="仿宋" w:eastAsia="仿宋" w:cs="仿宋"/>
                <w:color w:val="auto"/>
                <w:sz w:val="21"/>
                <w:szCs w:val="21"/>
              </w:rPr>
              <w:t>。</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2.审查责任：用煤项目煤炭替代方案（节能报告）审核，需要现场核查的组织进行现场核查，替代量为入统企业的函请统计部门核实相关数据，提出审查意见。</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3.决定责任：通过审查或者不通过审查（不通过审查的应当书面告知理由）。</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4.送达责任：制发相关文书，信息公开。</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5.事后监管责任：建立实施监督检查的运行机制和管理制度，开展定期和不定期检查，依法采取相关处置措施。</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6.其他法律法规规章文件规定应承担的责任。</w:t>
            </w:r>
          </w:p>
        </w:tc>
        <w:tc>
          <w:tcPr>
            <w:tcW w:w="330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因不履行或不正确履行行政职责，有下列情形的，行政机关及相关工作人员应承担相应责任：</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eastAsia="zh-CN"/>
              </w:rPr>
              <w:t>不按职责进行</w:t>
            </w:r>
            <w:r>
              <w:rPr>
                <w:rFonts w:hint="eastAsia" w:ascii="仿宋" w:hAnsi="仿宋" w:eastAsia="仿宋" w:cs="仿宋"/>
                <w:color w:val="auto"/>
                <w:sz w:val="21"/>
                <w:szCs w:val="21"/>
              </w:rPr>
              <w:t>用煤投资项目煤炭替代方案审查</w:t>
            </w:r>
            <w:r>
              <w:rPr>
                <w:rFonts w:hint="eastAsia" w:ascii="仿宋" w:hAnsi="仿宋" w:eastAsia="仿宋" w:cs="仿宋"/>
                <w:color w:val="auto"/>
                <w:sz w:val="21"/>
                <w:szCs w:val="21"/>
                <w:lang w:eastAsia="zh-CN"/>
              </w:rPr>
              <w:t>的；</w:t>
            </w:r>
          </w:p>
          <w:p>
            <w:p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2.未及时推送审查结果的；</w:t>
            </w:r>
          </w:p>
          <w:p>
            <w:pPr>
              <w:numPr>
                <w:ilvl w:val="0"/>
                <w:numId w:val="0"/>
              </w:num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负责用煤项目煤炭替代（节能）审查、监管的工作人员徇私舞弊、滥用职权、玩忽职守的。</w:t>
            </w:r>
          </w:p>
          <w:p>
            <w:pPr>
              <w:numPr>
                <w:ilvl w:val="0"/>
                <w:numId w:val="0"/>
              </w:num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其他违反法律法规规章文件规定的行为。</w:t>
            </w:r>
          </w:p>
        </w:tc>
        <w:tc>
          <w:tcPr>
            <w:tcW w:w="97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b w:val="0"/>
                <w:i w:val="0"/>
                <w:snapToGrid/>
                <w:color w:val="auto"/>
                <w:sz w:val="21"/>
                <w:szCs w:val="21"/>
                <w:u w:val="none"/>
                <w:lang w:eastAsia="zh-CN"/>
              </w:rPr>
              <w:t>节能监察股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0" w:hRule="atLeast"/>
        </w:trPr>
        <w:tc>
          <w:tcPr>
            <w:tcW w:w="556"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62</w:t>
            </w:r>
          </w:p>
        </w:tc>
        <w:tc>
          <w:tcPr>
            <w:tcW w:w="804"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其他类</w:t>
            </w:r>
          </w:p>
        </w:tc>
        <w:tc>
          <w:tcPr>
            <w:tcW w:w="1185" w:type="dxa"/>
            <w:vAlign w:val="center"/>
          </w:tcPr>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价格监测</w:t>
            </w:r>
          </w:p>
        </w:tc>
        <w:tc>
          <w:tcPr>
            <w:tcW w:w="780"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50" w:type="dxa"/>
            <w:vAlign w:val="center"/>
          </w:tcPr>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w:t>
            </w:r>
            <w:r>
              <w:rPr>
                <w:rFonts w:hint="eastAsia" w:ascii="仿宋" w:hAnsi="仿宋" w:eastAsia="仿宋" w:cs="仿宋"/>
                <w:color w:val="auto"/>
                <w:sz w:val="21"/>
                <w:szCs w:val="21"/>
                <w:lang w:eastAsia="zh-CN"/>
              </w:rPr>
              <w:t>中华人民共和国</w:t>
            </w:r>
            <w:r>
              <w:rPr>
                <w:rFonts w:hint="eastAsia" w:ascii="仿宋" w:hAnsi="仿宋" w:eastAsia="仿宋" w:cs="仿宋"/>
                <w:color w:val="auto"/>
                <w:sz w:val="21"/>
                <w:szCs w:val="21"/>
              </w:rPr>
              <w:t>价格法》第二十八条</w:t>
            </w:r>
            <w:r>
              <w:rPr>
                <w:rFonts w:hint="eastAsia" w:ascii="仿宋" w:hAnsi="仿宋" w:eastAsia="仿宋" w:cs="仿宋"/>
                <w:color w:val="auto"/>
                <w:sz w:val="21"/>
                <w:szCs w:val="21"/>
                <w:lang w:eastAsia="zh-CN"/>
              </w:rPr>
              <w:t>为适应价格调控和管理的需要，政府价格主管部门应当建立价格监测制度，对重要商品、服务价格的变动进行监测。</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2.《价格监测规定》（2003年4月国家发展改革委令第1号）第三条 国务院价格主管部门负责组织和协调全国价格监测工作，县级以上各级人民政府价格主管部门负责组织和协调本地区的价格监测工作。</w:t>
            </w:r>
          </w:p>
        </w:tc>
        <w:tc>
          <w:tcPr>
            <w:tcW w:w="387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1.收集价格资料</w:t>
            </w:r>
            <w:r>
              <w:rPr>
                <w:rFonts w:hint="eastAsia" w:ascii="仿宋" w:hAnsi="仿宋" w:eastAsia="仿宋" w:cs="仿宋"/>
                <w:color w:val="auto"/>
                <w:sz w:val="21"/>
                <w:szCs w:val="21"/>
                <w:lang w:eastAsia="zh-CN"/>
              </w:rPr>
              <w:t>责任</w:t>
            </w:r>
            <w:r>
              <w:rPr>
                <w:rFonts w:hint="eastAsia" w:ascii="仿宋" w:hAnsi="仿宋" w:eastAsia="仿宋" w:cs="仿宋"/>
                <w:color w:val="auto"/>
                <w:sz w:val="21"/>
                <w:szCs w:val="21"/>
              </w:rPr>
              <w:t>：按照价格监测报告制度规定的内容、标准、方法、时间和程序进行。</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.监测</w:t>
            </w:r>
            <w:r>
              <w:rPr>
                <w:rFonts w:hint="eastAsia" w:ascii="仿宋" w:hAnsi="仿宋" w:eastAsia="仿宋" w:cs="仿宋"/>
                <w:color w:val="auto"/>
                <w:sz w:val="21"/>
                <w:szCs w:val="21"/>
                <w:lang w:eastAsia="zh-CN"/>
              </w:rPr>
              <w:t>责任</w:t>
            </w:r>
            <w:r>
              <w:rPr>
                <w:rFonts w:hint="eastAsia" w:ascii="仿宋" w:hAnsi="仿宋" w:eastAsia="仿宋" w:cs="仿宋"/>
                <w:color w:val="auto"/>
                <w:sz w:val="21"/>
                <w:szCs w:val="21"/>
              </w:rPr>
              <w:t>：调查和分析重要商品、服务价格，以及相关成本与市场供求的变动情况；跟踪反馈国家重要经济政策在价格领域的反映；实施价格预测、预警，并及时提出政策建议</w:t>
            </w:r>
            <w:r>
              <w:rPr>
                <w:rFonts w:hint="eastAsia" w:ascii="仿宋" w:hAnsi="仿宋" w:eastAsia="仿宋" w:cs="仿宋"/>
                <w:color w:val="auto"/>
                <w:sz w:val="21"/>
                <w:szCs w:val="21"/>
                <w:lang w:eastAsia="zh-CN"/>
              </w:rPr>
              <w:t>。</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其他法律法规规章文件规定应承担的责任。</w:t>
            </w:r>
          </w:p>
          <w:p>
            <w:pPr>
              <w:tabs>
                <w:tab w:val="left" w:pos="7937"/>
              </w:tabs>
              <w:spacing w:line="280" w:lineRule="exact"/>
              <w:rPr>
                <w:rFonts w:hint="eastAsia" w:ascii="仿宋" w:hAnsi="仿宋" w:eastAsia="仿宋" w:cs="仿宋"/>
                <w:b w:val="0"/>
                <w:i w:val="0"/>
                <w:snapToGrid/>
                <w:color w:val="auto"/>
                <w:sz w:val="21"/>
                <w:szCs w:val="21"/>
                <w:u w:val="none"/>
                <w:lang w:eastAsia="zh-CN"/>
              </w:rPr>
            </w:pPr>
          </w:p>
        </w:tc>
        <w:tc>
          <w:tcPr>
            <w:tcW w:w="330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因不履行或不正确履行行政职责，有下列情形的行政机关及相关工作人员应承担相应的责任：</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1.不执行价格监测制度，影响价格监测工作的；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2.上报价格数据错误较多，严重影响数据准确性和代表性的；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3.玩忽职守、弄虚作假、瞒报、虚报或篡改价格数据资料，造成全国或地区汇总数据严重失实的；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4.违反有关保密规定的。</w:t>
            </w:r>
          </w:p>
          <w:p>
            <w:p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其他违反法律法规规章文件规定的行为。</w:t>
            </w:r>
          </w:p>
        </w:tc>
        <w:tc>
          <w:tcPr>
            <w:tcW w:w="975" w:type="dxa"/>
            <w:vAlign w:val="center"/>
          </w:tcPr>
          <w:p>
            <w:pPr>
              <w:tabs>
                <w:tab w:val="left" w:pos="7937"/>
              </w:tabs>
              <w:spacing w:line="280" w:lineRule="exac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价格管理股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556"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63</w:t>
            </w:r>
          </w:p>
        </w:tc>
        <w:tc>
          <w:tcPr>
            <w:tcW w:w="804"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其他类</w:t>
            </w:r>
          </w:p>
        </w:tc>
        <w:tc>
          <w:tcPr>
            <w:tcW w:w="1185" w:type="dxa"/>
            <w:vAlign w:val="center"/>
          </w:tcPr>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政府定价成本调查监审</w:t>
            </w:r>
          </w:p>
        </w:tc>
        <w:tc>
          <w:tcPr>
            <w:tcW w:w="780"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p>
        </w:tc>
        <w:tc>
          <w:tcPr>
            <w:tcW w:w="4650" w:type="dxa"/>
            <w:vAlign w:val="center"/>
          </w:tcPr>
          <w:p>
            <w:pPr>
              <w:pStyle w:val="5"/>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《中华人民共和国价格法》第二十一条 制定政府指导价、政府定价，应当依据有关商品或者服务的社会平均成本和市场供求状况、国民经济与社会发展要求以及社会承受能力，实行合理的购销差价、批零差价、地区差价和季节差价。第二十二条 政府价格主管部门和其他有关部门制定政府指导价、政府定价，应当开展价格、成本调查，听取消费者、经营者和有关方面的意见。</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right="0" w:rightChars="0"/>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kern w:val="2"/>
                <w:sz w:val="21"/>
                <w:szCs w:val="21"/>
                <w:lang w:val="en-US" w:eastAsia="zh-CN" w:bidi="ar-SA"/>
              </w:rPr>
              <w:t>2.《政府制定价格成本监审办法》（国家发展改革委2017年第8号令）全文</w:t>
            </w:r>
          </w:p>
        </w:tc>
        <w:tc>
          <w:tcPr>
            <w:tcW w:w="387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1.书面通知责任：书面通知有关经营者明确成本，监审范围，监审形式，监审期间，以及需要提供的资料和进行实地鉴</w:t>
            </w:r>
            <w:r>
              <w:rPr>
                <w:rFonts w:hint="eastAsia" w:ascii="仿宋" w:hAnsi="仿宋" w:eastAsia="仿宋" w:cs="仿宋"/>
                <w:color w:val="auto"/>
                <w:sz w:val="21"/>
                <w:szCs w:val="21"/>
                <w:lang w:eastAsia="zh-CN"/>
              </w:rPr>
              <w:t>审</w:t>
            </w:r>
            <w:r>
              <w:rPr>
                <w:rFonts w:hint="eastAsia" w:ascii="仿宋" w:hAnsi="仿宋" w:eastAsia="仿宋" w:cs="仿宋"/>
                <w:color w:val="auto"/>
                <w:sz w:val="21"/>
                <w:szCs w:val="21"/>
              </w:rPr>
              <w:t>的要求等内容。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2.资料初审责任：按时对资料的完整性进行初审，不完整的限期补充。</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3.实地审核责任：调查了解经营者生产经营情况，查阅、复制有关资料，按照有关规定对经营者成本进行审核。</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4.出具成本监审报告责任：按照法定程序和内容出具成本监审报告。</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其他法律法规规章文件规定应承担的责任。</w:t>
            </w:r>
          </w:p>
          <w:p>
            <w:pPr>
              <w:tabs>
                <w:tab w:val="left" w:pos="7937"/>
              </w:tabs>
              <w:spacing w:line="280" w:lineRule="exact"/>
              <w:rPr>
                <w:rFonts w:hint="eastAsia" w:ascii="仿宋" w:hAnsi="仿宋" w:eastAsia="仿宋" w:cs="仿宋"/>
                <w:color w:val="auto"/>
                <w:sz w:val="21"/>
                <w:szCs w:val="21"/>
                <w:lang w:eastAsia="zh-CN"/>
              </w:rPr>
            </w:pPr>
          </w:p>
        </w:tc>
        <w:tc>
          <w:tcPr>
            <w:tcW w:w="330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因不履行或不正确履行行政职责，有下列情形的行政机关及相关工作人员应承担相应的责任：</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1.应当开展成本监审的商品和服务，未开展成本监审的；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2.泄露国家秘密、商业秘密以及滥用职权、徇私舞弊、玩忽职守、索贿受贿的。</w:t>
            </w:r>
          </w:p>
          <w:p>
            <w:p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3.不依法履行解释责任的；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其他违反法律法规规章文件规定的行为。</w:t>
            </w:r>
          </w:p>
          <w:p>
            <w:pPr>
              <w:tabs>
                <w:tab w:val="left" w:pos="7937"/>
              </w:tabs>
              <w:spacing w:line="280" w:lineRule="exact"/>
              <w:rPr>
                <w:rFonts w:hint="eastAsia" w:ascii="仿宋" w:hAnsi="仿宋" w:eastAsia="仿宋" w:cs="仿宋"/>
                <w:color w:val="auto"/>
                <w:sz w:val="21"/>
                <w:szCs w:val="21"/>
                <w:lang w:eastAsia="zh-CN"/>
              </w:rPr>
            </w:pPr>
          </w:p>
        </w:tc>
        <w:tc>
          <w:tcPr>
            <w:tcW w:w="97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价格管理股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5" w:hRule="atLeast"/>
        </w:trPr>
        <w:tc>
          <w:tcPr>
            <w:tcW w:w="556" w:type="dxa"/>
            <w:vAlign w:val="center"/>
          </w:tcPr>
          <w:p>
            <w:pPr>
              <w:tabs>
                <w:tab w:val="left" w:pos="7937"/>
              </w:tabs>
              <w:spacing w:line="280" w:lineRule="exact"/>
              <w:jc w:val="center"/>
              <w:rPr>
                <w:rFonts w:hint="eastAsia" w:ascii="宋体" w:hAnsi="宋体" w:eastAsia="宋体" w:cs="宋体"/>
                <w:b w:val="0"/>
                <w:i w:val="0"/>
                <w:snapToGrid/>
                <w:color w:val="auto"/>
                <w:sz w:val="18"/>
                <w:szCs w:val="18"/>
                <w:u w:val="none"/>
                <w:lang w:eastAsia="zh-CN"/>
              </w:rPr>
            </w:pPr>
            <w:r>
              <w:rPr>
                <w:rFonts w:hint="eastAsia" w:ascii="宋体" w:hAnsi="宋体" w:eastAsia="宋体" w:cs="宋体"/>
                <w:color w:val="auto"/>
                <w:sz w:val="18"/>
                <w:szCs w:val="18"/>
                <w:lang w:val="en-US" w:eastAsia="zh-CN"/>
              </w:rPr>
              <w:t>64</w:t>
            </w:r>
          </w:p>
        </w:tc>
        <w:tc>
          <w:tcPr>
            <w:tcW w:w="804"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val="en-US" w:eastAsia="zh-CN"/>
              </w:rPr>
              <w:t>其他类</w:t>
            </w:r>
          </w:p>
        </w:tc>
        <w:tc>
          <w:tcPr>
            <w:tcW w:w="1185" w:type="dxa"/>
            <w:vAlign w:val="center"/>
          </w:tcPr>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lang w:eastAsia="zh-CN"/>
              </w:rPr>
              <w:t>省</w:t>
            </w:r>
            <w:r>
              <w:rPr>
                <w:rFonts w:hint="eastAsia" w:ascii="仿宋" w:hAnsi="仿宋" w:eastAsia="仿宋" w:cs="仿宋"/>
                <w:color w:val="auto"/>
                <w:sz w:val="21"/>
                <w:szCs w:val="21"/>
              </w:rPr>
              <w:t>定价目录范围内重要商品与服务价格审定</w:t>
            </w:r>
            <w:r>
              <w:rPr>
                <w:rFonts w:hint="eastAsia" w:ascii="仿宋" w:hAnsi="仿宋" w:eastAsia="仿宋" w:cs="仿宋"/>
                <w:color w:val="auto"/>
                <w:sz w:val="21"/>
                <w:szCs w:val="21"/>
                <w:lang w:eastAsia="zh-CN"/>
              </w:rPr>
              <w:t>（授权范围内）</w:t>
            </w:r>
          </w:p>
        </w:tc>
        <w:tc>
          <w:tcPr>
            <w:tcW w:w="780" w:type="dxa"/>
            <w:vAlign w:val="center"/>
          </w:tcPr>
          <w:p>
            <w:pPr>
              <w:tabs>
                <w:tab w:val="left" w:pos="7937"/>
              </w:tabs>
              <w:spacing w:line="280" w:lineRule="exact"/>
              <w:jc w:val="center"/>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18"/>
                <w:szCs w:val="18"/>
                <w:lang w:val="en-US" w:eastAsia="zh-CN"/>
              </w:rPr>
              <w:t>涞源县发展和改革局</w:t>
            </w:r>
            <w:bookmarkStart w:id="0" w:name="_GoBack"/>
            <w:bookmarkEnd w:id="0"/>
          </w:p>
        </w:tc>
        <w:tc>
          <w:tcPr>
            <w:tcW w:w="465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sz w:val="21"/>
                <w:szCs w:val="21"/>
                <w:lang w:eastAsia="zh-CN"/>
              </w:rPr>
              <w:t>中华人民共和国</w:t>
            </w:r>
            <w:r>
              <w:rPr>
                <w:rFonts w:hint="eastAsia" w:ascii="仿宋" w:hAnsi="仿宋" w:eastAsia="仿宋" w:cs="仿宋"/>
                <w:color w:val="auto"/>
                <w:sz w:val="21"/>
                <w:szCs w:val="21"/>
              </w:rPr>
              <w:t>价格法》第十九条政府指导价、政府定价的定价权限和具体适用范围，以中央的和地方的定价目录为依据</w:t>
            </w:r>
            <w:r>
              <w:rPr>
                <w:rFonts w:hint="eastAsia" w:ascii="仿宋" w:hAnsi="仿宋" w:eastAsia="仿宋" w:cs="仿宋"/>
                <w:color w:val="auto"/>
                <w:sz w:val="21"/>
                <w:szCs w:val="21"/>
                <w:lang w:eastAsia="zh-CN"/>
              </w:rPr>
              <w:t>。</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2.《河北省定价目录》（冀价政调〔2018〕42号）</w:t>
            </w:r>
            <w:r>
              <w:rPr>
                <w:rFonts w:hint="eastAsia" w:ascii="仿宋" w:hAnsi="仿宋" w:eastAsia="仿宋" w:cs="仿宋"/>
                <w:color w:val="auto"/>
                <w:sz w:val="21"/>
                <w:szCs w:val="21"/>
                <w:lang w:eastAsia="zh-CN"/>
              </w:rPr>
              <w:t>全文</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3.《政府制定价格行为规则》（国家发展改革委2017年7号令）</w:t>
            </w:r>
            <w:r>
              <w:rPr>
                <w:rFonts w:hint="eastAsia" w:ascii="仿宋" w:hAnsi="仿宋" w:eastAsia="仿宋" w:cs="仿宋"/>
                <w:color w:val="auto"/>
                <w:sz w:val="21"/>
                <w:szCs w:val="21"/>
                <w:lang w:eastAsia="zh-CN"/>
              </w:rPr>
              <w:t>全文</w:t>
            </w:r>
          </w:p>
          <w:p>
            <w:pPr>
              <w:tabs>
                <w:tab w:val="left" w:pos="7937"/>
              </w:tabs>
              <w:spacing w:line="280" w:lineRule="exact"/>
              <w:rPr>
                <w:rFonts w:hint="eastAsia" w:ascii="仿宋" w:hAnsi="仿宋" w:eastAsia="仿宋" w:cs="仿宋"/>
                <w:b w:val="0"/>
                <w:i w:val="0"/>
                <w:snapToGrid/>
                <w:color w:val="auto"/>
                <w:sz w:val="21"/>
                <w:szCs w:val="21"/>
                <w:u w:val="none"/>
                <w:lang w:eastAsia="zh-CN"/>
              </w:rPr>
            </w:pPr>
            <w:r>
              <w:rPr>
                <w:rFonts w:hint="eastAsia" w:ascii="仿宋" w:hAnsi="仿宋" w:eastAsia="仿宋" w:cs="仿宋"/>
                <w:color w:val="auto"/>
                <w:sz w:val="21"/>
                <w:szCs w:val="21"/>
              </w:rPr>
              <w:t>4.《河北省物价局关于印发河北省〈政府定价行为规则〉实施细则的通知》（冀价政调〔2017〕202号）</w:t>
            </w:r>
            <w:r>
              <w:rPr>
                <w:rFonts w:hint="eastAsia" w:ascii="仿宋" w:hAnsi="仿宋" w:eastAsia="仿宋" w:cs="仿宋"/>
                <w:color w:val="auto"/>
                <w:sz w:val="21"/>
                <w:szCs w:val="21"/>
                <w:lang w:eastAsia="zh-CN"/>
              </w:rPr>
              <w:t>全文</w:t>
            </w:r>
          </w:p>
        </w:tc>
        <w:tc>
          <w:tcPr>
            <w:tcW w:w="387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1.价格调查责任：对市场供求、社会承受能力进行调查，分析对相关行业和消费者的影响。</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2.成本监审或者成本调查责任</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明确成本</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监审范围</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监审形式</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监审期间，需要</w:t>
            </w:r>
            <w:r>
              <w:rPr>
                <w:rFonts w:hint="eastAsia" w:ascii="仿宋" w:hAnsi="仿宋" w:eastAsia="仿宋" w:cs="仿宋"/>
                <w:color w:val="auto"/>
                <w:sz w:val="21"/>
                <w:szCs w:val="21"/>
                <w:lang w:eastAsia="zh-CN"/>
              </w:rPr>
              <w:t>审查</w:t>
            </w:r>
            <w:r>
              <w:rPr>
                <w:rFonts w:hint="eastAsia" w:ascii="仿宋" w:hAnsi="仿宋" w:eastAsia="仿宋" w:cs="仿宋"/>
                <w:color w:val="auto"/>
                <w:sz w:val="21"/>
                <w:szCs w:val="21"/>
              </w:rPr>
              <w:t>资料和进行实地鉴</w:t>
            </w:r>
            <w:r>
              <w:rPr>
                <w:rFonts w:hint="eastAsia" w:ascii="仿宋" w:hAnsi="仿宋" w:eastAsia="仿宋" w:cs="仿宋"/>
                <w:color w:val="auto"/>
                <w:sz w:val="21"/>
                <w:szCs w:val="21"/>
                <w:lang w:eastAsia="zh-CN"/>
              </w:rPr>
              <w:t>审</w:t>
            </w:r>
            <w:r>
              <w:rPr>
                <w:rFonts w:hint="eastAsia" w:ascii="仿宋" w:hAnsi="仿宋" w:eastAsia="仿宋" w:cs="仿宋"/>
                <w:color w:val="auto"/>
                <w:sz w:val="21"/>
                <w:szCs w:val="21"/>
              </w:rPr>
              <w:t>。</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3.听取意见责任：听取经营者、消费者或其代表，以及有关方面的意见。对依法应当通过听证方式征求意见的，按照价格听证的有关规定开展听证。</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4.合法性审查责任：审查是否符合定价目录规定的权限和范围、程序是否合法等事项。</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5.集体审议责任：定价事项由会议集体审议。</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6.制定价格决定责任：执行上述程序，需要制定价格的，作出决定。</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7.</w:t>
            </w:r>
            <w:r>
              <w:rPr>
                <w:rFonts w:hint="eastAsia" w:ascii="仿宋" w:hAnsi="仿宋" w:eastAsia="仿宋" w:cs="仿宋"/>
                <w:color w:val="auto"/>
                <w:sz w:val="21"/>
                <w:szCs w:val="21"/>
              </w:rPr>
              <w:t>其他法律法规规章文件规定应承担的责任。</w:t>
            </w:r>
          </w:p>
        </w:tc>
        <w:tc>
          <w:tcPr>
            <w:tcW w:w="3300" w:type="dxa"/>
            <w:vAlign w:val="center"/>
          </w:tcPr>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因不履行或不正确履行行政职责，有下列情形的行政机关及相关工作人员应承担相应的责任：</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1.定价机关有违法行为的；</w:t>
            </w:r>
          </w:p>
          <w:p>
            <w:pPr>
              <w:tabs>
                <w:tab w:val="left" w:pos="7937"/>
              </w:tabs>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2.定价机关的工作人员在制定价格工作中有违法行为的。</w:t>
            </w:r>
          </w:p>
          <w:p>
            <w:p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3.不依法履行解释责任的；</w:t>
            </w:r>
          </w:p>
          <w:p>
            <w:pPr>
              <w:tabs>
                <w:tab w:val="left" w:pos="7937"/>
              </w:tabs>
              <w:spacing w:line="28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其他违反法律法规规章文件规定的行为。</w:t>
            </w:r>
          </w:p>
        </w:tc>
        <w:tc>
          <w:tcPr>
            <w:tcW w:w="975" w:type="dxa"/>
            <w:vAlign w:val="center"/>
          </w:tcPr>
          <w:p>
            <w:pPr>
              <w:tabs>
                <w:tab w:val="left" w:pos="7937"/>
              </w:tabs>
              <w:spacing w:line="280" w:lineRule="exac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价格管理股</w:t>
            </w:r>
          </w:p>
        </w:tc>
      </w:tr>
    </w:tbl>
    <w:p>
      <w:pPr>
        <w:rPr>
          <w:color w:val="auto"/>
        </w:rPr>
      </w:pPr>
    </w:p>
    <w:sectPr>
      <w:footerReference r:id="rId3" w:type="default"/>
      <w:pgSz w:w="16838" w:h="11906" w:orient="landscape"/>
      <w:pgMar w:top="1349" w:right="1270" w:bottom="1349" w:left="127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4459605</wp:posOffset>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eastAsia="仿宋_GB2312"/>
                              <w:sz w:val="18"/>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51.15pt;margin-top:0pt;height:144pt;width:144pt;mso-position-horizontal-relative:margin;mso-wrap-style:none;z-index:251659264;mso-width-relative:page;mso-height-relative:page;" filled="f" stroked="f" coordsize="21600,21600" o:gfxdata="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6PMot1AAAAAgBAAAPAAAAAAAAAAEAIAAAACIAAABkcnMvZG93bnJldi54bWxQSwEC&#10;FAAUAAAACACHTuJAJIJGtDECAABhBAAADgAAAAAAAAABACAAAAAjAQAAZHJzL2Uyb0RvYy54bWxQ&#10;SwUGAAAAAAYABgBZAQAAxgUAAAAA&#10;">
              <v:fill on="f" focussize="0,0"/>
              <v:stroke on="f" weight="0.5pt"/>
              <v:imagedata o:title=""/>
              <o:lock v:ext="edit" aspectratio="f"/>
              <v:textbox inset="0mm,0mm,0mm,0mm" style="mso-fit-shape-to-text:t;">
                <w:txbxContent>
                  <w:p>
                    <w:pPr>
                      <w:snapToGrid w:val="0"/>
                      <w:rPr>
                        <w:rFonts w:hint="default" w:eastAsia="仿宋_GB2312"/>
                        <w:sz w:val="18"/>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E0DF22"/>
    <w:multiLevelType w:val="singleLevel"/>
    <w:tmpl w:val="2CE0DF22"/>
    <w:lvl w:ilvl="0" w:tentative="0">
      <w:start w:val="1"/>
      <w:numFmt w:val="decimal"/>
      <w:lvlText w:val="%1"/>
      <w:lvlJc w:val="left"/>
      <w:pPr>
        <w:tabs>
          <w:tab w:val="left" w:pos="420"/>
        </w:tabs>
        <w:ind w:left="425" w:leftChars="0" w:hanging="425" w:firstLineChars="0"/>
      </w:pPr>
      <w:rPr>
        <w:rFonts w:hint="default"/>
      </w:rPr>
    </w:lvl>
  </w:abstractNum>
  <w:abstractNum w:abstractNumId="1">
    <w:nsid w:val="5FA20A94"/>
    <w:multiLevelType w:val="singleLevel"/>
    <w:tmpl w:val="5FA20A94"/>
    <w:lvl w:ilvl="0" w:tentative="0">
      <w:start w:val="1"/>
      <w:numFmt w:val="decimal"/>
      <w:suff w:val="nothing"/>
      <w:lvlText w:val="%1."/>
      <w:lvlJc w:val="left"/>
    </w:lvl>
  </w:abstractNum>
  <w:abstractNum w:abstractNumId="2">
    <w:nsid w:val="5FD17FE0"/>
    <w:multiLevelType w:val="singleLevel"/>
    <w:tmpl w:val="5FD17FE0"/>
    <w:lvl w:ilvl="0" w:tentative="0">
      <w:start w:val="1"/>
      <w:numFmt w:val="decimal"/>
      <w:suff w:val="nothing"/>
      <w:lvlText w:val="%1、"/>
      <w:lvlJc w:val="left"/>
    </w:lvl>
  </w:abstractNum>
  <w:abstractNum w:abstractNumId="3">
    <w:nsid w:val="5FD17FF7"/>
    <w:multiLevelType w:val="singleLevel"/>
    <w:tmpl w:val="5FD17FF7"/>
    <w:lvl w:ilvl="0" w:tentative="0">
      <w:start w:val="1"/>
      <w:numFmt w:val="decimal"/>
      <w:suff w:val="nothing"/>
      <w:lvlText w:val="%1、"/>
      <w:lvlJc w:val="left"/>
    </w:lvl>
  </w:abstractNum>
  <w:abstractNum w:abstractNumId="4">
    <w:nsid w:val="5FD18008"/>
    <w:multiLevelType w:val="singleLevel"/>
    <w:tmpl w:val="5FD18008"/>
    <w:lvl w:ilvl="0" w:tentative="0">
      <w:start w:val="1"/>
      <w:numFmt w:val="decimal"/>
      <w:suff w:val="nothing"/>
      <w:lvlText w:val="%1、"/>
      <w:lvlJc w:val="left"/>
    </w:lvl>
  </w:abstractNum>
  <w:abstractNum w:abstractNumId="5">
    <w:nsid w:val="5FD1801B"/>
    <w:multiLevelType w:val="singleLevel"/>
    <w:tmpl w:val="5FD1801B"/>
    <w:lvl w:ilvl="0" w:tentative="0">
      <w:start w:val="1"/>
      <w:numFmt w:val="decimal"/>
      <w:suff w:val="nothing"/>
      <w:lvlText w:val="%1、"/>
      <w:lvlJc w:val="left"/>
    </w:lvl>
  </w:abstractNum>
  <w:abstractNum w:abstractNumId="6">
    <w:nsid w:val="5FD1803E"/>
    <w:multiLevelType w:val="singleLevel"/>
    <w:tmpl w:val="5FD1803E"/>
    <w:lvl w:ilvl="0" w:tentative="0">
      <w:start w:val="1"/>
      <w:numFmt w:val="decimal"/>
      <w:suff w:val="nothing"/>
      <w:lvlText w:val="%1、"/>
      <w:lvlJc w:val="left"/>
    </w:lvl>
  </w:abstractNum>
  <w:abstractNum w:abstractNumId="7">
    <w:nsid w:val="604970EA"/>
    <w:multiLevelType w:val="singleLevel"/>
    <w:tmpl w:val="604970EA"/>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F478B4"/>
    <w:rsid w:val="015A56D5"/>
    <w:rsid w:val="016B0542"/>
    <w:rsid w:val="02DF495B"/>
    <w:rsid w:val="03EA00E8"/>
    <w:rsid w:val="05740C4D"/>
    <w:rsid w:val="05B07DAB"/>
    <w:rsid w:val="06665943"/>
    <w:rsid w:val="07AC1A44"/>
    <w:rsid w:val="07DA1D81"/>
    <w:rsid w:val="08280314"/>
    <w:rsid w:val="08517AA7"/>
    <w:rsid w:val="09490AB3"/>
    <w:rsid w:val="0A2F061D"/>
    <w:rsid w:val="0C384139"/>
    <w:rsid w:val="0C861A1B"/>
    <w:rsid w:val="0CA270C2"/>
    <w:rsid w:val="0DF478B4"/>
    <w:rsid w:val="11510031"/>
    <w:rsid w:val="12343D18"/>
    <w:rsid w:val="13F50016"/>
    <w:rsid w:val="147C174F"/>
    <w:rsid w:val="147F7FD6"/>
    <w:rsid w:val="15DB7087"/>
    <w:rsid w:val="160E0727"/>
    <w:rsid w:val="16647432"/>
    <w:rsid w:val="16F44BC2"/>
    <w:rsid w:val="16FE7CDE"/>
    <w:rsid w:val="177066B8"/>
    <w:rsid w:val="193B7246"/>
    <w:rsid w:val="195B214C"/>
    <w:rsid w:val="1B3A0707"/>
    <w:rsid w:val="1D17767E"/>
    <w:rsid w:val="1D472C58"/>
    <w:rsid w:val="1EAA4A9C"/>
    <w:rsid w:val="1EE02B62"/>
    <w:rsid w:val="1FD36BF6"/>
    <w:rsid w:val="20C51510"/>
    <w:rsid w:val="217A3315"/>
    <w:rsid w:val="22972EE3"/>
    <w:rsid w:val="22FE0DEA"/>
    <w:rsid w:val="24FD0FAC"/>
    <w:rsid w:val="24FF21B4"/>
    <w:rsid w:val="25530926"/>
    <w:rsid w:val="256904AC"/>
    <w:rsid w:val="26832C40"/>
    <w:rsid w:val="27E75B98"/>
    <w:rsid w:val="28810DB7"/>
    <w:rsid w:val="2900481B"/>
    <w:rsid w:val="2A623082"/>
    <w:rsid w:val="2AD07512"/>
    <w:rsid w:val="2B8707C4"/>
    <w:rsid w:val="2C977CF7"/>
    <w:rsid w:val="2CE778FC"/>
    <w:rsid w:val="2DCB07D9"/>
    <w:rsid w:val="2EE8664E"/>
    <w:rsid w:val="31676F44"/>
    <w:rsid w:val="33CF6ACA"/>
    <w:rsid w:val="33F05D41"/>
    <w:rsid w:val="35E46CF6"/>
    <w:rsid w:val="36FA008F"/>
    <w:rsid w:val="381376BC"/>
    <w:rsid w:val="3AE438EA"/>
    <w:rsid w:val="3AE92780"/>
    <w:rsid w:val="3BB327FE"/>
    <w:rsid w:val="3C4A4DC5"/>
    <w:rsid w:val="3C565245"/>
    <w:rsid w:val="3D4437E0"/>
    <w:rsid w:val="3ECA2C27"/>
    <w:rsid w:val="3EFD5F3F"/>
    <w:rsid w:val="3F6458EB"/>
    <w:rsid w:val="412602AB"/>
    <w:rsid w:val="4147236D"/>
    <w:rsid w:val="422C7EF5"/>
    <w:rsid w:val="42384516"/>
    <w:rsid w:val="433E0203"/>
    <w:rsid w:val="436A0F50"/>
    <w:rsid w:val="45781880"/>
    <w:rsid w:val="45C20DB8"/>
    <w:rsid w:val="45EA7524"/>
    <w:rsid w:val="463552EF"/>
    <w:rsid w:val="474E3656"/>
    <w:rsid w:val="486B7544"/>
    <w:rsid w:val="48FE3872"/>
    <w:rsid w:val="499D18FC"/>
    <w:rsid w:val="4A0B312F"/>
    <w:rsid w:val="4A370D35"/>
    <w:rsid w:val="4B483F13"/>
    <w:rsid w:val="4B9845D4"/>
    <w:rsid w:val="4C3871A9"/>
    <w:rsid w:val="4CD163E4"/>
    <w:rsid w:val="4D170AC9"/>
    <w:rsid w:val="4E127607"/>
    <w:rsid w:val="4F6F02AE"/>
    <w:rsid w:val="50C34F8C"/>
    <w:rsid w:val="51217752"/>
    <w:rsid w:val="534D734B"/>
    <w:rsid w:val="53F14503"/>
    <w:rsid w:val="54C4551F"/>
    <w:rsid w:val="553040DA"/>
    <w:rsid w:val="55452C7F"/>
    <w:rsid w:val="58C225FC"/>
    <w:rsid w:val="58EE474A"/>
    <w:rsid w:val="598339C3"/>
    <w:rsid w:val="59A33145"/>
    <w:rsid w:val="5C7E4CA9"/>
    <w:rsid w:val="5D85067F"/>
    <w:rsid w:val="5E1C40BA"/>
    <w:rsid w:val="5F0337D4"/>
    <w:rsid w:val="5F3B3731"/>
    <w:rsid w:val="637A2780"/>
    <w:rsid w:val="64AD0D44"/>
    <w:rsid w:val="65ED4087"/>
    <w:rsid w:val="662D7932"/>
    <w:rsid w:val="667C78BC"/>
    <w:rsid w:val="67442A21"/>
    <w:rsid w:val="6A7D7B1C"/>
    <w:rsid w:val="6A7F55EB"/>
    <w:rsid w:val="6A822F5E"/>
    <w:rsid w:val="6AEA664F"/>
    <w:rsid w:val="6B843A1D"/>
    <w:rsid w:val="6B8509BD"/>
    <w:rsid w:val="6C4A71C5"/>
    <w:rsid w:val="6C752560"/>
    <w:rsid w:val="6E856B88"/>
    <w:rsid w:val="6ED21B9C"/>
    <w:rsid w:val="6F536FB9"/>
    <w:rsid w:val="70522CF4"/>
    <w:rsid w:val="7085686D"/>
    <w:rsid w:val="70E17E1E"/>
    <w:rsid w:val="72BB46B3"/>
    <w:rsid w:val="76414CE2"/>
    <w:rsid w:val="77576F78"/>
    <w:rsid w:val="775D4573"/>
    <w:rsid w:val="7773133E"/>
    <w:rsid w:val="77994635"/>
    <w:rsid w:val="78F343DA"/>
    <w:rsid w:val="790C0678"/>
    <w:rsid w:val="793F11A3"/>
    <w:rsid w:val="79872CA3"/>
    <w:rsid w:val="7A73654A"/>
    <w:rsid w:val="7AFE4A99"/>
    <w:rsid w:val="7C442258"/>
    <w:rsid w:val="7D02234F"/>
    <w:rsid w:val="7D131243"/>
    <w:rsid w:val="7D921E83"/>
    <w:rsid w:val="7DE534F9"/>
    <w:rsid w:val="7E0E73D2"/>
    <w:rsid w:val="7F2B02AB"/>
    <w:rsid w:val="7F637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3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basedOn w:val="8"/>
    <w:qFormat/>
    <w:uiPriority w:val="0"/>
    <w:rPr>
      <w:color w:val="800080"/>
      <w:u w:val="none"/>
    </w:rPr>
  </w:style>
  <w:style w:type="character" w:styleId="10">
    <w:name w:val="Hyperlink"/>
    <w:basedOn w:val="8"/>
    <w:qFormat/>
    <w:uiPriority w:val="0"/>
    <w:rPr>
      <w:color w:val="0000FF"/>
      <w:u w:val="none"/>
    </w:rPr>
  </w:style>
  <w:style w:type="character" w:styleId="11">
    <w:name w:val="annotation reference"/>
    <w:basedOn w:val="8"/>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保定市发展和改革委员会</Company>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2021-03-02T08:47:00Z</dcterms:created>
  <dc:creator>慈艳涛</dc:creator>
  <cp:lastModifiedBy>dh</cp:lastModifiedBy>
  <cp:lastPrinted>2021-04-02T07:32:00Z</cp:lastPrinted>
  <dcterms:modified xsi:type="dcterms:W3CDTF">2021-06-21T03:59:15Z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339B9F73E05348E59B5A2FBE96CBB08B</vt:lpwstr>
  </property>
</Properties>
</file>