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3624" w:type="dxa"/>
        <w:tblInd w:w="93" w:type="dxa"/>
        <w:tblLayout w:type="fixed"/>
        <w:tblCellMar>
          <w:top w:w="0" w:type="dxa"/>
          <w:left w:w="108" w:type="dxa"/>
          <w:bottom w:w="0" w:type="dxa"/>
          <w:right w:w="108" w:type="dxa"/>
        </w:tblCellMar>
      </w:tblPr>
      <w:tblGrid>
        <w:gridCol w:w="1240"/>
        <w:gridCol w:w="3144"/>
        <w:gridCol w:w="6660"/>
        <w:gridCol w:w="2580"/>
      </w:tblGrid>
      <w:tr>
        <w:tblPrEx>
          <w:tblCellMar>
            <w:top w:w="0" w:type="dxa"/>
            <w:left w:w="108" w:type="dxa"/>
            <w:bottom w:w="0" w:type="dxa"/>
            <w:right w:w="108" w:type="dxa"/>
          </w:tblCellMar>
        </w:tblPrEx>
        <w:trPr>
          <w:trHeight w:val="660" w:hRule="atLeast"/>
        </w:trPr>
        <w:tc>
          <w:tcPr>
            <w:tcW w:w="1240" w:type="dxa"/>
            <w:tcBorders>
              <w:top w:val="nil"/>
              <w:left w:val="nil"/>
              <w:bottom w:val="nil"/>
              <w:right w:val="nil"/>
            </w:tcBorders>
            <w:shd w:val="clear" w:color="auto" w:fill="auto"/>
            <w:noWrap/>
            <w:vAlign w:val="center"/>
          </w:tcPr>
          <w:p>
            <w:pPr>
              <w:adjustRightInd/>
              <w:snapToGrid/>
              <w:spacing w:after="0"/>
              <w:jc w:val="center"/>
              <w:rPr>
                <w:rFonts w:ascii="宋体" w:hAnsi="宋体" w:eastAsia="宋体" w:cs="宋体"/>
                <w:sz w:val="24"/>
                <w:szCs w:val="24"/>
              </w:rPr>
            </w:pPr>
            <w:r>
              <w:rPr>
                <w:rFonts w:hint="eastAsia" w:ascii="宋体" w:hAnsi="宋体" w:eastAsia="宋体" w:cs="宋体"/>
                <w:sz w:val="24"/>
                <w:szCs w:val="24"/>
              </w:rPr>
              <w:t>附件3</w:t>
            </w:r>
          </w:p>
        </w:tc>
        <w:tc>
          <w:tcPr>
            <w:tcW w:w="3144" w:type="dxa"/>
            <w:tcBorders>
              <w:top w:val="nil"/>
              <w:left w:val="nil"/>
              <w:bottom w:val="nil"/>
              <w:right w:val="nil"/>
            </w:tcBorders>
            <w:shd w:val="clear" w:color="auto" w:fill="auto"/>
            <w:noWrap/>
            <w:vAlign w:val="center"/>
          </w:tcPr>
          <w:p>
            <w:pPr>
              <w:adjustRightInd/>
              <w:snapToGrid/>
              <w:spacing w:after="0"/>
              <w:jc w:val="center"/>
              <w:rPr>
                <w:rFonts w:ascii="宋体" w:hAnsi="宋体" w:eastAsia="宋体" w:cs="宋体"/>
                <w:sz w:val="24"/>
                <w:szCs w:val="24"/>
              </w:rPr>
            </w:pPr>
          </w:p>
        </w:tc>
        <w:tc>
          <w:tcPr>
            <w:tcW w:w="6660" w:type="dxa"/>
            <w:tcBorders>
              <w:top w:val="nil"/>
              <w:left w:val="nil"/>
              <w:bottom w:val="nil"/>
              <w:right w:val="nil"/>
            </w:tcBorders>
            <w:shd w:val="clear" w:color="auto" w:fill="auto"/>
            <w:vAlign w:val="center"/>
          </w:tcPr>
          <w:p>
            <w:pPr>
              <w:adjustRightInd/>
              <w:snapToGrid/>
              <w:spacing w:after="0"/>
              <w:jc w:val="center"/>
              <w:rPr>
                <w:rFonts w:ascii="宋体" w:hAnsi="宋体" w:eastAsia="宋体" w:cs="宋体"/>
                <w:sz w:val="24"/>
                <w:szCs w:val="24"/>
              </w:rPr>
            </w:pPr>
          </w:p>
        </w:tc>
        <w:tc>
          <w:tcPr>
            <w:tcW w:w="2580" w:type="dxa"/>
            <w:tcBorders>
              <w:top w:val="nil"/>
              <w:left w:val="nil"/>
              <w:bottom w:val="nil"/>
              <w:right w:val="nil"/>
            </w:tcBorders>
            <w:shd w:val="clear" w:color="auto" w:fill="auto"/>
            <w:noWrap/>
            <w:vAlign w:val="center"/>
          </w:tcPr>
          <w:p>
            <w:pPr>
              <w:adjustRightInd/>
              <w:snapToGrid/>
              <w:spacing w:after="0"/>
              <w:jc w:val="center"/>
              <w:rPr>
                <w:rFonts w:ascii="宋体" w:hAnsi="宋体" w:eastAsia="宋体" w:cs="宋体"/>
                <w:sz w:val="24"/>
                <w:szCs w:val="24"/>
              </w:rPr>
            </w:pPr>
          </w:p>
        </w:tc>
      </w:tr>
      <w:tr>
        <w:tblPrEx>
          <w:tblCellMar>
            <w:top w:w="0" w:type="dxa"/>
            <w:left w:w="108" w:type="dxa"/>
            <w:bottom w:w="0" w:type="dxa"/>
            <w:right w:w="108" w:type="dxa"/>
          </w:tblCellMar>
        </w:tblPrEx>
        <w:trPr>
          <w:trHeight w:val="1260" w:hRule="atLeast"/>
        </w:trPr>
        <w:tc>
          <w:tcPr>
            <w:tcW w:w="13624" w:type="dxa"/>
            <w:gridSpan w:val="4"/>
            <w:tcBorders>
              <w:top w:val="nil"/>
              <w:left w:val="nil"/>
              <w:bottom w:val="nil"/>
              <w:right w:val="nil"/>
            </w:tcBorders>
            <w:shd w:val="clear" w:color="auto" w:fill="auto"/>
            <w:vAlign w:val="center"/>
          </w:tcPr>
          <w:p>
            <w:pPr>
              <w:adjustRightInd/>
              <w:snapToGrid/>
              <w:spacing w:after="0"/>
              <w:jc w:val="center"/>
              <w:rPr>
                <w:rFonts w:hint="default" w:ascii="宋体" w:hAnsi="宋体" w:eastAsia="宋体" w:cs="宋体"/>
                <w:b/>
                <w:bCs/>
                <w:color w:val="FF0000"/>
                <w:sz w:val="36"/>
                <w:szCs w:val="36"/>
                <w:lang w:val="en-US" w:eastAsia="zh-CN"/>
              </w:rPr>
            </w:pPr>
            <w:r>
              <w:rPr>
                <w:rFonts w:hint="eastAsia" w:ascii="宋体" w:hAnsi="宋体" w:eastAsia="宋体" w:cs="宋体"/>
                <w:b/>
                <w:bCs/>
                <w:sz w:val="36"/>
                <w:szCs w:val="36"/>
                <w:lang w:eastAsia="zh-CN"/>
              </w:rPr>
              <w:t>涞源县</w:t>
            </w:r>
            <w:r>
              <w:rPr>
                <w:rFonts w:hint="eastAsia" w:ascii="宋体" w:hAnsi="宋体" w:eastAsia="宋体" w:cs="宋体"/>
                <w:b/>
                <w:bCs/>
                <w:sz w:val="36"/>
                <w:szCs w:val="36"/>
              </w:rPr>
              <w:t>人力资源和社会保障局权责清单事项总表</w:t>
            </w:r>
            <w:r>
              <w:rPr>
                <w:rFonts w:hint="eastAsia" w:ascii="宋体" w:hAnsi="宋体" w:eastAsia="宋体" w:cs="宋体"/>
                <w:b/>
                <w:bCs/>
                <w:sz w:val="36"/>
                <w:szCs w:val="36"/>
              </w:rPr>
              <w:br w:type="textWrapping"/>
            </w:r>
            <w:r>
              <w:rPr>
                <w:rFonts w:hint="eastAsia" w:ascii="宋体" w:hAnsi="宋体" w:eastAsia="宋体" w:cs="宋体"/>
                <w:b/>
                <w:bCs/>
                <w:sz w:val="32"/>
                <w:szCs w:val="32"/>
              </w:rPr>
              <w:t>（共3类、</w:t>
            </w:r>
            <w:r>
              <w:rPr>
                <w:rFonts w:hint="eastAsia" w:ascii="宋体" w:hAnsi="宋体" w:eastAsia="宋体" w:cs="宋体"/>
                <w:b/>
                <w:bCs/>
                <w:sz w:val="32"/>
                <w:szCs w:val="32"/>
                <w:lang w:val="en-US" w:eastAsia="zh-CN"/>
              </w:rPr>
              <w:t>65</w:t>
            </w:r>
            <w:r>
              <w:rPr>
                <w:rFonts w:hint="eastAsia" w:ascii="宋体" w:hAnsi="宋体" w:eastAsia="宋体" w:cs="宋体"/>
                <w:b/>
                <w:bCs/>
                <w:sz w:val="32"/>
                <w:szCs w:val="32"/>
              </w:rPr>
              <w:t>项）</w:t>
            </w:r>
          </w:p>
        </w:tc>
      </w:tr>
      <w:tr>
        <w:tblPrEx>
          <w:tblCellMar>
            <w:top w:w="0" w:type="dxa"/>
            <w:left w:w="108" w:type="dxa"/>
            <w:bottom w:w="0" w:type="dxa"/>
            <w:right w:w="108" w:type="dxa"/>
          </w:tblCellMar>
        </w:tblPrEx>
        <w:trPr>
          <w:trHeight w:val="739" w:hRule="atLeast"/>
        </w:trPr>
        <w:tc>
          <w:tcPr>
            <w:tcW w:w="13624" w:type="dxa"/>
            <w:gridSpan w:val="4"/>
            <w:tcBorders>
              <w:top w:val="nil"/>
              <w:left w:val="nil"/>
              <w:bottom w:val="nil"/>
              <w:right w:val="nil"/>
            </w:tcBorders>
            <w:shd w:val="clear" w:color="auto" w:fill="auto"/>
            <w:vAlign w:val="center"/>
          </w:tcPr>
          <w:p>
            <w:pPr>
              <w:adjustRightInd/>
              <w:snapToGrid/>
              <w:spacing w:after="0"/>
              <w:rPr>
                <w:rFonts w:ascii="楷体_GB2312" w:hAnsi="宋体" w:eastAsia="楷体_GB2312" w:cs="宋体"/>
                <w:sz w:val="28"/>
                <w:szCs w:val="28"/>
              </w:rPr>
            </w:pPr>
            <w:r>
              <w:rPr>
                <w:rFonts w:hint="eastAsia" w:ascii="楷体_GB2312" w:hAnsi="宋体" w:eastAsia="楷体_GB2312" w:cs="宋体"/>
                <w:sz w:val="28"/>
                <w:szCs w:val="28"/>
              </w:rPr>
              <w:t>单位（公章）：</w:t>
            </w:r>
            <w:r>
              <w:rPr>
                <w:rFonts w:hint="eastAsia" w:ascii="楷体_GB2312" w:hAnsi="宋体" w:eastAsia="楷体_GB2312" w:cs="宋体"/>
                <w:sz w:val="28"/>
                <w:szCs w:val="28"/>
                <w:lang w:eastAsia="zh-CN"/>
              </w:rPr>
              <w:t>涞源县</w:t>
            </w:r>
            <w:r>
              <w:rPr>
                <w:rFonts w:hint="eastAsia" w:ascii="楷体_GB2312" w:hAnsi="宋体" w:eastAsia="楷体_GB2312" w:cs="宋体"/>
                <w:sz w:val="28"/>
                <w:szCs w:val="28"/>
              </w:rPr>
              <w:t>人力资源和社会保障局</w:t>
            </w:r>
          </w:p>
        </w:tc>
      </w:tr>
      <w:tr>
        <w:tblPrEx>
          <w:tblCellMar>
            <w:top w:w="0" w:type="dxa"/>
            <w:left w:w="108" w:type="dxa"/>
            <w:bottom w:w="0" w:type="dxa"/>
            <w:right w:w="108" w:type="dxa"/>
          </w:tblCellMar>
        </w:tblPrEx>
        <w:trPr>
          <w:trHeight w:val="720" w:hRule="atLeast"/>
        </w:trPr>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32"/>
                <w:szCs w:val="32"/>
              </w:rPr>
            </w:pPr>
            <w:r>
              <w:rPr>
                <w:rFonts w:hint="eastAsia" w:ascii="黑体" w:hAnsi="黑体" w:eastAsia="黑体" w:cs="宋体"/>
                <w:sz w:val="32"/>
                <w:szCs w:val="32"/>
              </w:rPr>
              <w:t>总序号</w:t>
            </w:r>
          </w:p>
        </w:tc>
        <w:tc>
          <w:tcPr>
            <w:tcW w:w="3144"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32"/>
                <w:szCs w:val="32"/>
              </w:rPr>
            </w:pPr>
            <w:r>
              <w:rPr>
                <w:rFonts w:hint="eastAsia" w:ascii="黑体" w:hAnsi="黑体" w:eastAsia="黑体" w:cs="宋体"/>
                <w:sz w:val="32"/>
                <w:szCs w:val="32"/>
              </w:rPr>
              <w:t>类别及序号</w:t>
            </w:r>
          </w:p>
        </w:tc>
        <w:tc>
          <w:tcPr>
            <w:tcW w:w="666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jc w:val="center"/>
              <w:rPr>
                <w:rFonts w:ascii="黑体" w:hAnsi="黑体" w:eastAsia="黑体" w:cs="宋体"/>
                <w:sz w:val="32"/>
                <w:szCs w:val="32"/>
              </w:rPr>
            </w:pPr>
            <w:r>
              <w:rPr>
                <w:rFonts w:hint="eastAsia" w:ascii="黑体" w:hAnsi="黑体" w:eastAsia="黑体" w:cs="宋体"/>
                <w:sz w:val="32"/>
                <w:szCs w:val="32"/>
              </w:rPr>
              <w:t>项目名称及数量</w:t>
            </w:r>
          </w:p>
        </w:tc>
        <w:tc>
          <w:tcPr>
            <w:tcW w:w="258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32"/>
                <w:szCs w:val="32"/>
              </w:rPr>
            </w:pPr>
            <w:r>
              <w:rPr>
                <w:rFonts w:hint="eastAsia" w:ascii="黑体" w:hAnsi="黑体" w:eastAsia="黑体" w:cs="宋体"/>
                <w:sz w:val="32"/>
                <w:szCs w:val="32"/>
              </w:rPr>
              <w:t>备注</w:t>
            </w:r>
          </w:p>
        </w:tc>
      </w:tr>
      <w:tr>
        <w:tblPrEx>
          <w:tblCellMar>
            <w:top w:w="0" w:type="dxa"/>
            <w:left w:w="108" w:type="dxa"/>
            <w:bottom w:w="0" w:type="dxa"/>
            <w:right w:w="108" w:type="dxa"/>
          </w:tblCellMar>
        </w:tblPrEx>
        <w:trPr>
          <w:trHeight w:val="720"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32"/>
                <w:szCs w:val="32"/>
              </w:rPr>
            </w:pPr>
            <w:r>
              <w:rPr>
                <w:rFonts w:hint="eastAsia" w:ascii="仿宋_GB2312" w:hAnsi="宋体" w:eastAsia="仿宋_GB2312" w:cs="宋体"/>
                <w:sz w:val="32"/>
                <w:szCs w:val="32"/>
              </w:rPr>
              <w:t>一、行政许可</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32"/>
                <w:szCs w:val="32"/>
              </w:rPr>
            </w:pPr>
            <w:r>
              <w:rPr>
                <w:rFonts w:hint="eastAsia" w:ascii="仿宋_GB2312" w:hAnsi="宋体" w:eastAsia="仿宋_GB2312" w:cs="宋体"/>
                <w:sz w:val="32"/>
                <w:szCs w:val="32"/>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720"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32"/>
                <w:szCs w:val="32"/>
              </w:rPr>
            </w:pPr>
            <w:r>
              <w:rPr>
                <w:rFonts w:hint="eastAsia" w:ascii="仿宋_GB2312" w:hAnsi="宋体" w:eastAsia="仿宋_GB2312" w:cs="宋体"/>
                <w:sz w:val="32"/>
                <w:szCs w:val="32"/>
              </w:rPr>
              <w:t>二、行政处罚</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32"/>
                <w:szCs w:val="32"/>
              </w:rPr>
            </w:pPr>
            <w:r>
              <w:rPr>
                <w:rFonts w:hint="eastAsia" w:ascii="仿宋_GB2312" w:hAnsi="宋体" w:eastAsia="仿宋_GB2312" w:cs="宋体"/>
                <w:sz w:val="32"/>
                <w:szCs w:val="32"/>
              </w:rPr>
              <w:t>共57项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对以担保或者其他名义向劳动者收取财物的处罚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对未经许可，擅自经营劳务派遣业务的处罚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劳务派遣单位、用工单位违反本法有关劳务派遣规定的处罚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对不办理社会保险登记的，逾期不改正的处罚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对未按时足额缴纳社会保险费的，逾期仍不缴纳的处罚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6</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6</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对未经许可和登记，擅自从事职业中介活动的处罚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7</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7</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对职业中介机构提供虚假就业信息，为无合法证照的用人单位提供职业中介服务，伪造、涂改、转让职业中介许可证的处罚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8</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8</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对职业中介机构向劳动者收取押金的处罚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9</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9</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对用人单位使用童工的处罚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10</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10</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逾期仍不将童工送交其父母或者其他监护人的处罚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11</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对为不满16周岁的未成年人介绍就业的处罚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12</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未按规定保存录用登记材料，或者伪造录用登记材料的处罚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13</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无营业执照、被依法吊销营业执照的单位及未依法登记、备案的单位使用或介绍童工就业的处罚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14</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对违反《女职工劳动保护特别规定》第六条第二款、第七条、第九条第一款规定的处罚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15</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对安排女职工从事矿山井下劳动、国家规定的第四级体力劳动强度的劳动或者其他禁忌从事的劳动的处罚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16</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16</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对安排女职工在经期从事高处、低温、冷水作业或者国家规定的第三级体力劳动强度的劳动的处罚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17</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17</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对安排女职工在怀孕期间从事国家规定的第三级体力劳动强度的劳动或者孕期禁忌从事的劳动的处罚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18</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18</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对安排怀孕7个月以上的女职工夜班劳动或者延长其工作时间的处罚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19</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19</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对女职工生育享受产假少于90天的处罚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840"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20</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20</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对安排女职工在哺乳未满1周岁的婴儿期间从事国家规定的第三级体力劳动强度的劳动或者哺乳期禁忌从事的其他劳动，以及延长其工作时间或者安排其夜班劳动的处罚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21</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对安排未成年工从事矿山井下、有毒有害、国家规定的第四级体力劳动强度的劳动或者其他禁忌从事的劳动的处罚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22</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对未对未成年工定期进行健康检查的处罚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23</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对违法延长劳动者工作时间的处罚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24</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对用人单位向社会保险经办机构申报应缴纳的社会保险费数额时，瞒报工资总额或者职工人数的处罚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25</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对骗取社会保险待遇或者骗取社会保险基金支出的处罚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26</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26</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对违反国家有关职业介绍、职业技能培训或技能鉴定考核规定的处罚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27</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27</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对无理抗拒、阻挠劳动保障行政部门依照本条例的规定实施劳动保障监察的处罚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28</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28</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对不按照劳动保障行政部门的要求报送书面材料，隐瞒事实真相，出具伪证或者隐匿、毁灭证据的处罚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29</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29</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对经劳动保障行政部门责令改正拒不改正，或者不履行劳动保障行政部门的行政处理决定的处罚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30</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30</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用人单位、工伤职工或者其近亲属骗取工伤保险待遇，医疗机构、辅助器具配置机构骗取工伤保险基金支出的处罚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31</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对从事劳动能力鉴定的组织或者个人提供虚假鉴定意见的处罚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32</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对从事劳动能力鉴定的组织或者个人提供虚假诊断证明的处罚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33</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对从事劳动能力鉴定的组织或者个人收受当事人财物的处罚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34</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对用人单位违反规定，拒不协助社会保险行政部门对事故进行调查核实的处罚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35</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对未按照规定办理社会保险登记、变更登记或注销登记，或者未按照规定申报应缴纳的社会保险费数额的处罚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36</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36</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对违反规定，伪造、变造故意毁灭有关帐册、材料或者不设帐册，致使社会保险费缴费基数无法确定而迟延缴纳的处罚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37</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37</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对用人单位违反劳动合同法有关建立职工名册规定，逾期不改正的处罚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38</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38</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对用工单位违反劳动合同法和本条例有关劳务派遣规定，情节严重的处罚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39</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39</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对招用劳动者收取抵押金、保证金以及扣留劳动者证件或者档案的处罚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40</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40</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对介绍或者招用未取得职业资格证的劳动者从事国家规定实行就业准入职业工作的处罚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41</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对用人单位未按规定与劳动者订立书面劳动合同或者违反规定条件解除劳动合同，逾期不改正的处罚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42</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对用人单位违反女职工和未成年工特殊保护规定的处罚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43</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对用人单位违反有关规定，克扣或者无故拖欠工资以及工资低于最低工资标准，逾期拒不支付的处罚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44</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对未经批准擅自开办职业介绍、职业技能鉴定及应当由劳动和社会保障部门管辖的职业培训机构的处罚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45</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对滥发职业培训证书或者职业资格证书的处罚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46</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46</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对用人单位拒绝接受劳动和社会保障年度审查的处罚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47</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47</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对打击报复举报人或者违反规定解除举报人劳动合同的处罚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48</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48</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对招用不满十六周岁的未成年人的处罚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49</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49</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对违反应当书面记录支付劳动者工资的数额、项目、时间和领取工资者的签字，并至少保留两年备查规定的处罚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50</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50</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对伪造、变造社会保险登记证的处罚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51</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对未按规定从缴纳个人工资中代扣代缴社会保险费的处罚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52</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对未按规定向职工公示本单位社会保险费交纳情况的处罚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900"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53</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对违反本规定，在国家法律、行政法规和国务院卫生行政部门规定禁止乙肝病原携带者从事的工作岗位以外招用人员时，将乙肝病毒血清学指标作为体检标准的处罚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54</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对职业中介机构未明示职业中介许可证、监督电话的处罚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55</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对职业中介机构未建立服务台账，或虽建立服务台账但未记录服务对象、服务过程、服务结果和收费情况的处罚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56</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56</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对职业中介机构在职业中介服务不成功后未向劳动者退还所收取的中介服务费的处罚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57</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57</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用人单位违反《就业服务与就业管理规定》第六十二条规定，未及时为劳动者办理就业登记手续的处罚</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三、行政强制</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四、行政征收</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五、行政给付</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六、行政检查</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720"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七、行政确认</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lang w:eastAsia="zh-CN"/>
              </w:rPr>
            </w:pPr>
            <w:r>
              <w:rPr>
                <w:rFonts w:hint="eastAsia" w:ascii="仿宋_GB2312" w:hAnsi="宋体" w:eastAsia="仿宋_GB2312" w:cs="宋体"/>
              </w:rPr>
              <w:t>共</w:t>
            </w:r>
            <w:r>
              <w:rPr>
                <w:rFonts w:hint="eastAsia" w:ascii="仿宋_GB2312" w:hAnsi="宋体" w:eastAsia="仿宋_GB2312" w:cs="宋体"/>
                <w:lang w:val="en-US" w:eastAsia="zh-CN"/>
              </w:rPr>
              <w:t>5</w:t>
            </w:r>
            <w:r>
              <w:rPr>
                <w:rFonts w:hint="eastAsia" w:ascii="仿宋_GB2312" w:hAnsi="宋体" w:eastAsia="仿宋_GB2312" w:cs="宋体"/>
              </w:rPr>
              <w:t>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58</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lang w:eastAsia="zh-CN"/>
              </w:rPr>
              <w:t>县</w:t>
            </w:r>
            <w:r>
              <w:rPr>
                <w:rFonts w:hint="eastAsia" w:ascii="仿宋_GB2312" w:hAnsi="宋体" w:eastAsia="仿宋_GB2312" w:cs="宋体"/>
                <w:color w:val="000000"/>
                <w:sz w:val="20"/>
                <w:szCs w:val="20"/>
              </w:rPr>
              <w:t>本级事业退休待遇条件确认</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lang w:val="en-US" w:eastAsia="zh-CN"/>
              </w:rPr>
            </w:pPr>
            <w:r>
              <w:rPr>
                <w:rFonts w:hint="eastAsia" w:ascii="仿宋_GB2312" w:hAnsi="宋体" w:eastAsia="仿宋_GB2312" w:cs="宋体"/>
                <w:lang w:val="en-US" w:eastAsia="zh-CN"/>
              </w:rPr>
              <w:t>59</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val="en-US" w:eastAsia="zh-CN"/>
              </w:rPr>
            </w:pPr>
            <w:r>
              <w:rPr>
                <w:rFonts w:hint="eastAsia" w:ascii="仿宋_GB2312" w:hAnsi="宋体" w:eastAsia="仿宋_GB2312" w:cs="宋体"/>
                <w:sz w:val="20"/>
                <w:szCs w:val="20"/>
                <w:lang w:val="en-US" w:eastAsia="zh-CN"/>
              </w:rPr>
              <w:t>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color w:val="000000"/>
                <w:sz w:val="20"/>
                <w:szCs w:val="20"/>
                <w:lang w:eastAsia="zh-CN"/>
              </w:rPr>
            </w:pPr>
            <w:r>
              <w:rPr>
                <w:rFonts w:hint="eastAsia" w:ascii="仿宋_GB2312" w:hAnsi="宋体" w:eastAsia="仿宋_GB2312" w:cs="宋体"/>
                <w:color w:val="000000"/>
                <w:sz w:val="20"/>
                <w:szCs w:val="20"/>
                <w:lang w:eastAsia="zh-CN"/>
              </w:rPr>
              <w:t>参加基本养老保险的企业职工提前退休初审</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lang w:val="en-US" w:eastAsia="zh-CN"/>
              </w:rPr>
            </w:pPr>
            <w:r>
              <w:rPr>
                <w:rFonts w:hint="eastAsia" w:ascii="仿宋_GB2312" w:hAnsi="宋体" w:eastAsia="仿宋_GB2312" w:cs="宋体"/>
              </w:rPr>
              <w:t>6</w:t>
            </w:r>
            <w:r>
              <w:rPr>
                <w:rFonts w:hint="eastAsia" w:ascii="仿宋_GB2312" w:hAnsi="宋体" w:eastAsia="仿宋_GB2312" w:cs="宋体"/>
                <w:lang w:val="en-US" w:eastAsia="zh-CN"/>
              </w:rPr>
              <w:t>0</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val="en-US" w:eastAsia="zh-CN"/>
              </w:rPr>
            </w:pPr>
            <w:r>
              <w:rPr>
                <w:rFonts w:hint="eastAsia" w:ascii="仿宋_GB2312" w:hAnsi="宋体" w:eastAsia="仿宋_GB2312" w:cs="宋体"/>
                <w:sz w:val="20"/>
                <w:szCs w:val="20"/>
                <w:lang w:val="en-US" w:eastAsia="zh-CN"/>
              </w:rPr>
              <w:t>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color w:val="000000"/>
                <w:sz w:val="20"/>
                <w:szCs w:val="20"/>
                <w:lang w:val="en-US" w:eastAsia="zh-CN" w:bidi="ar-SA"/>
              </w:rPr>
            </w:pPr>
            <w:r>
              <w:rPr>
                <w:rFonts w:hint="eastAsia" w:ascii="仿宋_GB2312" w:hAnsi="宋体" w:eastAsia="仿宋_GB2312" w:cs="宋体"/>
                <w:color w:val="000000"/>
                <w:sz w:val="20"/>
                <w:szCs w:val="20"/>
                <w:lang w:eastAsia="zh-CN"/>
              </w:rPr>
              <w:t>县</w:t>
            </w:r>
            <w:r>
              <w:rPr>
                <w:rFonts w:hint="eastAsia" w:ascii="仿宋_GB2312" w:hAnsi="宋体" w:eastAsia="仿宋_GB2312" w:cs="宋体"/>
                <w:color w:val="000000"/>
                <w:sz w:val="20"/>
                <w:szCs w:val="20"/>
              </w:rPr>
              <w:t>本级参保企业职工退休核准</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lang w:val="en-US" w:eastAsia="zh-CN"/>
              </w:rPr>
            </w:pPr>
            <w:r>
              <w:rPr>
                <w:rFonts w:hint="eastAsia" w:ascii="仿宋_GB2312" w:hAnsi="宋体" w:eastAsia="仿宋_GB2312" w:cs="宋体"/>
              </w:rPr>
              <w:t>6</w:t>
            </w:r>
            <w:r>
              <w:rPr>
                <w:rFonts w:hint="eastAsia" w:ascii="仿宋_GB2312" w:hAnsi="宋体" w:eastAsia="仿宋_GB2312" w:cs="宋体"/>
                <w:lang w:val="en-US" w:eastAsia="zh-CN"/>
              </w:rPr>
              <w:t>1</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4</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color w:val="000000"/>
                <w:sz w:val="20"/>
                <w:szCs w:val="20"/>
                <w:lang w:val="en-US" w:eastAsia="zh-CN" w:bidi="ar-SA"/>
              </w:rPr>
            </w:pPr>
            <w:r>
              <w:rPr>
                <w:rFonts w:hint="eastAsia" w:ascii="仿宋_GB2312" w:hAnsi="宋体" w:eastAsia="仿宋_GB2312" w:cs="宋体"/>
                <w:color w:val="000000"/>
                <w:sz w:val="20"/>
                <w:szCs w:val="20"/>
              </w:rPr>
              <w:t>保持荣誉称号职工退休提高待遇核准</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lang w:val="en-US" w:eastAsia="zh-CN"/>
              </w:rPr>
            </w:pPr>
            <w:r>
              <w:rPr>
                <w:rFonts w:hint="eastAsia" w:ascii="仿宋_GB2312" w:hAnsi="宋体" w:eastAsia="仿宋_GB2312" w:cs="宋体"/>
              </w:rPr>
              <w:t>6</w:t>
            </w:r>
            <w:r>
              <w:rPr>
                <w:rFonts w:hint="eastAsia" w:ascii="仿宋_GB2312" w:hAnsi="宋体" w:eastAsia="仿宋_GB2312" w:cs="宋体"/>
                <w:lang w:val="en-US" w:eastAsia="zh-CN"/>
              </w:rPr>
              <w:t>2</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val="en-US" w:eastAsia="zh-CN"/>
              </w:rPr>
            </w:pPr>
            <w:r>
              <w:rPr>
                <w:rFonts w:hint="eastAsia" w:ascii="仿宋_GB2312" w:hAnsi="宋体" w:eastAsia="仿宋_GB2312" w:cs="宋体"/>
                <w:sz w:val="20"/>
                <w:szCs w:val="20"/>
                <w:lang w:val="en-US" w:eastAsia="zh-CN"/>
              </w:rPr>
              <w:t>5</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val="en-US" w:eastAsia="zh-CN" w:bidi="ar-SA"/>
              </w:rPr>
            </w:pPr>
            <w:r>
              <w:rPr>
                <w:rFonts w:hint="eastAsia" w:ascii="仿宋_GB2312" w:hAnsi="宋体" w:eastAsia="仿宋_GB2312" w:cs="宋体"/>
                <w:sz w:val="20"/>
                <w:szCs w:val="20"/>
              </w:rPr>
              <w:t>机关事业单位工人技能等级</w:t>
            </w:r>
            <w:r>
              <w:rPr>
                <w:rFonts w:hint="eastAsia" w:ascii="仿宋_GB2312" w:hAnsi="宋体" w:eastAsia="仿宋_GB2312" w:cs="宋体"/>
                <w:sz w:val="20"/>
                <w:szCs w:val="20"/>
                <w:lang w:eastAsia="zh-CN"/>
              </w:rPr>
              <w:t>晋升</w:t>
            </w:r>
            <w:r>
              <w:rPr>
                <w:rFonts w:hint="eastAsia" w:ascii="仿宋_GB2312" w:hAnsi="宋体" w:eastAsia="仿宋_GB2312" w:cs="宋体"/>
                <w:sz w:val="20"/>
                <w:szCs w:val="20"/>
              </w:rPr>
              <w:t>考核</w:t>
            </w:r>
            <w:r>
              <w:rPr>
                <w:rFonts w:hint="eastAsia" w:ascii="仿宋_GB2312" w:hAnsi="宋体" w:eastAsia="仿宋_GB2312" w:cs="宋体"/>
                <w:sz w:val="20"/>
                <w:szCs w:val="20"/>
                <w:lang w:eastAsia="zh-CN"/>
              </w:rPr>
              <w:t>、资格认证</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八、行政奖励</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九、行政裁决</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共0项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720"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lang w:val="en-US" w:eastAsia="zh-CN"/>
              </w:rPr>
            </w:pPr>
          </w:p>
        </w:tc>
        <w:tc>
          <w:tcPr>
            <w:tcW w:w="3144"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十、其他类</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共</w:t>
            </w:r>
            <w:r>
              <w:rPr>
                <w:rFonts w:hint="eastAsia" w:ascii="仿宋_GB2312" w:hAnsi="宋体" w:eastAsia="仿宋_GB2312" w:cs="宋体"/>
                <w:lang w:val="en-US" w:eastAsia="zh-CN"/>
              </w:rPr>
              <w:t>3</w:t>
            </w:r>
            <w:r>
              <w:rPr>
                <w:rFonts w:hint="eastAsia" w:ascii="仿宋_GB2312" w:hAnsi="宋体" w:eastAsia="仿宋_GB2312" w:cs="宋体"/>
              </w:rPr>
              <w:t>项</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rPr>
            </w:pPr>
            <w:r>
              <w:rPr>
                <w:rFonts w:hint="eastAsia" w:ascii="仿宋_GB2312" w:hAnsi="宋体" w:eastAsia="仿宋_GB2312" w:cs="宋体"/>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sz w:val="22"/>
                <w:szCs w:val="22"/>
                <w:lang w:val="en-US" w:eastAsia="zh-CN" w:bidi="ar-SA"/>
              </w:rPr>
            </w:pPr>
            <w:r>
              <w:rPr>
                <w:rFonts w:hint="eastAsia" w:ascii="仿宋_GB2312" w:hAnsi="宋体" w:eastAsia="仿宋_GB2312" w:cs="宋体"/>
              </w:rPr>
              <w:t>6</w:t>
            </w:r>
            <w:r>
              <w:rPr>
                <w:rFonts w:hint="eastAsia" w:ascii="仿宋_GB2312" w:hAnsi="宋体" w:eastAsia="仿宋_GB2312" w:cs="宋体"/>
                <w:lang w:val="en-US" w:eastAsia="zh-CN"/>
              </w:rPr>
              <w:t>3</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1</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lang w:eastAsia="zh-CN"/>
              </w:rPr>
              <w:t>县直</w:t>
            </w:r>
            <w:r>
              <w:rPr>
                <w:rFonts w:hint="eastAsia" w:ascii="仿宋_GB2312" w:hAnsi="宋体" w:eastAsia="仿宋_GB2312" w:cs="宋体"/>
                <w:sz w:val="20"/>
                <w:szCs w:val="20"/>
              </w:rPr>
              <w:t>政府序列事业单位人员和机关工勤人员调配</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eastAsia" w:ascii="仿宋_GB2312" w:hAnsi="宋体" w:eastAsia="仿宋_GB2312" w:cs="宋体"/>
                <w:sz w:val="22"/>
                <w:szCs w:val="22"/>
                <w:lang w:val="en-US" w:eastAsia="zh-CN" w:bidi="ar-SA"/>
              </w:rPr>
            </w:pPr>
            <w:r>
              <w:rPr>
                <w:rFonts w:hint="eastAsia" w:ascii="仿宋_GB2312" w:hAnsi="宋体" w:eastAsia="仿宋_GB2312" w:cs="宋体"/>
                <w:lang w:val="en-US" w:eastAsia="zh-CN"/>
              </w:rPr>
              <w:t>64</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2</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eastAsia="zh-CN"/>
              </w:rPr>
            </w:pPr>
            <w:r>
              <w:rPr>
                <w:rFonts w:hint="eastAsia" w:ascii="仿宋_GB2312" w:hAnsi="宋体" w:eastAsia="仿宋_GB2312" w:cs="宋体"/>
                <w:sz w:val="20"/>
                <w:szCs w:val="20"/>
              </w:rPr>
              <w:t>功勋荣誉表彰奖励获得者高定工资档次或薪级工资</w:t>
            </w:r>
            <w:r>
              <w:rPr>
                <w:rFonts w:hint="eastAsia" w:ascii="仿宋_GB2312" w:hAnsi="宋体" w:eastAsia="仿宋_GB2312" w:cs="宋体"/>
                <w:sz w:val="20"/>
                <w:szCs w:val="20"/>
                <w:lang w:eastAsia="zh-CN"/>
              </w:rPr>
              <w:t>的审核</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r>
        <w:tblPrEx>
          <w:tblCellMar>
            <w:top w:w="0" w:type="dxa"/>
            <w:left w:w="108" w:type="dxa"/>
            <w:bottom w:w="0" w:type="dxa"/>
            <w:right w:w="108" w:type="dxa"/>
          </w:tblCellMar>
        </w:tblPrEx>
        <w:trPr>
          <w:trHeight w:val="559" w:hRule="atLeast"/>
        </w:trPr>
        <w:tc>
          <w:tcPr>
            <w:tcW w:w="1240" w:type="dxa"/>
            <w:tcBorders>
              <w:top w:val="nil"/>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hint="default" w:ascii="仿宋_GB2312" w:hAnsi="宋体" w:eastAsia="仿宋_GB2312" w:cs="宋体"/>
                <w:sz w:val="22"/>
                <w:szCs w:val="22"/>
                <w:lang w:val="en-US" w:eastAsia="zh-CN" w:bidi="ar-SA"/>
              </w:rPr>
            </w:pPr>
            <w:r>
              <w:rPr>
                <w:rFonts w:hint="eastAsia" w:ascii="仿宋_GB2312" w:hAnsi="宋体" w:eastAsia="仿宋_GB2312" w:cs="宋体"/>
                <w:lang w:val="en-US" w:eastAsia="zh-CN"/>
              </w:rPr>
              <w:t>65</w:t>
            </w:r>
          </w:p>
        </w:tc>
        <w:tc>
          <w:tcPr>
            <w:tcW w:w="3144"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3</w:t>
            </w:r>
          </w:p>
        </w:tc>
        <w:tc>
          <w:tcPr>
            <w:tcW w:w="6660" w:type="dxa"/>
            <w:tcBorders>
              <w:top w:val="nil"/>
              <w:left w:val="nil"/>
              <w:bottom w:val="single" w:color="auto" w:sz="4" w:space="0"/>
              <w:right w:val="single" w:color="auto" w:sz="4" w:space="0"/>
            </w:tcBorders>
            <w:shd w:val="clear" w:color="auto" w:fill="auto"/>
            <w:vAlign w:val="center"/>
          </w:tcPr>
          <w:p>
            <w:pPr>
              <w:adjustRightInd/>
              <w:snapToGrid/>
              <w:spacing w:after="0"/>
              <w:jc w:val="center"/>
              <w:rPr>
                <w:rFonts w:ascii="仿宋_GB2312" w:hAnsi="宋体" w:eastAsia="仿宋_GB2312" w:cs="宋体"/>
                <w:sz w:val="20"/>
                <w:szCs w:val="20"/>
              </w:rPr>
            </w:pPr>
            <w:r>
              <w:rPr>
                <w:rFonts w:hint="eastAsia" w:ascii="仿宋_GB2312" w:hAnsi="宋体" w:eastAsia="仿宋_GB2312" w:cs="宋体"/>
                <w:sz w:val="20"/>
                <w:szCs w:val="20"/>
              </w:rPr>
              <w:t>对功勋荣誉表彰奖励获得者和记一等功奖励人员离退休后荣誉津贴的审核</w:t>
            </w:r>
          </w:p>
        </w:tc>
        <w:tc>
          <w:tcPr>
            <w:tcW w:w="2580" w:type="dxa"/>
            <w:tcBorders>
              <w:top w:val="nil"/>
              <w:left w:val="nil"/>
              <w:bottom w:val="single" w:color="auto" w:sz="4" w:space="0"/>
              <w:right w:val="single" w:color="auto" w:sz="4" w:space="0"/>
            </w:tcBorders>
            <w:shd w:val="clear" w:color="auto" w:fill="auto"/>
            <w:noWrap/>
            <w:vAlign w:val="center"/>
          </w:tcPr>
          <w:p>
            <w:pPr>
              <w:adjustRightInd/>
              <w:snapToGrid/>
              <w:spacing w:after="0"/>
              <w:jc w:val="center"/>
              <w:rPr>
                <w:rFonts w:ascii="仿宋_GB2312" w:hAnsi="宋体" w:eastAsia="仿宋_GB2312" w:cs="宋体"/>
                <w:sz w:val="24"/>
                <w:szCs w:val="24"/>
              </w:rPr>
            </w:pPr>
            <w:r>
              <w:rPr>
                <w:rFonts w:hint="eastAsia" w:ascii="仿宋_GB2312" w:hAnsi="宋体" w:eastAsia="仿宋_GB2312" w:cs="宋体"/>
                <w:sz w:val="24"/>
                <w:szCs w:val="24"/>
              </w:rPr>
              <w:t>　</w:t>
            </w:r>
          </w:p>
        </w:tc>
      </w:tr>
    </w:tbl>
    <w:p>
      <w:pPr>
        <w:rPr>
          <w:rFonts w:hint="default"/>
          <w:color w:val="FF0000"/>
          <w:lang w:val="en-US" w:eastAsia="zh-CN"/>
        </w:rPr>
      </w:pPr>
      <w:r>
        <w:rPr>
          <w:rFonts w:hint="eastAsia"/>
          <w:lang w:val="en-US" w:eastAsia="zh-CN"/>
        </w:rPr>
        <w:t xml:space="preserve">   </w:t>
      </w:r>
    </w:p>
    <w:sectPr>
      <w:footerReference r:id="rId5" w:type="default"/>
      <w:pgSz w:w="16838" w:h="11906" w:orient="landscape"/>
      <w:pgMar w:top="720" w:right="720" w:bottom="720" w:left="720" w:header="708" w:footer="708" w:gutter="0"/>
      <w:pgNumType w:fmt="decimal"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rsids>
    <w:rsidRoot w:val="00D31D50"/>
    <w:rsid w:val="002F3DF2"/>
    <w:rsid w:val="00323B43"/>
    <w:rsid w:val="003D37D8"/>
    <w:rsid w:val="00426133"/>
    <w:rsid w:val="004358AB"/>
    <w:rsid w:val="007A07A2"/>
    <w:rsid w:val="008B7726"/>
    <w:rsid w:val="00D31D50"/>
    <w:rsid w:val="05542D5D"/>
    <w:rsid w:val="0E536835"/>
    <w:rsid w:val="0EF44E7F"/>
    <w:rsid w:val="19CC75E3"/>
    <w:rsid w:val="1CDA07B2"/>
    <w:rsid w:val="1FDD13B5"/>
    <w:rsid w:val="2E0958A2"/>
    <w:rsid w:val="2FF47F00"/>
    <w:rsid w:val="3DAC1922"/>
    <w:rsid w:val="56D60BBD"/>
    <w:rsid w:val="6B285901"/>
    <w:rsid w:val="767F4056"/>
    <w:rsid w:val="78671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462</Words>
  <Characters>2634</Characters>
  <Lines>21</Lines>
  <Paragraphs>6</Paragraphs>
  <TotalTime>51</TotalTime>
  <ScaleCrop>false</ScaleCrop>
  <LinksUpToDate>false</LinksUpToDate>
  <CharactersWithSpaces>3090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dh</cp:lastModifiedBy>
  <cp:lastPrinted>2021-03-22T03:11:00Z</cp:lastPrinted>
  <dcterms:modified xsi:type="dcterms:W3CDTF">2021-06-17T08:41:57Z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F092BDEB613C4A9C8BE0D5D1C36F7266</vt:lpwstr>
  </property>
</Properties>
</file>