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5340" w:type="dxa"/>
        <w:tblInd w:w="93" w:type="dxa"/>
        <w:tblLayout w:type="fixed"/>
        <w:tblCellMar>
          <w:top w:w="0" w:type="dxa"/>
          <w:left w:w="108" w:type="dxa"/>
          <w:bottom w:w="0" w:type="dxa"/>
          <w:right w:w="108" w:type="dxa"/>
        </w:tblCellMar>
      </w:tblPr>
      <w:tblGrid>
        <w:gridCol w:w="583"/>
        <w:gridCol w:w="726"/>
        <w:gridCol w:w="1342"/>
        <w:gridCol w:w="703"/>
        <w:gridCol w:w="4215"/>
        <w:gridCol w:w="3871"/>
        <w:gridCol w:w="3150"/>
        <w:gridCol w:w="750"/>
      </w:tblGrid>
      <w:tr>
        <w:tblPrEx>
          <w:tblLayout w:type="fixed"/>
          <w:tblCellMar>
            <w:top w:w="0" w:type="dxa"/>
            <w:left w:w="108" w:type="dxa"/>
            <w:bottom w:w="0" w:type="dxa"/>
            <w:right w:w="108" w:type="dxa"/>
          </w:tblCellMar>
        </w:tblPrEx>
        <w:trPr>
          <w:trHeight w:val="499" w:hRule="atLeast"/>
        </w:trPr>
        <w:tc>
          <w:tcPr>
            <w:tcW w:w="583" w:type="dxa"/>
            <w:tcBorders>
              <w:top w:val="nil"/>
              <w:left w:val="nil"/>
              <w:bottom w:val="nil"/>
              <w:right w:val="nil"/>
            </w:tcBorders>
            <w:shd w:val="clear" w:color="auto" w:fill="auto"/>
            <w:noWrap/>
            <w:vAlign w:val="center"/>
          </w:tcPr>
          <w:p>
            <w:pPr>
              <w:adjustRightInd/>
              <w:snapToGrid/>
              <w:spacing w:after="0"/>
              <w:rPr>
                <w:rFonts w:hint="eastAsia" w:ascii="宋体" w:hAnsi="宋体" w:eastAsia="宋体" w:cs="宋体"/>
                <w:sz w:val="18"/>
                <w:szCs w:val="18"/>
              </w:rPr>
            </w:pPr>
            <w:r>
              <w:rPr>
                <w:rFonts w:hint="eastAsia" w:ascii="宋体" w:hAnsi="宋体" w:eastAsia="宋体" w:cs="宋体"/>
                <w:sz w:val="18"/>
                <w:szCs w:val="18"/>
              </w:rPr>
              <w:t>附件4</w:t>
            </w:r>
          </w:p>
          <w:p>
            <w:pPr>
              <w:adjustRightInd/>
              <w:snapToGrid/>
              <w:spacing w:after="0"/>
              <w:rPr>
                <w:rFonts w:ascii="宋体" w:hAnsi="宋体" w:eastAsia="宋体" w:cs="宋体"/>
                <w:sz w:val="24"/>
                <w:szCs w:val="24"/>
              </w:rPr>
            </w:pPr>
          </w:p>
        </w:tc>
        <w:tc>
          <w:tcPr>
            <w:tcW w:w="726" w:type="dxa"/>
            <w:tcBorders>
              <w:top w:val="nil"/>
              <w:left w:val="nil"/>
              <w:bottom w:val="nil"/>
              <w:right w:val="nil"/>
            </w:tcBorders>
            <w:shd w:val="clear" w:color="auto" w:fill="auto"/>
            <w:noWrap/>
            <w:vAlign w:val="center"/>
          </w:tcPr>
          <w:p>
            <w:pPr>
              <w:adjustRightInd/>
              <w:snapToGrid/>
              <w:spacing w:after="0"/>
              <w:jc w:val="center"/>
              <w:rPr>
                <w:rFonts w:ascii="仿宋" w:hAnsi="仿宋" w:eastAsia="仿宋" w:cs="宋体"/>
                <w:sz w:val="24"/>
                <w:szCs w:val="24"/>
              </w:rPr>
            </w:pPr>
          </w:p>
        </w:tc>
        <w:tc>
          <w:tcPr>
            <w:tcW w:w="1342" w:type="dxa"/>
            <w:tcBorders>
              <w:top w:val="nil"/>
              <w:left w:val="nil"/>
              <w:bottom w:val="nil"/>
              <w:right w:val="nil"/>
            </w:tcBorders>
            <w:shd w:val="clear" w:color="auto" w:fill="auto"/>
            <w:noWrap/>
            <w:vAlign w:val="center"/>
          </w:tcPr>
          <w:p>
            <w:pPr>
              <w:adjustRightInd/>
              <w:snapToGrid/>
              <w:spacing w:after="0"/>
              <w:rPr>
                <w:rFonts w:ascii="仿宋" w:hAnsi="仿宋" w:eastAsia="仿宋" w:cs="宋体"/>
                <w:sz w:val="24"/>
                <w:szCs w:val="24"/>
              </w:rPr>
            </w:pPr>
          </w:p>
        </w:tc>
        <w:tc>
          <w:tcPr>
            <w:tcW w:w="703" w:type="dxa"/>
            <w:tcBorders>
              <w:top w:val="nil"/>
              <w:left w:val="nil"/>
              <w:bottom w:val="nil"/>
              <w:right w:val="nil"/>
            </w:tcBorders>
            <w:shd w:val="clear" w:color="auto" w:fill="auto"/>
            <w:noWrap/>
            <w:vAlign w:val="center"/>
          </w:tcPr>
          <w:p>
            <w:pPr>
              <w:adjustRightInd/>
              <w:snapToGrid/>
              <w:spacing w:after="0"/>
              <w:jc w:val="center"/>
              <w:rPr>
                <w:rFonts w:ascii="仿宋" w:hAnsi="仿宋" w:eastAsia="仿宋" w:cs="宋体"/>
                <w:sz w:val="24"/>
                <w:szCs w:val="24"/>
              </w:rPr>
            </w:pPr>
          </w:p>
        </w:tc>
        <w:tc>
          <w:tcPr>
            <w:tcW w:w="4215" w:type="dxa"/>
            <w:tcBorders>
              <w:top w:val="nil"/>
              <w:left w:val="nil"/>
              <w:bottom w:val="nil"/>
              <w:right w:val="nil"/>
            </w:tcBorders>
            <w:shd w:val="clear" w:color="auto" w:fill="auto"/>
            <w:noWrap/>
            <w:vAlign w:val="center"/>
          </w:tcPr>
          <w:p>
            <w:pPr>
              <w:adjustRightInd/>
              <w:snapToGrid/>
              <w:spacing w:after="0"/>
              <w:rPr>
                <w:rFonts w:ascii="仿宋" w:hAnsi="仿宋" w:eastAsia="仿宋" w:cs="宋体"/>
                <w:sz w:val="24"/>
                <w:szCs w:val="24"/>
              </w:rPr>
            </w:pPr>
          </w:p>
        </w:tc>
        <w:tc>
          <w:tcPr>
            <w:tcW w:w="3871" w:type="dxa"/>
            <w:tcBorders>
              <w:top w:val="nil"/>
              <w:left w:val="nil"/>
              <w:bottom w:val="nil"/>
              <w:right w:val="nil"/>
            </w:tcBorders>
            <w:shd w:val="clear" w:color="auto" w:fill="auto"/>
            <w:noWrap/>
            <w:vAlign w:val="center"/>
          </w:tcPr>
          <w:p>
            <w:pPr>
              <w:adjustRightInd/>
              <w:snapToGrid/>
              <w:spacing w:after="0"/>
              <w:rPr>
                <w:rFonts w:ascii="仿宋" w:hAnsi="仿宋" w:eastAsia="仿宋" w:cs="宋体"/>
                <w:sz w:val="24"/>
                <w:szCs w:val="24"/>
              </w:rPr>
            </w:pPr>
          </w:p>
        </w:tc>
        <w:tc>
          <w:tcPr>
            <w:tcW w:w="3150" w:type="dxa"/>
            <w:tcBorders>
              <w:top w:val="nil"/>
              <w:left w:val="nil"/>
              <w:bottom w:val="nil"/>
              <w:right w:val="nil"/>
            </w:tcBorders>
            <w:shd w:val="clear" w:color="auto" w:fill="auto"/>
            <w:noWrap/>
            <w:vAlign w:val="center"/>
          </w:tcPr>
          <w:p>
            <w:pPr>
              <w:adjustRightInd/>
              <w:snapToGrid/>
              <w:spacing w:after="0"/>
              <w:rPr>
                <w:rFonts w:ascii="仿宋" w:hAnsi="仿宋" w:eastAsia="仿宋" w:cs="宋体"/>
                <w:sz w:val="24"/>
                <w:szCs w:val="24"/>
              </w:rPr>
            </w:pPr>
          </w:p>
        </w:tc>
        <w:tc>
          <w:tcPr>
            <w:tcW w:w="750" w:type="dxa"/>
            <w:tcBorders>
              <w:top w:val="nil"/>
              <w:left w:val="nil"/>
              <w:bottom w:val="nil"/>
              <w:right w:val="nil"/>
            </w:tcBorders>
            <w:shd w:val="clear" w:color="auto" w:fill="auto"/>
            <w:noWrap/>
            <w:vAlign w:val="center"/>
          </w:tcPr>
          <w:p>
            <w:pPr>
              <w:adjustRightInd/>
              <w:snapToGrid/>
              <w:spacing w:after="0"/>
              <w:rPr>
                <w:rFonts w:ascii="仿宋" w:hAnsi="仿宋" w:eastAsia="仿宋" w:cs="宋体"/>
                <w:sz w:val="24"/>
                <w:szCs w:val="24"/>
              </w:rPr>
            </w:pPr>
          </w:p>
        </w:tc>
      </w:tr>
      <w:tr>
        <w:tblPrEx>
          <w:tblLayout w:type="fixed"/>
          <w:tblCellMar>
            <w:top w:w="0" w:type="dxa"/>
            <w:left w:w="108" w:type="dxa"/>
            <w:bottom w:w="0" w:type="dxa"/>
            <w:right w:w="108" w:type="dxa"/>
          </w:tblCellMar>
        </w:tblPrEx>
        <w:trPr>
          <w:trHeight w:val="450" w:hRule="atLeast"/>
        </w:trPr>
        <w:tc>
          <w:tcPr>
            <w:tcW w:w="15340" w:type="dxa"/>
            <w:gridSpan w:val="8"/>
            <w:tcBorders>
              <w:top w:val="nil"/>
              <w:left w:val="nil"/>
              <w:bottom w:val="nil"/>
              <w:right w:val="nil"/>
            </w:tcBorders>
            <w:shd w:val="clear" w:color="auto" w:fill="auto"/>
            <w:noWrap/>
            <w:vAlign w:val="center"/>
          </w:tcPr>
          <w:p>
            <w:pPr>
              <w:adjustRightInd/>
              <w:snapToGrid/>
              <w:spacing w:after="0"/>
              <w:jc w:val="center"/>
              <w:rPr>
                <w:rFonts w:ascii="宋体" w:hAnsi="宋体" w:eastAsia="宋体" w:cs="宋体"/>
                <w:b/>
                <w:bCs/>
                <w:sz w:val="36"/>
                <w:szCs w:val="36"/>
              </w:rPr>
            </w:pPr>
            <w:r>
              <w:rPr>
                <w:rFonts w:hint="eastAsia" w:ascii="宋体" w:hAnsi="宋体" w:eastAsia="宋体" w:cs="宋体"/>
                <w:b/>
                <w:bCs/>
                <w:sz w:val="36"/>
                <w:szCs w:val="36"/>
                <w:lang w:eastAsia="zh-CN"/>
              </w:rPr>
              <w:t>涞源县</w:t>
            </w:r>
            <w:r>
              <w:rPr>
                <w:rFonts w:hint="eastAsia" w:ascii="宋体" w:hAnsi="宋体" w:eastAsia="宋体" w:cs="宋体"/>
                <w:b/>
                <w:bCs/>
                <w:sz w:val="36"/>
                <w:szCs w:val="36"/>
              </w:rPr>
              <w:t>人力资源和社会保障局权责清单事项分表</w:t>
            </w:r>
          </w:p>
        </w:tc>
      </w:tr>
      <w:tr>
        <w:tblPrEx>
          <w:tblLayout w:type="fixed"/>
          <w:tblCellMar>
            <w:top w:w="0" w:type="dxa"/>
            <w:left w:w="108" w:type="dxa"/>
            <w:bottom w:w="0" w:type="dxa"/>
            <w:right w:w="108" w:type="dxa"/>
          </w:tblCellMar>
        </w:tblPrEx>
        <w:trPr>
          <w:trHeight w:val="405" w:hRule="atLeast"/>
        </w:trPr>
        <w:tc>
          <w:tcPr>
            <w:tcW w:w="15340" w:type="dxa"/>
            <w:gridSpan w:val="8"/>
            <w:tcBorders>
              <w:top w:val="nil"/>
              <w:left w:val="nil"/>
              <w:bottom w:val="nil"/>
              <w:right w:val="nil"/>
            </w:tcBorders>
            <w:shd w:val="clear" w:color="auto" w:fill="auto"/>
            <w:noWrap/>
            <w:vAlign w:val="center"/>
          </w:tcPr>
          <w:p>
            <w:pPr>
              <w:adjustRightInd/>
              <w:snapToGrid/>
              <w:spacing w:after="0"/>
              <w:jc w:val="center"/>
              <w:rPr>
                <w:rFonts w:ascii="仿宋" w:hAnsi="仿宋" w:eastAsia="仿宋" w:cs="宋体"/>
                <w:b/>
                <w:bCs/>
                <w:sz w:val="32"/>
                <w:szCs w:val="32"/>
              </w:rPr>
            </w:pPr>
            <w:r>
              <w:rPr>
                <w:rFonts w:hint="eastAsia" w:ascii="仿宋" w:hAnsi="仿宋" w:eastAsia="仿宋" w:cs="宋体"/>
                <w:b/>
                <w:bCs/>
                <w:sz w:val="32"/>
                <w:szCs w:val="32"/>
              </w:rPr>
              <w:t>（共3类、</w:t>
            </w:r>
            <w:r>
              <w:rPr>
                <w:rFonts w:hint="eastAsia" w:ascii="仿宋" w:hAnsi="仿宋" w:eastAsia="仿宋" w:cs="宋体"/>
                <w:b/>
                <w:bCs/>
                <w:sz w:val="32"/>
                <w:szCs w:val="32"/>
                <w:lang w:val="en-US" w:eastAsia="zh-CN"/>
              </w:rPr>
              <w:t>65</w:t>
            </w:r>
            <w:bookmarkStart w:id="0" w:name="_GoBack"/>
            <w:bookmarkEnd w:id="0"/>
            <w:r>
              <w:rPr>
                <w:rFonts w:hint="eastAsia" w:ascii="仿宋" w:hAnsi="仿宋" w:eastAsia="仿宋" w:cs="宋体"/>
                <w:b/>
                <w:bCs/>
                <w:sz w:val="32"/>
                <w:szCs w:val="32"/>
              </w:rPr>
              <w:t>项）</w:t>
            </w:r>
          </w:p>
        </w:tc>
      </w:tr>
      <w:tr>
        <w:tblPrEx>
          <w:tblLayout w:type="fixed"/>
          <w:tblCellMar>
            <w:top w:w="0" w:type="dxa"/>
            <w:left w:w="108" w:type="dxa"/>
            <w:bottom w:w="0" w:type="dxa"/>
            <w:right w:w="108" w:type="dxa"/>
          </w:tblCellMar>
        </w:tblPrEx>
        <w:trPr>
          <w:trHeight w:val="439" w:hRule="atLeast"/>
        </w:trPr>
        <w:tc>
          <w:tcPr>
            <w:tcW w:w="7569" w:type="dxa"/>
            <w:gridSpan w:val="5"/>
            <w:tcBorders>
              <w:top w:val="nil"/>
              <w:left w:val="nil"/>
              <w:bottom w:val="single" w:color="auto" w:sz="4" w:space="0"/>
              <w:right w:val="nil"/>
            </w:tcBorders>
            <w:shd w:val="clear" w:color="auto" w:fill="auto"/>
            <w:noWrap/>
            <w:vAlign w:val="center"/>
          </w:tcPr>
          <w:p>
            <w:pPr>
              <w:adjustRightInd/>
              <w:snapToGrid/>
              <w:spacing w:after="0"/>
              <w:rPr>
                <w:rFonts w:ascii="楷体_GB2312" w:hAnsi="楷体" w:eastAsia="楷体_GB2312" w:cs="宋体"/>
                <w:sz w:val="28"/>
                <w:szCs w:val="28"/>
              </w:rPr>
            </w:pPr>
            <w:r>
              <w:rPr>
                <w:rFonts w:hint="eastAsia" w:ascii="楷体_GB2312" w:hAnsi="楷体" w:eastAsia="楷体_GB2312" w:cs="宋体"/>
                <w:sz w:val="28"/>
                <w:szCs w:val="28"/>
              </w:rPr>
              <w:t>单位（公章）：</w:t>
            </w:r>
            <w:r>
              <w:rPr>
                <w:rFonts w:hint="eastAsia" w:ascii="楷体_GB2312" w:hAnsi="楷体" w:eastAsia="楷体_GB2312" w:cs="宋体"/>
                <w:sz w:val="28"/>
                <w:szCs w:val="28"/>
                <w:lang w:eastAsia="zh-CN"/>
              </w:rPr>
              <w:t>涞源县</w:t>
            </w:r>
            <w:r>
              <w:rPr>
                <w:rFonts w:hint="eastAsia" w:ascii="楷体_GB2312" w:hAnsi="楷体" w:eastAsia="楷体_GB2312" w:cs="宋体"/>
                <w:sz w:val="28"/>
                <w:szCs w:val="28"/>
              </w:rPr>
              <w:t>人力资源和社会保障局</w:t>
            </w:r>
          </w:p>
        </w:tc>
        <w:tc>
          <w:tcPr>
            <w:tcW w:w="3871" w:type="dxa"/>
            <w:tcBorders>
              <w:top w:val="nil"/>
              <w:left w:val="nil"/>
              <w:bottom w:val="single" w:color="auto" w:sz="4" w:space="0"/>
              <w:right w:val="nil"/>
            </w:tcBorders>
            <w:shd w:val="clear" w:color="auto" w:fill="auto"/>
            <w:noWrap/>
            <w:vAlign w:val="center"/>
          </w:tcPr>
          <w:p>
            <w:pPr>
              <w:adjustRightInd/>
              <w:snapToGrid/>
              <w:spacing w:after="0"/>
              <w:rPr>
                <w:rFonts w:ascii="仿宋" w:hAnsi="仿宋" w:eastAsia="仿宋" w:cs="宋体"/>
                <w:sz w:val="24"/>
                <w:szCs w:val="24"/>
              </w:rPr>
            </w:pPr>
          </w:p>
        </w:tc>
        <w:tc>
          <w:tcPr>
            <w:tcW w:w="3150" w:type="dxa"/>
            <w:tcBorders>
              <w:top w:val="nil"/>
              <w:left w:val="nil"/>
              <w:bottom w:val="single" w:color="auto" w:sz="4" w:space="0"/>
              <w:right w:val="nil"/>
            </w:tcBorders>
            <w:shd w:val="clear" w:color="auto" w:fill="auto"/>
            <w:noWrap/>
            <w:vAlign w:val="center"/>
          </w:tcPr>
          <w:p>
            <w:pPr>
              <w:adjustRightInd/>
              <w:snapToGrid/>
              <w:spacing w:after="0"/>
              <w:rPr>
                <w:rFonts w:ascii="仿宋" w:hAnsi="仿宋" w:eastAsia="仿宋" w:cs="宋体"/>
                <w:sz w:val="24"/>
                <w:szCs w:val="24"/>
              </w:rPr>
            </w:pPr>
          </w:p>
        </w:tc>
        <w:tc>
          <w:tcPr>
            <w:tcW w:w="750" w:type="dxa"/>
            <w:tcBorders>
              <w:top w:val="nil"/>
              <w:left w:val="nil"/>
              <w:bottom w:val="single" w:color="auto" w:sz="4" w:space="0"/>
              <w:right w:val="nil"/>
            </w:tcBorders>
            <w:shd w:val="clear" w:color="auto" w:fill="auto"/>
            <w:noWrap/>
            <w:vAlign w:val="center"/>
          </w:tcPr>
          <w:p>
            <w:pPr>
              <w:adjustRightInd/>
              <w:snapToGrid/>
              <w:spacing w:after="0"/>
              <w:rPr>
                <w:rFonts w:ascii="仿宋" w:hAnsi="仿宋" w:eastAsia="仿宋" w:cs="宋体"/>
                <w:sz w:val="24"/>
                <w:szCs w:val="24"/>
              </w:rPr>
            </w:pPr>
          </w:p>
        </w:tc>
      </w:tr>
      <w:tr>
        <w:tblPrEx>
          <w:tblLayout w:type="fixed"/>
          <w:tblCellMar>
            <w:top w:w="0" w:type="dxa"/>
            <w:left w:w="108" w:type="dxa"/>
            <w:bottom w:w="0" w:type="dxa"/>
            <w:right w:w="108" w:type="dxa"/>
          </w:tblCellMar>
        </w:tblPrEx>
        <w:trPr>
          <w:trHeight w:val="720"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jc w:val="center"/>
              <w:rPr>
                <w:rFonts w:ascii="黑体" w:hAnsi="黑体" w:eastAsia="黑体" w:cs="宋体"/>
                <w:sz w:val="24"/>
                <w:szCs w:val="24"/>
              </w:rPr>
            </w:pPr>
            <w:r>
              <w:rPr>
                <w:rFonts w:hint="eastAsia" w:ascii="黑体" w:hAnsi="黑体" w:eastAsia="黑体" w:cs="宋体"/>
                <w:sz w:val="24"/>
                <w:szCs w:val="24"/>
              </w:rPr>
              <w:t>序号</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黑体" w:hAnsi="黑体" w:eastAsia="黑体" w:cs="宋体"/>
                <w:sz w:val="24"/>
                <w:szCs w:val="24"/>
              </w:rPr>
            </w:pPr>
            <w:r>
              <w:rPr>
                <w:rFonts w:hint="eastAsia" w:ascii="黑体" w:hAnsi="黑体" w:eastAsia="黑体" w:cs="宋体"/>
                <w:sz w:val="24"/>
                <w:szCs w:val="24"/>
              </w:rPr>
              <w:t>权力类型</w:t>
            </w:r>
          </w:p>
        </w:tc>
        <w:tc>
          <w:tcPr>
            <w:tcW w:w="1342"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黑体" w:hAnsi="黑体" w:eastAsia="黑体" w:cs="宋体"/>
                <w:sz w:val="24"/>
                <w:szCs w:val="24"/>
              </w:rPr>
            </w:pPr>
            <w:r>
              <w:rPr>
                <w:rFonts w:hint="eastAsia" w:ascii="黑体" w:hAnsi="黑体" w:eastAsia="黑体" w:cs="宋体"/>
                <w:sz w:val="24"/>
                <w:szCs w:val="24"/>
              </w:rPr>
              <w:t>权力事项名称</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黑体" w:hAnsi="黑体" w:eastAsia="黑体" w:cs="宋体"/>
                <w:sz w:val="24"/>
                <w:szCs w:val="24"/>
              </w:rPr>
            </w:pPr>
            <w:r>
              <w:rPr>
                <w:rFonts w:hint="eastAsia" w:ascii="黑体" w:hAnsi="黑体" w:eastAsia="黑体" w:cs="宋体"/>
                <w:sz w:val="24"/>
                <w:szCs w:val="24"/>
              </w:rPr>
              <w:t>行政主体</w:t>
            </w:r>
          </w:p>
        </w:tc>
        <w:tc>
          <w:tcPr>
            <w:tcW w:w="4215"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黑体" w:hAnsi="黑体" w:eastAsia="黑体" w:cs="宋体"/>
                <w:sz w:val="24"/>
                <w:szCs w:val="24"/>
              </w:rPr>
            </w:pPr>
            <w:r>
              <w:rPr>
                <w:rFonts w:hint="eastAsia" w:ascii="黑体" w:hAnsi="黑体" w:eastAsia="黑体" w:cs="宋体"/>
                <w:sz w:val="24"/>
                <w:szCs w:val="24"/>
              </w:rPr>
              <w:t>实施依据</w:t>
            </w:r>
          </w:p>
        </w:tc>
        <w:tc>
          <w:tcPr>
            <w:tcW w:w="3871"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黑体" w:hAnsi="黑体" w:eastAsia="黑体" w:cs="宋体"/>
                <w:sz w:val="24"/>
                <w:szCs w:val="24"/>
              </w:rPr>
            </w:pPr>
            <w:r>
              <w:rPr>
                <w:rFonts w:hint="eastAsia" w:ascii="黑体" w:hAnsi="黑体" w:eastAsia="黑体" w:cs="宋体"/>
                <w:sz w:val="24"/>
                <w:szCs w:val="24"/>
              </w:rPr>
              <w:t>责任事项</w:t>
            </w:r>
          </w:p>
        </w:tc>
        <w:tc>
          <w:tcPr>
            <w:tcW w:w="31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黑体" w:hAnsi="黑体" w:eastAsia="黑体" w:cs="宋体"/>
                <w:sz w:val="24"/>
                <w:szCs w:val="24"/>
              </w:rPr>
            </w:pPr>
            <w:r>
              <w:rPr>
                <w:rFonts w:hint="eastAsia" w:ascii="黑体" w:hAnsi="黑体" w:eastAsia="黑体" w:cs="宋体"/>
                <w:sz w:val="24"/>
                <w:szCs w:val="24"/>
              </w:rPr>
              <w:t>追责情形</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jc w:val="center"/>
              <w:rPr>
                <w:rFonts w:ascii="黑体" w:hAnsi="黑体" w:eastAsia="黑体" w:cs="宋体"/>
                <w:sz w:val="24"/>
                <w:szCs w:val="24"/>
              </w:rPr>
            </w:pPr>
            <w:r>
              <w:rPr>
                <w:rFonts w:hint="eastAsia" w:ascii="黑体" w:hAnsi="黑体" w:eastAsia="黑体" w:cs="宋体"/>
                <w:sz w:val="24"/>
                <w:szCs w:val="24"/>
              </w:rPr>
              <w:t>备注</w:t>
            </w:r>
          </w:p>
        </w:tc>
      </w:tr>
      <w:tr>
        <w:tblPrEx>
          <w:tblLayout w:type="fixed"/>
          <w:tblCellMar>
            <w:top w:w="0" w:type="dxa"/>
            <w:left w:w="108" w:type="dxa"/>
            <w:bottom w:w="0" w:type="dxa"/>
            <w:right w:w="108" w:type="dxa"/>
          </w:tblCellMar>
        </w:tblPrEx>
        <w:trPr>
          <w:trHeight w:val="848"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对以担保或者其他名义向劳动者收取财物的处罚</w:t>
            </w:r>
          </w:p>
        </w:tc>
        <w:tc>
          <w:tcPr>
            <w:tcW w:w="703"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w:t>
            </w:r>
          </w:p>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《劳动合同法》（2012年12月28日主席令第73号）第八十四条第二款 用人单位违反本法规定，以担保或者其他名义向劳动者收取财物的，由劳动行政部门责令限期退还劳动者本人，并以每人五百元以上二千元以下的标准处以罚款；给劳动者造成损害的，应当承担赔偿责任。</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对未经许可，擅自经营劳务派遣业务的处罚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《劳动合同法》（2012年12月28日主席令第73号）第九十二条 违反本法规定，未经许可，擅自经营劳务派遣业务的，由劳动行政部门责令停止违法行为，没收违法所得，并处违法所得一倍以上五倍以下的罚款；没有违法所得的，可以处五万元以下的罚款。 </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劳务派遣单位、用工单位违反本法有关劳务派遣规定的处罚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《劳动合同法》（2012年12月28日主席令第73号）第九十二条第二款 劳务派遣单位、用工单位违反本法有关劳务派遣规定的，由劳动行政部门责令限期改正；逾期不改正的，以每人五千元以上一万元以下的标准处以罚款。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对不办理社会保险登记的，逾期不改正的处罚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《社会保险法》（2010年10月28日主席令第35号）第八十四条 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对未按时足额缴纳社会保险费的，逾期仍不缴纳的处罚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《社会保险法》（2010年10月28日主席令第35号）第八十六条</w:t>
            </w:r>
            <w:r>
              <w:rPr>
                <w:rFonts w:hint="eastAsia" w:cs="宋体" w:asciiTheme="minorEastAsia" w:hAnsiTheme="minorEastAsia" w:eastAsiaTheme="minorEastAsia"/>
                <w:sz w:val="18"/>
                <w:szCs w:val="18"/>
                <w:lang w:val="en-US" w:eastAsia="zh-CN"/>
              </w:rPr>
              <w:t xml:space="preserve"> </w:t>
            </w:r>
            <w:r>
              <w:rPr>
                <w:rFonts w:hint="eastAsia" w:cs="宋体" w:asciiTheme="minorEastAsia" w:hAnsiTheme="minorEastAsia" w:eastAsiaTheme="minorEastAsia"/>
                <w:sz w:val="18"/>
                <w:szCs w:val="18"/>
                <w:lang w:eastAsia="zh-CN"/>
              </w:rPr>
              <w:t>用</w:t>
            </w:r>
            <w:r>
              <w:rPr>
                <w:rFonts w:hint="eastAsia" w:cs="宋体" w:asciiTheme="minorEastAsia" w:hAnsiTheme="minorEastAsia" w:eastAsiaTheme="minorEastAsia"/>
                <w:sz w:val="18"/>
                <w:szCs w:val="18"/>
              </w:rPr>
              <w:t>人单位未按时足额缴纳社会保险费的，由社会保险费征收机构责令限期缴纳或者补足，并自欠缴之日起，按日加收万分之五的滞纳金；逾期仍不缴纳的，由有关行政部门处欠缴数额一倍以上三倍以下的罚款。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对未经许可和登记，擅自从事职业中介活动的处罚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《就业促进法》（2007年8月30日主席令第70号）第六十四条 违反本法规定，未经许可和登记，擅自从事职业中介活动的，由劳动行政部门或者其他主管部门依法予以关闭；有违法所得的，没收违法所得，并处一万元以上五万元以下的罚款。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对职业中介机构提供虚假就业信息，为无合法证照的用人单位提供职业中介服务，伪造、涂改、转让职业中介许可证的处罚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《就业促进法》（2007年8月30日主席令第70号）第六十五条 违反本法规定，职业中介机构提供虚假就业信息，为无合法证照的用人单位提供职业中介服务，伪造、涂改、转让职业中介许可证的，由劳动行政部门或者其他主管部门责令改正；有违法所得的，没收违法所得，并处一万元以上五万元以下的罚款；情节严重的，吊销职业中介许可证。</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对职业中介机构向劳动者收取押金的处罚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《就业促进法》（2007年8月30日主席令第70号）第六十六条第二款 违反本法规定，职业中介机构向劳动者收取押金的，由劳动行政部门责令限期退还劳动者，并以每人五百元以上二千元以下的标准处以罚款。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对用人单位使用童工的处罚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《禁止使用童工规定》（2002年9月18日国务院令第364号）第六条 第一款用人单位使用童工的，由劳动保障行政部门按照每使用一名童工每月处5000元罚款的标准给予处罚；在使用有毒物品的作业场所使用童工的，按照《使用有毒物品作业场所劳动保护条例》规定的罚款幅度，或者按照每使用一名童工每月处5000元罚款的标准，从重处罚。劳动保障行政部门并应当责令用人单位限期将童工送回原居住地交其父母或者其他监护人，所需交通和食宿费用全部由用人单位承担。</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逾期仍不将童工送交其父母或者其他监护人的处罚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《禁止使用童工规定》（2002年9月18日国务院令第364号）第六条第二款 用人单位经劳动保障行政部门依照前款规定责令限期改正，逾期仍不将童工送交其父母或者其他监护人的，从责令限期改正之日起，由劳动保障行政部门按照每使用一名童工每月处１万元罚款的标准处罚，并由工商行政管理部门吊销其营业执照或者由民政部门撤销民办非企业单位登记；用人单位是国家机关、事业单位的，由有关单位依法对直接负责的主管人员和其他直接责任人员给予降级或者撤职的行政处分或者纪律处分。</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对为不满16周岁的未成年人介绍就业的处罚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《禁止使用童工规定》（2002年9月18日国务院令第364号）第七条 单位或者个人为不满１６周岁的未成年人介绍就业的，由劳动保障行政部门按照每介绍一人处５０００元罚款的标准给予处罚；职业中介机构为不满１６周岁的未成年人介绍就业的，并由劳动保障行政部门吊销其职业介绍许可证。</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12</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未按规定保存录用登记材料，或者伪造录用登记材料的处罚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《禁止使用童工规定》（2002年9月18日国务院令第364号）第八条 用人单位未按照本规定第四条的规定保存录用登记材料，或者伪造录用登记材料的，由劳动保障行政部门处１万元的罚款。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13</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无营业执照、被依法吊销营业执照的单位及未依法登记、备案的单位使用或介绍童工就业的处罚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《禁止使用童工规定》（2002年9月18日国务院令第364号）第九条 无营业执照、被依法吊销营业执照的单位以及未依法登记、备案的单位使用童工或者介绍童工就业的，依照本规定第六条、第七条、第八条规定的标准加一倍罚款，该非法单位由有关的行政主管部门予以取缔。</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14</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对违反《女职工劳动保护特别规定》第六条第二款、第七条、第九条第一款规定的处罚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女职工劳动保护特别规定》（2012年4月18日国务院令第619号）第十三条用人单位违反本规定第六条第二款、第七条、第九条第一款规定的，由县级以上人民政府人力资源社会保障行政部门责令限期改正，按照受侵害女职工每人1000元以上5000元以下的标准计算，处以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15</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对安排女职工从事矿山井下劳动、国家规定的第四级体力劳动强度的劳动或者其他禁忌从事的劳动的处罚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二十三条第一项用人单位有下列行为之一的，由劳动保障行政部门责令改正，按照受侵害的劳动者每人1000元以上5000元以下的标准计算，处以罚款：(一)安排女职工从事矿山井下劳动、国家规定的第四级体力劳动强度的劳动或者其他禁忌从事的劳动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16</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对安排女职工在经期从事高处、低温、冷水作业或者国家规定的第三级体力劳动强度的劳动的处罚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二十三条第二项用人单位有下列行为之一的，由劳动保障行政部门责令改正，按照受侵害的劳动者每人1000元以上5000元以下的标准计算，处以罚款：(二)安排女职工在经期从事高处、低温、冷水作业或者国家规定的第三级体力劳动强度的劳动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17</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对安排女职工在怀孕期间从事国家规定的第三级体力劳动强度的劳动或者孕期禁忌从事的劳动的处罚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《劳动保障监察条例》（2004年10月26日国务院令第423号）第二十三条第三项用人单位有下列行为之一的，由劳动保障行政部门责令改正，按照受侵害的劳动者每人1000元以上5000元以下的标准计算，处以罚款：</w:t>
            </w:r>
            <w:r>
              <w:rPr>
                <w:rFonts w:hint="eastAsia" w:cs="宋体" w:asciiTheme="minorEastAsia" w:hAnsiTheme="minorEastAsia" w:eastAsiaTheme="minorEastAsia"/>
                <w:sz w:val="18"/>
                <w:szCs w:val="18"/>
                <w:lang w:eastAsia="zh-CN"/>
              </w:rPr>
              <w:t>（三）</w:t>
            </w:r>
            <w:r>
              <w:rPr>
                <w:rFonts w:hint="eastAsia" w:cs="宋体" w:asciiTheme="minorEastAsia" w:hAnsiTheme="minorEastAsia" w:eastAsiaTheme="minorEastAsia"/>
                <w:sz w:val="18"/>
                <w:szCs w:val="18"/>
              </w:rPr>
              <w:t>安排女职工在怀孕期间从事国家规定的第三级体力劳动强度的劳动或者孕期禁忌从事的劳动的；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18</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对安排怀孕7个月以上的女职工夜班劳动或者延长其工作时间的处罚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二十三条第四项用人单位有下列行为之一的，由劳动保障行政部门责令改正，按照受侵害的劳动者每人1000元以上5000元以下的标准计算，处以罚款：(四)安排怀孕7个月以上的女职工夜班劳动或者延长其工作时间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19</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对女职工生育享受产假少于90天的处罚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二十三条第五项用人单位有下列行为之一的，由劳动保障行政部门责令改正，按照受侵害的劳动者每人1000元以上5000元以下的标准计算，处以罚款：(五)女职工生育享受产假少于90天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20</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对安排女职工在哺乳未满1周岁的婴儿期间从事国家规定的第三级体力劳动强度的劳动或者哺乳期禁忌从事的其他劳动，以及延长其工作时间或者安排其夜班劳动的处罚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二十三条第六项用人单位有下列行为之一的，由劳动保障行政部门责令改正，按照受侵害的劳动者每人1000元以上5000元以下的标准计算，处以罚款：(六)安排女职工在哺乳未满1周岁的婴儿期间从事国家规定的第三级体力劳动强度的劳动或者哺乳期禁忌从事的其他劳动，以及延长其工作时间或者安排其夜班劳动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21</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对安排未成年工从事矿山井下、有毒有害、国家规定的第四级体力劳动强度的劳动或者其他禁忌从事的劳动的处罚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二十三条第七项用人单位有下列行为之一的，由劳动保障行政部门责令改正，按照受侵害的劳动者每人1000元以上5000元以下的标准计算，处以罚款：(七)安排未成年工从事矿山井下、有毒有害、国家规定的第四级体力劳动强度的劳动或者其他禁忌从事的劳动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22</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对未对未成年工定期进行健康检查的处罚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二十三条第八项用人单位有下列行为之一的，由劳动保障行政部门责令改正，按照受侵害的劳动者每人1000元以上5000元以下的标准计算，处以罚款：(八)未对未成年工定期进行健康检查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23</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对违法延长劳动者工作时间的处罚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《劳动保障监察条例》（2004年10月26日国务院令第423号）第二十五条 用人单位违反劳动保障法律、法规或者规章延长劳动者工作时间的，由劳动保障行政部门给予警告，责令限期改正，并可以按照受侵害的劳动者每人100元以上500元以下的标准计算，处以罚款。《河北省劳动和社会保障监察条例》（2002年7月30日省人大常委会公告第72号）第二十五条 用人单位未与工会和劳动者协商，强迫劳动者延长工作时间或者虽经协商同意，但违反劳动法关于延长工作时间具体时限规定的，由县级以上人民政府劳动和社会保障行政部门给予警告，责令改正，按照有关规定支付劳动者延长工作时间的工资报酬，并可以按照每人每超过工作时间一小时处以一百元以下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24</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对用人单位向社会保险经办机构申报应缴纳的社会保险费数额时，瞒报工资总额或者职工人数的处罚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二十七条第一款用人单位向社会保险经办机构申报应缴纳的社会保险费数额时，瞒报工资总额或者职工人数的，由劳动保障行政部门责令改正，并处瞒报工资数额1倍以上3倍以下的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25</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对骗取社会保险待遇或者骗取社会保险基金支出的处罚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二十七条第二款骗取社会保险待遇或者骗取社会保险基金支出的，由劳动保障行政部门责令退还，并处骗取金额1倍以上3倍以下的罚款；构成犯罪的，依法追究刑事责任。</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26</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对违反国家有关职业介绍、职业技能培训或技能鉴定考核规定的处罚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二十八条职业介绍机构、职业技能培训机构或者职业技能考核鉴定机构违反国家有关职业介绍、职业技能培训或者职业技能考核鉴定的规定的，由劳动保障行政部门责令改正，没收违法所得，并处1万元以上5万元以下的罚款；情节严重的，吊销许可证。</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27</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对无理抗拒、阻挠劳动保障行政部门依照本条例的规定实施劳动保障监察的处罚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《劳动保障监察条例》（2004年10月26日国务院令第423号）第三十条第一</w:t>
            </w:r>
            <w:r>
              <w:rPr>
                <w:rFonts w:hint="eastAsia" w:cs="宋体" w:asciiTheme="minorEastAsia" w:hAnsiTheme="minorEastAsia" w:eastAsiaTheme="minorEastAsia"/>
                <w:sz w:val="18"/>
                <w:szCs w:val="18"/>
                <w:lang w:eastAsia="zh-CN"/>
              </w:rPr>
              <w:t>款</w:t>
            </w:r>
            <w:r>
              <w:rPr>
                <w:rFonts w:hint="eastAsia" w:cs="宋体" w:asciiTheme="minorEastAsia" w:hAnsiTheme="minorEastAsia" w:eastAsiaTheme="minorEastAsia"/>
                <w:sz w:val="18"/>
                <w:szCs w:val="18"/>
              </w:rPr>
              <w:t>有下列行为之一的，由劳动保障行政部门责令改正；对有第(一)项、第(二)项或者第(三)项规定的行为的，处2000元以上2万元以下的罚款：(一)无理抗拒、阻挠劳动保障行政部门依照本条例的规定实施劳动保障监察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28</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对不按照劳动保障行政部门的要求报送书面材料，隐瞒事实真相，出具伪证或者隐匿、毁灭证据的处罚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《劳动保障监察条例》（2004年10月26日国务院令第423号）第三十条第</w:t>
            </w:r>
            <w:r>
              <w:rPr>
                <w:rFonts w:hint="eastAsia" w:cs="宋体" w:asciiTheme="minorEastAsia" w:hAnsiTheme="minorEastAsia" w:eastAsiaTheme="minorEastAsia"/>
                <w:sz w:val="18"/>
                <w:szCs w:val="18"/>
                <w:lang w:eastAsia="zh-CN"/>
              </w:rPr>
              <w:t>一款</w:t>
            </w:r>
            <w:r>
              <w:rPr>
                <w:rFonts w:hint="eastAsia" w:cs="宋体" w:asciiTheme="minorEastAsia" w:hAnsiTheme="minorEastAsia" w:eastAsiaTheme="minorEastAsia"/>
                <w:sz w:val="18"/>
                <w:szCs w:val="18"/>
              </w:rPr>
              <w:t>有下列行为之一的，由劳动保障行政部门责令改正；对有第(一)项、第(二)项或者第(三)项规定的行为的，处2000元以上2万元以下的罚款：(二)不按照劳动保障行政部门的要求报送书面材料，隐瞒事实真相，出具伪证或者隐匿、毁灭证据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29</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对经劳动保障行政部门责令改正拒不改正，或者不履行劳动保障行政部门的行政处理决定的处罚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《劳动保障监察条例》（2004年10月26日国务院令第423号）第三十条第</w:t>
            </w:r>
            <w:r>
              <w:rPr>
                <w:rFonts w:hint="eastAsia" w:cs="宋体" w:asciiTheme="minorEastAsia" w:hAnsiTheme="minorEastAsia" w:eastAsiaTheme="minorEastAsia"/>
                <w:sz w:val="18"/>
                <w:szCs w:val="18"/>
                <w:lang w:eastAsia="zh-CN"/>
              </w:rPr>
              <w:t>一款</w:t>
            </w:r>
            <w:r>
              <w:rPr>
                <w:rFonts w:hint="eastAsia" w:cs="宋体" w:asciiTheme="minorEastAsia" w:hAnsiTheme="minorEastAsia" w:eastAsiaTheme="minorEastAsia"/>
                <w:sz w:val="18"/>
                <w:szCs w:val="18"/>
              </w:rPr>
              <w:t>有下列行为之一的，由劳动保障行政部门责令改正；对有第(一)项、第(二)项或者第(三)项规定的行为的，处2000元以上2万元以下的罚款：(三)经劳动保障行政部门责令改正拒不改正，或者拒不履行劳动保障行政部门的行政处理决定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30</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用人单位、工伤职工或者其近亲属骗取工伤保险待遇，医疗机构、辅助器具配置机构骗取工伤保险基金支出的处罚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工伤保险条例》（2010年12月20日国务院令第586号）第六十条用人单位、工伤职工或者其近亲属骗取工伤保险待遇，医疗机构、辅助器具配置机构骗取工伤保险基金支出的，由社会保险行政部门责令退还，处骗取金额2倍以上5倍以下的罚款；情节严重，构成犯罪的，依法追究刑事责任。</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31</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对从事劳动能力鉴定的组织或者个人提供虚假鉴定意见的处罚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工伤保险条例》（2010年12月20日国务院令第586号）第六十一条第一项从事劳动能力鉴定的组织或者个人有下列情形之一的，由社会保险行政部门责令改正，处2000元以上1万元以下的罚款；情节严重，构成犯罪的，依法追究刑事责任：（一）提供虚假鉴定意见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32</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对从事劳动能力鉴定的组织或者个人提供虚假诊断证明的处罚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工伤保险条例》（2010年12月20日国务院令第586号）第六十一条第二项从事劳动能力鉴定的组织或者个人有下列情形之一的，由社会保险行政部门责令改正，处2000元以上1万元以下的罚款；情节严重，构成犯罪的，依法追究刑事责任：（二）提供虚假诊断证明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33</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对从事劳动能力鉴定的组织或者个人收受当事人财物的处罚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工伤保险条例》（2010年12月20日国务院令第586号）第六十一条第三项从事劳动能力鉴定的组织或者个人有下列情形之一的，由社会保险行政部门责令改正，处2000元以上1万元以下的罚款；情节严重，构成犯罪的，依法追究刑事责任：（三）收受当事人财物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34</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对用人单位违反规定，拒不协助社会保险行政部门对事故进行调查核实的处罚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工伤保险条例》（2010年12月20日国务院令第586号）第六十三条用人单位违反本条例第十九条的规定，拒不协助社会保险行政部门对事故进行调查核实的，由社会保险行政部门责令改正，处2000元以上2万元以下的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35</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对未按照规定办理社会保险登记、变更登记或注销登记，或者未按照规定申报应缴纳的社会保险费数额的处罚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社会保险费征缴暂行条例》（1999年1月22日国务院令第259号）第二十三条缴费单位未按照规定办理社会保险登记、变更登记或者注销登记，或者未按照规定申报应缴纳的社会保险费数额的，由劳动保障行政部门责令限期改正；情节严重的，对直接负责的主管人员和其他直接责任人员可以处1000元以上5000元以下的罚款；情节特别严重的，对直接负责的主管人员和其他直接责任人员可以处5000元以上10000元以下的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36</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对违反规定，伪造、变造故意毁灭有关帐册、材料或者不设帐册，致使社会保险费缴费基数无法确定而迟延缴纳的处罚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社会保险费征缴暂行条例》（1999年1月22日国务院令第259号）第二十四条缴费单位违反有关财务、会计、统计的法律、行政法规和国家有关规定，伪造、变造、故意毁灭有关帐册、材料，或者不设帐册，致使社会保险费缴费基数无法确定的，除依照有关法律、行政法规的规定给予行政处罚、纪律处分、刑事处罚外，依照本条例第十条的规定征缴；迟延缴纳的，由劳动保障行政部门或者税务机关依照第十三条的规定决定加收滞纳金，并对直接负责的主管人员和其他直接责任人员处5000元以上20000元以下的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37</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对用人单位违反劳动合同法有关建立职工名册规定，逾期不改正的处罚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劳动合同法实施条例》（2008年9月18日国务院令第535号）第三十三条用人单位违反劳动合同法有关建立职工名册规定的，由劳动行政部门责令限期改正；逾期不改正的，由劳动行政部门处2000元以上2万元以下的罚款。 </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38</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对用工单位违反劳动合同法和本条例有关劳务派遣规定，情节严重的处罚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劳动合同法实施条例》（2008年9月18日国务院令第535号）第三十五条用工单位违反劳动合同法和本条例有关劳务派遣规定的，由劳动行政部门和其他有关主管部门责令改正；情节严重的，以每位被派遣劳动者1000元以上5000元以下的标准处以罚款；给被派遣劳动者造成损害的，劳务派遣单位和用工单位承担连带赔偿责任。 </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39</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对招用劳动者收取抵押金、保证金以及扣留劳动者证件或者档案的处罚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河北省劳动和社会保障监察条例》（2002年7月30日省人大常委会公告第72号）第二十二条第二项用人单位或者就业服务机构违反有关规定，有下列行为之一的，由县级以上人民政府劳动和社会保障行政部门责令改正，并予以罚款：（二）招用劳动者收取抵押金、保证金以及扣留劳动者证件或者档案的，按照每涉及一人处以五百元以上一千元以下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40</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对介绍或者招用未取得职业资格证的劳动者从事国家规定实行就业准入职业工作的处罚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河北省劳动和社会保障监察条例》（2002年7月30日省人大常委会公告第72号）第二十二条第三项用人单位或者就业服务机构违反有关规定，有下列行为之一的，由县级以上人民政府劳动和社会保障行政部门责令改正，并予以罚款：（三）介绍或者招用未取得职业资格证书的劳动者从事国家规定实行就业准入职业工作的，按照每涉及一人处以五百元以上一千元以下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41</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对用人单位未按规定与劳动者订立书面劳动合同或者违反规定条件解除劳动合同，逾期不改正的处罚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河北省劳动和社会保障监察条例》（2002年7月30日省人大常委会公告第72号）第二十三条用人单位未按规定与劳动者订立书面劳动合同或者违反规定条件解除劳动合同的，由县级以上人民政府劳动和社会保障行政部门责令限期改正，逾期不改正的，按照每涉及一人处以五百元以上一千元以下罚款；对劳动者造成损害的，依法承担赔偿责任。</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42</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对用人单位违反女职工和未成年工特殊保护规定的处罚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河北省劳动和社会保障监察条例》（2002年7月30日省人大常委会公告第72号）第二十四条用人单位违反女职工和未成年工特殊保护规定，侵害其合法权益的，由县级以上人民政府劳动和社会保障行政部门责令限期改正，并按照每涉及一人处以三千元以上五千元以下罚款；对女职工或者未成年工造成损害的，应当承担赔偿责任。</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43</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对用人单位违反有关规定，克扣或者无故拖欠工资以及工资低于最低工资标准，逾期拒不支付的处罚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河北省劳动和社会保障监察条例》（2002年7月30日省人大常委会公告第72号）第二十六条用人单位违反有关规定，克扣或者无故拖欠劳动者工资以及支付劳动者工资低于当地最低工资标准的，由县级以上人民政府劳动和社会保障行政部门责令限期支付劳动者应得的工资报酬和相当于应付工资报酬２５％的经济补偿，并可以责令支付赔偿金；逾期拒不支付的，按照每涉及一人处以二百元以上五百元以下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44</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对未经批准擅自开办职业介绍、职业技能鉴定及应当由劳动和社会保障部门管辖的职业培训机构的处罚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河北省劳动和社会保障监察条例》（2002年7月30日省人大常委会公告第72号）第二十八条第一款对未经批准擅自开办职业介绍、职业技能鉴定以及应当由劳动和社会保障行政部门管辖的职业培训机构的，由县级以上人民政府劳动和社会保障行政部门责令停办，没收违法所得，并处以一万元以上三万元以下罚款。对职业技能鉴定机构以及劳动和社会保障行政部门管辖的职业培训机构滥发职业培训证书或者职业资格证书的，由县级以上人民政府劳动和社会保障行政部门责令限期收回，予以销毁；没收违法所得，并处以一万元以上三万元以下罚款；情节严重的，由审批机关依法暂扣或者吊销其经营许可证。</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45</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对滥发职业培训证书或者职业资格证书的处罚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河北省劳动和社会保障监察条例》（2002年7月30日省人大常委会公告第72号）第二十八条第二款对未经批准擅自开办职业介绍、职业技能鉴定以及应当由劳动和社会保障行政部门管辖的职业培训机构的，由县级以上人民政府劳动和社会保障行政部门责令停办，没收违法所得，并处以一万元以上三万元以下罚款。对以职业介绍、职业培训、职业技能鉴定为名骗取钱财的，由公安机关依法处理；构成犯罪的，依法追究刑事责任。</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46</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对用人单位拒绝接受劳动和社会保障年度审查的处罚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河北省劳动和社会保障监察条例》（2002年7月30日省人大常委会公告第72号）第二十九条第四项用人单位和就业服务机构有下列行为之一的，由县级以上人民政府劳动和社会保障行政部门处以五千元以上一万元以下罚款；违反治安管理处罚条例的，由公安机关依法予以处罚；构成犯罪的，依法追究刑事责任：（四）拒绝接受劳动和社会保障年度审查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47</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对打击报复举报人或者违反规定解除举报人劳动合同的处罚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河北省劳动和社会保障监察条例》（2002年7月30日省人大常委会公告第72号）第二十九条第五项用人单位和就业服务机构有下列行为之一的，由县级以上人民政府劳动和社会保障行政部门处以五千元以上一万元以下罚款；违反治安管理处罚条例的，由公安机关依法予以处罚；构成犯罪的，依法追究刑事责任：（五）打击报复举报人或者违反规定条件解除举报人劳动合同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48</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对招用不满十六周岁的未成年人的处罚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河北省劳动和社会保障监察条例》（2002年7月30日省人大常委会公告第72号）第二十二条第一项用人单位或者就业服务机构违反有关规定，有下列行为之一的，由县级以上人民政府劳动和社会保障行政部门责令改正，并予以罚款：（一）非法介绍、招用未满１６周岁未成年人的，限期送回原居住地，并按照每介绍一人处以一千五百元罚款，每招用一人使用一个月未满一个月按一个月计算处以一千五百元以上三千元以下罚款；情节严重属于企业和个体经济组织的，由工商行政管理部门吊销营业执照。</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49</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对违反应当书面记录支付劳动者工资的数额、项目、时间和领取工资者的签字，并至少保留两年备查规定的处罚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《河北省工资支付规定》（2002年省政府令第23号）第三十五条违反本规定第十二条规定的，由县级以上劳动和社会保障行政部门给予一千元以下的罚款。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50</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对伪造、变造社会保险登记证的处罚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《社会保险费征缴监督检查办法》（1999年3月19日劳动和社会保障部令第3号）第十四条第一项对缴费单位有下列行为之一的，应当给予警告，并可以处以5000元以下的罚款：（一）伪造、变造社会保险登记证的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51</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对未按规定从缴纳个人工资中代扣代缴社会保险费的处罚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社会保险费征缴监督检查办法》（1999年3月19日劳动和社会保障部令第3号）第十四条第二项对缴费单位有下列行为之一的，应当给予警告，并可以处以5000元以下的罚款：（二）未按规定从缴费个人工资中代扣代缴社会保险费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52</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对未按规定向职工公示本单位社会保险费交纳情况的处罚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社会保险费征缴监督检查办法》（1999年3月19日劳动和社会保障部令第3号）第十四条第三项对缴费单位有下列行为之一的，应当给予警告，并可以处以5000元以下的罚款：（三）未按规定向职工公布本单位社会保险费缴纳情况的。</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53</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对违反本规定，在国家法律、行政法规和国务院卫生行政部门规定禁止乙肝病原携带者从事的工作岗位以外招用人员时，将乙肝病毒血清学指标作为体检标准的处罚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《就业服务与就业管理规定》（2007年10月30日劳动和社会保障部令第28号）第六十八条 用人单位违反本规定第十九条第二款规定，在国家法律、行政法规和国务院卫生行政部门规定禁止乙肝病原携带者从事的工作岗位以外招用人员时，将乙肝病毒血清学指标作为体检标准的，由劳动保障行政部门责令改正，并可处以一千元以下的罚款；对当事人造成损害的，应当承担赔偿责任。</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54</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对职业中介机构未明示职业中介许可证、监督电话的处罚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《就业服务与就业管理规定》（2007年10月30日劳动和社会保障部令第28号）第七十一条 职业中介机构违反本规定第五十三条规定，未明示职业中介许可证、监督电话的，由劳动保障行政部门责令改正，并可处以一千元以下的罚款；未明示收费标准的，提请价格主管部门依据国家有关规定处罚；未明示营业执照的，提请工商行政管理部门依据国家有关规定处罚。</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55</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对职业中介机构未建立服务台账，或虽建立服务台账但未记录服务对象、服务过程、服务结果和收费情况的处罚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《就业服务与就业管理规定》（2007年10月30日劳动和社会保障部令第28号）第七十二条 职业中介机构违反本规定第五十四条规定，未建立服务台账，或虽建立服务台账但未记录服务对象、服务过程、服务结果和收费情况的，由劳动保障行政部门责令改正，并可处以一千元以下的罚款。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56</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对职业中介机构在职业中介服务不成功后未向劳动者退还所收取的中介服务费的处罚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《就业服务与就业管理规定》（2007年10月30日劳动和社会保障部令第28号）第七十三条 职业中介机构违反本规定第五十五条规定，在职业中介服务不成功后未向劳动者退还所收取的中介服务费的，由劳动保障行政部门责令改正，并可处以一千元以下的罚款。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74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57</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行政处罚</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用人单位违反《就业服务与就业管理规定》第六十二条规定，未及时为劳动者办理就业登记手续的处罚</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《就业服务与就业管理规定》（2007年10月30日劳动和社会保障部令第28号）第七十五条 用人单位违反本规定第六十二条规定，未及时为劳动者办理就业登记手续的，由劳动保障行政部门责令改正，并可处以一千元以下的罚款。</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1、立案责任：对违反劳动保障法律、法规行为的投诉、举报或者监察中发现的问题，应当在七日内立案。</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调查责任：劳动保障监察员进行调查，检查不得少于2人，调查时应当出示行政执法证件和劳动保障监察证件。与本人或者其近亲属有直接利害关系的，应当回避。调查应当自立案之日起60个工作日内完成，对情况复杂的，经劳动保障行政部门负责人批准，可以延长30个工作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3、审查责任：审理案件调查报告，对案件违法事实、证据、调查取证程序、法律适用、处罚种类和幅度、当事人陈述和申辩理由等方面进行审查，提出处理意见（主要证据不足时，以适当的方式补充调查）。</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告知责任：作出行政处罚决定前应当制作《劳动保障监察行政处罚事先告知书》送达当事人，告知违法事实及其享有的陈述、申辩等权利。符合听证规定的，制作并送达《劳动保障监察行政处罚听证告知书》。</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5、决定责任：制作《劳动保障监察行政处罚决定书》送达当事人。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6、送达责任：行政处罚决定书按法律规定的方式送达当事人。</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7、执行责任：依照生效的行政处罚决定，罚款。</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因履行或不正确履行行政职责，有下列情形的，行政机关及相关工作人员应承担相应责任：</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1、实施行政处罚，没有法定的行政处罚依据的；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2、行政处罚显失公正的；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3、实施行政处罚，擅自改变行政处罚种类类、幅度的；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4、实施行政处罚，违反法定的行政处罚程序的；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5、符合听证条件、行政管理相对人要求听证，应予组织听证而不组织听证的；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6、执法人员玩忽职守，对应当予以制止和处罚的违法行为不予制止、处罚，致使公民、法人或者其他组织的合法权益、公共利益和社会秩序遭受损害的；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7、不具备行政执法资格实施行政处罚的；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8、在制止以及查处违法案件中受阻，依照有关规定应当向本级人民政府或者上级人力资源社会保障主管部门报告而未报告的；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9、应当依法移送追究刑事责任，而未依法移送有权机关的；</w:t>
            </w:r>
          </w:p>
          <w:p>
            <w:p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10、在行政处罚过程中发生腐败行为的；</w:t>
            </w:r>
          </w:p>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427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58</w:t>
            </w:r>
          </w:p>
        </w:tc>
        <w:tc>
          <w:tcPr>
            <w:tcW w:w="726"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行政确认</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eastAsia="zh-CN"/>
              </w:rPr>
              <w:t>县</w:t>
            </w:r>
            <w:r>
              <w:rPr>
                <w:rFonts w:hint="eastAsia" w:cs="宋体" w:asciiTheme="minorEastAsia" w:hAnsiTheme="minorEastAsia" w:eastAsiaTheme="minorEastAsia"/>
                <w:sz w:val="18"/>
                <w:szCs w:val="18"/>
              </w:rPr>
              <w:t>本级事业退休待遇条件确认</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1.《国务院关于安置老弱病残干部的暂行办法》（国发〔1978〕104号）第四条</w:t>
            </w:r>
            <w:r>
              <w:rPr>
                <w:rFonts w:hint="eastAsia" w:cs="宋体" w:asciiTheme="minorEastAsia" w:hAnsiTheme="minorEastAsia" w:eastAsiaTheme="minorEastAsia"/>
                <w:sz w:val="18"/>
                <w:szCs w:val="18"/>
                <w:lang w:eastAsia="zh-CN"/>
              </w:rPr>
              <w:t>：“党政机关、群众团体、企业、事业单位的干部，符合下列条件之一的，都可以退休。</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eastAsia="zh-CN"/>
              </w:rPr>
              <w:t>一</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val="en-US" w:eastAsia="zh-CN"/>
              </w:rPr>
              <w:t>...（二）...</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2.关于印发《河北省机关事业单位工作人员基本养老金计发办法》的通知（冀人社发〔2016〕49号） 第十六条“机关事业单位编制内工作人员按干部管理权限批准退休；其他参保人员由统筹地人力资源社会保障行政部门核准退休。人力资源社会保障行政部门复核待遇条件，特殊工种提前退休按规定程序批准、核准。”</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3.局三定规定。</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1.受理责任:公示依法应当提交的材料;一次性告知补正材料</w:t>
            </w:r>
            <w:r>
              <w:rPr>
                <w:rFonts w:hint="eastAsia" w:cs="宋体" w:asciiTheme="minorEastAsia" w:hAnsiTheme="minorEastAsia" w:eastAsiaTheme="minorEastAsia"/>
                <w:sz w:val="18"/>
                <w:szCs w:val="18"/>
                <w:lang w:eastAsia="zh-CN"/>
              </w:rPr>
              <w:t>；依法受理或不予受理。</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2.审查责任:审核个人档案等材料，正确填写待遇条件确认表的，审核通过；待遇确认表填写不正确或举证材料不足的，不予通过；</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3.决定责任:符合条件的，做出予以确认的决定；不符合条件的，要求正确填报或补充材料。</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4.送达责任:根据办理方式现场或线上告知。</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5.事后监管责任:加强对机关事业单位退休待遇申报的指导，及时纠正违规行为。</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6.其他法律法规规章文件规定应履行的责任。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因不履行或不正确履行行政职责，有下列情形的，行政机关及相关工作人员应承担相应责任：</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1.对符合受理条件的行政认定申请不予受理的；</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2.未严格按照相关政策、法律、法规履行审查义务，对应当予以认定的不予认定，或者对不应认定的予以认定；</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3.泄露用人单位和个人信息的，给用人单位或者个人造成损失的；</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4.</w:t>
            </w:r>
            <w:r>
              <w:rPr>
                <w:rFonts w:hint="eastAsia" w:cs="宋体" w:asciiTheme="minorEastAsia" w:hAnsiTheme="minorEastAsia" w:eastAsiaTheme="minorEastAsia"/>
                <w:sz w:val="18"/>
                <w:szCs w:val="18"/>
                <w:lang w:eastAsia="zh-CN"/>
              </w:rPr>
              <w:t>工作人员</w:t>
            </w:r>
            <w:r>
              <w:rPr>
                <w:rFonts w:hint="eastAsia" w:cs="宋体" w:asciiTheme="minorEastAsia" w:hAnsiTheme="minorEastAsia" w:eastAsiaTheme="minorEastAsia"/>
                <w:sz w:val="18"/>
                <w:szCs w:val="18"/>
              </w:rPr>
              <w:t>滥用职权、玩忽职守、徇私舞弊的；</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5.其他违反法律法规规章文件规定的行为。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38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val="en-US" w:eastAsia="zh-CN"/>
              </w:rPr>
            </w:pPr>
            <w:r>
              <w:rPr>
                <w:rFonts w:hint="eastAsia" w:cs="宋体" w:asciiTheme="minorEastAsia" w:hAnsiTheme="minorEastAsia" w:eastAsiaTheme="minorEastAsia"/>
                <w:sz w:val="18"/>
                <w:szCs w:val="18"/>
                <w:lang w:val="en-US" w:eastAsia="zh-CN"/>
              </w:rPr>
              <w:t>59</w:t>
            </w:r>
          </w:p>
        </w:tc>
        <w:tc>
          <w:tcPr>
            <w:tcW w:w="726"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行政确认</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eastAsia="zh-CN"/>
              </w:rPr>
              <w:t>参加基本养老保险的企业职工提前退休初审</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1.《国务院关于工人退休、退职的暂行办法》（国发〔1978〕104号）第一条（三）</w:t>
            </w:r>
            <w:r>
              <w:rPr>
                <w:rFonts w:hint="eastAsia" w:cs="宋体" w:asciiTheme="minorEastAsia" w:hAnsiTheme="minorEastAsia" w:eastAsiaTheme="minorEastAsia"/>
                <w:sz w:val="18"/>
                <w:szCs w:val="18"/>
                <w:lang w:eastAsia="zh-CN"/>
              </w:rPr>
              <w:t>：“男年满</w:t>
            </w:r>
            <w:r>
              <w:rPr>
                <w:rFonts w:hint="eastAsia" w:cs="宋体" w:asciiTheme="minorEastAsia" w:hAnsiTheme="minorEastAsia" w:eastAsiaTheme="minorEastAsia"/>
                <w:sz w:val="18"/>
                <w:szCs w:val="18"/>
                <w:lang w:val="en-US" w:eastAsia="zh-CN"/>
              </w:rPr>
              <w:t>50周岁，女年满45周岁，连续工龄满十年，由医院证明，并经劳动鉴定委员会确认，完全丧失劳动能力的。</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2.《国务院办公厅关于关于进一步做好国有企业下岗职工基本生活保障和企业离退休人员养老金发放工作有关问题的通知》（国办发〔1999〕10号）四（二）</w:t>
            </w:r>
            <w:r>
              <w:rPr>
                <w:rFonts w:hint="eastAsia" w:cs="宋体" w:asciiTheme="minorEastAsia" w:hAnsiTheme="minorEastAsia" w:eastAsiaTheme="minorEastAsia"/>
                <w:sz w:val="18"/>
                <w:szCs w:val="18"/>
                <w:lang w:eastAsia="zh-CN"/>
              </w:rPr>
              <w:t>：“加强企业职工退休审批工作的管理。从事井下、高空、高温、特别繁重体力劳动或其他有害身体健康的工种，因病或非因工致残完全丧失劳动能力的企业职工退休，改由地级劳动保障部门审批”</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3.局三定规定。</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1.受理责任:公示依法应当提交的材料;一次性告知补正材料</w:t>
            </w:r>
            <w:r>
              <w:rPr>
                <w:rFonts w:hint="eastAsia" w:cs="宋体" w:asciiTheme="minorEastAsia" w:hAnsiTheme="minorEastAsia" w:eastAsiaTheme="minorEastAsia"/>
                <w:sz w:val="18"/>
                <w:szCs w:val="18"/>
                <w:lang w:eastAsia="zh-CN"/>
              </w:rPr>
              <w:t>；依法受理或不予受理。</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2.审查责任:审核个人档案信息确认表、退休核准表，符合条件的，审核通过；不符合条件的不予通过；</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3.决定责任:符合条件的，做出核准的决定；不符合条件的，不予核准。</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4.送达责任:根据办理方式现场或线上告知。</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5.事后监管责任:加强对企业退休核准的指导，及时纠正违规行为。</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6.其他法律法规规章文件规定应履行的责任。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因不履行或不正确履行行政职责，有下列情形的，行政机关及相关工作人员应承担相应责任：</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1.对符合受理条件的行政认定申请不予受理的；</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2.未严格按照相关政策、法律、法规履行审查义务，对应当予以认定的不予认定，或者对不应认定的予以认定；</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3.泄露用人单位和个人信息的，给用人单位或者个人造成损失的；</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4.</w:t>
            </w:r>
            <w:r>
              <w:rPr>
                <w:rFonts w:hint="eastAsia" w:cs="宋体" w:asciiTheme="minorEastAsia" w:hAnsiTheme="minorEastAsia" w:eastAsiaTheme="minorEastAsia"/>
                <w:sz w:val="18"/>
                <w:szCs w:val="18"/>
                <w:lang w:eastAsia="zh-CN"/>
              </w:rPr>
              <w:t>工作人员</w:t>
            </w:r>
            <w:r>
              <w:rPr>
                <w:rFonts w:hint="eastAsia" w:cs="宋体" w:asciiTheme="minorEastAsia" w:hAnsiTheme="minorEastAsia" w:eastAsiaTheme="minorEastAsia"/>
                <w:sz w:val="18"/>
                <w:szCs w:val="18"/>
              </w:rPr>
              <w:t>滥用职权、玩忽职守、徇私舞弊的；</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5.其他违反法律法规规章文件规定的行为。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38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val="en-US" w:eastAsia="zh-CN"/>
              </w:rPr>
            </w:pPr>
            <w:r>
              <w:rPr>
                <w:rFonts w:hint="eastAsia" w:cs="宋体" w:asciiTheme="minorEastAsia" w:hAnsiTheme="minorEastAsia" w:eastAsiaTheme="minorEastAsia"/>
                <w:sz w:val="18"/>
                <w:szCs w:val="18"/>
              </w:rPr>
              <w:t>6</w:t>
            </w:r>
            <w:r>
              <w:rPr>
                <w:rFonts w:hint="eastAsia" w:cs="宋体" w:asciiTheme="minorEastAsia" w:hAnsiTheme="minorEastAsia" w:eastAsiaTheme="minorEastAsia"/>
                <w:sz w:val="18"/>
                <w:szCs w:val="18"/>
                <w:lang w:val="en-US" w:eastAsia="zh-CN"/>
              </w:rPr>
              <w:t>0</w:t>
            </w:r>
          </w:p>
        </w:tc>
        <w:tc>
          <w:tcPr>
            <w:tcW w:w="726"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行政确认</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eastAsia="zh-CN"/>
              </w:rPr>
              <w:t>县</w:t>
            </w:r>
            <w:r>
              <w:rPr>
                <w:rFonts w:hint="eastAsia" w:cs="宋体" w:asciiTheme="minorEastAsia" w:hAnsiTheme="minorEastAsia" w:eastAsiaTheme="minorEastAsia"/>
                <w:sz w:val="18"/>
                <w:szCs w:val="18"/>
              </w:rPr>
              <w:t>本级参保企业职工退休核准</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numPr>
                <w:ilvl w:val="0"/>
                <w:numId w:val="1"/>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国务院关于工人退休、退职的暂行办法</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（国发（1978）104号）</w:t>
            </w:r>
            <w:r>
              <w:rPr>
                <w:rFonts w:hint="eastAsia" w:cs="宋体" w:asciiTheme="minorEastAsia" w:hAnsiTheme="minorEastAsia" w:eastAsiaTheme="minorEastAsia"/>
                <w:sz w:val="18"/>
                <w:szCs w:val="18"/>
                <w:lang w:eastAsia="zh-CN"/>
              </w:rPr>
              <w:t>第一条：“全民所有制企业、事业单位和党政机关、群众团体的工人，符合下列条件之一的，应该退休。</w:t>
            </w:r>
            <w:r>
              <w:rPr>
                <w:rFonts w:hint="eastAsia" w:cs="宋体" w:asciiTheme="minorEastAsia" w:hAnsiTheme="minorEastAsia" w:eastAsiaTheme="minorEastAsia"/>
                <w:sz w:val="18"/>
                <w:szCs w:val="18"/>
                <w:lang w:val="en-US" w:eastAsia="zh-CN"/>
              </w:rPr>
              <w:t>...</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w:t>
            </w:r>
          </w:p>
          <w:p>
            <w:pPr>
              <w:numPr>
                <w:ilvl w:val="0"/>
                <w:numId w:val="1"/>
              </w:numPr>
              <w:adjustRightInd/>
              <w:snapToGrid/>
              <w:spacing w:after="0" w:line="240" w:lineRule="exact"/>
              <w:ind w:left="0" w:leftChars="0" w:firstLine="0" w:firstLineChars="0"/>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《国务院办公厅关于进一步做好国有企业下岗职工基本生活保障和企业离退休人员养老金发放工作有关问题的通知》（国办发〔1999〕10号）第四条（二）</w:t>
            </w:r>
            <w:r>
              <w:rPr>
                <w:rFonts w:hint="eastAsia" w:cs="宋体" w:asciiTheme="minorEastAsia" w:hAnsiTheme="minorEastAsia" w:eastAsiaTheme="minorEastAsia"/>
                <w:sz w:val="18"/>
                <w:szCs w:val="18"/>
                <w:lang w:eastAsia="zh-CN"/>
              </w:rPr>
              <w:t>：“加强企业职工退休审批工作的管理</w:t>
            </w:r>
            <w:r>
              <w:rPr>
                <w:rFonts w:hint="eastAsia" w:cs="宋体" w:asciiTheme="minorEastAsia" w:hAnsiTheme="minorEastAsia" w:eastAsiaTheme="minorEastAsia"/>
                <w:sz w:val="18"/>
                <w:szCs w:val="18"/>
                <w:lang w:val="en-US" w:eastAsia="zh-CN"/>
              </w:rPr>
              <w:t>...各地区、各部门及各企业必须严格执行国家关于企业职工退休条件的规定。</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 xml:space="preserve"> </w:t>
            </w:r>
          </w:p>
          <w:p>
            <w:pPr>
              <w:numPr>
                <w:ilvl w:val="0"/>
                <w:numId w:val="0"/>
              </w:numPr>
              <w:adjustRightInd/>
              <w:snapToGrid/>
              <w:spacing w:after="0" w:line="240" w:lineRule="exact"/>
              <w:ind w:left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3.河北省人民政府办公厅关于印发《河北省企业职工基金养老金计发办法》的通知（办字〔2006〕77号）</w:t>
            </w:r>
            <w:r>
              <w:rPr>
                <w:rFonts w:hint="eastAsia" w:cs="宋体" w:asciiTheme="minorEastAsia" w:hAnsiTheme="minorEastAsia" w:eastAsiaTheme="minorEastAsia"/>
                <w:sz w:val="18"/>
                <w:szCs w:val="18"/>
                <w:lang w:eastAsia="zh-CN"/>
              </w:rPr>
              <w:t>第</w:t>
            </w:r>
            <w:r>
              <w:rPr>
                <w:rFonts w:hint="eastAsia" w:cs="宋体" w:asciiTheme="minorEastAsia" w:hAnsiTheme="minorEastAsia" w:eastAsiaTheme="minorEastAsia"/>
                <w:sz w:val="18"/>
                <w:szCs w:val="18"/>
              </w:rPr>
              <w:t>二</w:t>
            </w:r>
            <w:r>
              <w:rPr>
                <w:rFonts w:hint="eastAsia" w:cs="宋体" w:asciiTheme="minorEastAsia" w:hAnsiTheme="minorEastAsia" w:eastAsiaTheme="minorEastAsia"/>
                <w:sz w:val="18"/>
                <w:szCs w:val="18"/>
                <w:lang w:eastAsia="zh-CN"/>
              </w:rPr>
              <w:t>条：“本办法适用于我省行政区域内参加企业职工基本养老保险的所有人员</w:t>
            </w:r>
            <w:r>
              <w:rPr>
                <w:rFonts w:hint="eastAsia" w:cs="宋体" w:asciiTheme="minorEastAsia" w:hAnsiTheme="minorEastAsia" w:eastAsiaTheme="minorEastAsia"/>
                <w:sz w:val="18"/>
                <w:szCs w:val="18"/>
                <w:lang w:val="en-US" w:eastAsia="zh-CN"/>
              </w:rPr>
              <w:t>...</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1.受理责任:公示依法应当提交的材料;一次性告知补正材料</w:t>
            </w:r>
            <w:r>
              <w:rPr>
                <w:rFonts w:hint="eastAsia" w:cs="宋体" w:asciiTheme="minorEastAsia" w:hAnsiTheme="minorEastAsia" w:eastAsiaTheme="minorEastAsia"/>
                <w:sz w:val="18"/>
                <w:szCs w:val="18"/>
                <w:lang w:eastAsia="zh-CN"/>
              </w:rPr>
              <w:t>；依法受理或不予受理。</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2.审查责任:审核个人档案信息确认表、退休核准表，符合条件的，审核通过；不符合条件的不予通过；</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3.决定责任:符合条件的，做出核准的决定；不符合条件的，不予核准。</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4.送达责任:根据办理方式现场或线上告知。</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5.事后监管责任:加强对企业退休核准的指导，及时纠正违规行为。</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6.其他法律法规规章文件规定应履行的责任。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因不履行或不正确履行行政职责，有下列情形的，行政机关及相关工作人员应承担相应责任：</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1.对符合受理条件的行政认定申请不予受理的；</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2.未严格按照相关政策、法律、法规履行审查义务，对应当予以认定的不予认定，或者对不应认定的予以认定；</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3.泄露用人单位和个人信息的，给用人单位或者个人造成损失的；</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4.</w:t>
            </w:r>
            <w:r>
              <w:rPr>
                <w:rFonts w:hint="eastAsia" w:cs="宋体" w:asciiTheme="minorEastAsia" w:hAnsiTheme="minorEastAsia" w:eastAsiaTheme="minorEastAsia"/>
                <w:sz w:val="18"/>
                <w:szCs w:val="18"/>
                <w:lang w:eastAsia="zh-CN"/>
              </w:rPr>
              <w:t>工作人员</w:t>
            </w:r>
            <w:r>
              <w:rPr>
                <w:rFonts w:hint="eastAsia" w:cs="宋体" w:asciiTheme="minorEastAsia" w:hAnsiTheme="minorEastAsia" w:eastAsiaTheme="minorEastAsia"/>
                <w:sz w:val="18"/>
                <w:szCs w:val="18"/>
              </w:rPr>
              <w:t>滥用职权、玩忽职守、徇私舞弊的；</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5.其他违反法律法规规章文件规定的行为。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38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val="en-US" w:eastAsia="zh-CN"/>
              </w:rPr>
            </w:pPr>
            <w:r>
              <w:rPr>
                <w:rFonts w:hint="eastAsia" w:cs="宋体" w:asciiTheme="minorEastAsia" w:hAnsiTheme="minorEastAsia" w:eastAsiaTheme="minorEastAsia"/>
                <w:sz w:val="18"/>
                <w:szCs w:val="18"/>
              </w:rPr>
              <w:t>6</w:t>
            </w:r>
            <w:r>
              <w:rPr>
                <w:rFonts w:hint="eastAsia" w:cs="宋体" w:asciiTheme="minorEastAsia" w:hAnsiTheme="minorEastAsia" w:eastAsiaTheme="minorEastAsia"/>
                <w:sz w:val="18"/>
                <w:szCs w:val="18"/>
                <w:lang w:val="en-US" w:eastAsia="zh-CN"/>
              </w:rPr>
              <w:t>1</w:t>
            </w:r>
          </w:p>
        </w:tc>
        <w:tc>
          <w:tcPr>
            <w:tcW w:w="726"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行政确认</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保持荣誉称号职工退休提高待遇核准</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numPr>
                <w:ilvl w:val="0"/>
                <w:numId w:val="2"/>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《国务院关于工人退休、退职的暂行办法》（国发〔1978〕104号）第四条</w:t>
            </w:r>
            <w:r>
              <w:rPr>
                <w:rFonts w:hint="eastAsia" w:cs="宋体" w:asciiTheme="minorEastAsia" w:hAnsiTheme="minorEastAsia" w:eastAsiaTheme="minorEastAsia"/>
                <w:sz w:val="18"/>
                <w:szCs w:val="18"/>
                <w:lang w:eastAsia="zh-CN"/>
              </w:rPr>
              <w:t>：“获得全国劳动英雄、劳动模范称号，在退休时仍然保持其荣誉的工人；省、市、自治区革命委员会认为在革命和建设中有特殊贡献的工人；部队军以上单位授予战斗英雄称号的转业、复员军人</w:t>
            </w:r>
            <w:r>
              <w:rPr>
                <w:rFonts w:hint="eastAsia" w:cs="宋体" w:asciiTheme="minorEastAsia" w:hAnsiTheme="minorEastAsia" w:eastAsiaTheme="minorEastAsia"/>
                <w:sz w:val="18"/>
                <w:szCs w:val="18"/>
                <w:lang w:val="en-US" w:eastAsia="zh-CN"/>
              </w:rPr>
              <w:t>...其退休费可以酌情高于本办法所定标准的5%至15%...</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2.河北省人民政府关于取消省政府部门非行政许可审批事项的决定（冀政发〔2015〕38号）省政府部门行政权力的事项第26项-30项：保持荣誉称号职工退休提高待遇核准。</w:t>
            </w:r>
          </w:p>
          <w:p>
            <w:pPr>
              <w:numPr>
                <w:ilvl w:val="0"/>
                <w:numId w:val="0"/>
              </w:num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3.局三定规定。</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1.受理责任:公示依法应当提交的材料;一次性告知补正材料</w:t>
            </w:r>
            <w:r>
              <w:rPr>
                <w:rFonts w:hint="eastAsia" w:cs="宋体" w:asciiTheme="minorEastAsia" w:hAnsiTheme="minorEastAsia" w:eastAsiaTheme="minorEastAsia"/>
                <w:sz w:val="18"/>
                <w:szCs w:val="18"/>
                <w:lang w:eastAsia="zh-CN"/>
              </w:rPr>
              <w:t>；依法受理或不予受理。</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2.审查责任:审核个人申报材料，符合条件的，审核通过；不符合条件的不予通过；</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3.决定责任:符合条件的，做出核准的决定；不符合条件的，不予核准。</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4.送达责任:根据办理方式现场或线上告知。</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5.事后监管责任:及时纠正违规行为。</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6.其他法律法规规章文件规定应履行的责任。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因不履行或不正确履行行政职责，有下列情形的，行政机关及相关工作人员应承担相应责任：</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1.对符合受理条件的行政认定申请不予受理的；</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2.未严格按照相关政策、法律、法规履行审查义务，对应当予以认定的不予认定，或者对不应认定的予以认定；</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3.泄露用人单位和个人信息的，给用人单位或者个人造成损失的；</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4.</w:t>
            </w:r>
            <w:r>
              <w:rPr>
                <w:rFonts w:hint="eastAsia" w:cs="宋体" w:asciiTheme="minorEastAsia" w:hAnsiTheme="minorEastAsia" w:eastAsiaTheme="minorEastAsia"/>
                <w:sz w:val="18"/>
                <w:szCs w:val="18"/>
                <w:lang w:eastAsia="zh-CN"/>
              </w:rPr>
              <w:t>工作人员</w:t>
            </w:r>
            <w:r>
              <w:rPr>
                <w:rFonts w:hint="eastAsia" w:cs="宋体" w:asciiTheme="minorEastAsia" w:hAnsiTheme="minorEastAsia" w:eastAsiaTheme="minorEastAsia"/>
                <w:sz w:val="18"/>
                <w:szCs w:val="18"/>
              </w:rPr>
              <w:t>滥用职权、玩忽职守、徇私舞弊的；</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5.其他违反法律法规规章文件规定的行为。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3150"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val="en-US" w:eastAsia="zh-CN"/>
              </w:rPr>
            </w:pPr>
            <w:r>
              <w:rPr>
                <w:rFonts w:hint="eastAsia" w:cs="宋体" w:asciiTheme="minorEastAsia" w:hAnsiTheme="minorEastAsia" w:eastAsiaTheme="minorEastAsia"/>
                <w:sz w:val="18"/>
                <w:szCs w:val="18"/>
              </w:rPr>
              <w:t>6</w:t>
            </w:r>
            <w:r>
              <w:rPr>
                <w:rFonts w:hint="eastAsia" w:cs="宋体" w:asciiTheme="minorEastAsia" w:hAnsiTheme="minorEastAsia" w:eastAsiaTheme="minorEastAsia"/>
                <w:sz w:val="18"/>
                <w:szCs w:val="18"/>
                <w:lang w:val="en-US" w:eastAsia="zh-CN"/>
              </w:rPr>
              <w:t>2</w:t>
            </w:r>
          </w:p>
        </w:tc>
        <w:tc>
          <w:tcPr>
            <w:tcW w:w="726"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行政确认</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rPr>
              <w:t>机关事业单位工人技能等级考核</w:t>
            </w:r>
            <w:r>
              <w:rPr>
                <w:rFonts w:hint="eastAsia" w:cs="宋体" w:asciiTheme="minorEastAsia" w:hAnsiTheme="minorEastAsia" w:eastAsiaTheme="minorEastAsia"/>
                <w:sz w:val="18"/>
                <w:szCs w:val="18"/>
                <w:lang w:eastAsia="zh-CN"/>
              </w:rPr>
              <w:t>的组织申报</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numPr>
                <w:ilvl w:val="0"/>
                <w:numId w:val="0"/>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lang w:val="en-US" w:eastAsia="zh-CN"/>
              </w:rPr>
              <w:t>1.</w:t>
            </w:r>
            <w:r>
              <w:rPr>
                <w:rFonts w:hint="eastAsia" w:cs="宋体" w:asciiTheme="minorEastAsia" w:hAnsiTheme="minorEastAsia" w:eastAsiaTheme="minorEastAsia"/>
                <w:sz w:val="18"/>
                <w:szCs w:val="18"/>
              </w:rPr>
              <w:t>河北省人事厅关于印发《河北省机关事业单位工人技术等级考核试行办法的通知》 （冀人发【1998】122号）</w:t>
            </w:r>
            <w:r>
              <w:rPr>
                <w:rFonts w:hint="eastAsia" w:cs="宋体" w:asciiTheme="minorEastAsia" w:hAnsiTheme="minorEastAsia" w:eastAsiaTheme="minorEastAsia"/>
                <w:sz w:val="18"/>
                <w:szCs w:val="18"/>
                <w:lang w:eastAsia="zh-CN"/>
              </w:rPr>
              <w:t>全文</w:t>
            </w:r>
            <w:r>
              <w:rPr>
                <w:rFonts w:hint="eastAsia" w:cs="宋体" w:asciiTheme="minorEastAsia" w:hAnsiTheme="minorEastAsia" w:eastAsiaTheme="minorEastAsia"/>
                <w:sz w:val="18"/>
                <w:szCs w:val="18"/>
              </w:rPr>
              <w:t>；</w:t>
            </w:r>
          </w:p>
          <w:p>
            <w:pPr>
              <w:numPr>
                <w:ilvl w:val="0"/>
                <w:numId w:val="0"/>
              </w:numPr>
              <w:adjustRightInd/>
              <w:snapToGrid/>
              <w:spacing w:after="0" w:line="240" w:lineRule="exact"/>
              <w:ind w:leftChars="0"/>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lang w:val="en-US" w:eastAsia="zh-CN"/>
              </w:rPr>
              <w:t>2.</w:t>
            </w:r>
            <w:r>
              <w:rPr>
                <w:rFonts w:hint="eastAsia" w:cs="宋体" w:asciiTheme="minorEastAsia" w:hAnsiTheme="minorEastAsia" w:eastAsiaTheme="minorEastAsia"/>
                <w:sz w:val="18"/>
                <w:szCs w:val="18"/>
              </w:rPr>
              <w:t>河北省人事厅关于印发《河北省机关事业单位工人技师评聘试行办法》的通知（冀人发【1998】191号）</w:t>
            </w:r>
            <w:r>
              <w:rPr>
                <w:rFonts w:hint="eastAsia" w:cs="宋体" w:asciiTheme="minorEastAsia" w:hAnsiTheme="minorEastAsia" w:eastAsiaTheme="minorEastAsia"/>
                <w:sz w:val="18"/>
                <w:szCs w:val="18"/>
                <w:lang w:eastAsia="zh-CN"/>
              </w:rPr>
              <w:t>全文</w:t>
            </w:r>
            <w:r>
              <w:rPr>
                <w:rFonts w:hint="eastAsia" w:cs="宋体" w:asciiTheme="minorEastAsia" w:hAnsiTheme="minorEastAsia" w:eastAsiaTheme="minorEastAsia"/>
                <w:sz w:val="18"/>
                <w:szCs w:val="18"/>
              </w:rPr>
              <w:t>；</w:t>
            </w:r>
          </w:p>
          <w:p>
            <w:pPr>
              <w:numPr>
                <w:ilvl w:val="0"/>
                <w:numId w:val="0"/>
              </w:numPr>
              <w:adjustRightInd/>
              <w:snapToGrid/>
              <w:spacing w:after="0" w:line="240" w:lineRule="exact"/>
              <w:ind w:leftChars="0"/>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val="en-US" w:eastAsia="zh-CN"/>
              </w:rPr>
              <w:t>3.</w:t>
            </w:r>
            <w:r>
              <w:rPr>
                <w:rFonts w:hint="eastAsia" w:cs="宋体" w:asciiTheme="minorEastAsia" w:hAnsiTheme="minorEastAsia" w:eastAsiaTheme="minorEastAsia"/>
                <w:sz w:val="18"/>
                <w:szCs w:val="18"/>
              </w:rPr>
              <w:t>河北省人力资源和社会保障厅关于印发《河北省机关企事业单位工人流动职业资格认定办法（试行）》的通知（冀人社发【2010】49号）</w:t>
            </w:r>
            <w:r>
              <w:rPr>
                <w:rFonts w:hint="eastAsia" w:cs="宋体" w:asciiTheme="minorEastAsia" w:hAnsiTheme="minorEastAsia" w:eastAsiaTheme="minorEastAsia"/>
                <w:sz w:val="18"/>
                <w:szCs w:val="18"/>
                <w:lang w:eastAsia="zh-CN"/>
              </w:rPr>
              <w:t>全文。</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1.受理责任：受理提交的考核报名或资格认证材料。</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2.审查责任：审查申报材料，符合考核报名的进入考核程序，符合资格认定条件的给予登记备案。</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3.决定责任：晋升条件符合要求的进行考核审批，认证条件符合要求的进行认证。</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4.送达责任：经审批合格人员，在人社局官网进行公示。</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5.其他法律法规规章文件规定应履行的责任。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因不履行或不正确履行行政职责，有下列情形的，行政机关及相关工作人员应承担相应责任：</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1.符合法定条件未受理、未办理的情形；</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2.不符合法定条件受理、办理的情形；</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3.在行政权力行使过程中的失职、渎职情形；</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4.出现徇私舞弊谋取不正当利益的的情形；</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5.其他违反法律法规规章文件规定的行为。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both"/>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4725"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val="en-US" w:eastAsia="zh-CN"/>
              </w:rPr>
            </w:pPr>
            <w:r>
              <w:rPr>
                <w:rFonts w:hint="eastAsia" w:cs="宋体" w:asciiTheme="minorEastAsia" w:hAnsiTheme="minorEastAsia" w:eastAsiaTheme="minorEastAsia"/>
                <w:sz w:val="18"/>
                <w:szCs w:val="18"/>
              </w:rPr>
              <w:t>6</w:t>
            </w:r>
            <w:r>
              <w:rPr>
                <w:rFonts w:hint="eastAsia" w:cs="宋体" w:asciiTheme="minorEastAsia" w:hAnsiTheme="minorEastAsia" w:eastAsiaTheme="minorEastAsia"/>
                <w:sz w:val="18"/>
                <w:szCs w:val="18"/>
                <w:lang w:val="en-US" w:eastAsia="zh-CN"/>
              </w:rPr>
              <w:t>3</w:t>
            </w:r>
          </w:p>
        </w:tc>
        <w:tc>
          <w:tcPr>
            <w:tcW w:w="726"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其他类</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政府序列事业单位人员和机关工勤人员调配</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numPr>
                <w:ilvl w:val="0"/>
                <w:numId w:val="3"/>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国家人事部关于印发《干部调配工作规定》的通知人事部调发〔1991〕4号文 第十二条  各级政府人事部门是干部调配工作的综合管理部门，负责同级党委和政府确定的管理范围内的国家干部的调配工作。 第十六条  各省、自治区、直辖市范围内的干部调配，凡是由事业、企业单位调入到国家行政机关的，须由同级政府人事部门审批办理。2. 关于印发《河北省机关事业单位干部调配办法》的通知 </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冀办发〔2014〕40号文</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第六条</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人力资源社会保障部门负责其他机关事业单位干部的调配工作。</w:t>
            </w:r>
          </w:p>
          <w:p>
            <w:pPr>
              <w:numPr>
                <w:ilvl w:val="0"/>
                <w:numId w:val="0"/>
              </w:num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关于进一步规范市直机关、事业单位干部调配程序的通知（试行）</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保组字〔2019〕34号</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文件</w:t>
            </w:r>
            <w:r>
              <w:rPr>
                <w:rFonts w:hint="eastAsia" w:cs="宋体" w:asciiTheme="minorEastAsia" w:hAnsiTheme="minorEastAsia" w:eastAsiaTheme="minorEastAsia"/>
                <w:sz w:val="18"/>
                <w:szCs w:val="18"/>
                <w:lang w:eastAsia="zh-CN"/>
              </w:rPr>
              <w:t>全文</w:t>
            </w:r>
            <w:r>
              <w:rPr>
                <w:rFonts w:hint="eastAsia" w:cs="宋体" w:asciiTheme="minorEastAsia" w:hAnsiTheme="minorEastAsia" w:eastAsiaTheme="minorEastAsia"/>
                <w:sz w:val="18"/>
                <w:szCs w:val="18"/>
              </w:rPr>
              <w:t>。</w:t>
            </w:r>
          </w:p>
        </w:tc>
        <w:tc>
          <w:tcPr>
            <w:tcW w:w="3871"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1.受理责任：公示依规定应提交的资料，在政策规定条件内受理调配申请。</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2.审核责任：对用人单位提交资料进行审核，对不符合规定的不予受理，资料不全者退回单位补充相关资料。</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3.决定责任：按规定程序办理编制使用核准后，依据调配程序下履行调配审批程序。</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4.送达责任：将决定结果告知单位，由单位办理后续手续。</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5.事中事后监督责任：对各单位调配政策工作进行业务指导，对不符合政策规定的提出纠正意见。</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6.其他法律法规或文件规定应履行的责任。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rPr>
                <w:rFonts w:hint="eastAsia" w:cs="宋体" w:asciiTheme="minorEastAsia" w:hAnsiTheme="minorEastAsia" w:eastAsiaTheme="minorEastAsia"/>
                <w:sz w:val="18"/>
                <w:szCs w:val="18"/>
                <w:lang w:val="en-US" w:eastAsia="zh-CN"/>
              </w:rPr>
            </w:pPr>
            <w:r>
              <w:rPr>
                <w:rFonts w:hint="eastAsia" w:cs="宋体" w:asciiTheme="minorEastAsia" w:hAnsiTheme="minorEastAsia" w:eastAsiaTheme="minorEastAsia"/>
                <w:sz w:val="18"/>
                <w:szCs w:val="18"/>
              </w:rPr>
              <w:t>因不履行或不正确履行行政职责，有下列情形，行政机关及相关工作人员应承担相应责任：</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1.超编制、超计划、超职数调配干部。</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2.违反规定条件和程序调配干部。</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3.在调配中任人唯亲，营私舞弊，搞不正之风。</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4</w:t>
            </w:r>
            <w:r>
              <w:rPr>
                <w:rFonts w:hint="eastAsia" w:cs="宋体" w:asciiTheme="minorEastAsia" w:hAnsiTheme="minorEastAsia" w:eastAsiaTheme="minorEastAsia"/>
                <w:sz w:val="18"/>
                <w:szCs w:val="18"/>
                <w:lang w:val="en-US" w:eastAsia="zh-CN"/>
              </w:rPr>
              <w:t>.</w:t>
            </w:r>
            <w:r>
              <w:rPr>
                <w:rFonts w:hint="eastAsia" w:cs="宋体" w:asciiTheme="minorEastAsia" w:hAnsiTheme="minorEastAsia" w:eastAsiaTheme="minorEastAsia"/>
                <w:sz w:val="18"/>
                <w:szCs w:val="18"/>
              </w:rPr>
              <w:t>工作人员滥用职权、徇私舞弊、玩忽职守的</w:t>
            </w:r>
            <w:r>
              <w:rPr>
                <w:rFonts w:hint="eastAsia" w:cs="宋体" w:asciiTheme="minorEastAsia" w:hAnsiTheme="minorEastAsia" w:eastAsiaTheme="minorEastAsia"/>
                <w:sz w:val="18"/>
                <w:szCs w:val="18"/>
                <w:lang w:eastAsia="zh-CN"/>
              </w:rPr>
              <w:t>。</w:t>
            </w:r>
          </w:p>
          <w:p>
            <w:pPr>
              <w:numPr>
                <w:ilvl w:val="0"/>
                <w:numId w:val="0"/>
              </w:numPr>
              <w:adjustRightInd/>
              <w:snapToGrid/>
              <w:spacing w:after="0" w:line="240" w:lineRule="exact"/>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val="en-US" w:eastAsia="zh-CN"/>
              </w:rPr>
              <w:t>5.</w:t>
            </w:r>
            <w:r>
              <w:rPr>
                <w:rFonts w:hint="eastAsia" w:cs="宋体" w:asciiTheme="minorEastAsia" w:hAnsiTheme="minorEastAsia" w:eastAsiaTheme="minorEastAsia"/>
                <w:sz w:val="18"/>
                <w:szCs w:val="18"/>
              </w:rPr>
              <w:t>工作人员索贿、受贿，谋取不正当利益的</w:t>
            </w:r>
            <w:r>
              <w:rPr>
                <w:rFonts w:hint="eastAsia" w:cs="宋体" w:asciiTheme="minorEastAsia" w:hAnsiTheme="minorEastAsia" w:eastAsiaTheme="minorEastAsia"/>
                <w:sz w:val="18"/>
                <w:szCs w:val="18"/>
                <w:lang w:eastAsia="zh-CN"/>
              </w:rPr>
              <w:t>。</w:t>
            </w:r>
          </w:p>
          <w:p>
            <w:pPr>
              <w:numPr>
                <w:ilvl w:val="0"/>
                <w:numId w:val="0"/>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lang w:val="en-US" w:eastAsia="zh-CN"/>
              </w:rPr>
              <w:t>6</w:t>
            </w:r>
            <w:r>
              <w:rPr>
                <w:rFonts w:hint="eastAsia" w:cs="宋体" w:asciiTheme="minorEastAsia" w:hAnsiTheme="minorEastAsia" w:eastAsiaTheme="minorEastAsia"/>
                <w:sz w:val="18"/>
                <w:szCs w:val="18"/>
              </w:rPr>
              <w:t>.其他违反法律法规规章文件规定的行为。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2142"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val="en-US" w:eastAsia="zh-CN"/>
              </w:rPr>
            </w:pPr>
            <w:r>
              <w:rPr>
                <w:rFonts w:hint="eastAsia" w:cs="宋体" w:asciiTheme="minorEastAsia" w:hAnsiTheme="minorEastAsia" w:eastAsiaTheme="minorEastAsia"/>
                <w:sz w:val="18"/>
                <w:szCs w:val="18"/>
              </w:rPr>
              <w:t>6</w:t>
            </w:r>
            <w:r>
              <w:rPr>
                <w:rFonts w:hint="eastAsia" w:cs="宋体" w:asciiTheme="minorEastAsia" w:hAnsiTheme="minorEastAsia" w:eastAsiaTheme="minorEastAsia"/>
                <w:sz w:val="18"/>
                <w:szCs w:val="18"/>
                <w:lang w:val="en-US" w:eastAsia="zh-CN"/>
              </w:rPr>
              <w:t>4</w:t>
            </w:r>
          </w:p>
        </w:tc>
        <w:tc>
          <w:tcPr>
            <w:tcW w:w="726"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其他类</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功勋荣誉表彰奖励获得者高定工资档次或薪级工资的审核</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numPr>
                <w:ilvl w:val="0"/>
                <w:numId w:val="0"/>
              </w:numPr>
              <w:adjustRightInd/>
              <w:snapToGrid/>
              <w:spacing w:after="0" w:line="240" w:lineRule="exact"/>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rPr>
              <w:t>《河北省功勋荣誉表彰奖励获得者待遇实施细则（试行）》（冀办</w:t>
            </w:r>
            <w:r>
              <w:rPr>
                <w:rFonts w:hint="eastAsia" w:cs="宋体" w:asciiTheme="minorEastAsia" w:hAnsiTheme="minorEastAsia" w:eastAsiaTheme="minorEastAsia"/>
                <w:sz w:val="18"/>
                <w:szCs w:val="18"/>
                <w:lang w:eastAsia="zh-CN"/>
              </w:rPr>
              <w:t>发</w:t>
            </w:r>
            <w:r>
              <w:rPr>
                <w:rFonts w:hint="eastAsia" w:cs="宋体" w:asciiTheme="minorEastAsia" w:hAnsiTheme="minorEastAsia" w:eastAsiaTheme="minorEastAsia"/>
                <w:sz w:val="18"/>
                <w:szCs w:val="18"/>
              </w:rPr>
              <w:t>〔20</w:t>
            </w:r>
            <w:r>
              <w:rPr>
                <w:rFonts w:hint="eastAsia" w:cs="宋体" w:asciiTheme="minorEastAsia" w:hAnsiTheme="minorEastAsia" w:eastAsiaTheme="minorEastAsia"/>
                <w:sz w:val="18"/>
                <w:szCs w:val="18"/>
                <w:lang w:val="en-US" w:eastAsia="zh-CN"/>
              </w:rPr>
              <w:t>18</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val="en-US" w:eastAsia="zh-CN"/>
              </w:rPr>
              <w:t>38</w:t>
            </w:r>
            <w:r>
              <w:rPr>
                <w:rFonts w:hint="eastAsia" w:cs="宋体" w:asciiTheme="minorEastAsia" w:hAnsiTheme="minorEastAsia" w:eastAsiaTheme="minorEastAsia"/>
                <w:sz w:val="18"/>
                <w:szCs w:val="18"/>
              </w:rPr>
              <w:t>号）</w:t>
            </w:r>
            <w:r>
              <w:rPr>
                <w:rFonts w:hint="eastAsia" w:cs="宋体" w:asciiTheme="minorEastAsia" w:hAnsiTheme="minorEastAsia" w:eastAsiaTheme="minorEastAsia"/>
                <w:sz w:val="18"/>
                <w:szCs w:val="18"/>
                <w:lang w:eastAsia="zh-CN"/>
              </w:rPr>
              <w:t>第二条：“本细则适用于功勋荣誉获得者，以及国家级表彰奖励、省部级表彰奖励明确享受全国劳动模范和先进工作者、省部级劳动模范和先进工作者待遇的人员。”</w:t>
            </w:r>
            <w:r>
              <w:rPr>
                <w:rFonts w:hint="eastAsia" w:cs="宋体" w:asciiTheme="minorEastAsia" w:hAnsiTheme="minorEastAsia" w:eastAsiaTheme="minorEastAsia"/>
                <w:sz w:val="18"/>
                <w:szCs w:val="18"/>
              </w:rPr>
              <w:br w:type="textWrapping"/>
            </w:r>
          </w:p>
        </w:tc>
        <w:tc>
          <w:tcPr>
            <w:tcW w:w="3871" w:type="dxa"/>
            <w:tcBorders>
              <w:top w:val="single" w:color="auto" w:sz="4" w:space="0"/>
              <w:left w:val="nil"/>
              <w:bottom w:val="single" w:color="auto" w:sz="4" w:space="0"/>
              <w:right w:val="single" w:color="auto" w:sz="4" w:space="0"/>
            </w:tcBorders>
            <w:shd w:val="clear" w:color="auto" w:fill="auto"/>
            <w:vAlign w:val="center"/>
          </w:tcPr>
          <w:p>
            <w:pPr>
              <w:numPr>
                <w:ilvl w:val="0"/>
                <w:numId w:val="0"/>
              </w:numPr>
              <w:adjustRightInd/>
              <w:snapToGrid/>
              <w:spacing w:after="0" w:line="240" w:lineRule="exact"/>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val="en-US" w:eastAsia="zh-CN"/>
              </w:rPr>
              <w:t>1.</w:t>
            </w:r>
            <w:r>
              <w:rPr>
                <w:rFonts w:hint="eastAsia" w:cs="宋体" w:asciiTheme="minorEastAsia" w:hAnsiTheme="minorEastAsia" w:eastAsiaTheme="minorEastAsia"/>
                <w:sz w:val="18"/>
                <w:szCs w:val="18"/>
              </w:rPr>
              <w:t>受理责任：受理依规定应提交的资料，一次性告知补正材料</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 xml:space="preserve"> </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2.审查责任：审核提交材料是否完整，填写是否正确，一次性告之补正材料</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 xml:space="preserve">  </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3.决定责任：对符合条件的予以</w:t>
            </w:r>
            <w:r>
              <w:rPr>
                <w:rFonts w:hint="eastAsia" w:cs="宋体" w:asciiTheme="minorEastAsia" w:hAnsiTheme="minorEastAsia" w:eastAsiaTheme="minorEastAsia"/>
                <w:sz w:val="18"/>
                <w:szCs w:val="18"/>
                <w:lang w:eastAsia="zh-CN"/>
              </w:rPr>
              <w:t>审核；</w:t>
            </w:r>
          </w:p>
          <w:p>
            <w:pPr>
              <w:numPr>
                <w:ilvl w:val="0"/>
                <w:numId w:val="0"/>
              </w:numPr>
              <w:adjustRightInd/>
              <w:snapToGrid/>
              <w:spacing w:after="0" w:line="240" w:lineRule="exact"/>
              <w:rPr>
                <w:rFonts w:hint="eastAsia" w:cs="宋体" w:asciiTheme="minorEastAsia" w:hAnsiTheme="minorEastAsia" w:eastAsiaTheme="minorEastAsia"/>
                <w:sz w:val="18"/>
                <w:szCs w:val="18"/>
                <w:lang w:val="en-US" w:eastAsia="zh-CN"/>
              </w:rPr>
            </w:pPr>
            <w:r>
              <w:rPr>
                <w:rFonts w:hint="eastAsia" w:cs="宋体" w:asciiTheme="minorEastAsia" w:hAnsiTheme="minorEastAsia" w:eastAsiaTheme="minorEastAsia"/>
                <w:sz w:val="18"/>
                <w:szCs w:val="18"/>
                <w:lang w:val="en-US" w:eastAsia="zh-CN"/>
              </w:rPr>
              <w:t>4.送达责任：将审核结果告知单位，由单位办理后续手续；</w:t>
            </w:r>
          </w:p>
          <w:p>
            <w:pPr>
              <w:numPr>
                <w:ilvl w:val="0"/>
                <w:numId w:val="0"/>
              </w:numPr>
              <w:adjustRightInd/>
              <w:snapToGrid/>
              <w:spacing w:after="0" w:line="240" w:lineRule="exact"/>
              <w:rPr>
                <w:rFonts w:hint="default" w:cs="宋体" w:asciiTheme="minorEastAsia" w:hAnsiTheme="minorEastAsia" w:eastAsiaTheme="minorEastAsia"/>
                <w:sz w:val="18"/>
                <w:szCs w:val="18"/>
                <w:lang w:val="en-US" w:eastAsia="zh-CN"/>
              </w:rPr>
            </w:pPr>
            <w:r>
              <w:rPr>
                <w:rFonts w:hint="eastAsia" w:cs="宋体" w:asciiTheme="minorEastAsia" w:hAnsiTheme="minorEastAsia" w:eastAsiaTheme="minorEastAsia"/>
                <w:sz w:val="18"/>
                <w:szCs w:val="18"/>
                <w:lang w:val="en-US" w:eastAsia="zh-CN"/>
              </w:rPr>
              <w:t>5.其他法律法规或文件规定应履行的责任。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numPr>
                <w:ilvl w:val="0"/>
                <w:numId w:val="0"/>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因不履行或不正确履行行政职责，有下列情形的，行政机关及相关工作人员应承担相应责任：</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1.对符合受理条件的申请不予受理的；</w:t>
            </w:r>
          </w:p>
          <w:p>
            <w:pPr>
              <w:numPr>
                <w:ilvl w:val="0"/>
                <w:numId w:val="0"/>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lang w:val="en-US" w:eastAsia="zh-CN"/>
              </w:rPr>
              <w:t>2.</w:t>
            </w:r>
            <w:r>
              <w:rPr>
                <w:rFonts w:hint="eastAsia" w:cs="宋体" w:asciiTheme="minorEastAsia" w:hAnsiTheme="minorEastAsia" w:eastAsiaTheme="minorEastAsia"/>
                <w:sz w:val="18"/>
                <w:szCs w:val="18"/>
              </w:rPr>
              <w:t>未严格按照相关政策、法律、法规履行审查义务，对应当予以</w:t>
            </w:r>
            <w:r>
              <w:rPr>
                <w:rFonts w:hint="eastAsia" w:cs="宋体" w:asciiTheme="minorEastAsia" w:hAnsiTheme="minorEastAsia" w:eastAsiaTheme="minorEastAsia"/>
                <w:sz w:val="18"/>
                <w:szCs w:val="18"/>
                <w:lang w:eastAsia="zh-CN"/>
              </w:rPr>
              <w:t>批准</w:t>
            </w:r>
            <w:r>
              <w:rPr>
                <w:rFonts w:hint="eastAsia" w:cs="宋体" w:asciiTheme="minorEastAsia" w:hAnsiTheme="minorEastAsia" w:eastAsiaTheme="minorEastAsia"/>
                <w:sz w:val="18"/>
                <w:szCs w:val="18"/>
              </w:rPr>
              <w:t>的不予</w:t>
            </w:r>
            <w:r>
              <w:rPr>
                <w:rFonts w:hint="eastAsia" w:cs="宋体" w:asciiTheme="minorEastAsia" w:hAnsiTheme="minorEastAsia" w:eastAsiaTheme="minorEastAsia"/>
                <w:sz w:val="18"/>
                <w:szCs w:val="18"/>
                <w:lang w:eastAsia="zh-CN"/>
              </w:rPr>
              <w:t>批准</w:t>
            </w:r>
            <w:r>
              <w:rPr>
                <w:rFonts w:hint="eastAsia" w:cs="宋体" w:asciiTheme="minorEastAsia" w:hAnsiTheme="minorEastAsia" w:eastAsiaTheme="minorEastAsia"/>
                <w:sz w:val="18"/>
                <w:szCs w:val="18"/>
              </w:rPr>
              <w:t>，或者对不应</w:t>
            </w:r>
            <w:r>
              <w:rPr>
                <w:rFonts w:hint="eastAsia" w:cs="宋体" w:asciiTheme="minorEastAsia" w:hAnsiTheme="minorEastAsia" w:eastAsiaTheme="minorEastAsia"/>
                <w:sz w:val="18"/>
                <w:szCs w:val="18"/>
                <w:lang w:eastAsia="zh-CN"/>
              </w:rPr>
              <w:t>批准</w:t>
            </w:r>
            <w:r>
              <w:rPr>
                <w:rFonts w:hint="eastAsia" w:cs="宋体" w:asciiTheme="minorEastAsia" w:hAnsiTheme="minorEastAsia" w:eastAsiaTheme="minorEastAsia"/>
                <w:sz w:val="18"/>
                <w:szCs w:val="18"/>
              </w:rPr>
              <w:t>的予以</w:t>
            </w:r>
            <w:r>
              <w:rPr>
                <w:rFonts w:hint="eastAsia" w:cs="宋体" w:asciiTheme="minorEastAsia" w:hAnsiTheme="minorEastAsia" w:eastAsiaTheme="minorEastAsia"/>
                <w:sz w:val="18"/>
                <w:szCs w:val="18"/>
                <w:lang w:eastAsia="zh-CN"/>
              </w:rPr>
              <w:t>批准</w:t>
            </w:r>
            <w:r>
              <w:rPr>
                <w:rFonts w:hint="eastAsia" w:cs="宋体" w:asciiTheme="minorEastAsia" w:hAnsiTheme="minorEastAsia" w:eastAsiaTheme="minorEastAsia"/>
                <w:sz w:val="18"/>
                <w:szCs w:val="18"/>
              </w:rPr>
              <w:t>；</w:t>
            </w:r>
          </w:p>
          <w:p>
            <w:pPr>
              <w:numPr>
                <w:ilvl w:val="0"/>
                <w:numId w:val="0"/>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lang w:val="en-US" w:eastAsia="zh-CN"/>
              </w:rPr>
              <w:t>3.</w:t>
            </w:r>
            <w:r>
              <w:rPr>
                <w:rFonts w:hint="eastAsia" w:cs="宋体" w:asciiTheme="minorEastAsia" w:hAnsiTheme="minorEastAsia" w:eastAsiaTheme="minorEastAsia"/>
                <w:sz w:val="18"/>
                <w:szCs w:val="18"/>
              </w:rPr>
              <w:t>工作人员滥用职权、徇私舞弊、玩忽职守的；</w:t>
            </w:r>
          </w:p>
          <w:p>
            <w:pPr>
              <w:numPr>
                <w:ilvl w:val="0"/>
                <w:numId w:val="0"/>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lang w:val="en-US" w:eastAsia="zh-CN"/>
              </w:rPr>
              <w:t>4.</w:t>
            </w:r>
            <w:r>
              <w:rPr>
                <w:rFonts w:hint="eastAsia" w:cs="宋体" w:asciiTheme="minorEastAsia" w:hAnsiTheme="minorEastAsia" w:eastAsiaTheme="minorEastAsia"/>
                <w:sz w:val="18"/>
                <w:szCs w:val="18"/>
              </w:rPr>
              <w:t>工作人员索贿、受贿，谋取不正当利益的；</w:t>
            </w:r>
          </w:p>
          <w:p>
            <w:pPr>
              <w:numPr>
                <w:ilvl w:val="0"/>
                <w:numId w:val="0"/>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lang w:val="en-US" w:eastAsia="zh-CN"/>
              </w:rPr>
              <w:t>5.</w:t>
            </w:r>
            <w:r>
              <w:rPr>
                <w:rFonts w:hint="eastAsia" w:cs="宋体" w:asciiTheme="minorEastAsia" w:hAnsiTheme="minorEastAsia" w:eastAsiaTheme="minorEastAsia"/>
                <w:sz w:val="18"/>
                <w:szCs w:val="18"/>
              </w:rPr>
              <w:t>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r>
        <w:tblPrEx>
          <w:tblLayout w:type="fixed"/>
          <w:tblCellMar>
            <w:top w:w="0" w:type="dxa"/>
            <w:left w:w="108" w:type="dxa"/>
            <w:bottom w:w="0" w:type="dxa"/>
            <w:right w:w="108" w:type="dxa"/>
          </w:tblCellMar>
        </w:tblPrEx>
        <w:trPr>
          <w:trHeight w:val="2082"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adjustRightInd/>
              <w:snapToGrid/>
              <w:spacing w:after="0" w:line="240" w:lineRule="exact"/>
              <w:jc w:val="center"/>
              <w:rPr>
                <w:rFonts w:hint="default" w:cs="宋体" w:asciiTheme="minorEastAsia" w:hAnsiTheme="minorEastAsia" w:eastAsiaTheme="minorEastAsia"/>
                <w:sz w:val="18"/>
                <w:szCs w:val="18"/>
                <w:lang w:val="en-US" w:eastAsia="zh-CN"/>
              </w:rPr>
            </w:pPr>
            <w:r>
              <w:rPr>
                <w:rFonts w:hint="eastAsia" w:cs="宋体" w:asciiTheme="minorEastAsia" w:hAnsiTheme="minorEastAsia" w:eastAsiaTheme="minorEastAsia"/>
                <w:sz w:val="18"/>
                <w:szCs w:val="18"/>
                <w:lang w:val="en-US" w:eastAsia="zh-CN"/>
              </w:rPr>
              <w:t>65</w:t>
            </w:r>
          </w:p>
        </w:tc>
        <w:tc>
          <w:tcPr>
            <w:tcW w:w="726"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其他类</w:t>
            </w:r>
          </w:p>
        </w:tc>
        <w:tc>
          <w:tcPr>
            <w:tcW w:w="1342"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对功勋荣誉表彰奖励获得者和记一等功奖励人员离退休后荣誉津贴的审核</w:t>
            </w:r>
          </w:p>
        </w:tc>
        <w:tc>
          <w:tcPr>
            <w:tcW w:w="703" w:type="dxa"/>
            <w:tcBorders>
              <w:top w:val="single" w:color="auto" w:sz="4" w:space="0"/>
              <w:left w:val="nil"/>
              <w:bottom w:val="single" w:color="auto" w:sz="4" w:space="0"/>
              <w:right w:val="single" w:color="auto" w:sz="4" w:space="0"/>
            </w:tcBorders>
            <w:shd w:val="clear" w:color="auto" w:fill="auto"/>
            <w:noWrap/>
            <w:vAlign w:val="center"/>
          </w:tcPr>
          <w:p>
            <w:pPr>
              <w:adjustRightInd/>
              <w:snapToGrid/>
              <w:spacing w:after="0" w:line="240" w:lineRule="exact"/>
              <w:jc w:val="center"/>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eastAsia="zh-CN"/>
              </w:rPr>
              <w:t>县人社局</w:t>
            </w:r>
          </w:p>
        </w:tc>
        <w:tc>
          <w:tcPr>
            <w:tcW w:w="4215" w:type="dxa"/>
            <w:tcBorders>
              <w:top w:val="single" w:color="auto" w:sz="4" w:space="0"/>
              <w:left w:val="nil"/>
              <w:bottom w:val="single" w:color="auto" w:sz="4" w:space="0"/>
              <w:right w:val="single" w:color="auto" w:sz="4" w:space="0"/>
            </w:tcBorders>
            <w:shd w:val="clear" w:color="auto" w:fill="auto"/>
            <w:vAlign w:val="center"/>
          </w:tcPr>
          <w:p>
            <w:pPr>
              <w:numPr>
                <w:ilvl w:val="0"/>
                <w:numId w:val="0"/>
              </w:numPr>
              <w:adjustRightInd/>
              <w:snapToGrid/>
              <w:spacing w:after="0" w:line="240" w:lineRule="exact"/>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rPr>
              <w:t>1.《河北省功勋荣誉表彰奖励获得者待遇实施细则（试行）》（冀办</w:t>
            </w:r>
            <w:r>
              <w:rPr>
                <w:rFonts w:hint="eastAsia" w:cs="宋体" w:asciiTheme="minorEastAsia" w:hAnsiTheme="minorEastAsia" w:eastAsiaTheme="minorEastAsia"/>
                <w:sz w:val="18"/>
                <w:szCs w:val="18"/>
                <w:lang w:eastAsia="zh-CN"/>
              </w:rPr>
              <w:t>发</w:t>
            </w:r>
            <w:r>
              <w:rPr>
                <w:rFonts w:hint="eastAsia" w:cs="宋体" w:asciiTheme="minorEastAsia" w:hAnsiTheme="minorEastAsia" w:eastAsiaTheme="minorEastAsia"/>
                <w:sz w:val="18"/>
                <w:szCs w:val="18"/>
              </w:rPr>
              <w:t>〔20</w:t>
            </w:r>
            <w:r>
              <w:rPr>
                <w:rFonts w:hint="eastAsia" w:cs="宋体" w:asciiTheme="minorEastAsia" w:hAnsiTheme="minorEastAsia" w:eastAsiaTheme="minorEastAsia"/>
                <w:sz w:val="18"/>
                <w:szCs w:val="18"/>
                <w:lang w:val="en-US" w:eastAsia="zh-CN"/>
              </w:rPr>
              <w:t>18</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val="en-US" w:eastAsia="zh-CN"/>
              </w:rPr>
              <w:t>38</w:t>
            </w:r>
            <w:r>
              <w:rPr>
                <w:rFonts w:hint="eastAsia" w:cs="宋体" w:asciiTheme="minorEastAsia" w:hAnsiTheme="minorEastAsia" w:eastAsiaTheme="minorEastAsia"/>
                <w:sz w:val="18"/>
                <w:szCs w:val="18"/>
              </w:rPr>
              <w:t>号）</w:t>
            </w:r>
            <w:r>
              <w:rPr>
                <w:rFonts w:hint="eastAsia" w:cs="宋体" w:asciiTheme="minorEastAsia" w:hAnsiTheme="minorEastAsia" w:eastAsiaTheme="minorEastAsia"/>
                <w:sz w:val="18"/>
                <w:szCs w:val="18"/>
                <w:lang w:eastAsia="zh-CN"/>
              </w:rPr>
              <w:t>第二条：“本细则适用于功勋荣誉获得者，以及国家级表彰奖励、省部级表彰奖励明确享受全国劳动模范和先进工作者、省部级劳动模范和先进工作者待遇的人员。”</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2.《关于为获得一等功奖励人员离退休后调整荣誉津贴的通知》（冀</w:t>
            </w:r>
            <w:r>
              <w:rPr>
                <w:rFonts w:hint="eastAsia" w:cs="宋体" w:asciiTheme="minorEastAsia" w:hAnsiTheme="minorEastAsia" w:eastAsiaTheme="minorEastAsia"/>
                <w:sz w:val="18"/>
                <w:szCs w:val="18"/>
                <w:lang w:eastAsia="zh-CN"/>
              </w:rPr>
              <w:t>人社发</w:t>
            </w:r>
            <w:r>
              <w:rPr>
                <w:rFonts w:hint="eastAsia" w:cs="宋体" w:asciiTheme="minorEastAsia" w:hAnsiTheme="minorEastAsia" w:eastAsiaTheme="minorEastAsia"/>
                <w:sz w:val="18"/>
                <w:szCs w:val="18"/>
              </w:rPr>
              <w:t>〔20</w:t>
            </w:r>
            <w:r>
              <w:rPr>
                <w:rFonts w:hint="eastAsia" w:cs="宋体" w:asciiTheme="minorEastAsia" w:hAnsiTheme="minorEastAsia" w:eastAsiaTheme="minorEastAsia"/>
                <w:sz w:val="18"/>
                <w:szCs w:val="18"/>
                <w:lang w:val="en-US" w:eastAsia="zh-CN"/>
              </w:rPr>
              <w:t>11</w:t>
            </w:r>
            <w:r>
              <w:rPr>
                <w:rFonts w:hint="eastAsia" w:cs="宋体" w:asciiTheme="minorEastAsia" w:hAnsiTheme="minorEastAsia" w:eastAsiaTheme="minorEastAsia"/>
                <w:sz w:val="18"/>
                <w:szCs w:val="18"/>
              </w:rPr>
              <w:t>〕1号）</w:t>
            </w:r>
            <w:r>
              <w:rPr>
                <w:rFonts w:hint="eastAsia" w:cs="宋体" w:asciiTheme="minorEastAsia" w:hAnsiTheme="minorEastAsia" w:eastAsiaTheme="minorEastAsia"/>
                <w:sz w:val="18"/>
                <w:szCs w:val="18"/>
                <w:lang w:eastAsia="zh-CN"/>
              </w:rPr>
              <w:t>“省政府对在各行各业突出业绩的人员给予了记一等功奖励</w:t>
            </w:r>
            <w:r>
              <w:rPr>
                <w:rFonts w:hint="eastAsia" w:cs="宋体" w:asciiTheme="minorEastAsia" w:hAnsiTheme="minorEastAsia" w:eastAsiaTheme="minorEastAsia"/>
                <w:sz w:val="18"/>
                <w:szCs w:val="18"/>
                <w:lang w:val="en-US" w:eastAsia="zh-CN"/>
              </w:rPr>
              <w:t>...对退休是仍保持荣誉的记一等功奖励人员实行了荣誉津贴...</w:t>
            </w:r>
            <w:r>
              <w:rPr>
                <w:rFonts w:hint="eastAsia" w:cs="宋体" w:asciiTheme="minorEastAsia" w:hAnsiTheme="minorEastAsia" w:eastAsiaTheme="minorEastAsia"/>
                <w:sz w:val="18"/>
                <w:szCs w:val="18"/>
                <w:lang w:eastAsia="zh-CN"/>
              </w:rPr>
              <w:t>”</w:t>
            </w:r>
          </w:p>
        </w:tc>
        <w:tc>
          <w:tcPr>
            <w:tcW w:w="3871" w:type="dxa"/>
            <w:tcBorders>
              <w:top w:val="single" w:color="auto" w:sz="4" w:space="0"/>
              <w:left w:val="nil"/>
              <w:bottom w:val="single" w:color="auto" w:sz="4" w:space="0"/>
              <w:right w:val="single" w:color="auto" w:sz="4" w:space="0"/>
            </w:tcBorders>
            <w:shd w:val="clear" w:color="auto" w:fill="auto"/>
            <w:vAlign w:val="center"/>
          </w:tcPr>
          <w:p>
            <w:pPr>
              <w:numPr>
                <w:ilvl w:val="0"/>
                <w:numId w:val="0"/>
              </w:numPr>
              <w:adjustRightInd/>
              <w:snapToGrid/>
              <w:spacing w:after="0" w:line="240" w:lineRule="exact"/>
              <w:rPr>
                <w:rFonts w:hint="eastAsia" w:cs="宋体" w:asciiTheme="minorEastAsia" w:hAnsiTheme="minorEastAsia" w:eastAsiaTheme="minorEastAsia"/>
                <w:sz w:val="18"/>
                <w:szCs w:val="18"/>
                <w:lang w:eastAsia="zh-CN"/>
              </w:rPr>
            </w:pPr>
            <w:r>
              <w:rPr>
                <w:rFonts w:hint="eastAsia" w:cs="宋体" w:asciiTheme="minorEastAsia" w:hAnsiTheme="minorEastAsia" w:eastAsiaTheme="minorEastAsia"/>
                <w:sz w:val="18"/>
                <w:szCs w:val="18"/>
                <w:lang w:val="en-US" w:eastAsia="zh-CN"/>
              </w:rPr>
              <w:t>1.</w:t>
            </w:r>
            <w:r>
              <w:rPr>
                <w:rFonts w:hint="eastAsia" w:cs="宋体" w:asciiTheme="minorEastAsia" w:hAnsiTheme="minorEastAsia" w:eastAsiaTheme="minorEastAsia"/>
                <w:sz w:val="18"/>
                <w:szCs w:val="18"/>
              </w:rPr>
              <w:t xml:space="preserve">受理责任：受理依规定应提交的资料，一次性告知补正材料。 </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2.审查责任：审核提交材料是否完整，填写是否正确，一次性告之补正材料</w:t>
            </w:r>
            <w:r>
              <w:rPr>
                <w:rFonts w:hint="eastAsia" w:cs="宋体" w:asciiTheme="minorEastAsia" w:hAnsiTheme="minorEastAsia" w:eastAsiaTheme="minorEastAsia"/>
                <w:sz w:val="18"/>
                <w:szCs w:val="18"/>
                <w:lang w:eastAsia="zh-CN"/>
              </w:rPr>
              <w:t>；</w:t>
            </w:r>
            <w:r>
              <w:rPr>
                <w:rFonts w:hint="eastAsia" w:cs="宋体" w:asciiTheme="minorEastAsia" w:hAnsiTheme="minorEastAsia" w:eastAsiaTheme="minorEastAsia"/>
                <w:sz w:val="18"/>
                <w:szCs w:val="18"/>
              </w:rPr>
              <w:t xml:space="preserve">  </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3.决定责任：对符合条件的予以</w:t>
            </w:r>
            <w:r>
              <w:rPr>
                <w:rFonts w:hint="eastAsia" w:cs="宋体" w:asciiTheme="minorEastAsia" w:hAnsiTheme="minorEastAsia" w:eastAsiaTheme="minorEastAsia"/>
                <w:sz w:val="18"/>
                <w:szCs w:val="18"/>
                <w:lang w:eastAsia="zh-CN"/>
              </w:rPr>
              <w:t>审核；</w:t>
            </w:r>
          </w:p>
          <w:p>
            <w:pPr>
              <w:numPr>
                <w:ilvl w:val="0"/>
                <w:numId w:val="0"/>
              </w:numPr>
              <w:adjustRightInd/>
              <w:snapToGrid/>
              <w:spacing w:after="0" w:line="240" w:lineRule="exact"/>
              <w:rPr>
                <w:rFonts w:hint="eastAsia" w:cs="宋体" w:asciiTheme="minorEastAsia" w:hAnsiTheme="minorEastAsia" w:eastAsiaTheme="minorEastAsia"/>
                <w:sz w:val="18"/>
                <w:szCs w:val="18"/>
                <w:lang w:val="en-US" w:eastAsia="zh-CN"/>
              </w:rPr>
            </w:pPr>
            <w:r>
              <w:rPr>
                <w:rFonts w:hint="eastAsia" w:cs="宋体" w:asciiTheme="minorEastAsia" w:hAnsiTheme="minorEastAsia" w:eastAsiaTheme="minorEastAsia"/>
                <w:sz w:val="18"/>
                <w:szCs w:val="18"/>
                <w:lang w:val="en-US" w:eastAsia="zh-CN"/>
              </w:rPr>
              <w:t>4.送达责任：将审核结果告知单位，由单位办理后续手续；</w:t>
            </w:r>
          </w:p>
          <w:p>
            <w:pPr>
              <w:numPr>
                <w:ilvl w:val="0"/>
                <w:numId w:val="0"/>
              </w:numPr>
              <w:adjustRightInd/>
              <w:snapToGrid/>
              <w:spacing w:after="0" w:line="240" w:lineRule="exact"/>
              <w:ind w:left="0" w:leftChars="0"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val="en-US" w:eastAsia="zh-CN"/>
              </w:rPr>
              <w:t>5.其他法律法规或文件规定应履行的责任。</w:t>
            </w:r>
          </w:p>
        </w:tc>
        <w:tc>
          <w:tcPr>
            <w:tcW w:w="3150" w:type="dxa"/>
            <w:tcBorders>
              <w:top w:val="single" w:color="auto" w:sz="4" w:space="0"/>
              <w:left w:val="nil"/>
              <w:bottom w:val="single" w:color="auto" w:sz="4" w:space="0"/>
              <w:right w:val="single" w:color="auto" w:sz="4" w:space="0"/>
            </w:tcBorders>
            <w:shd w:val="clear" w:color="auto" w:fill="auto"/>
            <w:vAlign w:val="center"/>
          </w:tcPr>
          <w:p>
            <w:pPr>
              <w:numPr>
                <w:ilvl w:val="0"/>
                <w:numId w:val="0"/>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因不履行或不正确履行行政职责，有下列情形的，行政机关及相关工作人员应承担相应责任：</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1.对符合受理条件的申请不予受理的；</w:t>
            </w:r>
          </w:p>
          <w:p>
            <w:pPr>
              <w:numPr>
                <w:ilvl w:val="0"/>
                <w:numId w:val="0"/>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lang w:val="en-US" w:eastAsia="zh-CN"/>
              </w:rPr>
              <w:t>2.</w:t>
            </w:r>
            <w:r>
              <w:rPr>
                <w:rFonts w:hint="eastAsia" w:cs="宋体" w:asciiTheme="minorEastAsia" w:hAnsiTheme="minorEastAsia" w:eastAsiaTheme="minorEastAsia"/>
                <w:sz w:val="18"/>
                <w:szCs w:val="18"/>
              </w:rPr>
              <w:t>未严格按照相关政策、法律、法规履行审查义务，对应当予以</w:t>
            </w:r>
            <w:r>
              <w:rPr>
                <w:rFonts w:hint="eastAsia" w:cs="宋体" w:asciiTheme="minorEastAsia" w:hAnsiTheme="minorEastAsia" w:eastAsiaTheme="minorEastAsia"/>
                <w:sz w:val="18"/>
                <w:szCs w:val="18"/>
                <w:lang w:eastAsia="zh-CN"/>
              </w:rPr>
              <w:t>批准</w:t>
            </w:r>
            <w:r>
              <w:rPr>
                <w:rFonts w:hint="eastAsia" w:cs="宋体" w:asciiTheme="minorEastAsia" w:hAnsiTheme="minorEastAsia" w:eastAsiaTheme="minorEastAsia"/>
                <w:sz w:val="18"/>
                <w:szCs w:val="18"/>
              </w:rPr>
              <w:t>的不予</w:t>
            </w:r>
            <w:r>
              <w:rPr>
                <w:rFonts w:hint="eastAsia" w:cs="宋体" w:asciiTheme="minorEastAsia" w:hAnsiTheme="minorEastAsia" w:eastAsiaTheme="minorEastAsia"/>
                <w:sz w:val="18"/>
                <w:szCs w:val="18"/>
                <w:lang w:eastAsia="zh-CN"/>
              </w:rPr>
              <w:t>批准</w:t>
            </w:r>
            <w:r>
              <w:rPr>
                <w:rFonts w:hint="eastAsia" w:cs="宋体" w:asciiTheme="minorEastAsia" w:hAnsiTheme="minorEastAsia" w:eastAsiaTheme="minorEastAsia"/>
                <w:sz w:val="18"/>
                <w:szCs w:val="18"/>
              </w:rPr>
              <w:t>，或者对不应</w:t>
            </w:r>
            <w:r>
              <w:rPr>
                <w:rFonts w:hint="eastAsia" w:cs="宋体" w:asciiTheme="minorEastAsia" w:hAnsiTheme="minorEastAsia" w:eastAsiaTheme="minorEastAsia"/>
                <w:sz w:val="18"/>
                <w:szCs w:val="18"/>
                <w:lang w:eastAsia="zh-CN"/>
              </w:rPr>
              <w:t>批准</w:t>
            </w:r>
            <w:r>
              <w:rPr>
                <w:rFonts w:hint="eastAsia" w:cs="宋体" w:asciiTheme="minorEastAsia" w:hAnsiTheme="minorEastAsia" w:eastAsiaTheme="minorEastAsia"/>
                <w:sz w:val="18"/>
                <w:szCs w:val="18"/>
              </w:rPr>
              <w:t>的予以</w:t>
            </w:r>
            <w:r>
              <w:rPr>
                <w:rFonts w:hint="eastAsia" w:cs="宋体" w:asciiTheme="minorEastAsia" w:hAnsiTheme="minorEastAsia" w:eastAsiaTheme="minorEastAsia"/>
                <w:sz w:val="18"/>
                <w:szCs w:val="18"/>
                <w:lang w:eastAsia="zh-CN"/>
              </w:rPr>
              <w:t>批准</w:t>
            </w:r>
            <w:r>
              <w:rPr>
                <w:rFonts w:hint="eastAsia" w:cs="宋体" w:asciiTheme="minorEastAsia" w:hAnsiTheme="minorEastAsia" w:eastAsiaTheme="minorEastAsia"/>
                <w:sz w:val="18"/>
                <w:szCs w:val="18"/>
              </w:rPr>
              <w:t>；</w:t>
            </w:r>
          </w:p>
          <w:p>
            <w:pPr>
              <w:numPr>
                <w:ilvl w:val="0"/>
                <w:numId w:val="0"/>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lang w:val="en-US" w:eastAsia="zh-CN"/>
              </w:rPr>
              <w:t>3.</w:t>
            </w:r>
            <w:r>
              <w:rPr>
                <w:rFonts w:hint="eastAsia" w:cs="宋体" w:asciiTheme="minorEastAsia" w:hAnsiTheme="minorEastAsia" w:eastAsiaTheme="minorEastAsia"/>
                <w:sz w:val="18"/>
                <w:szCs w:val="18"/>
              </w:rPr>
              <w:t>工作人员滥用职权、徇私舞弊、玩忽职守的；</w:t>
            </w:r>
          </w:p>
          <w:p>
            <w:pPr>
              <w:numPr>
                <w:ilvl w:val="0"/>
                <w:numId w:val="0"/>
              </w:numPr>
              <w:adjustRightInd/>
              <w:snapToGrid/>
              <w:spacing w:after="0" w:line="240" w:lineRule="exact"/>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lang w:val="en-US" w:eastAsia="zh-CN"/>
              </w:rPr>
              <w:t>4.</w:t>
            </w:r>
            <w:r>
              <w:rPr>
                <w:rFonts w:hint="eastAsia" w:cs="宋体" w:asciiTheme="minorEastAsia" w:hAnsiTheme="minorEastAsia" w:eastAsiaTheme="minorEastAsia"/>
                <w:sz w:val="18"/>
                <w:szCs w:val="18"/>
              </w:rPr>
              <w:t>工作人员索贿、受贿，谋取不正当利益的；</w:t>
            </w:r>
          </w:p>
          <w:p>
            <w:pPr>
              <w:numPr>
                <w:ilvl w:val="0"/>
                <w:numId w:val="0"/>
              </w:numPr>
              <w:adjustRightInd/>
              <w:snapToGrid/>
              <w:spacing w:after="0" w:line="240" w:lineRule="exact"/>
              <w:ind w:left="0" w:leftChars="0"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val="en-US" w:eastAsia="zh-CN"/>
              </w:rPr>
              <w:t>5.</w:t>
            </w:r>
            <w:r>
              <w:rPr>
                <w:rFonts w:hint="eastAsia" w:cs="宋体" w:asciiTheme="minorEastAsia" w:hAnsiTheme="minorEastAsia" w:eastAsiaTheme="minorEastAsia"/>
                <w:sz w:val="18"/>
                <w:szCs w:val="18"/>
              </w:rPr>
              <w:t>其他违反法律法规规章文件规定的行为。</w:t>
            </w:r>
          </w:p>
        </w:tc>
        <w:tc>
          <w:tcPr>
            <w:tcW w:w="750" w:type="dxa"/>
            <w:tcBorders>
              <w:top w:val="single" w:color="auto" w:sz="4" w:space="0"/>
              <w:left w:val="nil"/>
              <w:bottom w:val="single" w:color="auto" w:sz="4" w:space="0"/>
              <w:right w:val="single" w:color="auto" w:sz="4" w:space="0"/>
            </w:tcBorders>
            <w:shd w:val="clear" w:color="auto" w:fill="auto"/>
            <w:vAlign w:val="center"/>
          </w:tcPr>
          <w:p>
            <w:pPr>
              <w:adjustRightInd/>
              <w:snapToGrid/>
              <w:spacing w:after="0" w:line="24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w:t>
            </w:r>
          </w:p>
        </w:tc>
      </w:tr>
    </w:tbl>
    <w:p>
      <w:pPr>
        <w:spacing w:line="240" w:lineRule="exact"/>
        <w:rPr>
          <w:rFonts w:asciiTheme="minorEastAsia" w:hAnsiTheme="minorEastAsia" w:eastAsiaTheme="minorEastAsia"/>
          <w:sz w:val="18"/>
          <w:szCs w:val="18"/>
        </w:rPr>
      </w:pPr>
    </w:p>
    <w:sectPr>
      <w:pgSz w:w="16838" w:h="11906" w:orient="landscape"/>
      <w:pgMar w:top="720" w:right="720" w:bottom="720" w:left="7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D122F8"/>
    <w:multiLevelType w:val="singleLevel"/>
    <w:tmpl w:val="94D122F8"/>
    <w:lvl w:ilvl="0" w:tentative="0">
      <w:start w:val="1"/>
      <w:numFmt w:val="decimal"/>
      <w:suff w:val="space"/>
      <w:lvlText w:val="%1."/>
      <w:lvlJc w:val="left"/>
    </w:lvl>
  </w:abstractNum>
  <w:abstractNum w:abstractNumId="1">
    <w:nsid w:val="D51BC911"/>
    <w:multiLevelType w:val="singleLevel"/>
    <w:tmpl w:val="D51BC911"/>
    <w:lvl w:ilvl="0" w:tentative="0">
      <w:start w:val="1"/>
      <w:numFmt w:val="decimal"/>
      <w:lvlText w:val="%1."/>
      <w:lvlJc w:val="left"/>
      <w:pPr>
        <w:tabs>
          <w:tab w:val="left" w:pos="312"/>
        </w:tabs>
      </w:pPr>
    </w:lvl>
  </w:abstractNum>
  <w:abstractNum w:abstractNumId="2">
    <w:nsid w:val="51FA7ECA"/>
    <w:multiLevelType w:val="singleLevel"/>
    <w:tmpl w:val="51FA7ECA"/>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283D5C"/>
    <w:rsid w:val="00323B43"/>
    <w:rsid w:val="003D37D8"/>
    <w:rsid w:val="00426133"/>
    <w:rsid w:val="004358AB"/>
    <w:rsid w:val="008B7726"/>
    <w:rsid w:val="0098480C"/>
    <w:rsid w:val="00D31D50"/>
    <w:rsid w:val="00D33054"/>
    <w:rsid w:val="00EF595F"/>
    <w:rsid w:val="037E2EA7"/>
    <w:rsid w:val="039C554C"/>
    <w:rsid w:val="05154E4D"/>
    <w:rsid w:val="06AE1203"/>
    <w:rsid w:val="07283C5B"/>
    <w:rsid w:val="0A13485E"/>
    <w:rsid w:val="0AA213D7"/>
    <w:rsid w:val="0D5B7924"/>
    <w:rsid w:val="0F2934D9"/>
    <w:rsid w:val="10B935E7"/>
    <w:rsid w:val="13A11204"/>
    <w:rsid w:val="13BB0150"/>
    <w:rsid w:val="17313EF1"/>
    <w:rsid w:val="187C7A47"/>
    <w:rsid w:val="18C328CE"/>
    <w:rsid w:val="1E264496"/>
    <w:rsid w:val="20B410DD"/>
    <w:rsid w:val="21283581"/>
    <w:rsid w:val="227F3447"/>
    <w:rsid w:val="246C74EF"/>
    <w:rsid w:val="27134106"/>
    <w:rsid w:val="27D93866"/>
    <w:rsid w:val="288D5EC0"/>
    <w:rsid w:val="28C6246C"/>
    <w:rsid w:val="29F3274D"/>
    <w:rsid w:val="2C2F17C0"/>
    <w:rsid w:val="31C417C4"/>
    <w:rsid w:val="31D47C1C"/>
    <w:rsid w:val="31F2200B"/>
    <w:rsid w:val="39C7556E"/>
    <w:rsid w:val="3C504EB4"/>
    <w:rsid w:val="3E6C3E74"/>
    <w:rsid w:val="3E7345BA"/>
    <w:rsid w:val="3EE6483A"/>
    <w:rsid w:val="3F18313E"/>
    <w:rsid w:val="415352D5"/>
    <w:rsid w:val="41834D31"/>
    <w:rsid w:val="4B953ED1"/>
    <w:rsid w:val="4EF36786"/>
    <w:rsid w:val="4F7C377E"/>
    <w:rsid w:val="4F956F40"/>
    <w:rsid w:val="5147707D"/>
    <w:rsid w:val="51671E22"/>
    <w:rsid w:val="52BB330F"/>
    <w:rsid w:val="54AD0245"/>
    <w:rsid w:val="56194E9B"/>
    <w:rsid w:val="585C090A"/>
    <w:rsid w:val="5CA247C4"/>
    <w:rsid w:val="5E0B66C4"/>
    <w:rsid w:val="5F7174FB"/>
    <w:rsid w:val="60787791"/>
    <w:rsid w:val="64070241"/>
    <w:rsid w:val="64C32164"/>
    <w:rsid w:val="65AD61A6"/>
    <w:rsid w:val="6A02739E"/>
    <w:rsid w:val="6FDA254B"/>
    <w:rsid w:val="73E255D6"/>
    <w:rsid w:val="742D5463"/>
    <w:rsid w:val="75007BB6"/>
    <w:rsid w:val="75425931"/>
    <w:rsid w:val="78011AE6"/>
    <w:rsid w:val="78553368"/>
    <w:rsid w:val="78C704EC"/>
    <w:rsid w:val="795D4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4">
    <w:name w:val="FollowedHyperlink"/>
    <w:basedOn w:val="3"/>
    <w:semiHidden/>
    <w:unhideWhenUsed/>
    <w:qFormat/>
    <w:uiPriority w:val="99"/>
    <w:rPr>
      <w:rFonts w:ascii="微软雅黑" w:hAnsi="微软雅黑" w:eastAsia="微软雅黑" w:cs="微软雅黑"/>
      <w:color w:val="555555"/>
      <w:u w:val="none"/>
    </w:rPr>
  </w:style>
  <w:style w:type="character" w:styleId="5">
    <w:name w:val="Emphasis"/>
    <w:basedOn w:val="3"/>
    <w:qFormat/>
    <w:uiPriority w:val="20"/>
    <w:rPr>
      <w:i/>
    </w:rPr>
  </w:style>
  <w:style w:type="character" w:styleId="6">
    <w:name w:val="Hyperlink"/>
    <w:basedOn w:val="3"/>
    <w:semiHidden/>
    <w:unhideWhenUsed/>
    <w:qFormat/>
    <w:uiPriority w:val="99"/>
    <w:rPr>
      <w:rFonts w:hint="eastAsia" w:ascii="微软雅黑" w:hAnsi="微软雅黑" w:eastAsia="微软雅黑" w:cs="微软雅黑"/>
      <w:color w:val="555555"/>
      <w:u w:val="none"/>
    </w:rPr>
  </w:style>
  <w:style w:type="character" w:customStyle="1" w:styleId="8">
    <w:name w:val="xfg-fxdb"/>
    <w:basedOn w:val="3"/>
    <w:qFormat/>
    <w:uiPriority w:val="0"/>
  </w:style>
  <w:style w:type="character" w:customStyle="1" w:styleId="9">
    <w:name w:val="rong_zi2"/>
    <w:basedOn w:val="3"/>
    <w:qFormat/>
    <w:uiPriority w:val="0"/>
  </w:style>
  <w:style w:type="character" w:customStyle="1" w:styleId="10">
    <w:name w:val="mylnr-jj2"/>
    <w:basedOn w:val="3"/>
    <w:qFormat/>
    <w:uiPriority w:val="0"/>
  </w:style>
  <w:style w:type="character" w:customStyle="1" w:styleId="11">
    <w:name w:val="xfg-fxqq"/>
    <w:basedOn w:val="3"/>
    <w:qFormat/>
    <w:uiPriority w:val="0"/>
  </w:style>
  <w:style w:type="character" w:customStyle="1" w:styleId="12">
    <w:name w:val="w-zx-nr-tj-bt"/>
    <w:basedOn w:val="3"/>
    <w:qFormat/>
    <w:uiPriority w:val="0"/>
  </w:style>
  <w:style w:type="character" w:customStyle="1" w:styleId="13">
    <w:name w:val="xfg-fxsina"/>
    <w:basedOn w:val="3"/>
    <w:qFormat/>
    <w:uiPriority w:val="0"/>
  </w:style>
  <w:style w:type="character" w:customStyle="1" w:styleId="14">
    <w:name w:val="xfg-fxrr"/>
    <w:basedOn w:val="3"/>
    <w:qFormat/>
    <w:uiPriority w:val="0"/>
  </w:style>
  <w:style w:type="character" w:customStyle="1" w:styleId="15">
    <w:name w:val="mylnr-pdf"/>
    <w:basedOn w:val="3"/>
    <w:qFormat/>
    <w:uiPriority w:val="0"/>
  </w:style>
  <w:style w:type="character" w:customStyle="1" w:styleId="16">
    <w:name w:val="mylnr-dayin1"/>
    <w:basedOn w:val="3"/>
    <w:qFormat/>
    <w:uiPriority w:val="0"/>
  </w:style>
  <w:style w:type="character" w:customStyle="1" w:styleId="17">
    <w:name w:val="xfg-fxjh"/>
    <w:basedOn w:val="3"/>
    <w:qFormat/>
    <w:uiPriority w:val="0"/>
  </w:style>
  <w:style w:type="character" w:customStyle="1" w:styleId="18">
    <w:name w:val="layui-laypage-curr"/>
    <w:basedOn w:val="3"/>
    <w:qFormat/>
    <w:uiPriority w:val="0"/>
  </w:style>
  <w:style w:type="paragraph" w:customStyle="1" w:styleId="19">
    <w:name w:val="_Style 18"/>
    <w:basedOn w:val="1"/>
    <w:next w:val="1"/>
    <w:qFormat/>
    <w:uiPriority w:val="0"/>
    <w:pPr>
      <w:pBdr>
        <w:bottom w:val="single" w:color="auto" w:sz="6" w:space="1"/>
      </w:pBdr>
      <w:jc w:val="center"/>
    </w:pPr>
    <w:rPr>
      <w:rFonts w:ascii="Arial" w:eastAsia="宋体"/>
      <w:vanish/>
      <w:sz w:val="16"/>
    </w:rPr>
  </w:style>
  <w:style w:type="paragraph" w:customStyle="1" w:styleId="20">
    <w:name w:val="_Style 19"/>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64</Pages>
  <Words>7693</Words>
  <Characters>43851</Characters>
  <Lines>365</Lines>
  <Paragraphs>102</Paragraphs>
  <TotalTime>40</TotalTime>
  <ScaleCrop>false</ScaleCrop>
  <LinksUpToDate>false</LinksUpToDate>
  <CharactersWithSpaces>51442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石_头01</cp:lastModifiedBy>
  <cp:lastPrinted>2021-03-10T02:19:00Z</cp:lastPrinted>
  <dcterms:modified xsi:type="dcterms:W3CDTF">2021-03-31T07:37:30Z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