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方正小标宋简体" w:hAnsi="方正小标宋简体" w:eastAsia="方正小标宋简体" w:cs="Times New Roman"/>
          <w:sz w:val="36"/>
          <w:szCs w:val="32"/>
        </w:rPr>
      </w:pPr>
      <w:r>
        <w:rPr>
          <w:rFonts w:hint="eastAsia" w:ascii="黑体" w:hAnsi="黑体" w:eastAsia="黑体" w:cs="Times New Roman"/>
          <w:sz w:val="32"/>
          <w:szCs w:val="32"/>
        </w:rPr>
        <w:t>附件4</w:t>
      </w:r>
    </w:p>
    <w:p>
      <w:pPr>
        <w:spacing w:line="600" w:lineRule="exact"/>
        <w:jc w:val="center"/>
        <w:rPr>
          <w:rFonts w:hint="eastAsia" w:ascii="方正小标宋简体" w:hAnsi="方正小标宋简体" w:eastAsia="方正小标宋简体" w:cs="Times New Roman"/>
          <w:sz w:val="36"/>
          <w:szCs w:val="32"/>
        </w:rPr>
      </w:pPr>
      <w:r>
        <w:rPr>
          <w:rFonts w:hint="eastAsia" w:ascii="方正小标宋简体" w:hAnsi="方正小标宋简体" w:eastAsia="方正小标宋简体" w:cs="Times New Roman"/>
          <w:sz w:val="36"/>
          <w:szCs w:val="32"/>
        </w:rPr>
        <w:t>涞源县交通运输局权责清单事项分表</w:t>
      </w:r>
    </w:p>
    <w:p>
      <w:pPr>
        <w:spacing w:line="600" w:lineRule="exact"/>
        <w:jc w:val="center"/>
        <w:rPr>
          <w:rFonts w:hint="eastAsia" w:ascii="楷体_GB2312" w:hAnsi="楷体_GB2312" w:eastAsia="楷体_GB2312" w:cs="Times New Roman"/>
          <w:sz w:val="36"/>
          <w:szCs w:val="32"/>
        </w:rPr>
      </w:pPr>
      <w:r>
        <w:rPr>
          <w:rFonts w:hint="eastAsia" w:ascii="楷体_GB2312" w:hAnsi="楷体_GB2312" w:eastAsia="楷体_GB2312" w:cs="Times New Roman"/>
          <w:sz w:val="32"/>
          <w:szCs w:val="32"/>
        </w:rPr>
        <w:t>（共3类、140项）</w:t>
      </w:r>
    </w:p>
    <w:p>
      <w:pPr>
        <w:spacing w:line="600" w:lineRule="exact"/>
        <w:rPr>
          <w:rFonts w:hint="eastAsia" w:ascii="仿宋_GB2312" w:hAnsi="Times New Roman" w:eastAsia="仿宋_GB2312" w:cs="Times New Roman"/>
          <w:sz w:val="32"/>
          <w:szCs w:val="32"/>
        </w:rPr>
      </w:pPr>
      <w:r>
        <w:rPr>
          <w:rFonts w:hint="eastAsia" w:ascii="楷体_GB2312" w:hAnsi="楷体_GB2312" w:eastAsia="楷体_GB2312" w:cs="Times New Roman"/>
          <w:sz w:val="28"/>
          <w:szCs w:val="32"/>
        </w:rPr>
        <w:t>单位：涞源县交通运输局</w:t>
      </w:r>
    </w:p>
    <w:tbl>
      <w:tblPr>
        <w:tblStyle w:val="5"/>
        <w:tblW w:w="13725" w:type="dxa"/>
        <w:tblInd w:w="0" w:type="dxa"/>
        <w:tblLayout w:type="fixed"/>
        <w:tblCellMar>
          <w:top w:w="0" w:type="dxa"/>
          <w:left w:w="0" w:type="dxa"/>
          <w:bottom w:w="0" w:type="dxa"/>
          <w:right w:w="0" w:type="dxa"/>
        </w:tblCellMar>
      </w:tblPr>
      <w:tblGrid>
        <w:gridCol w:w="807"/>
        <w:gridCol w:w="900"/>
        <w:gridCol w:w="1250"/>
        <w:gridCol w:w="1083"/>
        <w:gridCol w:w="1866"/>
        <w:gridCol w:w="4769"/>
        <w:gridCol w:w="3032"/>
        <w:gridCol w:w="18"/>
      </w:tblGrid>
      <w:tr>
        <w:tblPrEx>
          <w:tblCellMar>
            <w:top w:w="0" w:type="dxa"/>
            <w:left w:w="0" w:type="dxa"/>
            <w:bottom w:w="0" w:type="dxa"/>
            <w:right w:w="0" w:type="dxa"/>
          </w:tblCellMar>
        </w:tblPrEx>
        <w:trPr>
          <w:gridAfter w:val="1"/>
          <w:wAfter w:w="18" w:type="dxa"/>
          <w:trHeight w:val="580" w:hRule="atLeast"/>
        </w:trPr>
        <w:tc>
          <w:tcPr>
            <w:tcW w:w="806" w:type="dxa"/>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b/>
                <w:color w:val="auto"/>
                <w:sz w:val="18"/>
                <w:szCs w:val="18"/>
              </w:rPr>
            </w:pPr>
            <w:bookmarkStart w:id="0" w:name="_GoBack"/>
            <w:r>
              <w:rPr>
                <w:rFonts w:hint="eastAsia" w:ascii="宋体" w:hAnsi="宋体" w:eastAsia="宋体" w:cs="宋体"/>
                <w:b/>
                <w:color w:val="auto"/>
                <w:kern w:val="0"/>
                <w:sz w:val="18"/>
                <w:szCs w:val="18"/>
                <w:lang w:bidi="ar"/>
              </w:rPr>
              <w:t>序号</w:t>
            </w:r>
          </w:p>
        </w:tc>
        <w:tc>
          <w:tcPr>
            <w:tcW w:w="900" w:type="dxa"/>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b/>
                <w:color w:val="auto"/>
                <w:sz w:val="18"/>
                <w:szCs w:val="18"/>
              </w:rPr>
            </w:pPr>
            <w:r>
              <w:rPr>
                <w:rFonts w:hint="eastAsia" w:ascii="宋体" w:hAnsi="宋体" w:eastAsia="宋体" w:cs="宋体"/>
                <w:b/>
                <w:color w:val="auto"/>
                <w:kern w:val="0"/>
                <w:sz w:val="18"/>
                <w:szCs w:val="18"/>
                <w:lang w:bidi="ar"/>
              </w:rPr>
              <w:t>权力类型</w:t>
            </w:r>
          </w:p>
        </w:tc>
        <w:tc>
          <w:tcPr>
            <w:tcW w:w="1250" w:type="dxa"/>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b/>
                <w:color w:val="auto"/>
                <w:sz w:val="18"/>
                <w:szCs w:val="18"/>
              </w:rPr>
            </w:pPr>
            <w:r>
              <w:rPr>
                <w:rFonts w:hint="eastAsia" w:ascii="宋体" w:hAnsi="宋体" w:eastAsia="宋体" w:cs="宋体"/>
                <w:b/>
                <w:color w:val="auto"/>
                <w:kern w:val="0"/>
                <w:sz w:val="18"/>
                <w:szCs w:val="18"/>
                <w:lang w:bidi="ar"/>
              </w:rPr>
              <w:t>权力事项</w:t>
            </w:r>
          </w:p>
        </w:tc>
        <w:tc>
          <w:tcPr>
            <w:tcW w:w="1083" w:type="dxa"/>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b/>
                <w:color w:val="auto"/>
                <w:sz w:val="18"/>
                <w:szCs w:val="18"/>
              </w:rPr>
            </w:pPr>
            <w:r>
              <w:rPr>
                <w:rFonts w:hint="eastAsia" w:ascii="宋体" w:hAnsi="宋体" w:eastAsia="宋体" w:cs="宋体"/>
                <w:b/>
                <w:color w:val="auto"/>
                <w:kern w:val="0"/>
                <w:sz w:val="18"/>
                <w:szCs w:val="18"/>
                <w:lang w:bidi="ar"/>
              </w:rPr>
              <w:t>行政主体</w:t>
            </w:r>
          </w:p>
        </w:tc>
        <w:tc>
          <w:tcPr>
            <w:tcW w:w="1866" w:type="dxa"/>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b/>
                <w:color w:val="auto"/>
                <w:sz w:val="18"/>
                <w:szCs w:val="18"/>
              </w:rPr>
            </w:pPr>
            <w:r>
              <w:rPr>
                <w:rFonts w:hint="eastAsia" w:ascii="宋体" w:hAnsi="宋体" w:eastAsia="宋体" w:cs="宋体"/>
                <w:b/>
                <w:color w:val="auto"/>
                <w:kern w:val="0"/>
                <w:sz w:val="18"/>
                <w:szCs w:val="18"/>
                <w:lang w:bidi="ar"/>
              </w:rPr>
              <w:t>实施依据</w:t>
            </w:r>
          </w:p>
        </w:tc>
        <w:tc>
          <w:tcPr>
            <w:tcW w:w="4768" w:type="dxa"/>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b/>
                <w:color w:val="auto"/>
                <w:sz w:val="18"/>
                <w:szCs w:val="18"/>
              </w:rPr>
            </w:pPr>
            <w:r>
              <w:rPr>
                <w:rFonts w:hint="eastAsia" w:ascii="宋体" w:hAnsi="宋体" w:eastAsia="宋体" w:cs="宋体"/>
                <w:b/>
                <w:color w:val="auto"/>
                <w:kern w:val="0"/>
                <w:sz w:val="18"/>
                <w:szCs w:val="18"/>
                <w:lang w:bidi="ar"/>
              </w:rPr>
              <w:t>责任事项</w:t>
            </w:r>
          </w:p>
        </w:tc>
        <w:tc>
          <w:tcPr>
            <w:tcW w:w="3032" w:type="dxa"/>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b/>
                <w:color w:val="auto"/>
                <w:sz w:val="18"/>
                <w:szCs w:val="18"/>
              </w:rPr>
            </w:pPr>
            <w:r>
              <w:rPr>
                <w:rFonts w:hint="eastAsia" w:ascii="宋体" w:hAnsi="宋体" w:eastAsia="宋体" w:cs="宋体"/>
                <w:b/>
                <w:color w:val="auto"/>
                <w:kern w:val="0"/>
                <w:sz w:val="18"/>
                <w:szCs w:val="18"/>
                <w:lang w:bidi="ar"/>
              </w:rPr>
              <w:t>追责情形</w:t>
            </w:r>
          </w:p>
        </w:tc>
      </w:tr>
      <w:tr>
        <w:tblPrEx>
          <w:tblCellMar>
            <w:top w:w="0" w:type="dxa"/>
            <w:left w:w="0" w:type="dxa"/>
            <w:bottom w:w="0" w:type="dxa"/>
            <w:right w:w="0" w:type="dxa"/>
          </w:tblCellMar>
        </w:tblPrEx>
        <w:trPr>
          <w:gridAfter w:val="1"/>
          <w:wAfter w:w="18" w:type="dxa"/>
          <w:trHeight w:val="5573" w:hRule="atLeast"/>
        </w:trPr>
        <w:tc>
          <w:tcPr>
            <w:tcW w:w="8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对在公路建筑控制区内修建、扩建建筑物、地面构筑物或者未经许可埋设管道、电缆等设施；在公路建筑控制区外修建的建筑物、地面构筑物以及其他设施遮挡公路标志或者妨碍安全视距的处罚</w:t>
            </w:r>
          </w:p>
        </w:tc>
        <w:tc>
          <w:tcPr>
            <w:tcW w:w="10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《中华人民共和国公路法》（主席令〔1997〕第86号，2017年11月4日第五次修正）第八十一条；《公路安全保护条例》（国务院令〔2011〕第593号）第五十六条</w:t>
            </w:r>
          </w:p>
        </w:tc>
        <w:tc>
          <w:tcPr>
            <w:tcW w:w="4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在公路建筑控制区内修建、扩建建筑物、地面构筑物或者未经许可埋设管道、电缆等设施；在公路建筑控制区外修建的建筑物、地面构筑物以及其他设施遮挡公路标志或者妨碍安全视距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5、在制止以及查处违法案件中受阻，依照有关规定应当向本级人民政府或者上级国土资源主管部门报告而未报告的；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282" w:hRule="atLeast"/>
        </w:trPr>
        <w:tc>
          <w:tcPr>
            <w:tcW w:w="806"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取得道路运输经营许可，擅自从事道路运输经营的处罚（未取得道路客、货运经营许可，擅自从事道路客、货运经营的；未取得道路客运班线经营许可，擅自从事班车客运经营的；使用失效、伪造、变造、被注销等无效的道路客、货运许可证件从事道路客、货运经营的；超越许可事项，从事道路客、货运经营的处罚）</w:t>
            </w:r>
          </w:p>
        </w:tc>
        <w:tc>
          <w:tcPr>
            <w:tcW w:w="10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六十三条2.《道路旅客运输及客运站管理规定》（交通运输部令2020年第17号）第九十三条；3.《道路货物运输及站场管理规定》（交通运输部令2019年第17号）第五十七条</w:t>
            </w:r>
          </w:p>
        </w:tc>
        <w:tc>
          <w:tcPr>
            <w:tcW w:w="4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取得道路运输经营许可，擅自从事道路运输经营（未取得道路客、货运经营许可，擅自从事道路客、货运经营的；未取得道路客运班线经营许可，擅自从事班车客运经营的；使用失效、伪造、变造、被注销等无效的道路客、货运许可证件从事道路客、货运经营的；超越许可事项，从事道路客、货运经营）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 10、执法人员玩忽职守，对应当予以制止和处罚的违法行为不予制止、处罚，致使违法行为继续发生的；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7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w:t>
            </w:r>
          </w:p>
        </w:tc>
        <w:tc>
          <w:tcPr>
            <w:tcW w:w="900" w:type="dxa"/>
            <w:tcBorders>
              <w:top w:val="single" w:color="auto"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single" w:color="auto"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不符合规定条件的人员驾驶道路运输经营车辆的处罚（对未取得相应从业资格证件，驾驶道路客货运输车辆的；使用失效、伪造、变造的从业资格证件，驾驶道路客货运输车辆的；超越从业资格证件核定范围，驾驶道路客货运输车辆的处罚）</w:t>
            </w:r>
          </w:p>
        </w:tc>
        <w:tc>
          <w:tcPr>
            <w:tcW w:w="1083" w:type="dxa"/>
            <w:tcBorders>
              <w:top w:val="single" w:color="auto"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auto" w:sz="4" w:space="0"/>
              <w:left w:val="single" w:color="000000" w:sz="4" w:space="0"/>
              <w:bottom w:val="single" w:color="auto"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1.《中华人民共和国道路运输条例》（国务院令【2004】第406号，2019年3月2日修改）第六十四条2.《道路运输从业人员管理规定》（交通运输部令2019年第18号）第四十五条</w:t>
            </w:r>
          </w:p>
        </w:tc>
        <w:tc>
          <w:tcPr>
            <w:tcW w:w="4768" w:type="dxa"/>
            <w:tcBorders>
              <w:top w:val="single" w:color="auto"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不符合规定条件的人员驾驶道路运输经营车辆的行为（对未取得相应从业资格证件，驾驶道路客货运输车辆的；使用失效、伪造、变造的从业资格证件，驾驶道路客货运输车辆的；超越从业资格证件核定范围，驾驶道路客货运输车辆）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auto"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 10、执法人员玩忽职守，对应当予以制止和处罚的违法行为不予制止、处罚，致使违法行为继续发生的；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对未经许可擅自从事道路运输站（场）经营、机动车驾驶员培训的处罚</w:t>
            </w:r>
          </w:p>
        </w:tc>
        <w:tc>
          <w:tcPr>
            <w:tcW w:w="10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1.《中华人民共和国道路运输条例》(国务院令〔2004〕第406号，2019年3月2日修改)第六十五条第一款2.《道路旅客运输及客运站管理规定》（交通运输部令2020年第17号）第九十四条   3.《机动车驾驶员培训管理规定》（交通运输部令2016年第51号）第四十七条</w:t>
            </w:r>
          </w:p>
        </w:tc>
        <w:tc>
          <w:tcPr>
            <w:tcW w:w="4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1、立案责任：交通运输部门实施行政检查或者通过举报、其他机关移送、上级机关交办等途径，发现涉嫌未经许可擅自从事道路运输站（场）经营、机动车驾驶员培训的违法行为予以审查，决定是否立案。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auto"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 10、执法人员玩忽职守，对应当予以制止和处罚的违法行为不予制止、处罚，致使违法行为继续发生的；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w:t>
            </w:r>
          </w:p>
        </w:tc>
        <w:tc>
          <w:tcPr>
            <w:tcW w:w="900" w:type="dxa"/>
            <w:tcBorders>
              <w:top w:val="single" w:color="auto"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single" w:color="auto"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对非法转让、出租道路运输许可证件的处罚</w:t>
            </w:r>
          </w:p>
        </w:tc>
        <w:tc>
          <w:tcPr>
            <w:tcW w:w="1083" w:type="dxa"/>
            <w:tcBorders>
              <w:top w:val="single" w:color="auto"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auto" w:sz="4" w:space="0"/>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1.《中华人民共和国道路运输条例》(国务院令〔2004〕第406号，2019年3月2日修改)第六十六条2.《道路旅客运输及客运站管理规定》（交通运输部令2020年第17号）第九十五条  3.《道路货物运输及站场管理规定》（交通运输部令2019年第17号）第五十七条4.《机动车驾驶员培训管理规定》（交通运输部令2016年第51号）第四十八条</w:t>
            </w:r>
          </w:p>
        </w:tc>
        <w:tc>
          <w:tcPr>
            <w:tcW w:w="4768" w:type="dxa"/>
            <w:tcBorders>
              <w:top w:val="single" w:color="auto"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1、立案责任：交通运输部门实施行政检查或者通过举报、其他机关移送、上级机关交办等途径，发现涉嫌非法转让、出租道路运输许可证件的的违法行为予以审查，决定是否立案。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72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道路运输站(场)经营者允许无证经营的车辆进站从事经营活动以及超载车辆、未经安全检查的车辆出站或者无正当理由拒绝道路运输车辆进站从事经营活动的处罚；对道路运输站(场)经营者擅自改变道路运输站(场)的用途和服务功能，或者不公布运输线路、起止经停站点、运输班次、始发时间、票价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1.《中华人民共和国道路运输条例》(国务院令〔2004〕第406号，2019年3月2日修改)第七十一条  2.《道路旅客运输及客运站管理规定》（交通运输部令2020年第17号）第一百零二条，第一百零三条；3.《道路货物运输及站场管理规定》（交通运输部令2019年第17号）第六十三条、六十四条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道路运输站(场)经营者允许无证经营的车辆进站从事经营活动以及超载车辆、未经安全检查的车辆出站或者无正当理由拒绝道路运输车辆进站从事经营活动的处罚；对道路运输站(场)经营者擅自改变道路运输站(场)的用途和服务功能，或者不公布运输线路、起止经停站点、运输班次、始发时间、票价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对机动车驾驶员培训机构不严格按照规定进行培训或者在培训结业证书发放时弄虚作假的处罚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1.《中华人民共和国道路运输条例》(国务院令〔2004〕第406号，2019年3月2日修改)第七十四条2.《机动车驾驶员培训管理规定》（交通运输部令2016年第51号）第四十九条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机动车驾驶员培训机构不严格按照规定进行培训或者在培训结业证书发放时弄虚作假的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9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建立学员档案、培训记录或者伪造、篡改培训记录的；使用不符合规定的车辆以及设施、设备或者改装培训车辆车载计时终端进行培训活动的；采取异地培训、恶意压价、欺骗学员等不正当手段进行培训，或者委托其他不具备资质的机构培训，或者以报名点、招生处、分校等形式开展培训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《河北省道路运输条例》（河北省第十二届人民代表大会常务委员会公告&lt;第116号&gt;）第六十七条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建立学员档案、培训记录或者伪造、篡改培训记录的；使用不符合规定的车辆以及设施、设备或者改装培训车辆车载计时终端进行培训活动的；采取异地培训、恶意压价、欺骗学员等不正当手段进行培训，或者委托其他不具备资质的机构培训，或者以报名点、招生处、分校等形式开展培训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对从事机动车维修经营业务不符合国务院交通运输主管部门制定的机动车维修经营业务标准的处罚；对从事机动车维修经营业务，未按规定进行备案的处罚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1.《中华人民共和国道路运输条例》(国务院令〔2004〕第406号，2019年3月2日修改)第六十五条第二款、第三款2.《机动车维修管理规定》（交通运输部令2019年第20号）第四十九条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从事机动车维修经营业务不符合国务院交通运输主管部门制定的机动车维修经营业务标准；从事机动车维修经营业务，未按规定进行备案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对机动车维修经营者使用假冒伪劣配件维修机动车，承修已报废的机动车或者擅自改装机动车的处罚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1.《中华人民共和国道路运输条例》(国务院令〔2004〕第406号，2019年3月2日修改)第七十二条2.《机动车维修管理规定》（交通运输部令2019年第20号）第五十一条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机动车维修经营者使用假冒伪劣配件维修机动车，承修已报废的机动车或者擅自改装机动车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 10、执法人员玩忽职守，对应当予以制止和处罚的违法行为不予制止、处罚，致使违法行为继续发生的；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对机动车维修经营者签发虚假的机动车维修合格证的处罚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1.《中华人民共和国道路运输条例》(国务院令〔2004〕第406号，2019年3月2日修改)第七十三条2.《机动车维修管理规定》（交通运输部令2019年第20号）第五十二条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1、立案责任：交通运输部门实施行政检查或者通过举报、其他机关移送、上级机关交办等途径，发现涉嫌机动车维修经营者签发虚假的机动车维修合格证的行为予以审查，决定是否立案。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 10、执法人员玩忽职守，对应当予以制止和处罚的违法行为不予制止、处罚，致使违法行为继续发生的；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对未按规定投保承运人责任险的处罚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1.《中华人民共和国道路运输条例》(国务院令〔2004〕第406号，2019年3月2日修改)第六十七条 2.《道路旅客运输及客运站管理规定》（交通运输部令2020年第17号）第九十六条  3.《道路货物运输及站场管理规定》（交通运输部令2019年第42号）第五十八条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1、立案责任：交通运输部门实施行政检查或者通过举报、其他机关移送、上级机关交办等途径，发现涉嫌未按规定投保承运人责任险的行为予以审查，决定是否立案。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对不按照规定携带车辆营运证的处罚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六十八条2.《道路旅客运输及客运站管理规定》（交通运输部令2020年第17号）第九十七条；3.《道路货物运输及站场管理规定》（交通运输部令2019年第42号）第五十九条第二款</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1、立案责任：交通运输部门实施行政检查或者通过举报、其他机关移送、上级机关交办等途径，发现涉嫌不按照规定携带车辆营运证的行为予以审查，决定是否立案。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7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不按批准的客运站点停靠或者不按规定的线路、公布的班次行驶；强行招揽旅客、货物；在旅客运输途中擅自变更运输车辆或者将旅客移交他人运输；未报告原许可机关，擅自终止客运经营；没有采取必要措施防止货物脱落、扬撒等行为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六十九条2.《道路旅客运输及客运站管理规定》（交通运输部令2020年第17号）第一百条第（一）项、第（三）项、第（四）项、第（五）项、第（六）项、第（八）项、第（九）项；3.《道路货物运输及站场管理规定》（交通运输部令2019年第42号）第六十一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不按批准的客运站点停靠或者不按规定的线路、公布的班次行驶；强行招揽旅客、货物；在旅客运输途中擅自变更运输车辆或者将旅客移交他人运输；未报告原许可机关，擅自终止客运经营；没有采取必要措施防止货物脱落、扬撒等行为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对擅自改装已取得车辆营运证的车辆的处罚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《中华人民共和国道路运输条例》(国务院令〔2004〕第406号，2019年3月2日修改)第七十条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1、立案责任：交通运输部门实施行政检查或者通过举报、其他机关移送、上级机关交办等途径，发现涉嫌擅自改装已取得车辆营运证的车辆的行为予以审查，决定是否立案。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74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不按规定维护和检测运输车辆的（道路运输车辆技术状况未达到《道路运输车辆综合性能要求和检验方法》（GB18565）的；使用报废、擅自改装、拼装、检测不合格以及其他不符合国家规定的车辆从事道路运输经营活动的；未按照规定的周期和频次进行车辆综合性能检测和技术等级评定的；未建立道路运输车辆技术档案或者档案不符合规定的；未做好车辆维护记录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2004〕第406号，2019年3月2日修改)第七十条第二款2.《河北省道路运输条例》（河北省第十二届人民代表大会常务委员会公告&lt;第116号&gt;）第五十八条3.《道路运输车辆技术管理规定》（交通运输部令2019年第19号）第三十一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不按规定维护和检测运输车辆的（道路运输车辆技术状况未达到《道路运输车辆综合性能要求和检验方法》（GB18565）的；使用报废、擅自改装、拼装、检测不合格以及其他不符合国家规定的车辆从事道路运输经营活动的；未按照规定的周期和频次进行车辆综合性能检测和技术等级评定的；未建立道路运输车辆技术档案或者档案不符合规定的；未做好车辆维护记录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对使用无《道路运输证》的车辆参加客、货运经营的处罚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1.《道路旅及客运站管理规定》（交通运输部令2020年第17号）第九十七条第一款2.《道路货物运输及站场管理规定（交通运输部令2019年第17号第五十九条第一款</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1、立案责任：交通运输部门实施行政检查或者通过举报、其他机关移送、上级机关交办等途径，发现涉嫌使用无《道路运输证》的车辆参加客、货运经营的行为予以审查，决定是否立案。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对经营者已不具备开业要求的有关安全条件、存在重大运输安全隐患的处罚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1.《道路旅客运输及客运站管理规定》（交通运输部2020年第17号令）第一百零一条 2.《道路货物运输及站场管理规定（交通运输部令2019年第17号第六十条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1、立案责任：交通运输部门实施行政检查或者通过举报、其他机关移送、上级机关交办等途径，发现涉嫌经营者已不具备开业要求的有关安全条件、存在重大运输安全隐患的行为予以审查，决定是否立案。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7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道路运输企业未使用符合标准的监控平台、监控平台未接入联网联控系统、未按规定上传道路运输车辆动态信息；未建立或者未有效执行交通违法动态信息处理制度、对驾驶员交通违法处理率低于90%；未按规定配备专职监控人员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《道路运输车辆动态监督管理办法》（交通运输部令2016年第55号）第三十六条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道路运输企业未使用符合标准的监控平台、监控平台未接入联网联控系统、未按规定上传道路运输车辆动态信息；未建立或者未有效执行交通违法动态信息处理制度、对驾驶员交通违法处理率低于90%；未按规定配备专职监控人员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对使用卫星定位装置出现故障不能保持在线的运输车辆从事经营活动的处罚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《道路运输车辆动态监督管理办法》（交通运输部令2016年第55号）第三十七条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1、立案责任：交通运输部门实施行政检查或者通过举报、其他机关移送、上级机关交办等途径，发现涉嫌使用卫星定位装置出现故障不能保持在线的运输车辆从事经营活动的行为予以审查，决定是否立案。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对破坏卫星定位装置以及恶意人为干扰、屏蔽卫星定位装置信号的；伪造、篡改、删除车辆动态监控数据的处罚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《道路运输车辆动态监督管理办法》（交通运输部令2016年第55号）第三十八条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破坏卫星定位装置以及恶意人为干扰、屏蔽卫星定位装置信号的；伪造、篡改、删除车辆动态监控数据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对客运经营者或者其委托的售票单位、客运站经营者不按规定使用道路运输业专用票证或者转让、倒卖、伪造道路运输业专用票证的处罚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《道路旅客运输及客运站管理规定》（交通运输部令2020年第17号）第九十八条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客运经营者或者其委托的售票单位、客运站经营者不按规定使用道路运输业专用票证或者转让、倒卖、伪造道路运输业专用票证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7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加班车、顶班车、接驳车无正当理由不按规定的线路、站点运行的；客运包车未持有效的包车客运标志牌进行经营，不按照包车客运标志牌载明的事项运行的，线路两端均不在车籍所在地，招揽包车合同以外的旅客乘车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《道路旅客运输及客运站管理规定》（交通运输部令2020年第17号）第一百条第（二）项、第（七）项</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加班车、顶班车、接驳车无正当理由不按规定的线路、站点运行的；客运包车未持有效的包车客运标志牌进行经营，不按照包车客运标志牌载明的事项运行的，线路两端均不在车籍所在地，招揽包车合同以外的旅客乘车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对一类、二类客运班线经营者或者其委托的售票单位、客运站经营者未按规定对旅客身份进行查验，或者对身份不明、拒绝提供身份信息的旅客提供服务的处罚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《道路旅客运输及客运站管理规定》（交通运输部令2020年第17号）第九十九条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一类、二类客运班线经营者或者其委托的售票单位、客运站经营者未按规定对旅客身份进行查验，或者对身份不明、拒绝提供身份信息的旅客提供服务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对包车客运经营者按照班车模式定点定线运营，或者招揽包车合同外的旅客乘车的处罚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1.《河北省道路运输条例》（河北省第十二届人民代表大会常务委员会公告&lt;第116号&gt;第六十二条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包车客运经营者按照班车模式定点定线运营，或者招揽包车合同外的旅客乘车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对班车客运经营、包车客运经营和旅游客运经营中途将乘客交给他人运输、甩客或者在高速公路上下乘客、装卸行李和包裹的处罚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1.《河北省道路运输条例》（河北省第十二届人民代表大会常务委员会公告&lt;第116号&gt;第六十三条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班车客运经营、包车客运经营和旅游客运经营中途将乘客交给他人运输、甩客或者在高速公路上下乘客、装卸行李和包裹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对1年内违法超限运输超过3次的货运车辆；道路运输企业1年内违法超限运输的货运车辆超过本单位货运车辆总数10%的处罚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1.《公路安全保护条例》（国务院令&lt;2011&gt;第593号第六十六条2.《河北省道路运输条例》（河北省第十二届人民代表大会常务委员会公告&lt;第116号&gt;第六十六条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1年内违法超限运输超过3次的货运车辆；道路运输企业1年内违法超限运输的货运车辆超过本单位货运车辆总数10%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对指使、强令车辆驾驶人超限运输货物的处罚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《公路安全保护条例》（国务院令&lt;2011&gt;第593号第六十八条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1、立案责任：交通运输部门实施行政检查或者通过举报、其他机关移送、上级机关交办等途径，发现涉嫌指使、强令车辆驾驶人超限运输货物的行为予以审查，决定是否立案。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72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29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明确本单位有关从业人员治超工作职责，建立并落实责任追究制度；未对货物装载、开票、计重等从业人员进行培训；未按道路运输管理机构的规定，登记货运车辆、驾驶员和货物的信息，并及时报送登记结果；未配备装载、配载计重设施、设备；拒绝接受治超执法人员的监督检查，或未如实提供有关情况和资料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《河北省治理货运车辆超限超载规定》（河北省人民政府令2010年第4号，2018年第4号令修正）第二十九条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明确本单位有关从业人员治超工作职责，建立并落实责任追究制度；未对货物装载、开票、计重等从业人员进行培训；未按道路运输管理机构的规定，登记货运车辆、驾驶员和货物的信息，并及时报送登记结果；未配备装载、配载计重设施、设备；拒绝接受治超执法人员的监督检查，或未如实提供有关情况和资料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9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按规定装载、配载货物，放行超限超载车辆；为没有号牌或者行驶证、道路运输证的货运车辆装载、配载货物；为擅自改变已登记的结构、构造或者特征的货运车辆装载、配载货物；为未出示驾驶证、从业资格证人员驾驶的货运车辆装载、配载货物；为超限超载货运车辆提供虚假证明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《河北省治理货运车辆超限超载规定》（河北省人民政府令2010年第4号，2018年第4号令修正）第三十条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按规定装载、配载货物，放行超限超载车辆；为没有号牌或者行驶证、道路运输证的货运车辆装载、配载货物；为擅自改变已登记的结构、构造或者特征的货运车辆装载、配载货物；为未出示驾驶证、从业资格证人员驾驶的货运车辆装载、配载货物；为超限超载货运车辆提供虚假证明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对货运经营者聘用无从业资格证的货运车辆驾驶员的处罚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《河北省治理货运车辆超限超载规定》（河北省人民政府令2010年第4号，2018年第4号令修正）第三十二条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1、立案责任：交通运输部门实施行政检查或者通过举报、其他机关移送、上级机关交办等途径，发现涉嫌货运经营者聘用无从业资格证的货运车辆驾驶员的行为予以审查，决定是否立案。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对未取得相应的从业资格证件，从事道路危险货物运输活动的；使用失效、伪造、变造的从业资格证件，从事道路危险货物运输活动的；超越从业资格证件核定范围，从事道路危险货物运输活动的处罚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《道路运输从业人员管理规定》（交通运输部令2019年第18号）第四十六条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取得相应的从业资格证件，从事道路危险货物运输活动的；使用失效、伪造、变造的从业资格证件，从事道路危险货物运输活动的；超越从业资格证件核定范围，从事道路危险货物运输活动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 10、执法人员玩忽职守，对应当予以制止和处罚的违法行为不予制止、处罚，致使违法行为继续发生的；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81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化学品道路运输企业驾驶人员、装卸管理人员、押运人员、申报人员、集装箱装箱现场检查员未取得从业资格上岗作业；运输危险化学品，未根据危险化学品的危险特性采取相应的安全防护措施，或者未配备必要的防护用品和应急救援器材；托运人不向承运人说明所托运的危险化学品的种类、数量、危险特性以及发生危险情况的应急处置措施，或者未按照国家有关规定对所托运的危险化学品妥善包装并在外包装上设置相应标志；运输危险化学品需要添加抑制剂或者稳定剂，托运人未添加或者未将有关情况告知承运人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1.《危险化学品安全管理条例》（国务院令&lt;2002&gt;第344号，2013年12月7日修订）第八十六条2.《道路危险货物运输管理规定》（交通运输部令2019年第42号）第六十条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化学品道路运输企业驾驶人员、装卸管理人员、押运人员、申报人员、集装箱装箱现场检查员未取得从业资格上岗作业；运输危险化学品，未根据危险化学品的危险特性采取相应的安全防护措施，或者未配备必要的防护用品和应急救援器材；托运人不向承运人说明所托运的危险化学品的种类、数量、危险特性以及发生危险情况的应急处置措施，或者未按照国家有关规定对所托运的危险化学品妥善包装并在外包装上设置相应标志；运输危险化学品需要添加抑制剂或者稳定剂，托运人未添加或者未将有关情况告知承运人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 10、执法人员玩忽职守，对应当予以制止和处罚的违法行为不予制止、处罚，致使违法行为继续发生的；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对委托未依法取得危险货物道路运输许可的企业承运危险化学品的处罚；在托运的普通货物中夹带危险化学品，或者将危险化学品谎报或者匿报为普通货物托运的处罚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1.《危险化学品安全管理条例》（国务院令&lt;2002&gt;第344号，2013年12月7日修订）第八十七条第（一）项、第（四）项2.《道路危险货物运输管理规定》（交通运输部令2019年第42号）第六十二条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委托未依法取得危险货物道路运输许可的企业承运危险化学品的处罚；在托运的普通货物中夹带危险化学品，或者将危险化学品谎报或者匿报为普通货物托运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 10、执法人员玩忽职守，对应当予以制止和处罚的违法行为不予制止、处罚，致使违法行为继续发生的；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对危险化学品道路运输企业未配备专职安全管理人员的处罚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1.《危险化学品安全管理条例》（国务院令&lt;2002&gt;第344号，2013年12月7日修订）第九十一条第（一）项2.《道路危险货物运输管理规定》（交通运输部令2019年第42号）第六十一条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1、立案责任：交通运输部门实施行政检查或者通过举报、其他机关移送、上级机关交办等途径，发现涉嫌危险化学品道路运输企业未配备专职安全管理人员的行为予以审查，决定是否立案。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对危险货物承运人未对从业人员进行安全教育和培训的处罚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《危险货物道路运输安全管理办法》（2019年年7月10日经第15次部务会议通过）第五十六条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1、立案责任：交通运输部门实施行政检查或者通过举报、其他机关移送、上级机关交办等途径，发现涉嫌危险货物承运人未对从业人员进行安全教育和培训的行为予以审查，决定是否立案。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 10、执法人员玩忽职守，对应当予以制止和处罚的违法行为不予制止、处罚，致使违法行为继续发生的；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对危险化学品托运人委托未依法取得道路运输资质的企业承运危险化学品的；在托运的普通货物中违规夹带危险化学品，或者将化学品匿报或者谎报为普通货物托运的处罚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《危险货物道路运输安全管理办法》（2019年年7月10日经第15次部务会议通过）第五十七条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化学品托运人委托未依法取得道路运输资质的企业承运危险化学品的；在托运的普通货物中违规夹带危险化学品，或者将化学品匿报或者谎报为普通货物托运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对危险货物托运人托运不符合危险货物的类别、项别、品名、编号不符合相关标准要求的处罚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《危险货物道路运输安全管理办法》（2019年年7月10日经第15次部务会议通过）第五十八条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货物托运人托运不符合危险货物的类别、项别、品名、编号不符合相关标准要求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39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对危险化学品托运人运输危险化学品需要添加抑制剂或者稳定剂，托运人未添加或者未将有关情况告知承运人的；未按照要求对所托运的危险化学品妥善包装并在外包装设置相应标志的处罚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《危险货物道路运输安全管理办法》（2019年年7月10日经第15次部务会议通过）第五十九条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化学品托运人运输危险化学品需要添加抑制剂或者稳定剂，托运人未添加或者未将有关情况告知承运人的；未按照要求对所托运的危险化学品妥善包装并在外包装设置相应标志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9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货物承运人未在罐式车辆罐体的适装介质列表范围内或者移动式压力容器使用登记证上限定的介质承运危险货物的；未按照规定制作危险货物运单或者保存期限不符合要求的；未按照要求对运输车辆、罐式车辆罐体、可移动罐柜、罐箱及设备进行检查和记录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《危险货物道路运输安全管理办法》（2019年年7月10日经第15次部务会议通过）第六十条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货物承运人未在罐式车辆罐体的适装介质列表范围内或者移动式压力容器使用登记证上限定的介质承运危险货物的；未按照规定制作危险货物运单或者保存期限不符合要求的；未按照要求对运输车辆、罐式车辆罐体、可移动罐柜、罐箱及设备进行检查和记录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对危险货物道路运输车辆驾驶人未按照规定随车携带危险货物运单、安全卡的；罐式车辆罐体、可移动罐柜、罐箱的关闭装置在运输过程中未处于关闭状态的处罚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《危险货物道路运输安全管理办法》（2019年年7月10日经第15次部务会议通过）第六十一条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货物道路运输车辆驾驶人未按照规定随车携带危险货物运单、安全卡的；罐式车辆罐体、可移动罐柜、罐箱的关闭装置在运输过程中未处于关闭状态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对危险货物承运人使用未经检验合格或者超出检验有效期的罐式车辆罐体、移动罐柜、罐箱从事危险货物运输的处罚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《危险货物道路运输安全管理办法》（2019年年7月10日经第15次部务会议通过）第六十二条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货物承运人使用未经检验合格或者超出检验有效期的罐式车辆罐体、移动罐柜、罐箱从事危险货物运输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对危险货物承运人未按照要求对运营中的危险化学品、民用爆炸物品、核与放射性物品的运输车辆通过定位系统实行监控的处罚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《危险货物道路运输安全管理办法》（2019年年7月10日经第15次部务会议通过）第六十三条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货物承运人未按照要求对运营中的危险化学品、民用爆炸物品、核与放射性物品的运输车辆通过定位系统实行监控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对危险化学品生产、储存、运输、使用和经营企业未建立健全并严格执行充装或者装载查验、记录制度的处罚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《危险货物道路运输安全管理办法》（2019年年7月10日经第15次部务会议通过）第六十五条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危险化学品生产、储存、运输、使用和经营企业未建立健全并严格执行充装或者装载查验、记录制度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对道路危险货物运输企业擅自改装已取得《道路运输证》的专用车辆及罐式专用车辆罐体的处罚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1.《中华人民共和国道路运输条例》（国务院令&lt;2004&gt;第406号，2019年3月2日修改）第七十条第二款2.《道路危险货物运输管理规定》（交通运输部令2019年第42号）第六十三条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道路危险货物运输企业擅自改装已取得《道路运输证》的专用车辆及罐式专用车辆罐体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对擅自转让或者以承包、出租等方式变相转让城市公共汽电车客运线路经营权的</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《河北省道路运输条例》（河北省第十二届人民代表大会常务委员会公告&lt;第116号&gt;第六十条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擅自转让或者以承包、出租等方式变相转让城市公共汽电车客运线路经营权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对城市公共汽电车经营者不按照确定的线路、站点、班次和时间经营的；不按照核准收费标准收费的；拒绝享受减免票待遇的乘客乘车的处罚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《河北省道路运输条例》（河北省第十二届人民代表大会常务委员会公告&lt;第116号&gt;第六十一条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城市公共汽电车经营者不按照确定的线路、站点、班次和时间经营的；不按照核准收费标准收费的；拒绝享受减免票待遇的乘客乘车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对未取得线路经营权、未与城市公共交通主管部门签订城市公共汽电车线路特许经营协议，擅自从事城市公共汽电车客运线路经营的处罚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《城市公共汽车和电车客运管理规定》第六十条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取得线路经营权、未与城市公共交通主管部门签订城市公共汽电车线路特许经营协议，擅自从事城市公共汽电车客运线路经营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49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对未配置符合要求的服务设施和运营标识的处罚的处罚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《城市公共汽车和电车客运管理规定》第六十一条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1、立案责任：交通运输部门实施行政检查或者通过举报、其他机关移送、上级机关交办等途径，发现涉嫌未配置符合要求的服务设施和运营标识的行为予以审查，决定是否立案。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9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定期对城市公共汽电车车辆及其安全设施设备进行检测、维护、更新的；未在城市公共汽电车车辆和场站醒目位置设置安全警示标志、安全疏散示意图和安全应急设备的；使用不具备规定条件的人员担任驾驶员、乘务员的；未对拟担任驾驶员、乘务员的人员进行培训、考核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《城市公共汽车和电车客运管理规定》第六十二条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定期对城市公共汽电车车辆及其安全设施设备进行检测、维护、更新的；未在城市公共汽电车车辆和场站醒目位置设置安全警示标志、安全疏散示意图和安全应急设备的；使用不具备规定条件的人员担任驾驶员、乘务员的；未对拟担任驾驶员、乘务员的人员进行培训、考核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对运营企业未制定应急预案并组织演练的；发生影响运营安全的突发事件时，运营企业未按照应急预案的规定采取应急处置措施，造成严重后果的处罚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《城市公共汽车和电车客运管理规定》第六十三条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运营企业未制定应急预案并组织演练的；发生影响运营安全的突发事件时，运营企业未按照应急预案的规定采取应急处置措施，造成严重后果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未按照规定对有关场站设施进行管理和维护的处罚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《城市公共汽车和电车客运管理规定》第六十四条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1、立案责任：交通运输部门实施行政检查或者通过举报、其他机关移送、上级机关交办等途径，发现涉嫌未按照规定对有关场站设施进行管理和维护的行为予以审查，决定是否立案。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对有危害城市公共汽电车客运服务设施，对损坏设施依法赔偿的处罚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《城市公共汽车和电车客运管理规定》第六十六条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1、立案责任：交通运输部门实施行政检查或者通过举报、其他机关移送、上级机关交办等途径，发现涉嫌有危害城市公共汽电车客运服务设施，对损坏设施依法赔偿的行为予以审查，决定是否立案。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对未取得道路运输经营许可擅自从事汽车租赁经营的处罚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《河北省道路运输条例》（河北省第十二届人民代表大会常务委员会公告第116号) 第六十八条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1、立案责任：交通运输部门实施行政检查或者通过举报、其他机关移送、上级机关交办等途径，发现涉嫌未取得道路运输经营许可擅自从事汽车租赁经营的违法行为，予以审查，决定是否立案。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对使用未办理租赁车辆备案、未领取车辆备案证明文件的车辆从事汽车租赁经营的处罚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《河北省道路运输条例》（河北省第十二届人民代表大会常务委员会公告第116号) 第六十九条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使用未办理租赁车辆备案、未领取车辆备案证明文件的车辆从事汽车租赁经营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对汽车租赁经营者和承租人使用租赁车辆从事或者变相从事其他客运经营活动的处罚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《河北省道路运输条例》（河北省第十二届人民代表大会常务委员会公告〔第116号〕) 第七十条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汽车租赁经营者和承租人使用租赁车辆从事或者变相从事其他客运经营活动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对未取得从业资格证或者超越从业资格证核定范围，驾驶出租汽车从事经营活动的；使用失效、伪造、变造的从业资格证，驾驶出租汽车从事经营活动的； 转借、出租、涂改从业资格证的处罚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《出租汽车驾驶员从业资格管理规定》（交通运输部令2016年第63号）第四十一条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取得从业资格证或者超越从业资格证核定范围，驾驶出租汽车从事经营活动的；使用失效、伪造、变造的从业资格证，驾驶出租汽车从事经营活动的； 转借、出租、涂改从业资格证等违法行为，予以审查，决定是否立案。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   9、应当依法移送追究刑事责任，而未依法移送有权机关的；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819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办理注册手续驾驶出租汽车从事经营活动的；出租汽车驾驶员在运营途中甩客或者故意绕道行驶；不按照规定携带道路运输证、从业资格证；不按照规定使用出租汽车相关设备；不按照规定使用文明用语，车容车貌不符合要求；未经乘客同意搭载其他乘客；不按照规定出具相应车费票据；网络预约出租汽车驾驶员违反规定巡游揽客、站点候客；巡游出租汽车驾驶员拒载，或者未经约车人或乘客同意、网络预约出租汽车驾驶员无正当理由未按承诺到达约定地点提供预约服务；巡游出租汽车驾驶员不按照规定使用计程计价设备、违规收费或者网络预约出租汽车驾驶员违规收费；对举报、投诉其服务质量或者对其服务作出不满意评价的乘客实施报复等行为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1、《出租汽车驾驶员从业资格管理规定》（交通运输部令2016年第63号）第四十二条；      2、《网络预约出租汽车经营服务管理暂行办法》（交通运输部 工业和信息化部 公安部 商务部 工商总局 质检总局 国家网信办令2019年第46号）第三十六条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办理注册手续驾驶出租汽车从事经营活动的；出租汽车驾驶员在运营途中甩客或者故意绕道行驶；不按照规定携带道路运输证、从业资格证；不按照规定使用出租汽车相关设备；不按照规定使用文明用语，车容车貌不符合要求；未经乘客同意搭载其他乘客；不按照规定出具相应车费票据；网络预约出租汽车驾驶员违反规定巡游揽客、站点候客；巡游出租汽车驾驶员拒载，或者未经约车人或乘客同意、网络预约出租汽车驾驶员无正当理由未按承诺到达约定地点提供预约服务；巡游出租汽车驾驶员不按照规定使用计程计价设备、违规收费或者网络预约出租汽车驾驶员违规收费；对举报、投诉其服务质量或者对其服务作出不满意评价的乘客实施报复等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59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对聘用未取得从业资格证的人员，驾驶出租汽车从事经营活动的处罚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《出租汽车驾驶员从业资格管理规定》（交通运输部令2016年第63号）第四十三条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1、立案责任：交通运输部门实施行政检查或者通过举报、其他机关移送、上级机关交办等途径，发现涉嫌聘用未取得从业资格证的人员，驾驶出租汽车从事经营活动的违法行为，予以审查，决定是否立案。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对聘用未按规定办理注册手续的人员，驾驶出租汽车从事经营活动的的；不按照规定组织实施继续教育的处罚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《出租汽车驾驶员从业资格管理规定》（交通运输部令2016年第63号）第四十四条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聘用未按规定办理注册手续的人员，驾驶出租汽车从事经营活动的的；不按照规定组织实施继续教育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9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取得巡游出租汽车经营许可，擅自从事巡游出租汽车经营活动的；起讫点均不在许可的经营区域从事巡游出租汽车经营活动的；使用未取得道路运输证的车辆，擅自从事巡游出租汽车经营活动的；使用失效、伪造、变造、被注销等无效道路运输证的车辆从事巡游出租汽车经营活动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《巡游出租汽车经营服务管理规定》（交通运输部令2016年第64号）第四十五条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取得巡游出租汽车经营许可，擅自从事巡游出租汽车经营活动的；起讫点均不在许可的经营区域从事巡游出租汽车经营活动的；使用未取得道路运输证的车辆，擅自从事巡游出租汽车经营活动的；使用失效、伪造、变造、被注销等无效道路运输证的车辆从事巡游出租汽车经营活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   9、应当依法移送追究刑事责任，而未依法移送有权机关的；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69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擅自暂停、终止全部或者部分巡游出租汽车经营的；出租或者擅自转让巡游出租汽车车辆经营权的；巡游出租汽车驾驶员转包经营未及时纠正的；不按照规定保证车辆技术状况良好的；不按照规定配置巡游出租汽车相关设备的；不按照规定建立并落实投诉举报制度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《巡游出租汽车经营服务管理规定》（交通运输部令2016年第64号）第四十六条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擅自暂停、终止全部或者部分巡游出租汽车经营的；出租或者擅自转让巡游出租汽车车辆经营权的；巡游出租汽车驾驶员转包经营未及时纠正的；不按照规定保证车辆技术状况良好的；不按照规定配置巡游出租汽车相关设备的；不按照规定建立并落实投诉举报制度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   9、应当依法移送追究刑事责任，而未依法移送有权机关的；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74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拒载、议价、途中甩客或者故意绕道行驶的；未经乘客同意搭载其他乘客的；不按照规定使用计程计价设备、违规收费的；不按照规定出具相应车费票据的；不按照规定携带道路运输证、从业资格证的；不按照规定使用巡游出租汽车相关设备的；接受巡游出租汽车电召任务后未履行约定的；不按照规定使用文明用语，车容车貌不符合要求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《巡游出租汽车经营服务管理规定》（交通运输部令2016年第64号）第四十七条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拒载、议价、途中甩客或者故意绕道行驶的；未经乘客同意搭载其他乘客的；不按照规定使用计程计价设备、违规收费的；不按照规定出具相应车费票据的；不按照规定携带道路运输证、从业资格证的；不按照规定使用巡游出租汽车相关设备的；接受巡游出租汽车电召任务后未履行约定的；不按照规定使用文明用语，车容车貌不符合要求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对在机场、火车站、汽车客运站、港口、公共交通枢纽等客流集散地不服从调度私自揽客的；转让、倒卖、伪造出租汽车相关票据的处罚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《巡游出租汽车经营服务管理规定》（交通运输部令2016年第64号）第四十八条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在机场、火车站、汽车客运站、港口、公共交通枢纽等客流集散地不服从调度私自揽客的；转让、倒卖、伪造出租汽车相关票据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对未取得经营许可，擅自从事或者变相从事网约车经营活动的；伪造、变造或者使用伪造、变造、失效的《网络预约出租汽车运输证》《网络预约出租汽车驾驶员证》从事网约车经营活动的处罚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《网络预约出租汽车经营服务管理暂行办法》（交通运输部 工业和信息化部 公安部 商务部 工商总局 质检总局 国家网信办令2019年第46号）第三十四条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取得经营许可，擅自从事或者变相从事网约车经营活动的；伪造、变造或者使用伪造、变造、失效的《网络预约出租汽车运输证》《网络预约出租汽车驾驶员证》从事网约车经营活动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   9、应当依法移送追究刑事责任，而未依法移送有权机关的；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819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网约车平台公司提供服务车辆未取得《网络预约出租汽车运输证》,或者线上提供服务车辆与线下实际提供服务车辆不一致的；提供服务驾驶员未取得《网络预约出租汽车驾驶员证》，或者线上提供服务驾驶员与线下实际提供服务驾驶员不一致的；未按照规定保证车辆技术状况良好的；起讫点均不在许可的经营区域从事网约车经营活动的；未按照规定将提供服务的车辆、驾驶员相关信息向服务所在地出租汽车行政主管部门报备的；未按照规定制定服务质量标准、建立并落实投诉举报制度的；未按照规定提供共享信息，或者不配合出租汽车行政主管部门调取查阅相关数据信息的；未履行管理责任，出现甩客、故意绕道、违规收费等严重违反国家相关运营服务标准行为的；不再具备线上线下服务能力或者有严重违法行为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《网络预约出租汽车经营服务管理暂行办法》（交通运输部 工业和信息化部 公安部 商务部 工商总局 质检总局 国家网信办令2019年第46号）第三十五条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网约车平台公司提供服务车辆未取得《网络预约出租汽车运输证》,或者线上提供服务车辆与线下实际提供服务车辆不一致的；提供服务驾驶员未取得《网络预约出租汽车驾驶员证》，或者线上提供服务驾驶员与线下实际提供服务驾驶员不一致的；未按照规定保证车辆技术状况良好的；起讫点均不在许可的经营区域从事网约车经营活动的；未按照规定将提供服务的车辆、驾驶员相关信息向服务所在地出租汽车行政主管部门报备的；未按照规定制定服务质量标准、建立并落实投诉举报制度的；未按照规定提供共享信息，或者不配合出租汽车行政主管部门调取查阅相关数据信息的；未履行管理责任，出现甩客、故意绕道、违规收费等严重违反国家相关运营服务标准行为的；不再具备线上线下服务能力或者有严重违法行为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对在非巡游车上使用巡游车车体颜色、专用标志、计价器的处罚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《河北省道路运输条例》（河北省第十二届人民代表大会常务委员会公告〔第116号〕) 第六十四条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1、立案责任：交通运输部门实施行政检查或者通过举报、其他机关移送、上级机关交办等途径，发现涉嫌在非巡游车上使用巡游车车体颜色、专用标志、计价器的违法行为，予以审查，决定是否立案。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对出租汽车客运经营者在巡游车车窗上贴有色膜、使用有色玻璃或者巡游车拒绝载客、网约车巡游揽客的；出租、出借、转让、涂改道路运输许可证件以及巡游车服务监督卡的处罚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《河北省道路运输条例》（河北省第十二届人民代表大会常务委员会公告〔第116号〕) 第六十五条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1、立案责任：交通运输部门实施行政检查或者通过举报、其他机关移送、上级机关交办等途径，发现涉嫌在非巡游车上使用巡游车车体颜色、专用标志、计价器的违法行为，予以审查，决定是否立案。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69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对擅自关闭卫星定位终端设备、屏蔽卫星定位终端设备信号的处罚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《河北省道路运输条例》（河北省第十二届人民代表大会常务委员会公告〔第116号〕) 第五十七条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1、立案责任：交通运输部门实施行政检查或者通过举报、其他机关移送、上级机关交办等途径，发现涉嫌擅自关闭卫星定位终端设备、屏蔽卫星定位终端设备信号的违法行为，予以审查，决定是否立案。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3、执法人员玩忽职守，对应当予以制止和处罚的违法行为不予制止、处罚，致使违法行为继续发生的；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对建设单位将建设工程发包给不具有相应资质等级的勘察、设计、施工单位或者委托给不具有相应资质等级的工程监理单位的处罚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《建设工程质量管理条例》（国务院令〔2000〕第279号，2019年4月23日修改）第五十四条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建设单位将建设工程发包给不具有相应资质等级的勘察、设计、施工单位或者委托给不具有相应资质等级的工程监理单位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对公路工程建设单位将建设工程肢解发包的处罚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《建设工程质量管理条例》（国务院令〔2000〕第279号，2019年4月23日修改）第五十五条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1、立案责任：交通运输部门实施行政检查或者通过举报、其他机关移送、上级机关交办等途径，发现涉嫌公路工程建设单位将建设工程肢解发包的违法行为，予以审查，决定是否立案。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76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建设单位迫使承包方以低于成本的价格竞标的；任意压缩合理工期的；明示或者暗示设计单位或者施工单位违反工程建设强制性标准，降低工程质量的；施工图设计文件未经审查或者审查不合格，擅自施工的；建设项目必须实行工程监理而未实行工程监理的；明示或者暗示施工单位使用不合格的建筑材料、建筑构配件和设备的；未按照国家规定将竣工验收报告、有关认可文件或者准许使用文件报送备案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《建设工程质量管理条例》（国务院令〔2000〕第279号，2019年4月23日修改）第五十六条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建设单位迫使承包方以低于成本的价格竞标的；任意压缩合理工期的；明示或者暗示设计单位或者施工单位违反工程建设强制性标准，降低工程质量的；施工图设计文件未经审查或者审查不合格，擅自施工的；建设项目必须实行工程监理而未实行工程监理的；明示或者暗示施工单位使用不合格的建筑材料、建筑构配件和设备的；未按照国家规定将竣工验收报告、有关认可文件或者准许使用文件报送备案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对公路工程建设单位未取得施工许可证或者开工报告未经批准，擅自施工的处罚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《建设工程质量管理条例》（国务院令〔2000〕第279号，2019年4月23日修改）第五十七条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建设单位未取得施工许可证或者开工报告未经批准，擅自施工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对公路工程建设单位未组织竣工验收，擅自交付使用的；验收不合格，擅自交付使用的；对不合格的建设工程按照合格工程验收的处罚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《建设工程质量管理条例》（国务院令〔2000〕第279号，2019年4月23日修改）第五十八条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建设单位未组织竣工验收，擅自交付使用的；验收不合格，擅自交付使用的；对不合格的建设工程按照合格工程验收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对公路工程勘察、设计、施工、工程监理单位超越本单位资质等级承揽工程的；未取得资质证书承揽工程的；以欺骗手段取得资质证书承揽工程的处罚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《建设工程质量管理条例》（国务院令〔2000〕第279号，2019年4月23日修改）第六十条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勘察、设计、施工、工程监理单位超越本单位资质等级承揽工程的；未取得资质证书承揽工程的；以欺骗手段取得资质证书承揽工程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对公路工程勘察、设计、施工、工程监理单位允许其他单位或者个人以本单位名义承揽工程的处罚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《建设工程质量管理条例》（国务院令〔2000〕第279号，2019年4月23日修改）第六十一条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勘察、设计、施工、工程监理单位允许其他单位或者个人以本单位名义承揽工程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对公路工程承包单位将承包的工程转包或者违法分包的处罚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《建设工程质量管理条例》（国务院令〔2000〕第279号，2019年4月23日修改）第六十二条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1、立案责任：交通运输部门实施行政检查或者通过举报、其他机关移送、上级机关交办等途径，发现涉嫌公路工程承包单位将承包的工程转包或者违法分包的违法行为，予以审查，决定是否立案。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7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勘察单位未按照工程建设强制性标准进行勘察、的，设计单位未根据勘察成果文件进行工程设计的；设计单位指定建筑材料、建筑构配件的生产厂、供应商的；设计单位未按照工程建设强制性标准进行设计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《建设工程质量管理条例》（国务院令〔2000〕第279号，2019年4月23日修改）第六十三条;《公路水运工程质量监督管理规定》（交通运输部令2017年第28号）第三十九条、第四十六条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勘察单位未按照工程建设强制性标准进行勘察、的，设计单位未根据勘察成果文件进行工程设计的；设计单位指定建筑材料、建筑构配件的生产厂、供应商的；设计单位未按照工程建设强制性标准进行设计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79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对公路工程施工单位在施工中偷工减料的，使用不合格的建筑材料、建筑构配件和设备的，或者有不按照工程设计图纸或者施工技术标准施工的其他行为的处罚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《建设工程质量管理条例》（国务院令〔2000〕第279号，2019年4月23日修改）第六十四条;《公路水运工程质量监督管理规定》（交通运输部令2017年第28号）第四十条、第四十六条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施工单位在施工中偷工减料的，使用不合格的建筑材料、建筑构配件和设备的，或者有不按照工程设计图纸或者施工技术标准施工的其他行为等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对公路工程未按规定对原材料、混合料、构配件等进行检验的处罚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《建设工程质量管理条例》（国务院令〔2000〕第279号，2019年4月23日修改）第六十五条;《公路水运工程质量监督管理规定》（交通运输部令2017年第28号）第四十一条、第四十六条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1、立案责任：交通运输部门实施行政检查或者通过举报、其他机关移送、上级机关交办等途径，发现涉嫌公路工程未按规定对原材料、混合料、构配件等进行检验的违法行为，予以审查，决定是否立案。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对公路工程施工中出现的质量问题或者验收不合格的工程，未进行返工处理或者拖延返工处理的；对保修范围和保修期限内发生质量问题的工程，不履行保修义务或者拖延履行保修义务的处罚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《建设工程质量管理条例》（国务院令〔2000〕第279号，2019年4月23日修改）第六十六条;《公路水运工程质量监督管理规定》（交通运输部令2017年第28号）第四十二条、第四十六条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施工中出现的质量问题或者验收不合格的工程，未进行返工处理或者拖延返工处理的；对保修范围和保修期限内发生质量问题的工程，不履行保修义务或者拖延履行保修义务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对公路工程监理单位在监理工作中弄虚作假、降低工程质量的，或者将不合格的建设工程、建筑材料、建筑构配件和设备按照合格签字的处罚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《建设工程质量管理条例》（国务院令〔2000〕第279号，2019年4月23日修改）第六十七条;《公路水运工程质量监督管理规定》（交通运输部令2017年第28号）第四十三条、第四十六条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监理单位在监理工作中弄虚作假、降低工程质量的，或者将不合格的建设工程、建筑材料、建筑构配件和设备按照合格签字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对公路工程设立工地临时实验室的单位弄虚作假、出具虚假数据报告的处罚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《公路水运工程质量监督管理规定》（交通运输部令2017年第28号）第四十四条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设立工地临时实验室的单位弄虚作假、出具虚假数据报告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对公路工程建设单位未按照规定办理工程质量监督手续的处罚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《建设工程质量管理条例》（国务院令〔2000〕第279号，2019年4月23日修改）第五十六条 第（六）项;《公路水运工程质量监督管理规定》（交通运输部令2017年第28号）第四十五条、第四十六条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1、立案责任：交通运输部门实施行政检查或者通过举报、其他机关移送、上级机关交办等途径，发现涉嫌公路工程建设单位未按照规定办理工程质量监督手续的违法行为，予以审查，决定是否立案。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81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施工单位未按照规定设置安全生产管理机构或者配备安全生产管理人员；主要负责人和安全生产管理人员未按照规定经考核合格；未按照规定对从业人员进行安全生产教育和培训，或者未按照规定如实告知有关的安全生产事项；未如实记录安全生产教育和培训情况；未将事故隐患排查治理情况如实记录或者未向从业人员通报；未按照规定制定生产安全事故应急救援预案或者未定期组织演练；特种作业人员未按规定经专门的安全作业培训并取得特种作业操作资格证书即上岗作业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安全生产法》（主席令〔2014〕第13号）第九十四条;《建设工程安全生产管理条例》（国务院令〔2003〕第393号）第六十二条第（一）（二）项;《河北省安全生产条例》（河北省第十届人民代表大会常务委员会公告第38号，2017年1月修改）第七十五条;《河北省安全生产条例》（河北省第十届人民代表大会常务委员会公告第38号，2017年1月修改）第七十五条;《公路水运工程安全生产监督管理办法》（交通运输部令2017年第25号）第五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施工单位未按照规定设置安全生产管理机构或者配备安全生产管理人员；主要负责人和安全生产管理人员未按照规定经考核合格；未按照规定对从业人员进行安全生产教育和培训，或者未按照规定如实告知有关的安全生产事项；未如实记录安全生产教育和培训情况；未将事故隐患排查治理情况如实记录或者未向从业人员通报；未按照规定制定生产安全事故应急救援预案或者未定期组织演练；特种作业人员未按规定经专门的安全作业培训并取得特种作业操作资格证书即上岗作业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74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施工单位未在有较大危险因素的生产经营场所和有关设施、设备上设置明显的安全警示标志的；安全设备的安装、使用、检测、改造和报废不符合国家标准或者行业标准的；未对安全设备进行经常性维护、保养和定期检测的；未为从业人员提供符合国家标准或者行业标准的劳动防护用品的；使用应当淘汰的危及生产安全的工艺、设备等行为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《中华人民共和国安全生产法》（主席令〔2014〕第13号）第九十六条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施工单位未在有较大危险因素的生产经营场所和有关设施、设备上设置明显的安全警示标志的；安全设备的安装、使用、检测、改造和报废不符合国家标准或者行业标准的；未对安全设备进行经常性维护、保养和定期检测的；未为从业人员提供符合国家标准或者行业标准的劳动防护用品的；使用应当淘汰的危及生产安全的工艺、设备等行为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7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建设单位对勘察、设计、施工、工程监理等单位提出不符合安全生产法律、法规和强制性标准规定的要求的；要求施工单位压缩合同约定的工期的；将拆除工程发包给不具有相应资质等级的施工单位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《建设工程安全生产管理条例》（国务院令〔2003〕第393号）第五十五条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建设单位对勘察、设计、施工、工程监理等单位提出不符合安全生产法律、法规和强制性标准规定的要求的；要求施工单位压缩合同约定的工期的；将拆除工程发包给不具有相应资质等级的施工单位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7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勘察单位、设计单位未按照法律、法规和工程建设强制性标准进行勘察、设计的；采用新结构、新材料、新工艺的建设工程和特殊结构的建设工程，设计单位未在设计中提出保障施工作业人员安全和预防生产安全事故的措施建议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《建设工程安全生产管理条例》（国务院令〔2003〕第393号）第五十六条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勘察单位、设计单位未按照法律、法规和工程建设强制性标准进行勘察、设计的；采用新结构、新材料、新工艺的建设工程和特殊结构的建设工程，设计单位未在设计中提出保障施工作业人员安全和预防生产安全事故的措施建议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72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89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监理单位未对施工组织设计中的安全技术措施或者专项施工方案进行审查；发现安全事故隐患未及时要求施工单位整改或者暂时停止施工的；施工单位拒不整改或者不停止施工，工程监理单位未及时向有关主管部门报告；工程监理单位未依照法律、法规和工程建设强制性标准实施监理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《建设工程安全生产管理条例》（国务院令〔2003〕第393号）第五十七条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监理单位未对施工组织设计中的安全技术措施或者专项施工方案进行审查；发现安全事故隐患未及时要求施工单位整改或者暂时停止施工的；施工单位拒不整改或者不停止施工，工程监理单位未及时向有关主管部门报告；工程监理单位未依照法律、法规和工程建设强制性标准实施监理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对为建设工程提供机械设备和配件的单位，未按照安全施工的要求配备齐全有效的保险、限位等安全设施和装置的处罚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《建设工程安全生产管理条例》（国务院令〔2003〕第393号）第五十九条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为建设工程提供机械设备和配件的单位，未按照安全施工的要求配备齐全有效的保险、限位等安全设施和装置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对出租单位出租未经安全性能检测或者经检测不合格的机械设备和施工机具及配件的处罚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《建设工程安全生产管理条例》（国务院令〔2003〕第393号）第六十条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出租单位出租未经安全性能检测或者经检测不合格的机械设备和施工机具及配件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9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施工起重机械和整体提升脚手架、模板等自升式架设设施安装、拆卸单位有下列行为之一的处罚：未编制拆装方案、制定安全施工措施的；未由专业技术人员现场监督的；未出具自检合格证明或者出具虚假证明的；未向施工单位进行安全使用说明，办理移交手续的</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《建设工程安全生产管理条例》（国务院令〔2003〕第393号）第六十一条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施工起重机械和整体提升脚手架、模板等自升式架设设施安装、拆卸单位有下列行为之一的处罚：未编制拆装方案、制定安全施工措施的；未由专业技术人员现场监督的；未出具自检合格证明或者出具虚假证明的；未向施工单位进行安全使用说明，办理移交手续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74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在施工现场的危险部位设置明显的安全警示标志，或者未按照国家有关规定在施工现场设置消防通道、消防水源、配备消防设施和灭火器材的；未向作业人员提供安全防护用具和安全防护服装的；未按照规定在施工起重机械和整体提升脚手架、模板等自升式架设设施验收合格后登记的；使用国家明令淘汰、禁止使用的危及施工安全的工艺、设备、材料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《建设工程安全生产管理条例》（国务院令〔2003〕第393号）第六十二条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在施工现场的危险部位设置明显的安全警示标志，或者未按照国家有关规定在施工现场设置消防通道、消防水源、配备消防设施和灭火器材的；未向作业人员提供安全防护用具和安全防护服装的；未按照规定在施工起重机械和整体提升脚手架、模板等自升式架设设施验收合格后登记的；使用国家明令淘汰、禁止使用的危及施工安全的工艺、设备、材料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对公路工程施工单位挪用列入建设工程概算的安全生产作业环境及安全施工措施所需费用的处罚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《建设工程安全生产管理条例》（国务院令〔2003〕第393号）第六十三条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施工单位挪用列入建设工程概算的安全生产作业环境及安全施工措施所需费用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施工单位施工前未对有关安全施工的技术要求作出详细说明；未根据不同施工阶段和周围环境及季节、气候的变化，在施工现场采取相应的安全施工措施，或者在城市市区内的建设工程的施工现场未实行封闭围挡；在尚未竣工的建筑物内设置员工集体宿舍的；施工现场临时搭建的建筑物不符合安全使用要求的；未对因建设工程施工可能造成损害的毗邻建筑物、构筑物和</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《建设工程安全生产管理条例》（国务院令〔2003〕第393号）第六十四条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1、立案责任：交通运输部门实施行政检查或者通过举报、其他机关移送、上级机关交办等途径，发现涉嫌公路工程建设单位将建设工程肢解发包的违法行为，予以审查，决定是否立案。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72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施工单位安全防护用具、机械设备、施工机具及配件在进入施工现场前未经查验或者查验不合格即投入使用；使用未经验收或者验收不合格的施工起重机械和整体提升脚手架、模板等自升式架设设施；在施工组织设计中未编制安全技术措施、施工现场临时用电方案或者专项施工方案等行为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《建设工程安全生产管理条例》（国务院令〔2003〕第393号）第六十五条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施工单位安全防护用具、机械设备、施工机具及配件在进入施工现场前未经查验或者查验不合格即投入使用；使用未经验收或者验收不合格的施工起重机械和整体提升脚手架、模板等自升式架设设施；在施工组织设计中未编制安全技术措施、施工现场临时用电方案或者专项施工方案等行为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对施工单位的主要负责人、项目负责人未履行安全生产管理职责的处罚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安全生产法》（主席令〔2014〕第13号）第九十一条；建设工程安全生产管理条例》（国务院令〔2003〕第393号）第六十六条；《河北省安全生产条例》（河北省第十届人民代表大会常务委员会公告第38号，2017年1月修改）第七十一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1、立案责任：交通运输部门实施行政检查或者通过举报、其他机关移送、上级机关交办等途径，发现涉嫌施工单位的主要负责人、项目负责人未履行安全生产管理职责的违法行为，予以审查，决定是否立案。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对从业单位未采取措施消除事故隐患的处罚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《中华人民共和国安全生产法》（主席令〔2014〕第13号）第九十九条；《河北省安全生产条例》（河北省第十届人民代表大会常务委员会公告第38号，2017年1月修改）第七十三条第二款</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1、立案责任：交通运输部门实施行政检查或者通过举报、其他机关移送、上级机关交办等途径，发现涉嫌从业单位未采取措施消除事故隐患的违法行为，予以审查，决定是否立案。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99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对从业单位与从业人员订立减轻或者免除其对从业人员因生产安全事故伤亡依法应承担责任的处罚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《中华人民共和国安全生产法》（主席令〔2014〕第13号）第一百零三条；《河北省安全生产条例》（河北省第十届人民代表大会常务委员会公告第38号，2017年1月修改）第七十八条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从业单位与从业人员订立减轻或者免除其对从业人员因生产安全事故伤亡依法应承担责任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对生产经营单位拒绝、阻碍负有安全生产监督管理职责的部门依法实施监督检查的的处罚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《中华人民共和国安全生产法》（主席令〔2014〕第13号）第一百零五条；《河北省安全生产条例》（河北省第十届人民代表大会常务委员会公告第38号，2017年1月修改）第八十条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生产经营单位拒绝、阻碍负有安全生产监督管理职责的部门依法实施监督检查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72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公路工程从业单位未全面履行安全生产责任，导致重大事故隐患的；未按规定开展设计、施工安全风险评估，或者风险评估结论与实际情况严重不符，导致重大事故隐患未被及时发现的；未按批准的专项施工方案进行施工，导致重大事故隐患的；在已发现的泥石流影响区、滑坡体等危险区域设置施工驻地，导致重大事故隐患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《公路水运工程安全生产监督管理办法》（交通运输部令2017年第25号）第五十五条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公路工程从业单位未全面履行安全生产责任，导致重大事故隐患的；未按规定开展设计、施工安全风险评估，或者风险评估结论与实际情况严重不符，导致重大事故隐患未被及时发现的；未按批准的专项施工方案进行施工，导致重大事故隐患的；在已发现的泥石流影响区、滑坡体等危险区域设置施工驻地，导致重大事故隐患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3、执法人员玩忽职守，对应当予以制止和处罚的违法行为不予制止、处罚，致使公路安全受到影响的；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5、国家机关工作人员在建设工程质量监督管理工作中玩忽职守、滥用职权、徇私舞弊，构成犯罪的；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11、其他违反法律法规规章文件规定的行为。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对应当报废的船舶、浮动设施在内河航行或者作业的处罚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《中华人民共和国内河交通安全管理条例》（国务院令〔2002〕第355号，2019年3月2日第三次修改）第六十三条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1、立案责任：交通运输部门实施行政检查或者通过举报、其他机关移送、上级机关交办等途径，发现涉嫌应当报废的船舶、浮动设施在内河航行或者作业的违法行为，予以审查，决定是否立案。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对船舶、浮动设施未持有合格的检验证书、登记证书或者船舶未持有必要的航行资料，擅自航行或者作业的处罚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《中华人民共和国内河交通安全管理条例》（国务院令〔2002〕第355号，2019年3月2日第三次修改）第六十四条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船舶、浮动设施涉嫌未持有合格的检验证书、登记证书或者船舶未持有必要的航行资料，擅自航行或者作业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对船舶未按照国务院交通主管部门的规定配备船员擅自航行，或者浮动设施未按照国务院交通主管部门的规定配备掌握水上交通安全技能的船员擅自作业的处罚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《中华人民共和国内河交通安全管理条例》（国务院令〔2002〕第355号，2019年3月2日第三次修改）第六十五条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船舶涉嫌未按照国务院交通主管部门的规定配备船员擅自航行，或者浮动设施未按照国务院交通主管部门的规定配备掌握水上交通安全技能的船员擅自作业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对未经考试合格并取得适任证书或者其他适任证件的人员擅自从事船舶航行的处罚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《中华人民共和国内河交通安全管理条例》（国务院令〔2002〕第355号，2019年3月2日第三次修改）第六十六条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经考试合格并取得适任证书或者其他适任证件的人员擅自从事船舶航行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7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对按照国家规定必须取得船舶污染损害责任、沉船打捞责任的保险文书或者财务保证书的船舶的所有人或者经营人，未取得船舶污染损害责任、沉船打捞责任保险文书或者财务担保证明的逾期不改正的处罚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《中华人民共和国内河交通安全管理条例》（国务院令〔2002〕第355号，2019年3月2日第三次修改）第六十七条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按照国家规定必须取得船舶污染损害责任、沉船打捞责任的保险文书或者财务保证书的船舶的所有人或者经营人，涉嫌未取得船舶污染损害责任、沉船打捞责任保险文书或者财务担保证明的逾期不改正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74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未按照规定悬挂国旗，标明船名、船籍港、载重线的；未按照规定向海事管理机构报告船舶的航次计划、适航状态、船员配备和载货载客等情况的；未按照规定申请引航的；擅自进出内河港口，强行通过交通管制区、通航密集区、航行条件受限制区域或者禁航区的；载运或者拖带超重、超长、超高、超宽、半潜的物体，未申请或者未按照核定的航路、时间航行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《中华人民共和国内河交通安全管理条例》（国务院令〔2002〕第355号，2019年3月2日第三次修改）第六十八条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未按照规定悬挂国旗，标明船名、船籍港、载重线的；未按照规定向海事管理机构报告船舶的航次计划、适航状态、船员配备和载货载客等情况的；未按照规定申请引航的；擅自进出内河港口，强行通过交通管制区、通航密集区、航行条件受限制区域或者禁航区的；载运或者拖带超重、超长、超高、超宽、半潜的物体，未申请或者未按照核定的航路、时间航行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对在内河通航水域或者岸线上进行有关作业或者活动未经批准或者备案，或者未设置标志、显示信号的处罚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《中华人民共和国内河交通安全管理条例》（国务院令〔2002〕第355号，2019年3月2日第三次修改）第七十条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在内河通航水域或者岸线上进行有关作业或者活动未经批准或者备案，或者未设置标志、显示信号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52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109</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对从事危险货物运输的船舶，未编制危险货物事故应急预案或者未配备相应的应急救援设备和器材的；船舶装卸、过驳危险货物或者载运危险货物进出港口未经海事管理机构、港口管理机构同意的处罚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《中华人民共和国内河交通安全管理条例》（国务院令〔2002〕第355号，2019年3月2日第三次修改）第七十一条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从事危险货物运输的船舶，未编制危险货物事故应急预案或者未配备相应的应急救援设备和器材的；船舶装卸、过驳危险货物或者载运危险货物进出港口未经海事管理机构、港口管理机构同意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110</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对船舶、浮动设施遇险后未履行报告义务或者不积极施救的处罚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《中华人民共和国内河交通安全管理条例》（国务院令〔2002〕第355号，2019年3月2日第三次修改）第七十六条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1、立案责任：交通运输部门实施行政检查或者通过举报、其他机关移送、上级机关交办等途径，发现船舶、浮动设施涉嫌遇险后未履行报告义务或者不积极施救的违法行为，予以审查，决定是否立案。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111</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对发生内河交通事故的船舶、浮动设施的责任船员的处罚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《中华人民共和国内河交通安全管理条例》（国务院令〔2002〕第355号，2019年3月2日第三次修改）第七十七条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1、立案责任：交通运输部门实施行政检查或者通过举报、其他机关移送、上级机关交办等途径，发现发生内河交通事故的船舶、浮动设施的责任船员，予以审查，决定是否立案。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112</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对遇险现场和附近的船舶、船员不服从海事管理机构的统一调度和指挥的行政处罚权</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《中华人民共和国内河交通安全管理条例》（国务院令〔2002〕第355号，2019年3月2日第三次修改）第七十八条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遇险现场和附近的船舶、船员涉嫌不服从海事管理机构的统一调度和指挥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9、其他违反法律法规规章文件规定的行为。</w:t>
            </w:r>
          </w:p>
        </w:tc>
      </w:tr>
      <w:tr>
        <w:tblPrEx>
          <w:tblCellMar>
            <w:top w:w="0" w:type="dxa"/>
            <w:left w:w="0" w:type="dxa"/>
            <w:bottom w:w="0" w:type="dxa"/>
            <w:right w:w="0" w:type="dxa"/>
          </w:tblCellMar>
        </w:tblPrEx>
        <w:trPr>
          <w:gridAfter w:val="1"/>
          <w:wAfter w:w="18" w:type="dxa"/>
          <w:trHeight w:val="630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113</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对伪造、变造、买卖、转借、冒用船舶检验证书、船舶登记证书、船员适任证书或者其他适任证件的处罚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《中华人民共和国内河交通安全管理条例》（国务院令〔2002〕第355号，2019年3月2日第三次修改）第七十九条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伪造、变造、买卖、转借、冒用船舶检验证书、船舶登记证书、船员适任证书或者其他适任证件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对船舶、浮动设施的所有人或者经营人指使、强令船员违章操作的处罚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《中华人民共和国内河交通安全管理条例》（国务院令〔2002〕第355号，2019年3月2日第三次修改）第八十条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1、立案责任：交通运输部门实施行政检查或者通过举报、其他机关移送、上级机关交办等途径，发现船舶、浮动设施的所有人或者经营人涉嫌指使、强令船员违章操作的违法行为，予以审查，决定是否立案。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115</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对船舶在内河航行、停泊或者作业，不遵守航行、避让和信号显示规则的的处罚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《中华人民共和国内河交通安全管理条例》（国务院令〔2002〕第355号，2019年3月2日第三次修改）第八十一条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船舶在内河航行、停泊或者作业，不遵守航行、避让和信号显示规则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116</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对船舶不具备安全技术条件从事货物、旅客运输，或者超载运输货物、旅客的处罚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《中华人民共和国内河交通安全管理条例》（国务院令〔2002〕第355号，2019年3月2日第三次修改）第八十二条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船舶不具备安全技术条件从事货物、旅客运输，或者超载运输货物、旅客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58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117</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对船舶、浮动设施发生内河交通事故后逃逸的处罚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《中华人民共和国内河交通安全管理条例》（国务院令〔2002〕第355号，2019年3月2日第三次修改）第八十三条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1、立案责任：交通运输部门实施行政检查或者通过举报、其他机关移送、上级机关交办等途径，发现船舶、浮动设施涉嫌发生内河交通事故后逃逸的违法行为，予以审查，决定是否立案。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607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118</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对阻碍、妨碍内河交通事故调查取证，或者谎报、隐匿、毁灭证据的处罚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《中华人民共和国内河交通安全管理条例》（国务院令〔2002〕第355号，2019年3月2日第三次修改）第八十四条</w:t>
            </w:r>
          </w:p>
        </w:tc>
        <w:tc>
          <w:tcPr>
            <w:tcW w:w="4768"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1、立案责任：交通运输部门实施行政检查或者通过举报、其他机关移送、上级机关交办等途径，发现涉嫌阻碍、妨碍内河交通事故调查取证，或者谎报、隐匿、毁灭证据的违法行为，予以审查，决定是否立案。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nil"/>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3、执法人员玩忽职守，对应当予以制止和处罚的违法行为不予制止、处罚，致使水上交通安全受到影响的；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5、应当依法移送追究刑事责任，而未依法移送有权机关的；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9、在行政处罚过程中发生腐败行为的；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10、其他违反法律法规规章文件规定的行为。</w:t>
            </w:r>
          </w:p>
        </w:tc>
      </w:tr>
      <w:tr>
        <w:tblPrEx>
          <w:tblCellMar>
            <w:top w:w="0" w:type="dxa"/>
            <w:left w:w="0" w:type="dxa"/>
            <w:bottom w:w="0" w:type="dxa"/>
            <w:right w:w="0" w:type="dxa"/>
          </w:tblCellMar>
        </w:tblPrEx>
        <w:trPr>
          <w:gridAfter w:val="1"/>
          <w:wAfter w:w="18" w:type="dxa"/>
          <w:trHeight w:val="675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119</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网络平台发布的提供服务班车客运经营者与实际提供班车客运经营者不一致的；发布的提供服务车辆与实际提供服务车辆不一致的；发布的提供服务驾驶员与实际提供服务驾驶员不一致的；超出班车客运经营者许可范围开展定制客运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《道路旅客运输及客运站管理规定》（交通运输部令2020年第17号）第一百零四条第一款第（一）项、第（二）项、第（三）项、第（四）项</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网络平台发布的提供服务班车客运经营者与实际提供班车客运经营者不一致的；发布的提供服务车辆与实际提供服务车辆不一致的；发布的提供服务驾驶员与实际提供服务驾驶员不一致的；超出班车客运经营者许可范围开展定制客运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gridAfter w:val="1"/>
          <w:wAfter w:w="18" w:type="dxa"/>
          <w:trHeight w:val="90"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120</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行政处罚</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对网络平台接入或者使用不符合规定的班车客运经营者、车辆或者驾驶员开展定制客运的处罚</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nil"/>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《道路旅客运输及客运站管理规定》（交通运输部令2020年第23号）第一百零四条第二款</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立案责任：交通运输部门实施行政检查或者通过举报、其他机关移送、上级机关交办等途径，发现涉嫌网络平台接入或者使用不符合规定的班车客运经营者、车辆或者驾驶员开展定制客运的行为予以审查，决定是否立案。</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调查责任：交通运输部门对立案的案件，指定专人负责，及时组织调查取证，与当事人有直接利害关系的应当回避。执法人员不得少于两人，调查时应出示执法证件，允许当事人陈述申辩。执法人员应保守有关秘密。</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审查责任：审理案件调查报告，对案件违法事实、证据、调查取证程序、法律适用、处罚种类和幅度、当事人陈述和申辩理由等方面进行审查，提出处理意见（主要证据不足时，以适当的方式补充调查）。拟作出重大行政处罚决定的，应当提交重大案件集体讨论会议决定。</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4、告知责任：作出行政处罚决定前，应制作《违法行为通知书》送达当事人，告知违法事实及其享有的陈述权、申辩权或者要求举行听证的权利。</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5、决定责任：制作《行政处罚决定书》，载明行政处罚、告知当事人申请行政复议或者提起行政诉讼的途径和期限。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6、送达责任：《行政处罚决定书》按法律规定的方式送达当事人。</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7、执行责任：依照生效的行政处罚决定执行。</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8、其他法律法规规章文件规定应履行的责任</w:t>
            </w:r>
          </w:p>
        </w:tc>
        <w:tc>
          <w:tcPr>
            <w:tcW w:w="30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1、没有法律和事实依据实施行政处罚的；         2、行政处罚显失公正的；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3、不具备行政执法资格实施行政处罚的；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4、擅自改变行政处罚种类、幅度的；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5、违反法定的行政处罚程序的；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6、符合听证条件、行政管理相对人要求听证，应予组织听证而不组织听证的；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7、在行政处罚过程中发生腐败行为的；</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8、其他违反法律法规规章文件规定的行为; 9、执法人员玩忽职守，对应当予以制止和处罚的违法行为不予制止、处罚，致使违法行为继续发生的；</w:t>
            </w:r>
          </w:p>
        </w:tc>
      </w:tr>
      <w:tr>
        <w:tblPrEx>
          <w:tblCellMar>
            <w:top w:w="0" w:type="dxa"/>
            <w:left w:w="0" w:type="dxa"/>
            <w:bottom w:w="0" w:type="dxa"/>
            <w:right w:w="0" w:type="dxa"/>
          </w:tblCellMar>
        </w:tblPrEx>
        <w:trPr>
          <w:trHeight w:val="2494"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121</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行政强制</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暂扣没有车辆营运证又无法当场提供其他有效证明的车辆</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《中华人民共和国道路运输条例》(国务院令〔2004〕第406号，2019年3月2日第三次修订)第六十二条          《河北省道路运输条例》（河北省第十二届人民代表大会常务委员会公告第116号) 第五十五条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1.告知责任：当场告知当事人采取行政强制措施的理由、依据以及当事人依法享有的权利、救济途径。                   2.决定责任：制作并当场交付《行政强制措施决定书》。                       3.执行责任：实施行政强制措施。       4.解除责任：及时作出解除查封、扣押决定，制作《解除行政强制措施决定书》，并及时送达当事人，退还扣押财物。     5.其他法律法规规章文件规定应履行的责任。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               1、对不符合条件的实施行政强制的；    2.因违法实施行政强制，给行政相对人造成损失的；                           3、违反法定权限、程序实施行政强制的；                                                         4、工作中玩忽职守、滥用职权的；     5、在行使行政强制权过程中发生腐败行为的；                                 6、其他违反法律法规规章文件规定的行为。</w:t>
            </w:r>
          </w:p>
        </w:tc>
      </w:tr>
      <w:tr>
        <w:tblPrEx>
          <w:tblCellMar>
            <w:top w:w="0" w:type="dxa"/>
            <w:left w:w="0" w:type="dxa"/>
            <w:bottom w:w="0" w:type="dxa"/>
            <w:right w:w="0" w:type="dxa"/>
          </w:tblCellMar>
        </w:tblPrEx>
        <w:trPr>
          <w:trHeight w:val="1988"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122</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行政强制</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营运货车超载的强制卸货</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《中华人民共和国道路运输条例》(国务院令〔2004〕第406号，2019年3月2日第三次修订)第六十一条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1.告知责任：当场告知当事人采取行政强制措施的理由、依据以及当事人依法享有的权利、救济途径。                   2.决定责任：制作并当场交付《行政强制措施决定书》。                       3.执行责任：实施行政强制措施。       4.解除责任：及时作出解除查封、扣押决定，制作《解除行政强制措施决定书》，并及时送达当事人，退还扣押财物。     5.其他法律法规规章文件规定应履行的责任。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 xml:space="preserve">因不履行或不正确履行行政职责，有下列情形的，行政机关及相关工作人员应承担相应责任：               </w:t>
            </w:r>
          </w:p>
          <w:p>
            <w:pPr>
              <w:widowControl/>
              <w:numPr>
                <w:ilvl w:val="0"/>
                <w:numId w:val="1"/>
              </w:numPr>
              <w:snapToGrid w:val="0"/>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 xml:space="preserve">对不符合条件的实施行政强制的；    2.因违法实施行政强制，给行政相对人造成损失的；                           3、违反法定权限、程序实施行政强制的；                                                         4、工作中玩忽职守、滥用职权的；     </w:t>
            </w:r>
          </w:p>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5、在行使行政强制权过程中发生腐败行为的；                                 6、其他违反法律法规规章文件规定的行为。</w:t>
            </w:r>
          </w:p>
        </w:tc>
      </w:tr>
      <w:tr>
        <w:tblPrEx>
          <w:tblCellMar>
            <w:top w:w="0" w:type="dxa"/>
            <w:left w:w="0" w:type="dxa"/>
            <w:bottom w:w="0" w:type="dxa"/>
            <w:right w:w="0" w:type="dxa"/>
          </w:tblCellMar>
        </w:tblPrEx>
        <w:trPr>
          <w:trHeight w:val="3243"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123</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行政强制</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强制拆除违法在公路用地范围内设置公路标志以外的其他标志</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《中华人民共和国公路法》（主席令〔1997〕第86号，2017年11月4日第五次修正）第七十九条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textAlignment w:val="center"/>
              <w:rPr>
                <w:rFonts w:ascii="宋体" w:hAnsi="宋体" w:eastAsia="宋体" w:cs="宋体"/>
                <w:color w:val="auto"/>
                <w:sz w:val="18"/>
                <w:szCs w:val="18"/>
              </w:rPr>
            </w:pPr>
            <w:r>
              <w:rPr>
                <w:rFonts w:ascii="宋体" w:hAnsi="宋体" w:eastAsia="宋体" w:cs="宋体"/>
                <w:color w:val="auto"/>
                <w:sz w:val="18"/>
                <w:szCs w:val="18"/>
                <w:lang w:bidi="ar"/>
              </w:rPr>
              <w:t>1.催告责任:对违法在公路用地范围内设置公路标志以外的其他标志，在规定期限内未拆除的，下达催告通知书，催告履行义务以及履行义务的期限、方式和当事人依法享有的陈述权和申辩权。               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                               3.执行责任:拆除违法设置的标志。         4.事后监管责任:现场检查拆除恢复情况。         5.其他法律法规规章文件规定应履行的责任。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               1、对不符合条件的实施行政强制的；    2、扩大强制执行范围的；             3.因违法实施行政强制，给行政相对人造成损失的；                           4、违反法定权限、程序实施行政强制的；                                                         5、工作中玩忽职守、滥用职权的；      6、在行使行政强制权过程中发生腐败行为的；                                 7、其他违反法律法规规章文件规定的行为。</w:t>
            </w:r>
          </w:p>
        </w:tc>
      </w:tr>
      <w:tr>
        <w:tblPrEx>
          <w:tblCellMar>
            <w:top w:w="0" w:type="dxa"/>
            <w:left w:w="0" w:type="dxa"/>
            <w:bottom w:w="0" w:type="dxa"/>
            <w:right w:w="0" w:type="dxa"/>
          </w:tblCellMar>
        </w:tblPrEx>
        <w:trPr>
          <w:trHeight w:val="1842" w:hRule="atLeast"/>
        </w:trPr>
        <w:tc>
          <w:tcPr>
            <w:tcW w:w="806"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124</w:t>
            </w:r>
          </w:p>
        </w:tc>
        <w:tc>
          <w:tcPr>
            <w:tcW w:w="90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行政强制</w:t>
            </w:r>
          </w:p>
        </w:tc>
        <w:tc>
          <w:tcPr>
            <w:tcW w:w="125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生产经营单位拒不执行停产停业、停止施工、停止使用相关设施或者设备的决定，有发生生产安全事故的现实危险的，采取停止供电措施</w:t>
            </w:r>
          </w:p>
        </w:tc>
        <w:tc>
          <w:tcPr>
            <w:tcW w:w="1083"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《中华人民共和国安全生产法》（主席令〔2014〕第13号）第六十七条</w:t>
            </w:r>
          </w:p>
        </w:tc>
        <w:tc>
          <w:tcPr>
            <w:tcW w:w="4768" w:type="dxa"/>
            <w:tcMar>
              <w:top w:w="15" w:type="dxa"/>
              <w:left w:w="15" w:type="dxa"/>
              <w:bottom w:w="0" w:type="dxa"/>
              <w:right w:w="15" w:type="dxa"/>
            </w:tcMar>
            <w:vAlign w:val="center"/>
          </w:tcPr>
          <w:p>
            <w:pPr>
              <w:widowControl/>
              <w:numPr>
                <w:ilvl w:val="0"/>
                <w:numId w:val="2"/>
              </w:numPr>
              <w:snapToGrid w:val="0"/>
              <w:textAlignment w:val="center"/>
              <w:rPr>
                <w:rFonts w:ascii="宋体" w:hAnsi="宋体" w:eastAsia="宋体" w:cs="宋体"/>
                <w:color w:val="auto"/>
                <w:sz w:val="18"/>
                <w:szCs w:val="18"/>
              </w:rPr>
            </w:pPr>
            <w:r>
              <w:rPr>
                <w:rFonts w:ascii="宋体" w:hAnsi="宋体" w:eastAsia="宋体" w:cs="宋体"/>
                <w:color w:val="auto"/>
                <w:sz w:val="18"/>
                <w:szCs w:val="18"/>
                <w:lang w:bidi="ar"/>
              </w:rPr>
              <w:t>催告责任</w:t>
            </w:r>
            <w:r>
              <w:rPr>
                <w:rFonts w:hint="eastAsia" w:ascii="宋体" w:hAnsi="宋体" w:eastAsia="宋体" w:cs="宋体"/>
                <w:color w:val="auto"/>
                <w:kern w:val="0"/>
                <w:sz w:val="18"/>
                <w:szCs w:val="18"/>
                <w:lang w:bidi="ar"/>
              </w:rPr>
              <w:t>:生产经营单位拒不执行停产停业、停止施工、停止使用相关设施或者设备的决定，有发生生产安全事故的现实危险的，下达催告通知书，催告履行义务以及履行义务的期限、方式和当事人依法享有的陈述权和申辩权。</w:t>
            </w:r>
            <w:r>
              <w:rPr>
                <w:rFonts w:ascii="宋体" w:hAnsi="宋体" w:eastAsia="宋体" w:cs="宋体"/>
                <w:color w:val="auto"/>
                <w:sz w:val="18"/>
                <w:szCs w:val="18"/>
                <w:lang w:bidi="ar"/>
              </w:rPr>
              <w:t xml:space="preserve">               </w:t>
            </w:r>
          </w:p>
          <w:p>
            <w:pPr>
              <w:widowControl/>
              <w:numPr>
                <w:ilvl w:val="0"/>
                <w:numId w:val="2"/>
              </w:numPr>
              <w:snapToGrid w:val="0"/>
              <w:textAlignment w:val="center"/>
              <w:rPr>
                <w:rFonts w:hint="eastAsia" w:ascii="宋体" w:hAnsi="宋体" w:eastAsia="宋体" w:cs="宋体"/>
                <w:color w:val="auto"/>
                <w:sz w:val="18"/>
                <w:szCs w:val="18"/>
                <w:lang w:bidi="ar"/>
              </w:rPr>
            </w:pPr>
            <w:r>
              <w:rPr>
                <w:rFonts w:ascii="宋体" w:hAnsi="宋体" w:eastAsia="宋体" w:cs="宋体"/>
                <w:color w:val="auto"/>
                <w:sz w:val="18"/>
                <w:szCs w:val="18"/>
                <w:lang w:bidi="ar"/>
              </w:rPr>
              <w:t xml:space="preserve">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                                3.执行责任:采取停止供电措施。         </w:t>
            </w:r>
          </w:p>
          <w:p>
            <w:pPr>
              <w:widowControl/>
              <w:numPr>
                <w:ilvl w:val="0"/>
                <w:numId w:val="2"/>
              </w:numPr>
              <w:snapToGrid w:val="0"/>
              <w:textAlignment w:val="center"/>
              <w:rPr>
                <w:rFonts w:ascii="Times New Roman" w:hAnsi="Times New Roman" w:eastAsia="仿宋_GB2312" w:cs="Times New Roman"/>
                <w:color w:val="auto"/>
                <w:sz w:val="32"/>
                <w:szCs w:val="32"/>
              </w:rPr>
            </w:pPr>
            <w:r>
              <w:rPr>
                <w:rFonts w:ascii="宋体" w:hAnsi="宋体" w:eastAsia="宋体" w:cs="宋体"/>
                <w:color w:val="auto"/>
                <w:sz w:val="18"/>
                <w:szCs w:val="18"/>
                <w:lang w:bidi="ar"/>
              </w:rPr>
              <w:t>事后监管责任</w:t>
            </w:r>
            <w:r>
              <w:rPr>
                <w:rFonts w:hint="eastAsia" w:ascii="宋体" w:hAnsi="宋体" w:eastAsia="宋体" w:cs="宋体"/>
                <w:color w:val="auto"/>
                <w:kern w:val="0"/>
                <w:sz w:val="18"/>
                <w:szCs w:val="18"/>
                <w:lang w:bidi="ar"/>
              </w:rPr>
              <w:t>:消除安全隐患。</w:t>
            </w:r>
            <w:r>
              <w:rPr>
                <w:rFonts w:ascii="宋体" w:hAnsi="宋体" w:eastAsia="宋体" w:cs="宋体"/>
                <w:color w:val="auto"/>
                <w:sz w:val="18"/>
                <w:szCs w:val="18"/>
                <w:lang w:bidi="ar"/>
              </w:rPr>
              <w:t xml:space="preserve">         </w:t>
            </w:r>
          </w:p>
          <w:p>
            <w:pPr>
              <w:widowControl/>
              <w:snapToGrid w:val="0"/>
              <w:textAlignment w:val="center"/>
              <w:rPr>
                <w:rFonts w:ascii="宋体" w:hAnsi="宋体" w:eastAsia="宋体" w:cs="宋体"/>
                <w:color w:val="auto"/>
                <w:sz w:val="18"/>
                <w:szCs w:val="18"/>
              </w:rPr>
            </w:pPr>
            <w:r>
              <w:rPr>
                <w:rFonts w:ascii="宋体" w:hAnsi="宋体" w:eastAsia="宋体" w:cs="宋体"/>
                <w:color w:val="auto"/>
                <w:sz w:val="18"/>
                <w:szCs w:val="18"/>
                <w:lang w:bidi="ar"/>
              </w:rPr>
              <w:t>5.其他法律法规规章文件规定应履行的责任。</w:t>
            </w:r>
          </w:p>
        </w:tc>
        <w:tc>
          <w:tcPr>
            <w:tcW w:w="3050" w:type="dxa"/>
            <w:gridSpan w:val="2"/>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               1、对不符合条件的实施行政强制的；    2、扩大强制执行范围的；             3.因违法实施行政强制，给行政相对人造成损失的；                           4、违反法定权限、程序实施行政强制的；                                                         5、工作中玩忽职守、滥用职权的；      6、在行使行政强制权过程中发生腐败行为的；                                 7、其他违反法律法规规章文件规定的行为。</w:t>
            </w:r>
          </w:p>
        </w:tc>
      </w:tr>
      <w:tr>
        <w:tblPrEx>
          <w:tblCellMar>
            <w:top w:w="0" w:type="dxa"/>
            <w:left w:w="0" w:type="dxa"/>
            <w:bottom w:w="0" w:type="dxa"/>
            <w:right w:w="0" w:type="dxa"/>
          </w:tblCellMar>
        </w:tblPrEx>
        <w:trPr>
          <w:trHeight w:val="1872"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125</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行政强制</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对船舶、浮动设施未持有合格的检验证书、登记证书或者船舶未持有必要的航行资料，擅自航行或者作业，拒不停止的，暂扣船舶、浮动设施</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《中华人民共和国内河交通安全管理条例》（国务院令〔2002〕第355号，2019年3月2日第三次修改）第六十四条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1.告知责任：当场告知当事人采取行政强制措施的理由、依据以及当事人依法享有的权利、救济途径。                                    2.决定责任：制作并当场交付《行政强制措施决定书》。                                 3.执行责任：实施行政强制措施。            4.解除责任：及时作出解除查封、扣押决定，制作《解除行政强制措施决定书》，并及时送达当事人，退还扣押财物。                      5.其他法律法规规章文件规定应履行的责任。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               1、对不符合条件的实施行政强制的；    2.因违法实施行政强制，给行政相对人造成损失的；                           3、违反法定权限、程序实施行政强制的；                                                         4、工作中玩忽职守、滥用职权的；     5、在行使行政强制权过程中发生腐败行为的；                           6、其他违反法律法规规章文件规定的行为。</w:t>
            </w:r>
          </w:p>
        </w:tc>
      </w:tr>
      <w:tr>
        <w:tblPrEx>
          <w:tblCellMar>
            <w:top w:w="0" w:type="dxa"/>
            <w:left w:w="0" w:type="dxa"/>
            <w:bottom w:w="0" w:type="dxa"/>
            <w:right w:w="0" w:type="dxa"/>
          </w:tblCellMar>
        </w:tblPrEx>
        <w:trPr>
          <w:trHeight w:val="2072"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126</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行政强制</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船舶未在码头、泊位或者依法公布的锚地、停泊区、作业区停泊，责令改正但拒不改正的，予以强行拖离</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《中华人民共和国内河交通安全管理条例》（国务院令〔2002〕第355号，2019年3月2日第三次修改）第六十九条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ascii="宋体" w:hAnsi="宋体" w:eastAsia="宋体" w:cs="宋体"/>
                <w:color w:val="auto"/>
                <w:sz w:val="18"/>
                <w:szCs w:val="18"/>
                <w:lang w:bidi="ar"/>
              </w:rPr>
              <w:t>1.催告责任:</w:t>
            </w:r>
            <w:r>
              <w:rPr>
                <w:rFonts w:hint="eastAsia" w:ascii="宋体" w:hAnsi="宋体" w:eastAsia="宋体" w:cs="宋体"/>
                <w:color w:val="auto"/>
                <w:kern w:val="0"/>
                <w:sz w:val="18"/>
                <w:szCs w:val="18"/>
                <w:lang w:bidi="ar"/>
              </w:rPr>
              <w:t>对未在码头、泊位或者依法公布的锚地、停泊区、作业区停泊，责令改正但拒不改正的的船舶下达催告通知书，催告履行义务以及履行义务的期限、方式和当事人依法享有的陈述权和申辩权。</w:t>
            </w:r>
            <w:r>
              <w:rPr>
                <w:rFonts w:ascii="宋体" w:hAnsi="宋体" w:eastAsia="宋体" w:cs="宋体"/>
                <w:color w:val="auto"/>
                <w:sz w:val="18"/>
                <w:szCs w:val="18"/>
                <w:lang w:bidi="ar"/>
              </w:rPr>
              <w:t xml:space="preserve">                              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                               3.执行责任:</w:t>
            </w:r>
            <w:r>
              <w:rPr>
                <w:rFonts w:hint="eastAsia" w:ascii="宋体" w:hAnsi="宋体" w:eastAsia="宋体" w:cs="宋体"/>
                <w:color w:val="auto"/>
                <w:kern w:val="0"/>
                <w:sz w:val="18"/>
                <w:szCs w:val="18"/>
                <w:lang w:bidi="ar"/>
              </w:rPr>
              <w:t>拖离船舶</w:t>
            </w:r>
            <w:r>
              <w:rPr>
                <w:rFonts w:ascii="宋体" w:hAnsi="宋体" w:eastAsia="宋体" w:cs="宋体"/>
                <w:color w:val="auto"/>
                <w:sz w:val="18"/>
                <w:szCs w:val="18"/>
                <w:lang w:bidi="ar"/>
              </w:rPr>
              <w:t>。                    4.事后监管责任:</w:t>
            </w:r>
            <w:r>
              <w:rPr>
                <w:rFonts w:hint="eastAsia" w:ascii="宋体" w:hAnsi="宋体" w:eastAsia="宋体" w:cs="宋体"/>
                <w:color w:val="auto"/>
                <w:kern w:val="0"/>
                <w:sz w:val="18"/>
                <w:szCs w:val="18"/>
                <w:lang w:bidi="ar"/>
              </w:rPr>
              <w:t>现场检查。</w:t>
            </w:r>
            <w:r>
              <w:rPr>
                <w:rFonts w:ascii="宋体" w:hAnsi="宋体" w:eastAsia="宋体" w:cs="宋体"/>
                <w:color w:val="auto"/>
                <w:sz w:val="18"/>
                <w:szCs w:val="18"/>
                <w:lang w:bidi="ar"/>
              </w:rPr>
              <w:t xml:space="preserve">                     5.其他法律法规规章文件规定应履行的责任。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               1、对不符合条件的实施行政强制的；    2、扩大强制执行范围的；             3.因违法实施行政强制，给行政相对人造成损失的；                           4、违反法定权限、程序实施行政强制的；                                                         5、工作中玩忽职守、滥用职权的；      6、在行使行政强制权过程中发生腐败行为的；                                 7、其他违反法律法规规章文件规定的行为。</w:t>
            </w:r>
          </w:p>
        </w:tc>
      </w:tr>
      <w:tr>
        <w:tblPrEx>
          <w:tblCellMar>
            <w:top w:w="0" w:type="dxa"/>
            <w:left w:w="0" w:type="dxa"/>
            <w:bottom w:w="0" w:type="dxa"/>
            <w:right w:w="0" w:type="dxa"/>
          </w:tblCellMar>
        </w:tblPrEx>
        <w:trPr>
          <w:trHeight w:val="3328"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127</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行政强制</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在内河通航水域的航道内养殖、种植植物、水生物或者设置永久性固定设施的，责令限期改正但逾期不改正的，予以强制清除</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《中华人民共和国内河交通安全管理条例》（国务院令〔2002〕第355号，2019年3月2日第三次修改）第七十四条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ascii="宋体" w:hAnsi="宋体" w:eastAsia="宋体" w:cs="宋体"/>
                <w:color w:val="auto"/>
                <w:sz w:val="18"/>
                <w:szCs w:val="18"/>
                <w:lang w:bidi="ar"/>
              </w:rPr>
              <w:t>1.催告责任</w:t>
            </w:r>
            <w:r>
              <w:rPr>
                <w:rFonts w:hint="eastAsia" w:ascii="宋体" w:hAnsi="宋体" w:eastAsia="宋体" w:cs="宋体"/>
                <w:color w:val="auto"/>
                <w:kern w:val="0"/>
                <w:sz w:val="18"/>
                <w:szCs w:val="18"/>
                <w:lang w:bidi="ar"/>
              </w:rPr>
              <w:t>:对内河通航水域的航道内养殖、种植植物、水生物或者设置永久性固定设施的，责令限期改正但逾期不改正的，下达催告通知书，催告履行义务以及履行义务的期限、方式和当事人依法享有的陈述权和申辩权。</w:t>
            </w:r>
            <w:r>
              <w:rPr>
                <w:rFonts w:ascii="宋体" w:hAnsi="宋体" w:eastAsia="宋体" w:cs="宋体"/>
                <w:color w:val="auto"/>
                <w:sz w:val="18"/>
                <w:szCs w:val="18"/>
                <w:lang w:bidi="ar"/>
              </w:rPr>
              <w:t xml:space="preserve">                      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                               3.执行责任</w:t>
            </w:r>
            <w:r>
              <w:rPr>
                <w:rFonts w:hint="eastAsia" w:ascii="宋体" w:hAnsi="宋体" w:eastAsia="宋体" w:cs="宋体"/>
                <w:color w:val="auto"/>
                <w:kern w:val="0"/>
                <w:sz w:val="18"/>
                <w:szCs w:val="18"/>
                <w:lang w:bidi="ar"/>
              </w:rPr>
              <w:t>:清除内河通航水域的航道内养殖、种植植物、水生物或者永久性固定设施。</w:t>
            </w:r>
            <w:r>
              <w:rPr>
                <w:rFonts w:ascii="宋体" w:hAnsi="宋体" w:eastAsia="宋体" w:cs="宋体"/>
                <w:color w:val="auto"/>
                <w:sz w:val="18"/>
                <w:szCs w:val="18"/>
                <w:lang w:bidi="ar"/>
              </w:rPr>
              <w:t xml:space="preserve">                                 4.事后监管责任</w:t>
            </w:r>
            <w:r>
              <w:rPr>
                <w:rFonts w:hint="eastAsia" w:ascii="宋体" w:hAnsi="宋体" w:eastAsia="宋体" w:cs="宋体"/>
                <w:color w:val="auto"/>
                <w:kern w:val="0"/>
                <w:sz w:val="18"/>
                <w:szCs w:val="18"/>
                <w:lang w:bidi="ar"/>
              </w:rPr>
              <w:t>:现场检查通航恢复情况。</w:t>
            </w:r>
            <w:r>
              <w:rPr>
                <w:rFonts w:ascii="宋体" w:hAnsi="宋体" w:eastAsia="宋体" w:cs="宋体"/>
                <w:color w:val="auto"/>
                <w:sz w:val="18"/>
                <w:szCs w:val="18"/>
                <w:lang w:bidi="ar"/>
              </w:rPr>
              <w:t xml:space="preserve">         5.其他法律法规规章文件规定应履行的责任。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               1、对不符合条件的实施行政强制的；    2、扩大强制执行范围的；             3.因违法实施行政强制，给行政相对人造成损失的；                           4、违反法定权限、程序实施行政强制的；                                                         5、工作中玩忽职守、滥用职权的；      6、在行使行政强制权过程中发生腐败行为的；                                 7、其他违反法律法规规章文件规定的行为。</w:t>
            </w:r>
          </w:p>
        </w:tc>
      </w:tr>
      <w:tr>
        <w:tblPrEx>
          <w:tblCellMar>
            <w:top w:w="0" w:type="dxa"/>
            <w:left w:w="0" w:type="dxa"/>
            <w:bottom w:w="0" w:type="dxa"/>
            <w:right w:w="0" w:type="dxa"/>
          </w:tblCellMar>
        </w:tblPrEx>
        <w:trPr>
          <w:trHeight w:val="3129"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128</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行政强制</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ascii="宋体" w:hAnsi="宋体" w:eastAsia="宋体" w:cs="宋体"/>
                <w:color w:val="auto"/>
                <w:sz w:val="18"/>
                <w:szCs w:val="18"/>
                <w:lang w:bidi="ar"/>
              </w:rPr>
              <w:t>对内河通航水域中的沉没物、漂流物、搁浅物的所有人或者经营人，未按照国家有关规定设置标志或者未在规定的时间内打捞清除的，</w:t>
            </w:r>
            <w:r>
              <w:rPr>
                <w:rFonts w:hint="eastAsia" w:ascii="宋体" w:hAnsi="宋体" w:eastAsia="宋体" w:cs="宋体"/>
                <w:color w:val="auto"/>
                <w:kern w:val="0"/>
                <w:sz w:val="18"/>
                <w:szCs w:val="18"/>
                <w:lang w:bidi="ar"/>
              </w:rPr>
              <w:t>责令限期改正但逾期不改正的</w:t>
            </w:r>
            <w:r>
              <w:rPr>
                <w:rFonts w:ascii="宋体" w:hAnsi="宋体" w:eastAsia="宋体" w:cs="宋体"/>
                <w:color w:val="auto"/>
                <w:sz w:val="18"/>
                <w:szCs w:val="18"/>
                <w:lang w:bidi="ar"/>
              </w:rPr>
              <w:t>，强制设置标志或者组织打捞清除；</w:t>
            </w:r>
            <w:r>
              <w:rPr>
                <w:rFonts w:hint="eastAsia" w:ascii="宋体" w:hAnsi="宋体" w:eastAsia="宋体" w:cs="宋体"/>
                <w:color w:val="auto"/>
                <w:kern w:val="0"/>
                <w:sz w:val="18"/>
                <w:szCs w:val="18"/>
                <w:lang w:bidi="ar"/>
              </w:rPr>
              <w:t>需要立即组织打捞清除的，应当及时组织打捞清除</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《中华人民共和国内河交通安全管理条例》（国务院令〔2002〕第355号，2019年3月2日第三次修改）第七十五条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ascii="宋体" w:hAnsi="宋体" w:eastAsia="宋体" w:cs="宋体"/>
                <w:color w:val="auto"/>
                <w:sz w:val="18"/>
                <w:szCs w:val="18"/>
                <w:lang w:bidi="ar"/>
              </w:rPr>
              <w:t>1.催告责任</w:t>
            </w:r>
            <w:r>
              <w:rPr>
                <w:rFonts w:hint="eastAsia" w:ascii="宋体" w:hAnsi="宋体" w:eastAsia="宋体" w:cs="宋体"/>
                <w:color w:val="auto"/>
                <w:kern w:val="0"/>
                <w:sz w:val="18"/>
                <w:szCs w:val="18"/>
                <w:lang w:bidi="ar"/>
              </w:rPr>
              <w:t>:对内河通航水域中的沉没物、漂流物、搁浅物的所有人或者经营人，未按照国家有关规定设置标志或者未在规定的时间内打捞清除的，责令限期改正但逾期不改正的，下达催告通知书，催告履行义务以及履行义务的期限、方式和当事人依法享有的陈述权和申辩权。（需要立即组织打捞清除的，免除此项责任）</w:t>
            </w:r>
            <w:r>
              <w:rPr>
                <w:rFonts w:ascii="宋体" w:hAnsi="宋体" w:eastAsia="宋体" w:cs="宋体"/>
                <w:color w:val="auto"/>
                <w:sz w:val="18"/>
                <w:szCs w:val="18"/>
                <w:lang w:bidi="ar"/>
              </w:rPr>
              <w:t xml:space="preserve">               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r>
              <w:rPr>
                <w:rFonts w:hint="eastAsia" w:ascii="宋体" w:hAnsi="宋体" w:eastAsia="宋体" w:cs="宋体"/>
                <w:color w:val="auto"/>
                <w:kern w:val="0"/>
                <w:sz w:val="18"/>
                <w:szCs w:val="18"/>
                <w:lang w:bidi="ar"/>
              </w:rPr>
              <w:t>（需要立即组织打捞清除的，免除此项责任）</w:t>
            </w:r>
            <w:r>
              <w:rPr>
                <w:rFonts w:ascii="宋体" w:hAnsi="宋体" w:eastAsia="宋体" w:cs="宋体"/>
                <w:color w:val="auto"/>
                <w:sz w:val="18"/>
                <w:szCs w:val="18"/>
                <w:lang w:bidi="ar"/>
              </w:rPr>
              <w:t xml:space="preserve">                                 3.执行责任:清除</w:t>
            </w:r>
            <w:r>
              <w:rPr>
                <w:rFonts w:hint="eastAsia" w:ascii="宋体" w:hAnsi="宋体" w:eastAsia="宋体" w:cs="宋体"/>
                <w:color w:val="auto"/>
                <w:kern w:val="0"/>
                <w:sz w:val="18"/>
                <w:szCs w:val="18"/>
                <w:lang w:bidi="ar"/>
              </w:rPr>
              <w:t xml:space="preserve">内河通航水域的航道内养殖、种植植物、水生物或者永久性固定设施。 </w:t>
            </w:r>
            <w:r>
              <w:rPr>
                <w:rFonts w:ascii="宋体" w:hAnsi="宋体" w:eastAsia="宋体" w:cs="宋体"/>
                <w:color w:val="auto"/>
                <w:sz w:val="18"/>
                <w:szCs w:val="18"/>
                <w:lang w:bidi="ar"/>
              </w:rPr>
              <w:t xml:space="preserve">                               4.</w:t>
            </w:r>
            <w:r>
              <w:rPr>
                <w:rFonts w:hint="eastAsia" w:ascii="宋体" w:hAnsi="宋体" w:eastAsia="宋体" w:cs="宋体"/>
                <w:color w:val="auto"/>
                <w:kern w:val="0"/>
                <w:sz w:val="18"/>
                <w:szCs w:val="18"/>
                <w:lang w:bidi="ar"/>
              </w:rPr>
              <w:t xml:space="preserve">事后通知责任：需要立即组织打捞清除的，当事人不在场的，应当在事后立即通知当事人，并依法做处处理。 </w:t>
            </w:r>
            <w:r>
              <w:rPr>
                <w:rFonts w:ascii="宋体" w:hAnsi="宋体" w:eastAsia="宋体" w:cs="宋体"/>
                <w:color w:val="auto"/>
                <w:sz w:val="18"/>
                <w:szCs w:val="18"/>
                <w:lang w:bidi="ar"/>
              </w:rPr>
              <w:t xml:space="preserve">                          5.事后监管责任:</w:t>
            </w:r>
            <w:r>
              <w:rPr>
                <w:rFonts w:hint="eastAsia" w:ascii="宋体" w:hAnsi="宋体" w:eastAsia="宋体" w:cs="宋体"/>
                <w:color w:val="auto"/>
                <w:kern w:val="0"/>
                <w:sz w:val="18"/>
                <w:szCs w:val="18"/>
                <w:lang w:bidi="ar"/>
              </w:rPr>
              <w:t>现场检查通航恢复情况</w:t>
            </w:r>
            <w:r>
              <w:rPr>
                <w:rFonts w:ascii="宋体" w:hAnsi="宋体" w:eastAsia="宋体" w:cs="宋体"/>
                <w:color w:val="auto"/>
                <w:sz w:val="18"/>
                <w:szCs w:val="18"/>
                <w:lang w:bidi="ar"/>
              </w:rPr>
              <w:t>。     6.其他法律法规规章文件规定应履行的责任。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               1、对不符合条件的实施行政强制的；    2、扩大强制执行范围的；             3.因违法实施行政强制，给行政相对人造成损失的；                           4、违反法定权限、程序实施行政强制的；                                                         5、工作中玩忽职守、滥用职权的；      6、在行使行政强制权过程中发生腐败行为的；                                 7、其他违反法律法规规章文件规定的行为。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24"/>
                <w:szCs w:val="24"/>
                <w:lang w:bidi="ar"/>
              </w:rPr>
              <w:t>129</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行政强制</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对超载运输的船舶强制卸载</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《中华人民共和国内河交通安全管理条例》（国务院令〔2002〕第355号，2019年3月2日第三次修改）第八十二条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1.告知责任：当场告知当事人采取行政强制措施的理由、依据以及当事人依法享有的权利、救济途径。                                    2.决定责任：制作并当场交付《行政强制措施决定书》。                                 3.执行责任：实施行政强制措施。            4.解除责任：制作《解除行政强制措施决定书》，并及时送达当事人，退还扣押财物。                                5.其他法律法规规章文件规定应履行的责任。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sz w:val="18"/>
                <w:szCs w:val="18"/>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因不履行或不正确履行行政职责，有下列情形的，行政机关及相关工作人员应承担相应责任：1、对不符合条件的实施行政强制的；2.因违法实施行政强制，给行政相对人造成损失的；                       3、违反法定权限、程序实施行政强制的；                                                        4、工作中玩忽职守、滥用职权的 5、在行使行政强制权过程中发生腐败行为的；                                6、其他违反法律法规规章文件规定的行为。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130</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行政强制</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对水污染的强制治理</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《中华人民共和国水污染防治法》（主席令（2008）第八十七号，2017年6月27日第二次修正）第九十条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1.催告责任:</w:t>
            </w:r>
            <w:r>
              <w:rPr>
                <w:rFonts w:ascii="宋体" w:hAnsi="宋体" w:eastAsia="宋体" w:cs="宋体"/>
                <w:color w:val="auto"/>
                <w:sz w:val="18"/>
                <w:szCs w:val="18"/>
                <w:lang w:bidi="ar"/>
              </w:rPr>
              <w:t>对造成水污染的船舶及有关作业单位,责令限期采取治理措施，消除污染，逾期不采取治理措施的，下达催告通知书，催告履行义务以及履行义务的期限、方式和当事人依法享有的陈述权和申辩权。</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                               3.执行责任:</w:t>
            </w:r>
            <w:r>
              <w:rPr>
                <w:rFonts w:ascii="宋体" w:hAnsi="宋体" w:eastAsia="宋体" w:cs="宋体"/>
                <w:color w:val="auto"/>
                <w:sz w:val="18"/>
                <w:szCs w:val="18"/>
                <w:lang w:bidi="ar"/>
              </w:rPr>
              <w:t>指定有治理能力的单位代为治理。</w:t>
            </w:r>
            <w:r>
              <w:rPr>
                <w:rFonts w:hint="eastAsia" w:ascii="宋体" w:hAnsi="宋体" w:eastAsia="宋体" w:cs="宋体"/>
                <w:color w:val="auto"/>
                <w:kern w:val="0"/>
                <w:sz w:val="18"/>
                <w:szCs w:val="18"/>
                <w:lang w:bidi="ar"/>
              </w:rPr>
              <w:t xml:space="preserve">                                4.事后监管责任</w:t>
            </w:r>
            <w:r>
              <w:rPr>
                <w:rFonts w:ascii="宋体" w:hAnsi="宋体" w:eastAsia="宋体" w:cs="宋体"/>
                <w:color w:val="auto"/>
                <w:sz w:val="18"/>
                <w:szCs w:val="18"/>
                <w:lang w:bidi="ar"/>
              </w:rPr>
              <w:t>:现场检查水污染治理情况。</w:t>
            </w:r>
            <w:r>
              <w:rPr>
                <w:rFonts w:hint="eastAsia" w:ascii="宋体" w:hAnsi="宋体" w:eastAsia="宋体" w:cs="宋体"/>
                <w:color w:val="auto"/>
                <w:kern w:val="0"/>
                <w:sz w:val="18"/>
                <w:szCs w:val="18"/>
                <w:lang w:bidi="ar"/>
              </w:rPr>
              <w:t xml:space="preserve">                                    5.其他法律法规规章文件规定应履行的责任。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     1、对不符合条件的实施行政强制的；    2、扩大强制执行范围的；       3.因违法实施行政强制，给行政相对人造成损失的；                           4、违反法定权限、程序实施行政强制的；                                                         5、工作中玩忽职守、滥用职权的；      6、在行使行政强制权过程中发生腐败行为的；              7、其他违反法律法规规章文件规定的行为。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131</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对各种侵占、损坏公路、公路用地、公路附属设施及其他违反路政管理的行为的监督检查</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《中华人民共和国公路法》（主席令〔1997〕第86号，2016年11月7日修改）第六十九条、第七十条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1.检查责任：对本辖区内各种侵占、损坏公路、公路用地、公路附属设施及其他违反路政管理的行为组织监督检查；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因不履行或不正确履行行政职责，有下列情形的，行政机关及相关工作人员应承担相应责任：               1.不对本辖区内各种侵占、损坏公路、公路用地、公路附属设施及其他违反路政管理的行为组织监督检查；  2.对在检查中发现的问题，不责令限期整改、不依法实施处罚；        3.对构成违法犯罪的不移交司法机关；                            4.对监督检查发现的问题，不对整改情况组织进行核查；              5.其他违反法律法规规章文件规定的行为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132</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对道路客运、客运站经营活动实施监督检查</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《中华人民共和国道路运输条例》(国务院令〔2004〕第406号，2019年3月2日修改)第五十八条               《道路旅客运输及客运站管理规定》（交通运输部令2016年第82号）第七十条、第七十二条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1.检查责任：对本辖区内的道路客运、客运站经营活动组织监督检查；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道路运输管理机构工作人员有下列情形之一的，依法给予行政处分；构成犯罪的，依法追究刑事责任：（三）发现违法行为不及时查处的；（四）违反规定拦截、检查正常行驶的道路运输车辆的；（五）违法扣留运输车辆、车辆营运证的；（六）索取、收受他人财物，或者谋取其他利益的；（七）其他违法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133</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对道路货物运输经营和货运站经营活动的监督检查</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《中华人民共和国道路运输条例》(国务院令〔2004〕第406号，2019年3月3日修改)第五十八条       《道路货物运输及站场管理规定》（交通运输部令2019年第17号）第四十八条、第五十条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1.检查责任：对本辖区内的道路货物运输经营和货运站经营活动组织监督检查；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道路运输管理机构工作人员有下列情形之一的，依法给予行政处分；构成犯罪的，依法追究刑事责任：（三）发现违法行为不及时查处的；（四）违反规定拦截、检查正常行驶的道路运输车辆的；（五）违法扣留运输车辆、车辆营运证的；（六）索取、收受他人财物，或者谋取其他利益的；（七）其他违法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134</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对道路危险货物运输企业或者单位进行现场检查</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《中华人民共和国道路运输条例》(国务院令〔2004〕第406号，2019年3月4日修改)第五十八条       《道路危险货物运输管理规定》（交通运输部令2019年第42号）第五十二条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1.检查责任：对本辖区内的道路危险货物运输企业或者单位进行现场组织监督检查；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道路运输管理机构工作人员有下列情形之一的，依法给予行政处分；构成犯罪的，依法追究刑事责任：（三）发现违法行为不及时查处的；（四）违反规定拦截、检查正常行驶的道路运输车辆的；（五）违法扣留运输车辆、车辆营运证的；（六）索取、收受他人财物，或者谋取其他利益的；（七）其他违法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135</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对放射性物品道路运输活动的监督检查</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《中华人民共和国道路运输条例》(国务院令〔2004〕第406号，2019年3月5日修改)第五十八条      《放射性物品道路运输管理规定》（交通运输部令2016年第71号）第三十六条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1.检查责任：对本辖区内的放射性物品道路运输活动组织监督检查；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道路运输管理机构工作人员有下列情形之一的，依法给予行政处分；构成犯罪的，依法追究刑事责任：（三）发现违法行为不及时查处的；（四）违反规定拦截、检查正常行驶的道路运输车辆的；（五）违法扣留运输车辆、车辆营运证的；（六）索取、收受他人财物，或者谋取其他利益的；（七）其他违法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136</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对机动车维修经营活动的监督检查</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《中华人民共和国道路运输条例》(国务院令〔2004〕第406号，2019年3月6日修改)第五十八条    《机动车维修管理规定》（交通运输部令2019年第20号）第四十五条、第四十七条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1.检查责任：对本辖区内的机动车维修经营活动组织监督检查；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道路运输管理机构工作人员有下列情形之一的，依法给予行政处分；构成犯罪的，依法追究刑事责任：（三）发现违法行为不及时查处的；（四）违反规定拦截、检查正常行驶的道路运输车辆的；（五）违法扣留运输车辆、车辆营运证的；（六）索取、收受他人财物，或者谋取其他利益的；（七）其他违法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137</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对机动车驾驶员培训经营活动的监督检查</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《中华人民共和国道路运输条例》(国务院令〔2004〕第406号，2019年3月7日修改)第五十八条          《机动车驾驶员培训管理规定》（交通运输部令2016年第51号）第四十二条、第四十三条、第四十四条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1.检查责任：对本辖区内的机动车驾驶员培训经营活动组织监督检查；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道路运输管理机构工作人员有下列情形之一的，依法给予行政处分；构成犯罪的，依法追究刑事责任：（三）发现违法行为不及时查处的；（四）违反规定拦截、检查正常行驶的道路运输车辆的；（五）违法扣留运输车辆、车辆营运证的；（六）索取、收受他人财物，或者谋取其他利益的；（七）其他违法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138</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对道路运输企业动态监控工作的情况进行监督</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《中华人民共和国道路运输条例》(国务院令〔2004〕第406号，2019年3月8日修改)第五十八条          《道路运输车辆动态监督管理办法》（交通运输部令2016年第55号）第三十三条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1.检查责任：对本辖区内的道路运输企业动态监控工作的情况组织监督检查；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道路运输管理机构工作人员有下列情形之一的，依法给予行政处分；构成犯罪的，依法追究刑事责任：（三）发现违法行为不及时查处的；（四）违反规定拦截、检查正常行驶的道路运输车辆的；（五）违法扣留运输车辆、车辆营运证的；（六）索取、收受他人财物，或者谋取其他利益的；（七）其他违法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139</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对道路运输车辆的技术管理进行监督检查</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《中华人民共和国道路运输条例》(国务院令〔2004〕第406号，2019年3月9日修改)第五十八条          《道路运输车辆技术管理规定》（交通运输部令2019年第19号）第二十六条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1.检查责任：对本辖区内的道路运输车辆的技术管理组织监督检查；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道路运输管理机构工作人员有下列情形之一的，依法给予行政处分；构成犯罪的，依法追究刑事责任：（三）发现违法行为不及时查处的；（四）违反规定拦截、检查正常行驶的道路运输车辆的；（五）违法扣留运输车辆、车辆营运证的；（六）索取、收受他人财物，或者谋取其他利益的；（七）其他违法行为。</w:t>
            </w:r>
          </w:p>
        </w:tc>
      </w:tr>
      <w:tr>
        <w:tblPrEx>
          <w:tblCellMar>
            <w:top w:w="0" w:type="dxa"/>
            <w:left w:w="0" w:type="dxa"/>
            <w:bottom w:w="0" w:type="dxa"/>
            <w:right w:w="0" w:type="dxa"/>
          </w:tblCellMar>
        </w:tblPrEx>
        <w:trPr>
          <w:trHeight w:val="2165" w:hRule="atLeast"/>
        </w:trPr>
        <w:tc>
          <w:tcPr>
            <w:tcW w:w="8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140</w:t>
            </w:r>
          </w:p>
        </w:tc>
        <w:tc>
          <w:tcPr>
            <w:tcW w:w="9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行政检查</w:t>
            </w:r>
          </w:p>
        </w:tc>
        <w:tc>
          <w:tcPr>
            <w:tcW w:w="125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对城市公共汽电车客运监督检查</w:t>
            </w:r>
          </w:p>
        </w:tc>
        <w:tc>
          <w:tcPr>
            <w:tcW w:w="10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涞源县交通运输局</w:t>
            </w:r>
          </w:p>
        </w:tc>
        <w:tc>
          <w:tcPr>
            <w:tcW w:w="18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《河北省道路运输条例》（河北省第十二届人民代表大会常务委员会公告〔第116号〕) 第五十一条    《城市公共汽车和电车客运管理规定》（交通运输部令2017年第5号）第五十五条、第五十六条、第五十七条</w:t>
            </w:r>
          </w:p>
        </w:tc>
        <w:tc>
          <w:tcPr>
            <w:tcW w:w="476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1.检查责任：对本辖区内的城市公共汽电车客运组织监督检查；   2.处置责任：对监督检查发现的问题，责令限期整改、依法实施处罚       3.移送责任：对构成违法犯罪的移交司法机关；                         4.事后管理责任：对监督检查发现的问题，对整改情况组织进行核查；      5.其他责任：法律法规规章等规定应履行的责任。</w:t>
            </w:r>
          </w:p>
        </w:tc>
        <w:tc>
          <w:tcPr>
            <w:tcW w:w="3050"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napToGrid w:val="0"/>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道路运输管理机构工作人员有下列情形之一的，依法给予行政处分；构成犯罪的，依法追究刑事责任：（三）发现违法行为不及时查处的；（四）违反规定拦截、检查正常行驶的道路运输车辆的；（五）违法扣留运输车辆、车辆营运证的；（六）索取、收受他人财物，或者谋取其他利益的；（七）其他违法行为。</w:t>
            </w:r>
          </w:p>
        </w:tc>
      </w:tr>
      <w:bookmarkEnd w:id="0"/>
    </w:tbl>
    <w:p>
      <w:pPr>
        <w:spacing w:line="400" w:lineRule="exact"/>
        <w:ind w:firstLine="240" w:firstLineChars="100"/>
        <w:rPr>
          <w:rFonts w:hint="eastAsia" w:ascii="楷体_GB2312" w:hAnsi="楷体_GB2312" w:eastAsia="楷体_GB2312" w:cs="Times New Roman"/>
          <w:sz w:val="24"/>
          <w:szCs w:val="32"/>
        </w:rPr>
      </w:pPr>
      <w:r>
        <w:rPr>
          <w:rFonts w:hint="eastAsia" w:ascii="楷体_GB2312" w:hAnsi="楷体_GB2312" w:eastAsia="楷体_GB2312" w:cs="Times New Roman"/>
          <w:sz w:val="24"/>
          <w:szCs w:val="32"/>
        </w:rPr>
        <w:t>注：①第一栏按顺序依次填列序号；②第二栏按照行政许可、行政处罚、行政强制、行政征收、行政给付、行政检查、行政确认、行政奖励、行政裁决、其他类的“9+X”类别的顺序依次填列；③第三栏填列行政权力事项的名称，如企业投资项目核准；④第四栏填列承办行政权力事项的机关、单位及受委托的机构或组织等的名称，须填写规范性简称；⑤第五栏原则上，以法律、法规和规章，政府职能转变和机构改革方案、机构编制“三定”规定为部门行政权力设立依据。实施依据要列明法律法规规章等的名称、具体条款及内容；⑥第六栏填列行政主体在行使行政权力、实施行政活动过程中必须履行的法定职责或义务。根据行政权力行使过程划分权力运行环节，依据相关法律法规、文件规定，对各环节行政机关及其工作人员应履行义务（即责任事项）的具体内容进行描述；⑦第七栏填列行政主体没有履行或不正确履行义务，应承担不良后果各种可能的情况，即依据法律法规规章文件规定，列举行政机关及相关工作人员应承担的过失情形等；⑧第八栏填列其他需要说明的情况。上述各栏目具体填表标准详见前文。</w:t>
      </w: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spacing w:line="600" w:lineRule="exact"/>
        <w:rPr>
          <w:rFonts w:hint="eastAsia" w:ascii="黑体" w:hAnsi="黑体" w:eastAsia="黑体" w:cs="Times New Roman"/>
          <w:sz w:val="32"/>
          <w:szCs w:val="32"/>
        </w:rPr>
      </w:pPr>
    </w:p>
    <w:p>
      <w:pPr>
        <w:rPr>
          <w:rFonts w:hint="eastAsia"/>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414B53"/>
    <w:multiLevelType w:val="singleLevel"/>
    <w:tmpl w:val="D0414B53"/>
    <w:lvl w:ilvl="0" w:tentative="0">
      <w:start w:val="1"/>
      <w:numFmt w:val="decimal"/>
      <w:lvlText w:val="%1."/>
      <w:lvlJc w:val="left"/>
      <w:pPr>
        <w:tabs>
          <w:tab w:val="left" w:pos="312"/>
        </w:tabs>
        <w:ind w:left="0" w:firstLine="0"/>
      </w:pPr>
    </w:lvl>
  </w:abstractNum>
  <w:abstractNum w:abstractNumId="1">
    <w:nsid w:val="79E533FC"/>
    <w:multiLevelType w:val="singleLevel"/>
    <w:tmpl w:val="79E533FC"/>
    <w:lvl w:ilvl="0" w:tentative="0">
      <w:start w:val="1"/>
      <w:numFmt w:val="decimal"/>
      <w:suff w:val="nothing"/>
      <w:lvlText w:val="%1、"/>
      <w:lvlJc w:val="left"/>
      <w:pPr>
        <w:ind w:left="0" w:firstLine="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AB6"/>
    <w:rsid w:val="00A248BC"/>
    <w:rsid w:val="00AC4452"/>
    <w:rsid w:val="00BF2EF7"/>
    <w:rsid w:val="00CC0AB6"/>
    <w:rsid w:val="21C74157"/>
    <w:rsid w:val="65F02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name="header"/>
    <w:lsdException w:qFormat="1"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7"/>
    <w:semiHidden/>
    <w:unhideWhenUsed/>
    <w:qFormat/>
    <w:uiPriority w:val="0"/>
    <w:pPr>
      <w:widowControl/>
      <w:spacing w:before="100" w:beforeAutospacing="1" w:after="100" w:afterAutospacing="1"/>
      <w:jc w:val="left"/>
      <w:outlineLvl w:val="2"/>
    </w:pPr>
    <w:rPr>
      <w:rFonts w:ascii="宋体" w:hAnsi="宋体" w:eastAsia="宋体" w:cs="宋体"/>
      <w:b/>
      <w:bCs/>
      <w:kern w:val="0"/>
      <w:sz w:val="24"/>
      <w:szCs w:val="2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semiHidden/>
    <w:unhideWhenUsed/>
    <w:qFormat/>
    <w:uiPriority w:val="0"/>
    <w:pPr>
      <w:tabs>
        <w:tab w:val="center" w:pos="4153"/>
        <w:tab w:val="right" w:pos="8306"/>
      </w:tabs>
      <w:snapToGrid w:val="0"/>
      <w:jc w:val="left"/>
    </w:pPr>
    <w:rPr>
      <w:rFonts w:ascii="Times New Roman" w:hAnsi="Times New Roman" w:eastAsia="仿宋_GB2312" w:cs="Times New Roman"/>
      <w:sz w:val="18"/>
      <w:szCs w:val="18"/>
    </w:rPr>
  </w:style>
  <w:style w:type="paragraph" w:styleId="4">
    <w:name w:val="header"/>
    <w:basedOn w:val="1"/>
    <w:link w:val="8"/>
    <w:semiHidden/>
    <w:unhideWhenUsed/>
    <w:qFormat/>
    <w:uiPriority w:val="0"/>
    <w:pPr>
      <w:tabs>
        <w:tab w:val="center" w:pos="4153"/>
        <w:tab w:val="right" w:pos="8306"/>
      </w:tabs>
      <w:snapToGrid w:val="0"/>
    </w:pPr>
    <w:rPr>
      <w:rFonts w:ascii="Times New Roman" w:hAnsi="Times New Roman" w:eastAsia="仿宋_GB2312" w:cs="Times New Roman"/>
      <w:sz w:val="18"/>
      <w:szCs w:val="32"/>
    </w:rPr>
  </w:style>
  <w:style w:type="character" w:customStyle="1" w:styleId="7">
    <w:name w:val="标题 3 Char"/>
    <w:basedOn w:val="6"/>
    <w:link w:val="2"/>
    <w:semiHidden/>
    <w:uiPriority w:val="0"/>
    <w:rPr>
      <w:rFonts w:ascii="宋体" w:hAnsi="宋体" w:eastAsia="宋体" w:cs="宋体"/>
      <w:b/>
      <w:bCs/>
      <w:kern w:val="0"/>
      <w:sz w:val="24"/>
      <w:szCs w:val="24"/>
    </w:rPr>
  </w:style>
  <w:style w:type="character" w:customStyle="1" w:styleId="8">
    <w:name w:val="页眉 Char"/>
    <w:basedOn w:val="6"/>
    <w:link w:val="4"/>
    <w:semiHidden/>
    <w:qFormat/>
    <w:uiPriority w:val="0"/>
    <w:rPr>
      <w:rFonts w:ascii="Times New Roman" w:hAnsi="Times New Roman" w:eastAsia="仿宋_GB2312" w:cs="Times New Roman"/>
      <w:sz w:val="18"/>
      <w:szCs w:val="32"/>
    </w:rPr>
  </w:style>
  <w:style w:type="character" w:customStyle="1" w:styleId="9">
    <w:name w:val="页脚 Char"/>
    <w:basedOn w:val="6"/>
    <w:link w:val="3"/>
    <w:semiHidden/>
    <w:qFormat/>
    <w:uiPriority w:val="0"/>
    <w:rPr>
      <w:rFonts w:ascii="Times New Roman" w:hAnsi="Times New Roman" w:eastAsia="仿宋_GB2312" w:cs="Times New Roman"/>
      <w:sz w:val="18"/>
      <w:szCs w:val="18"/>
    </w:rPr>
  </w:style>
  <w:style w:type="paragraph" w:styleId="10">
    <w:name w:val="List Paragraph"/>
    <w:basedOn w:val="1"/>
    <w:qFormat/>
    <w:uiPriority w:val="0"/>
    <w:pPr>
      <w:ind w:firstLine="420" w:firstLineChars="200"/>
    </w:pPr>
    <w:rPr>
      <w:rFonts w:ascii="仿宋_GB2312" w:hAnsi="宋体" w:eastAsia="仿宋_GB2312" w:cs="Times New Roman"/>
      <w:sz w:val="32"/>
      <w:szCs w:val="32"/>
    </w:rPr>
  </w:style>
  <w:style w:type="paragraph" w:customStyle="1" w:styleId="11">
    <w:name w:val="Char"/>
    <w:basedOn w:val="1"/>
    <w:qFormat/>
    <w:uiPriority w:val="0"/>
    <w:pPr>
      <w:snapToGrid w:val="0"/>
      <w:spacing w:afterLines="50" w:line="360" w:lineRule="auto"/>
      <w:ind w:firstLine="480" w:firstLineChars="200"/>
    </w:pPr>
    <w:rPr>
      <w:rFonts w:ascii="Times New Roman" w:hAnsi="Times New Roman" w:eastAsia="仿宋_GB2312" w:cs="Times New Roman"/>
      <w:sz w:val="32"/>
      <w:szCs w:val="32"/>
    </w:rPr>
  </w:style>
  <w:style w:type="paragraph" w:customStyle="1" w:styleId="12">
    <w:name w:val="默认段落字体 Para Char Char Char Char"/>
    <w:basedOn w:val="1"/>
    <w:qFormat/>
    <w:uiPriority w:val="0"/>
    <w:rPr>
      <w:rFonts w:ascii="Times New Roman" w:hAnsi="Times New Roman" w:eastAsia="宋体" w:cs="Times New Roman"/>
      <w:szCs w:val="20"/>
    </w:rPr>
  </w:style>
  <w:style w:type="paragraph" w:customStyle="1" w:styleId="13">
    <w:name w:val="标准书眉_奇数页"/>
    <w:next w:val="1"/>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15">
    <w:name w:val="一级条标题"/>
    <w:next w:val="14"/>
    <w:qFormat/>
    <w:uiPriority w:val="0"/>
    <w:pPr>
      <w:outlineLvl w:val="2"/>
    </w:pPr>
    <w:rPr>
      <w:rFonts w:ascii="Times New Roman" w:hAnsi="Times New Roman" w:eastAsia="黑体" w:cs="Times New Roman"/>
      <w:kern w:val="0"/>
      <w:sz w:val="21"/>
      <w:szCs w:val="20"/>
      <w:lang w:val="en-US" w:eastAsia="zh-CN" w:bidi="ar-SA"/>
    </w:rPr>
  </w:style>
  <w:style w:type="paragraph" w:customStyle="1" w:styleId="16">
    <w:name w:val="标准书脚_偶数页"/>
    <w:qFormat/>
    <w:uiPriority w:val="0"/>
    <w:pPr>
      <w:spacing w:before="120"/>
      <w:ind w:left="221"/>
    </w:pPr>
    <w:rPr>
      <w:rFonts w:ascii="宋体" w:hAnsi="Times New Roman" w:eastAsia="宋体" w:cs="Times New Roman"/>
      <w:kern w:val="0"/>
      <w:sz w:val="18"/>
      <w:szCs w:val="18"/>
      <w:lang w:val="en-US" w:eastAsia="zh-CN" w:bidi="ar-SA"/>
    </w:rPr>
  </w:style>
  <w:style w:type="paragraph" w:customStyle="1" w:styleId="17">
    <w:name w:val="_Style 2"/>
    <w:basedOn w:val="1"/>
    <w:qFormat/>
    <w:uiPriority w:val="0"/>
    <w:rPr>
      <w:rFonts w:ascii="Times New Roman" w:hAnsi="Times New Roman" w:eastAsia="仿宋_GB2312" w:cs="Times New Roman"/>
      <w:sz w:val="32"/>
      <w:szCs w:val="32"/>
    </w:rPr>
  </w:style>
  <w:style w:type="paragraph" w:customStyle="1" w:styleId="18">
    <w:name w:val="标准书眉_偶数页"/>
    <w:basedOn w:val="13"/>
    <w:next w:val="1"/>
    <w:qFormat/>
    <w:uiPriority w:val="0"/>
    <w:pPr>
      <w:jc w:val="left"/>
    </w:pPr>
  </w:style>
  <w:style w:type="character" w:customStyle="1" w:styleId="19">
    <w:name w:val="font31"/>
    <w:basedOn w:val="6"/>
    <w:qFormat/>
    <w:uiPriority w:val="0"/>
    <w:rPr>
      <w:rFonts w:hint="eastAsia" w:ascii="宋体" w:hAnsi="宋体" w:eastAsia="宋体" w:cs="宋体"/>
      <w:color w:val="FF0000"/>
      <w:sz w:val="18"/>
      <w:szCs w:val="18"/>
      <w:u w:val="none"/>
    </w:rPr>
  </w:style>
  <w:style w:type="character" w:customStyle="1" w:styleId="20">
    <w:name w:val="font41"/>
    <w:basedOn w:val="6"/>
    <w:qFormat/>
    <w:uiPriority w:val="0"/>
    <w:rPr>
      <w:rFonts w:hint="eastAsia" w:ascii="宋体" w:hAnsi="宋体" w:eastAsia="宋体" w:cs="宋体"/>
      <w:color w:val="000000"/>
      <w:sz w:val="18"/>
      <w:szCs w:val="18"/>
      <w:u w:val="none"/>
    </w:rPr>
  </w:style>
  <w:style w:type="character" w:customStyle="1" w:styleId="21">
    <w:name w:val="font11"/>
    <w:basedOn w:val="6"/>
    <w:qFormat/>
    <w:uiPriority w:val="0"/>
    <w:rPr>
      <w:rFonts w:hint="eastAsia" w:ascii="宋体" w:hAnsi="宋体" w:eastAsia="宋体" w:cs="宋体"/>
      <w:color w:val="000000"/>
      <w:sz w:val="18"/>
      <w:szCs w:val="18"/>
      <w:u w:val="none"/>
    </w:rPr>
  </w:style>
  <w:style w:type="character" w:customStyle="1" w:styleId="22">
    <w:name w:val="page number"/>
    <w:basedOn w:val="6"/>
    <w:qFormat/>
    <w:uiPriority w:val="0"/>
  </w:style>
  <w:style w:type="character" w:customStyle="1" w:styleId="23">
    <w:name w:val="font01"/>
    <w:basedOn w:val="6"/>
    <w:qFormat/>
    <w:uiPriority w:val="0"/>
    <w:rPr>
      <w:rFonts w:hint="eastAsia" w:ascii="宋体" w:hAnsi="宋体" w:eastAsia="宋体" w:cs="宋体"/>
      <w:color w:val="000000"/>
      <w:sz w:val="18"/>
      <w:szCs w:val="18"/>
      <w:u w:val="none"/>
    </w:rPr>
  </w:style>
  <w:style w:type="character" w:customStyle="1" w:styleId="24">
    <w:name w:val="font51"/>
    <w:basedOn w:val="6"/>
    <w:qFormat/>
    <w:uiPriority w:val="0"/>
    <w:rPr>
      <w:rFonts w:hint="eastAsia" w:ascii="宋体" w:hAnsi="宋体" w:eastAsia="宋体" w:cs="宋体"/>
      <w:color w:val="000000"/>
      <w:sz w:val="18"/>
      <w:szCs w:val="18"/>
      <w:u w:val="none"/>
    </w:rPr>
  </w:style>
  <w:style w:type="character" w:customStyle="1" w:styleId="25">
    <w:name w:val="font21"/>
    <w:basedOn w:val="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133</Pages>
  <Words>19502</Words>
  <Characters>111164</Characters>
  <Lines>926</Lines>
  <Paragraphs>260</Paragraphs>
  <TotalTime>2</TotalTime>
  <ScaleCrop>false</ScaleCrop>
  <LinksUpToDate>false</LinksUpToDate>
  <CharactersWithSpaces>130406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2021-06-18T11:22:00Z</dcterms:created>
  <dc:creator>DH</dc:creator>
  <cp:lastModifiedBy>dh</cp:lastModifiedBy>
  <dcterms:modified xsi:type="dcterms:W3CDTF">2021-06-21T06:20:49Z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A8617713C9FE40B395AA5A0270BE2E0C</vt:lpwstr>
  </property>
</Properties>
</file>