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8"/>
        <w:spacing w:before="0" w:beforeAutospacing="0" w:after="0" w:afterAutospacing="0" w:line="560" w:lineRule="exact"/>
        <w:jc w:val="center"/>
        <w:rPr>
          <w:rFonts w:ascii="方正小标宋简体" w:eastAsia="方正小标宋简体" w:cs="方正小标宋简体"/>
          <w:b/>
          <w:color w:val="333333"/>
          <w:sz w:val="44"/>
          <w:szCs w:val="44"/>
          <w:shd w:val="clear" w:color="auto" w:fill="FFFFFF"/>
        </w:rPr>
      </w:pPr>
      <w:r>
        <w:rPr>
          <w:rFonts w:ascii="方正小标宋简体" w:eastAsia="方正小标宋简体" w:cs="方正小标宋简体" w:hint="eastAsia"/>
          <w:b/>
          <w:color w:val="333333"/>
          <w:sz w:val="44"/>
          <w:szCs w:val="44"/>
          <w:shd w:val="clear" w:color="auto" w:fill="FFFFFF"/>
        </w:rPr>
        <w:t>保定市生态环境涞源县分局</w:t>
      </w:r>
    </w:p>
    <w:p>
      <w:pPr>
        <w:pStyle w:val="18"/>
        <w:spacing w:before="0" w:beforeAutospacing="0" w:after="0" w:afterAutospacing="0" w:line="560" w:lineRule="exact"/>
        <w:jc w:val="center"/>
        <w:rPr>
          <w:rFonts w:ascii="方正小标宋简体" w:eastAsia="方正小标宋简体" w:cs="方正小标宋简体"/>
          <w:b/>
          <w:color w:val="333333"/>
          <w:sz w:val="44"/>
          <w:szCs w:val="44"/>
          <w:shd w:val="clear" w:color="auto" w:fill="FFFFFF"/>
        </w:rPr>
      </w:pPr>
      <w:r>
        <w:rPr>
          <w:rFonts w:ascii="方正小标宋简体" w:eastAsia="方正小标宋简体" w:cs="方正小标宋简体" w:hint="eastAsia"/>
          <w:b/>
          <w:color w:val="333333"/>
          <w:sz w:val="44"/>
          <w:szCs w:val="44"/>
          <w:shd w:val="clear" w:color="auto" w:fill="FFFFFF"/>
        </w:rPr>
        <w:t>202</w:t>
      </w:r>
      <w:r>
        <w:rPr>
          <w:rFonts w:ascii="方正小标宋简体" w:eastAsia="方正小标宋简体" w:cs="方正小标宋简体"/>
          <w:b/>
          <w:color w:val="333333"/>
          <w:sz w:val="44"/>
          <w:szCs w:val="44"/>
          <w:shd w:val="clear" w:color="auto" w:fill="FFFFFF"/>
        </w:rPr>
        <w:t>5</w:t>
      </w:r>
      <w:r>
        <w:rPr>
          <w:rFonts w:ascii="方正小标宋简体" w:eastAsia="方正小标宋简体" w:cs="方正小标宋简体" w:hint="eastAsia"/>
          <w:b/>
          <w:color w:val="333333"/>
          <w:sz w:val="44"/>
          <w:szCs w:val="44"/>
          <w:shd w:val="clear" w:color="auto" w:fill="FFFFFF"/>
        </w:rPr>
        <w:t>年政府信息公开年度报告</w:t>
      </w:r>
    </w:p>
    <w:p>
      <w:pPr>
        <w:pStyle w:val="18"/>
        <w:spacing w:before="0" w:beforeAutospacing="0" w:after="0" w:afterAutospacing="0" w:line="260" w:lineRule="exact"/>
        <w:ind w:firstLineChars="200" w:firstLine="520"/>
        <w:jc w:val="both"/>
        <w:rPr>
          <w:rFonts w:ascii="Times New Roman" w:hAnsi="Times New Roman"/>
          <w:b/>
          <w:color w:val="333333"/>
          <w:sz w:val="26"/>
          <w:szCs w:val="26"/>
          <w:shd w:val="clear" w:color="auto" w:fill="FFFFFF"/>
        </w:rPr>
      </w:pPr>
    </w:p>
    <w:p>
      <w:pPr>
        <w:pStyle w:val="18"/>
        <w:spacing w:before="0" w:beforeAutospacing="0" w:after="0" w:afterAutospacing="0" w:line="560" w:lineRule="exact"/>
        <w:ind w:firstLineChars="200" w:firstLine="640"/>
        <w:jc w:val="both"/>
        <w:rPr>
          <w:rFonts w:ascii="仿宋_GB2312" w:eastAsia="仿宋_GB2312"/>
          <w:b/>
          <w:color w:val="auto"/>
          <w:sz w:val="32"/>
          <w:szCs w:val="32"/>
          <w:shd w:val="clear" w:color="auto" w:fill="FFFFFF"/>
        </w:rPr>
      </w:pPr>
      <w:r>
        <w:rPr>
          <w:rFonts w:ascii="仿宋_GB2312" w:eastAsia="仿宋_GB2312" w:cs="仿宋_GB2312" w:hint="eastAsia"/>
          <w:color w:val="auto"/>
          <w:sz w:val="32"/>
          <w:szCs w:val="32"/>
          <w:shd w:val="clear" w:color="auto" w:fill="FFFFFF"/>
        </w:rPr>
        <w:t>202</w:t>
      </w:r>
      <w:r>
        <w:rPr>
          <w:rFonts w:ascii="仿宋_GB2312" w:eastAsia="仿宋_GB2312" w:cs="仿宋_GB2312"/>
          <w:color w:val="auto"/>
          <w:sz w:val="32"/>
          <w:szCs w:val="32"/>
          <w:shd w:val="clear" w:color="auto" w:fill="FFFFFF"/>
        </w:rPr>
        <w:t>5</w:t>
      </w:r>
      <w:r>
        <w:rPr>
          <w:rFonts w:ascii="仿宋_GB2312" w:eastAsia="仿宋_GB2312" w:cs="仿宋_GB2312" w:hint="eastAsia"/>
          <w:color w:val="auto"/>
          <w:sz w:val="32"/>
          <w:szCs w:val="32"/>
          <w:shd w:val="clear" w:color="auto" w:fill="FFFFFF"/>
        </w:rPr>
        <w:t>年，按照《中华人民共和国政府信息公开条例》规定，严格贯彻落实国家、省、市各项文件要求，我局全面推进政务公开各项工作，不断完善政务公开制度，建立健全政府信息公开保障机制，统筹推进政府信息公开、微信公众平台等新媒体建设，着力提升信息公开质量，信息公开工作取得了一定成效。</w:t>
      </w:r>
    </w:p>
    <w:p>
      <w:pPr>
        <w:pStyle w:val="18"/>
        <w:spacing w:before="0" w:beforeAutospacing="0" w:after="0" w:afterAutospacing="0" w:line="560" w:lineRule="exact"/>
        <w:ind w:firstLineChars="250" w:firstLine="800"/>
        <w:jc w:val="both"/>
        <w:rPr>
          <w:rFonts w:ascii="黑体" w:eastAsia="黑体" w:cs="仿宋_GB2312"/>
          <w:sz w:val="32"/>
          <w:szCs w:val="32"/>
          <w:shd w:val="clear" w:color="auto" w:fill="FFFFFF"/>
        </w:rPr>
      </w:pPr>
      <w:r>
        <w:rPr>
          <w:rFonts w:ascii="黑体" w:eastAsia="黑体" w:cs="仿宋_GB2312" w:hint="eastAsia"/>
          <w:sz w:val="32"/>
          <w:szCs w:val="32"/>
          <w:shd w:val="clear" w:color="auto" w:fill="FFFFFF"/>
        </w:rPr>
        <w:t>一、总体情况</w:t>
      </w:r>
    </w:p>
    <w:p>
      <w:pPr>
        <w:pStyle w:val="18"/>
        <w:spacing w:before="0" w:beforeAutospacing="0" w:after="0" w:afterAutospacing="0" w:line="560" w:lineRule="exact"/>
        <w:ind w:firstLineChars="250" w:firstLine="800"/>
        <w:jc w:val="both"/>
        <w:rPr>
          <w:rFonts w:ascii="黑体" w:eastAsia="黑体"/>
          <w:color w:val="333333"/>
          <w:sz w:val="32"/>
          <w:szCs w:val="32"/>
          <w:shd w:val="clear" w:color="auto" w:fill="FFFFFF"/>
        </w:rPr>
      </w:pPr>
      <w:r>
        <w:rPr>
          <w:rFonts w:ascii="仿宋_GB2312" w:eastAsia="仿宋_GB2312" w:cs="仿宋_GB2312" w:hint="eastAsia"/>
          <w:sz w:val="32"/>
          <w:szCs w:val="32"/>
          <w:shd w:val="clear" w:color="auto" w:fill="FFFFFF"/>
        </w:rPr>
        <w:t>202</w:t>
      </w:r>
      <w:r>
        <w:rPr>
          <w:rFonts w:ascii="仿宋_GB2312" w:eastAsia="仿宋_GB2312" w:cs="仿宋_GB2312"/>
          <w:sz w:val="32"/>
          <w:szCs w:val="32"/>
          <w:shd w:val="clear" w:color="auto" w:fill="FFFFFF"/>
        </w:rPr>
        <w:t>5</w:t>
      </w:r>
      <w:r>
        <w:rPr>
          <w:rFonts w:ascii="仿宋_GB2312" w:eastAsia="仿宋_GB2312" w:cs="仿宋_GB2312" w:hint="eastAsia"/>
          <w:sz w:val="32"/>
          <w:szCs w:val="32"/>
          <w:shd w:val="clear" w:color="auto" w:fill="FFFFFF"/>
        </w:rPr>
        <w:t>年，我</w:t>
      </w:r>
      <w:r>
        <w:rPr>
          <w:rFonts w:ascii="仿宋_GB2312" w:eastAsia="仿宋_GB2312" w:cs="仿宋_GB2312"/>
          <w:sz w:val="32"/>
          <w:szCs w:val="32"/>
          <w:shd w:val="clear" w:color="auto" w:fill="FFFFFF"/>
        </w:rPr>
        <w:t>局</w:t>
      </w:r>
      <w:r>
        <w:rPr>
          <w:rFonts w:ascii="仿宋_GB2312" w:eastAsia="仿宋_GB2312" w:cs="仿宋_GB2312" w:hint="eastAsia"/>
          <w:sz w:val="32"/>
          <w:szCs w:val="32"/>
          <w:shd w:val="clear" w:color="auto" w:fill="FFFFFF"/>
        </w:rPr>
        <w:t>严格按照《中华人民共和国政府信息公开条例》（以下简称《条例》）和国家、省、市有关要求，结合实际工作，持续加大主动公开政府信息力度，信息公开的内容更加充实、质量不断提高，公民、法人和其他组织获取政府信息的渠道得到不断扩展。</w:t>
      </w:r>
    </w:p>
    <w:p>
      <w:pPr>
        <w:pStyle w:val="18"/>
        <w:spacing w:before="0" w:beforeAutospacing="0" w:after="0" w:afterAutospacing="0" w:line="560" w:lineRule="exact"/>
        <w:ind w:firstLineChars="200" w:firstLine="640"/>
        <w:jc w:val="both"/>
        <w:rPr>
          <w:rFonts w:ascii="楷体_GB2312" w:eastAsia="楷体_GB2312" w:cs="楷体_GB2312"/>
          <w:b/>
          <w:color w:val="auto"/>
          <w:sz w:val="32"/>
          <w:szCs w:val="32"/>
          <w:shd w:val="clear" w:color="auto" w:fill="FFFFFF"/>
        </w:rPr>
      </w:pPr>
      <w:r>
        <w:rPr>
          <w:rFonts w:ascii="楷体_GB2312" w:eastAsia="楷体_GB2312" w:cs="楷体_GB2312" w:hint="eastAsia"/>
          <w:b/>
          <w:color w:val="auto"/>
          <w:sz w:val="32"/>
          <w:szCs w:val="32"/>
          <w:shd w:val="clear" w:color="auto" w:fill="FFFFFF"/>
        </w:rPr>
        <w:t>（一）主动公开</w:t>
      </w:r>
    </w:p>
    <w:p>
      <w:pPr>
        <w:pStyle w:val="18"/>
        <w:spacing w:before="0" w:beforeAutospacing="0" w:after="0" w:afterAutospacing="0" w:line="560" w:lineRule="exact"/>
        <w:ind w:firstLineChars="200" w:firstLine="640"/>
        <w:jc w:val="both"/>
        <w:rPr>
          <w:rFonts w:ascii="仿宋_GB2312" w:eastAsia="仿宋_GB2312" w:cs="仿宋_GB2312"/>
          <w:color w:val="auto"/>
          <w:sz w:val="32"/>
          <w:szCs w:val="32"/>
          <w:shd w:val="clear" w:color="auto" w:fill="FFFFFF"/>
        </w:rPr>
      </w:pPr>
      <w:r>
        <w:rPr>
          <w:rFonts w:ascii="仿宋_GB2312" w:eastAsia="仿宋_GB2312" w:cs="仿宋_GB2312" w:hint="eastAsia"/>
          <w:color w:val="auto"/>
          <w:sz w:val="32"/>
          <w:szCs w:val="32"/>
          <w:shd w:val="clear" w:color="auto" w:fill="FFFFFF"/>
        </w:rPr>
        <w:t>202</w:t>
      </w:r>
      <w:r>
        <w:rPr>
          <w:rFonts w:ascii="仿宋_GB2312" w:eastAsia="仿宋_GB2312" w:cs="仿宋_GB2312"/>
          <w:color w:val="auto"/>
          <w:sz w:val="32"/>
          <w:szCs w:val="32"/>
          <w:shd w:val="clear" w:color="auto" w:fill="FFFFFF"/>
        </w:rPr>
        <w:t>5</w:t>
      </w:r>
      <w:r>
        <w:rPr>
          <w:rFonts w:ascii="仿宋_GB2312" w:eastAsia="仿宋_GB2312" w:cs="仿宋_GB2312" w:hint="eastAsia"/>
          <w:color w:val="auto"/>
          <w:sz w:val="32"/>
          <w:szCs w:val="32"/>
          <w:shd w:val="clear" w:color="auto" w:fill="FFFFFF"/>
        </w:rPr>
        <w:t>年，持续推进重点领域信息公开的广度和深度，强化对重大决策信息、权责清单、政策解读，各类信息公开力度。经全面梳理，共向县政府网站信息公开平台主动提供信息</w:t>
      </w:r>
      <w:r>
        <w:rPr>
          <w:rFonts w:ascii="仿宋_GB2312" w:eastAsia="仿宋_GB2312" w:cs="仿宋_GB2312"/>
          <w:sz w:val="32"/>
          <w:szCs w:val="32"/>
          <w:shd w:val="solid" w:color="FFFFFF" w:fill="FFFFFF"/>
        </w:rPr>
        <w:t>220</w:t>
      </w:r>
      <w:r>
        <w:rPr>
          <w:rFonts w:ascii="仿宋_GB2312" w:eastAsia="仿宋_GB2312" w:cs="仿宋_GB2312" w:hint="eastAsia"/>
          <w:color w:val="auto"/>
          <w:sz w:val="32"/>
          <w:szCs w:val="32"/>
          <w:shd w:val="clear" w:color="auto" w:fill="FFFFFF"/>
        </w:rPr>
        <w:t>条。政府信息的及时公开，有效丰富了公民、法人或其他组织对政府信息的需求。</w:t>
      </w:r>
    </w:p>
    <w:p>
      <w:pPr>
        <w:widowControl/>
        <w:spacing w:line="560" w:lineRule="exact"/>
        <w:ind w:firstLine="640"/>
        <w:jc w:val="left"/>
        <w:rPr>
          <w:rFonts w:ascii="楷体_GB2312" w:eastAsia="楷体_GB2312" w:cs="楷体_GB2312"/>
          <w:b/>
          <w:kern w:val="0"/>
          <w:szCs w:val="32"/>
          <w:shd w:val="clear" w:color="auto" w:fill="FFFFFF"/>
        </w:rPr>
      </w:pPr>
      <w:r>
        <w:rPr>
          <w:rFonts w:ascii="楷体_GB2312" w:eastAsia="楷体_GB2312" w:cs="楷体_GB2312" w:hint="eastAsia"/>
          <w:b/>
          <w:kern w:val="0"/>
          <w:szCs w:val="32"/>
          <w:shd w:val="clear" w:color="auto" w:fill="FFFFFF"/>
        </w:rPr>
        <w:t>（二）依申请公开</w:t>
      </w:r>
    </w:p>
    <w:p>
      <w:pPr>
        <w:widowControl/>
        <w:spacing w:line="560" w:lineRule="exact"/>
        <w:ind w:firstLine="640"/>
        <w:jc w:val="left"/>
        <w:rPr>
          <w:rFonts w:ascii="楷体_GB2312" w:eastAsia="楷体_GB2312" w:cs="楷体_GB2312"/>
          <w:b/>
          <w:kern w:val="0"/>
          <w:szCs w:val="32"/>
          <w:shd w:val="clear" w:color="auto" w:fill="FFFFFF"/>
        </w:rPr>
      </w:pPr>
      <w:r>
        <w:rPr>
          <w:rFonts w:cs="仿宋_GB2312" w:hint="eastAsia"/>
          <w:kern w:val="0"/>
          <w:szCs w:val="32"/>
          <w:shd w:val="clear" w:color="auto" w:fill="FFFFFF"/>
        </w:rPr>
        <w:t>按照《中华人民共和国信息公开条例》，建立完善了公开</w:t>
      </w:r>
    </w:p>
    <w:p>
      <w:pPr>
        <w:widowControl/>
        <w:spacing w:line="560" w:lineRule="exact"/>
        <w:ind w:left="0"/>
        <w:jc w:val="left"/>
        <w:rPr>
          <w:rFonts w:cs="仿宋_GB2312" w:hint="eastAsia"/>
          <w:kern w:val="0"/>
          <w:szCs w:val="32"/>
          <w:shd w:val="clear" w:color="auto" w:fill="FFFFFF"/>
        </w:rPr>
      </w:pPr>
      <w:bookmarkStart w:id="0" w:name="_GoBack"/>
      <w:bookmarkEnd w:id="0"/>
      <w:r>
        <w:rPr>
          <w:rFonts w:cs="仿宋_GB2312" w:hint="eastAsia"/>
          <w:kern w:val="0"/>
          <w:szCs w:val="32"/>
          <w:shd w:val="clear" w:color="auto" w:fill="FFFFFF"/>
        </w:rPr>
        <w:t>制度，明确了依申请公开的受理机构和受理流程，具备了按规定程序受理、审核、处理和答复依申请公开政府信息能力。</w:t>
      </w:r>
    </w:p>
    <w:p>
      <w:pPr>
        <w:widowControl/>
        <w:spacing w:line="560" w:lineRule="exact"/>
        <w:ind w:firstLine="640"/>
        <w:jc w:val="left"/>
        <w:rPr>
          <w:rFonts w:cs="Verdana"/>
          <w:sz w:val="21"/>
          <w:szCs w:val="21"/>
        </w:rPr>
      </w:pPr>
      <w:r>
        <w:rPr>
          <w:rFonts w:cs="仿宋_GB2312" w:hint="eastAsia"/>
          <w:kern w:val="0"/>
          <w:szCs w:val="32"/>
          <w:shd w:val="clear" w:color="auto" w:fill="FFFFFF"/>
        </w:rPr>
        <w:t>202</w:t>
      </w:r>
      <w:r>
        <w:rPr>
          <w:rFonts w:cs="仿宋_GB2312"/>
          <w:kern w:val="0"/>
          <w:szCs w:val="32"/>
          <w:shd w:val="clear" w:color="auto" w:fill="FFFFFF"/>
        </w:rPr>
        <w:t>5</w:t>
      </w:r>
      <w:r>
        <w:rPr>
          <w:rFonts w:cs="仿宋_GB2312" w:hint="eastAsia"/>
          <w:kern w:val="0"/>
          <w:szCs w:val="32"/>
          <w:shd w:val="clear" w:color="auto" w:fill="FFFFFF"/>
        </w:rPr>
        <w:t>年，接到依申请公开事项</w:t>
      </w:r>
      <w:r>
        <w:rPr>
          <w:rFonts w:cs="仿宋_GB2312"/>
          <w:kern w:val="0"/>
          <w:szCs w:val="32"/>
          <w:shd w:val="clear" w:color="auto" w:fill="FFFFFF"/>
        </w:rPr>
        <w:t>8</w:t>
      </w:r>
      <w:r>
        <w:rPr>
          <w:rFonts w:cs="仿宋_GB2312" w:hint="eastAsia"/>
          <w:kern w:val="0"/>
          <w:szCs w:val="32"/>
          <w:shd w:val="clear" w:color="auto" w:fill="FFFFFF"/>
        </w:rPr>
        <w:t>项，并在第一时间严格按照有关规定和法律程序向申请人进行了合理答复。</w:t>
      </w:r>
    </w:p>
    <w:p>
      <w:pPr>
        <w:widowControl/>
        <w:spacing w:line="560" w:lineRule="exact"/>
        <w:ind w:firstLine="640"/>
        <w:jc w:val="left"/>
        <w:rPr>
          <w:rFonts w:cs="Verdana"/>
          <w:sz w:val="21"/>
          <w:szCs w:val="21"/>
        </w:rPr>
      </w:pPr>
      <w:r>
        <w:rPr>
          <w:rFonts w:cs="仿宋_GB2312" w:hint="eastAsia"/>
          <w:kern w:val="0"/>
          <w:szCs w:val="32"/>
          <w:shd w:val="clear" w:color="auto" w:fill="FFFFFF"/>
        </w:rPr>
        <w:t>全年未发生针对政府信息公开事务的行政复议申请、申诉和行政诉讼案件。</w:t>
      </w:r>
    </w:p>
    <w:p>
      <w:pPr>
        <w:pStyle w:val="18"/>
        <w:spacing w:before="0" w:beforeAutospacing="0" w:after="0" w:afterAutospacing="0" w:line="560" w:lineRule="exact"/>
        <w:ind w:firstLineChars="200" w:firstLine="640"/>
        <w:jc w:val="both"/>
        <w:rPr>
          <w:rFonts w:ascii="楷体_GB2312" w:eastAsia="楷体_GB2312" w:cs="仿宋_GB2312"/>
          <w:b/>
          <w:color w:val="auto"/>
          <w:sz w:val="32"/>
          <w:szCs w:val="32"/>
        </w:rPr>
      </w:pPr>
      <w:r>
        <w:rPr>
          <w:rFonts w:ascii="楷体_GB2312" w:eastAsia="楷体_GB2312" w:cs="仿宋_GB2312" w:hint="eastAsia"/>
          <w:b/>
          <w:color w:val="auto"/>
          <w:sz w:val="32"/>
          <w:szCs w:val="32"/>
          <w:shd w:val="clear" w:color="auto" w:fill="FFFFFF"/>
        </w:rPr>
        <w:t>（三）政务信息管理</w:t>
      </w:r>
    </w:p>
    <w:p>
      <w:pPr>
        <w:pStyle w:val="18"/>
        <w:spacing w:before="0" w:beforeAutospacing="0" w:after="0" w:afterAutospacing="0" w:line="560" w:lineRule="exact"/>
        <w:ind w:firstLineChars="200" w:firstLine="640"/>
        <w:jc w:val="both"/>
        <w:rPr>
          <w:rFonts w:ascii="仿宋_GB2312" w:eastAsia="仿宋_GB2312" w:cs="仿宋_GB2312"/>
          <w:color w:val="auto"/>
          <w:sz w:val="32"/>
          <w:szCs w:val="32"/>
          <w:shd w:val="clear" w:color="auto" w:fill="FFFFFF"/>
        </w:rPr>
      </w:pPr>
      <w:r>
        <w:rPr>
          <w:rFonts w:ascii="仿宋_GB2312" w:eastAsia="仿宋_GB2312" w:cs="仿宋_GB2312" w:hint="eastAsia"/>
          <w:color w:val="auto"/>
          <w:sz w:val="32"/>
          <w:szCs w:val="32"/>
          <w:shd w:val="clear" w:color="auto" w:fill="FFFFFF"/>
        </w:rPr>
        <w:t>进一步完善主动公开、依申请公开、信息保密审查以及考核和责任追究等制度，建立健全信息公开保障机制，不</w:t>
      </w:r>
      <w:r>
        <w:rPr>
          <w:rFonts w:ascii="仿宋_GB2312" w:eastAsia="仿宋_GB2312" w:cs="仿宋_GB2312"/>
          <w:color w:val="auto"/>
          <w:sz w:val="32"/>
          <w:szCs w:val="32"/>
          <w:shd w:val="clear" w:color="auto" w:fill="FFFFFF"/>
        </w:rPr>
        <w:t>断</w:t>
      </w:r>
      <w:r>
        <w:rPr>
          <w:rFonts w:ascii="仿宋_GB2312" w:eastAsia="仿宋_GB2312" w:cs="仿宋_GB2312" w:hint="eastAsia"/>
          <w:color w:val="auto"/>
          <w:sz w:val="32"/>
          <w:szCs w:val="32"/>
          <w:shd w:val="clear" w:color="auto" w:fill="FFFFFF"/>
        </w:rPr>
        <w:t>完善并</w:t>
      </w:r>
      <w:r>
        <w:rPr>
          <w:rFonts w:ascii="仿宋_GB2312" w:eastAsia="仿宋_GB2312" w:cs="仿宋_GB2312"/>
          <w:color w:val="auto"/>
          <w:sz w:val="32"/>
          <w:szCs w:val="32"/>
          <w:shd w:val="clear" w:color="auto" w:fill="FFFFFF"/>
        </w:rPr>
        <w:t>严格执行</w:t>
      </w:r>
      <w:r>
        <w:rPr>
          <w:rFonts w:ascii="仿宋_GB2312" w:eastAsia="仿宋_GB2312" w:cs="仿宋_GB2312" w:hint="eastAsia"/>
          <w:color w:val="auto"/>
          <w:sz w:val="32"/>
          <w:szCs w:val="32"/>
          <w:shd w:val="clear" w:color="auto" w:fill="FFFFFF"/>
        </w:rPr>
        <w:t>政府信息主动公开工作流程，使信息及时、准确、规范上传，保证了政务公开工作扎实高效开展。</w:t>
      </w:r>
    </w:p>
    <w:p>
      <w:pPr>
        <w:shd w:val="clear" w:color="auto" w:fill="FFFFFF"/>
        <w:spacing w:line="560" w:lineRule="exact"/>
        <w:ind w:firstLine="643"/>
        <w:rPr>
          <w:rFonts w:ascii="楷体_GB2312" w:eastAsia="楷体_GB2312"/>
          <w:b/>
          <w:szCs w:val="32"/>
        </w:rPr>
      </w:pPr>
      <w:r>
        <w:rPr>
          <w:rFonts w:ascii="楷体_GB2312" w:eastAsia="楷体_GB2312" w:hint="eastAsia"/>
          <w:b/>
          <w:szCs w:val="32"/>
        </w:rPr>
        <w:t>（四）政府信息公开平台建设</w:t>
      </w:r>
    </w:p>
    <w:p>
      <w:pPr>
        <w:shd w:val="clear" w:color="auto" w:fill="FFFFFF"/>
        <w:spacing w:line="560" w:lineRule="exact"/>
        <w:ind w:firstLine="640"/>
        <w:rPr>
          <w:rFonts w:hint="eastAsia"/>
          <w:sz w:val="21"/>
          <w:szCs w:val="21"/>
        </w:rPr>
      </w:pPr>
      <w:r>
        <w:rPr>
          <w:rFonts w:hint="eastAsia"/>
          <w:szCs w:val="32"/>
        </w:rPr>
        <w:t>持续加强信息公开平台的建设和管理力度，凡属于需要社会公众广泛知晓的政府信息，都在第一时间在网站发布和更新。按照《中华人民共和国政府信息公开条例》要求，持续推进主动公开、依申请公开、政策解读、舆情回应、新媒体建设等方面的工作。严把公开内容关口，加强内容审核、保证及时更新，对网站和政务新媒体定期开展读网自查，做到发现问题及时整改。</w:t>
      </w:r>
    </w:p>
    <w:p>
      <w:pPr>
        <w:shd w:val="clear" w:color="auto" w:fill="FFFFFF"/>
        <w:spacing w:line="560" w:lineRule="exact"/>
        <w:ind w:firstLine="643"/>
        <w:rPr>
          <w:rFonts w:ascii="楷体_GB2312" w:eastAsia="楷体_GB2312"/>
          <w:b/>
          <w:szCs w:val="32"/>
        </w:rPr>
      </w:pPr>
      <w:r>
        <w:rPr>
          <w:rFonts w:ascii="楷体_GB2312" w:eastAsia="楷体_GB2312" w:hint="eastAsia"/>
          <w:b/>
          <w:szCs w:val="32"/>
        </w:rPr>
        <w:t>（五）监督保障方面</w:t>
      </w:r>
    </w:p>
    <w:p>
      <w:pPr>
        <w:shd w:val="clear" w:color="auto" w:fill="FFFFFF"/>
        <w:spacing w:line="560" w:lineRule="exact"/>
        <w:ind w:firstLine="640"/>
        <w:rPr>
          <w:rFonts w:hint="eastAsia"/>
          <w:sz w:val="21"/>
          <w:szCs w:val="21"/>
        </w:rPr>
      </w:pPr>
      <w:r>
        <w:rPr>
          <w:rFonts w:hint="eastAsia"/>
          <w:szCs w:val="32"/>
        </w:rPr>
        <w:t>在局内部形成分工明确、统筹协作、共同推进的工作局面，对重视不够、工作不力、问题解决不彻底的股室和个人，提醒约谈。同时，重点提升政策解读质量，坚持“谁牵头起草、谁负责解读”，持续推进政策解读工作标准化、规范化、多样化。严格问题督促整改，坚持将政务公开工作列入目标绩效考核指标，坚持日常读网巡网，运用“软件扫描+人工读网”方式，严格落实信息发布三审三校，常态化开展涉密审查、隐私排查和敏感字词排查。</w:t>
      </w:r>
    </w:p>
    <w:p>
      <w:pPr>
        <w:pStyle w:val="18"/>
        <w:spacing w:before="0" w:beforeAutospacing="0" w:after="240" w:afterAutospacing="0" w:line="560" w:lineRule="exact"/>
        <w:ind w:firstLineChars="200" w:firstLine="640"/>
        <w:jc w:val="both"/>
        <w:rPr>
          <w:rFonts w:ascii="黑体" w:eastAsia="黑体"/>
          <w:color w:val="333333"/>
          <w:sz w:val="32"/>
          <w:szCs w:val="32"/>
          <w:shd w:val="clear" w:color="auto" w:fill="FFFFFF"/>
        </w:rPr>
      </w:pPr>
      <w:r>
        <w:rPr>
          <w:rFonts w:ascii="黑体" w:eastAsia="黑体" w:hint="eastAsia"/>
          <w:color w:val="333333"/>
          <w:sz w:val="32"/>
          <w:szCs w:val="32"/>
          <w:shd w:val="clear" w:color="auto" w:fill="FFFFFF"/>
        </w:rPr>
        <w:t>二、主动公开政务信息情况</w:t>
      </w:r>
    </w:p>
    <w:tbl>
      <w:tblPr>
        <w:jc w:val="left"/>
        <w:tblInd w:w="57" w:type="dxa"/>
        <w:tblW w:w="9431" w:type="dxa"/>
        <w:tblBorders>
          <w:top w:val="none" w:sz="0" w:space="0" w:color="auto"/>
          <w:left w:val="none" w:sz="0" w:space="0" w:color="auto"/>
          <w:bottom w:val="none" w:sz="0" w:space="0" w:color="auto"/>
          <w:right w:val="none" w:sz="0" w:space="0" w:color="auto"/>
        </w:tblBorders>
        <w:shd w:val="clear" w:color="auto" w:fill="FFFFFF"/>
        <w:tblCellMar>
          <w:top w:w="0" w:type="dxa"/>
          <w:left w:w="0" w:type="dxa"/>
          <w:bottom w:w="0" w:type="dxa"/>
          <w:right w:w="0" w:type="dxa"/>
        </w:tblCellMar>
      </w:tblPr>
      <w:tblGrid>
        <w:gridCol w:w="2485"/>
        <w:gridCol w:w="2209"/>
        <w:gridCol w:w="2347"/>
        <w:gridCol w:w="2390"/>
      </w:tblGrid>
      <w:tr>
        <w:trPr>
          <w:trHeight w:val="324"/>
        </w:trPr>
        <w:tc>
          <w:tcPr>
            <w:tcW w:w="9431" w:type="dxa"/>
            <w:gridSpan w:val="4"/>
            <w:tcBorders>
              <w:top w:val="single" w:sz="8" w:space="0" w:color="auto"/>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pPr>
            <w:r>
              <w:rPr>
                <w:rFonts w:cs="宋体" w:hint="eastAsia"/>
                <w:kern w:val="0"/>
                <w:szCs w:val="32"/>
              </w:rPr>
              <w:t>第二十条第（一）项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信息内容</w:t>
            </w:r>
          </w:p>
        </w:tc>
        <w:tc>
          <w:tcPr>
            <w:tcW w:w="2209" w:type="dxa"/>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本年制发件数</w:t>
            </w:r>
          </w:p>
        </w:tc>
        <w:tc>
          <w:tcPr>
            <w:tcW w:w="2347" w:type="dxa"/>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本年废止件数</w:t>
            </w:r>
          </w:p>
        </w:tc>
        <w:tc>
          <w:tcPr>
            <w:tcW w:w="2390" w:type="dxa"/>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现行有效件数</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规章</w:t>
            </w:r>
          </w:p>
        </w:tc>
        <w:tc>
          <w:tcPr>
            <w:tcW w:w="2209"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rPr>
              <w:t>0</w:t>
            </w:r>
          </w:p>
        </w:tc>
        <w:tc>
          <w:tcPr>
            <w:tcW w:w="2347"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0</w:t>
            </w:r>
          </w:p>
        </w:tc>
        <w:tc>
          <w:tcPr>
            <w:tcW w:w="2390"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hint="eastAsia"/>
              </w:rPr>
              <w:t>0</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行政规范性文件</w:t>
            </w:r>
          </w:p>
        </w:tc>
        <w:tc>
          <w:tcPr>
            <w:tcW w:w="2209"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hint="eastAsia"/>
              </w:rPr>
              <w:t>0</w:t>
            </w:r>
          </w:p>
        </w:tc>
        <w:tc>
          <w:tcPr>
            <w:tcW w:w="2347"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0</w:t>
            </w:r>
          </w:p>
        </w:tc>
        <w:tc>
          <w:tcPr>
            <w:tcW w:w="2390" w:type="dxa"/>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hint="eastAsia"/>
              </w:rPr>
              <w:t>0</w:t>
            </w:r>
          </w:p>
        </w:tc>
      </w:tr>
      <w:tr>
        <w:trPr>
          <w:trHeight w:val="324"/>
        </w:trPr>
        <w:tc>
          <w:tcPr>
            <w:tcW w:w="9431" w:type="dxa"/>
            <w:gridSpan w:val="4"/>
            <w:tcBorders>
              <w:top w:val="nil"/>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pPr>
            <w:r>
              <w:rPr>
                <w:rFonts w:cs="宋体" w:hint="eastAsia"/>
                <w:kern w:val="0"/>
                <w:szCs w:val="32"/>
              </w:rPr>
              <w:t>第二十条第（五）项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信息内容</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本年处理决定数量</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行政许可</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hint="eastAsia"/>
              </w:rPr>
              <w:t>0</w:t>
            </w:r>
          </w:p>
        </w:tc>
      </w:tr>
      <w:tr>
        <w:trPr>
          <w:trHeight w:val="324"/>
        </w:trPr>
        <w:tc>
          <w:tcPr>
            <w:tcW w:w="9431" w:type="dxa"/>
            <w:gridSpan w:val="4"/>
            <w:tcBorders>
              <w:top w:val="nil"/>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pPr>
            <w:r>
              <w:rPr>
                <w:rFonts w:cs="宋体" w:hint="eastAsia"/>
                <w:kern w:val="0"/>
                <w:szCs w:val="32"/>
              </w:rPr>
              <w:t>第二十条第（六）项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信息内容</w:t>
            </w:r>
          </w:p>
        </w:tc>
        <w:tc>
          <w:tcPr>
            <w:tcW w:w="6946" w:type="dxa"/>
            <w:gridSpan w:val="3"/>
            <w:tcBorders>
              <w:top w:val="single" w:sz="8" w:space="0" w:color="auto"/>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本年处理决定数量</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行政处罚</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Calibri"/>
                <w:kern w:val="0"/>
                <w:szCs w:val="32"/>
              </w:rPr>
              <w:t>8</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行政强制</w:t>
            </w:r>
          </w:p>
        </w:tc>
        <w:tc>
          <w:tcPr>
            <w:tcW w:w="6946" w:type="dxa"/>
            <w:gridSpan w:val="3"/>
            <w:tcBorders>
              <w:top w:val="nil"/>
              <w:left w:val="nil"/>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0</w:t>
            </w:r>
          </w:p>
        </w:tc>
      </w:tr>
      <w:tr>
        <w:trPr>
          <w:trHeight w:val="324"/>
        </w:trPr>
        <w:tc>
          <w:tcPr>
            <w:tcW w:w="9431" w:type="dxa"/>
            <w:gridSpan w:val="4"/>
            <w:tcBorders>
              <w:top w:val="nil"/>
              <w:left w:val="single" w:sz="8" w:space="0" w:color="auto"/>
              <w:bottom w:val="single" w:sz="8" w:space="0" w:color="auto"/>
              <w:right w:val="single" w:sz="8" w:space="0" w:color="auto"/>
            </w:tcBorders>
            <w:shd w:val="clear" w:color="auto" w:fill="C6D9F1"/>
            <w:tcMar>
              <w:left w:w="57" w:type="dxa"/>
              <w:right w:w="57" w:type="dxa"/>
            </w:tcMar>
            <w:vAlign w:val="center"/>
          </w:tcPr>
          <w:p>
            <w:pPr>
              <w:widowControl/>
              <w:spacing w:line="560" w:lineRule="exact"/>
              <w:jc w:val="center"/>
            </w:pPr>
            <w:r>
              <w:rPr>
                <w:rFonts w:cs="宋体" w:hint="eastAsia"/>
                <w:kern w:val="0"/>
                <w:szCs w:val="32"/>
              </w:rPr>
              <w:t>第二十条第（八）项</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center"/>
            </w:pPr>
            <w:r>
              <w:rPr>
                <w:rFonts w:cs="宋体" w:hint="eastAsia"/>
                <w:kern w:val="0"/>
                <w:szCs w:val="32"/>
              </w:rPr>
              <w:t>信息内容</w:t>
            </w:r>
          </w:p>
        </w:tc>
        <w:tc>
          <w:tcPr>
            <w:tcW w:w="6946" w:type="dxa"/>
            <w:gridSpan w:val="3"/>
            <w:tcBorders>
              <w:top w:val="nil"/>
              <w:left w:val="nil"/>
              <w:bottom w:val="single" w:sz="8" w:space="0" w:color="auto"/>
              <w:right w:val="single" w:sz="8" w:space="0" w:color="000000"/>
            </w:tcBorders>
            <w:shd w:val="clear" w:color="auto" w:fill="FFFFFF"/>
            <w:tcMar>
              <w:left w:w="57" w:type="dxa"/>
              <w:right w:w="57" w:type="dxa"/>
            </w:tcMar>
            <w:vAlign w:val="center"/>
          </w:tcPr>
          <w:p>
            <w:pPr>
              <w:widowControl/>
              <w:spacing w:line="560" w:lineRule="exact"/>
              <w:jc w:val="center"/>
            </w:pPr>
            <w:r>
              <w:rPr>
                <w:rFonts w:cs="宋体" w:hint="eastAsia"/>
                <w:kern w:val="0"/>
                <w:szCs w:val="32"/>
              </w:rPr>
              <w:t>本年收费金额（单位：万元）</w:t>
            </w:r>
          </w:p>
        </w:tc>
      </w:tr>
      <w:tr>
        <w:trPr>
          <w:trHeight w:val="324"/>
        </w:trPr>
        <w:tc>
          <w:tcPr>
            <w:tcW w:w="2485" w:type="dxa"/>
            <w:tcBorders>
              <w:top w:val="nil"/>
              <w:left w:val="single" w:sz="8" w:space="0" w:color="auto"/>
              <w:bottom w:val="single" w:sz="8" w:space="0" w:color="auto"/>
              <w:right w:val="single" w:sz="8" w:space="0" w:color="auto"/>
            </w:tcBorders>
            <w:shd w:val="clear" w:color="auto" w:fill="FFFFFF"/>
            <w:tcMar>
              <w:left w:w="57" w:type="dxa"/>
              <w:right w:w="57" w:type="dxa"/>
            </w:tcMar>
            <w:vAlign w:val="center"/>
          </w:tcPr>
          <w:p>
            <w:pPr>
              <w:widowControl/>
              <w:spacing w:line="560" w:lineRule="exact"/>
              <w:jc w:val="left"/>
            </w:pPr>
            <w:r>
              <w:rPr>
                <w:rFonts w:cs="宋体" w:hint="eastAsia"/>
                <w:kern w:val="0"/>
                <w:szCs w:val="32"/>
              </w:rPr>
              <w:t>行政事业性收费</w:t>
            </w:r>
          </w:p>
        </w:tc>
        <w:tc>
          <w:tcPr>
            <w:tcW w:w="6946" w:type="dxa"/>
            <w:gridSpan w:val="3"/>
            <w:tcBorders>
              <w:top w:val="nil"/>
              <w:left w:val="nil"/>
              <w:bottom w:val="single" w:sz="8" w:space="0" w:color="auto"/>
              <w:right w:val="single" w:sz="8" w:space="0" w:color="000000"/>
            </w:tcBorders>
            <w:shd w:val="clear" w:color="auto" w:fill="FFFFFF"/>
            <w:tcMar>
              <w:left w:w="57" w:type="dxa"/>
              <w:right w:w="57" w:type="dxa"/>
            </w:tcMar>
            <w:vAlign w:val="center"/>
          </w:tcPr>
          <w:p>
            <w:pPr>
              <w:widowControl/>
              <w:spacing w:line="560" w:lineRule="exact"/>
              <w:jc w:val="left"/>
            </w:pPr>
            <w:r>
              <w:rPr>
                <w:rFonts w:cs="宋体" w:hint="eastAsia"/>
                <w:kern w:val="0"/>
                <w:szCs w:val="32"/>
              </w:rPr>
              <w:t>0</w:t>
            </w:r>
          </w:p>
        </w:tc>
      </w:tr>
    </w:tbl>
    <w:p>
      <w:pPr>
        <w:pStyle w:val="18"/>
        <w:spacing w:before="0" w:beforeAutospacing="0" w:after="240" w:afterAutospacing="0" w:line="560" w:lineRule="exact"/>
        <w:ind w:firstLineChars="100" w:firstLine="320"/>
        <w:jc w:val="both"/>
        <w:outlineLvl w:val="0"/>
        <w:rPr>
          <w:rFonts w:ascii="黑体" w:eastAsia="黑体"/>
          <w:color w:val="333333"/>
          <w:sz w:val="32"/>
          <w:szCs w:val="32"/>
        </w:rPr>
      </w:pPr>
      <w:r>
        <w:rPr>
          <w:rFonts w:ascii="黑体" w:eastAsia="黑体" w:hint="eastAsia"/>
          <w:color w:val="333333"/>
          <w:sz w:val="32"/>
          <w:szCs w:val="32"/>
        </w:rPr>
        <w:t xml:space="preserve"> </w:t>
      </w:r>
      <w:r>
        <w:rPr>
          <w:rFonts w:ascii="黑体" w:eastAsia="黑体" w:hint="eastAsia"/>
          <w:color w:val="333333"/>
          <w:sz w:val="32"/>
          <w:szCs w:val="32"/>
          <w:shd w:val="clear" w:color="auto" w:fill="FFFFFF"/>
        </w:rPr>
        <w:t>三、收到和处理政府信息公开申请情况</w:t>
      </w:r>
    </w:p>
    <w:tbl>
      <w:tblPr>
        <w:jc w:val="center"/>
        <w:tblW w:w="90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rPr>
          <w:trHeight w:val="452"/>
        </w:trPr>
        <w:tc>
          <w:tcPr>
            <w:tcW w:w="3558" w:type="dxa"/>
            <w:gridSpan w:val="3"/>
            <w:vMerge w:val="restart"/>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（本列数据的勾稽关系为：第一项加第二项之和，等于第三项加第四项之和）</w:t>
            </w:r>
          </w:p>
        </w:tc>
        <w:tc>
          <w:tcPr>
            <w:tcW w:w="5513" w:type="dxa"/>
            <w:gridSpan w:val="7"/>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申请人情况</w:t>
            </w:r>
          </w:p>
        </w:tc>
      </w:tr>
      <w:tr>
        <w:tc>
          <w:tcPr>
            <w:tcW w:w="3558" w:type="dxa"/>
            <w:gridSpan w:val="3"/>
            <w:vMerge/>
            <w:tcBorders>
              <w:tl2br w:val="nil"/>
              <w:tr2bl w:val="nil"/>
            </w:tcBorders>
            <w:tcMar>
              <w:left w:w="108" w:type="dxa"/>
              <w:right w:w="108" w:type="dxa"/>
            </w:tcMar>
            <w:vAlign w:val="center"/>
          </w:tcPr>
          <w:p/>
        </w:tc>
        <w:tc>
          <w:tcPr>
            <w:tcW w:w="814" w:type="dxa"/>
            <w:vMerge w:val="restart"/>
            <w:tcBorders>
              <w:tl2br w:val="nil"/>
              <w:tr2bl w:val="nil"/>
            </w:tcBorders>
            <w:tcMar>
              <w:left w:w="108" w:type="dxa"/>
              <w:right w:w="108" w:type="dxa"/>
            </w:tcMar>
            <w:vAlign w:val="center"/>
          </w:tcPr>
          <w:p>
            <w:pPr>
              <w:widowControl/>
              <w:spacing w:after="180" w:line="560" w:lineRule="exact"/>
              <w:jc w:val="center"/>
              <w:rPr>
                <w:sz w:val="24"/>
              </w:rPr>
            </w:pPr>
            <w:r>
              <w:rPr>
                <w:rFonts w:cs="宋体" w:hint="eastAsia"/>
                <w:kern w:val="0"/>
                <w:sz w:val="20"/>
                <w:szCs w:val="20"/>
              </w:rPr>
              <w:t>自然人</w:t>
            </w:r>
          </w:p>
        </w:tc>
        <w:tc>
          <w:tcPr>
            <w:tcW w:w="4010" w:type="dxa"/>
            <w:gridSpan w:val="5"/>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法人或其他组织</w:t>
            </w:r>
          </w:p>
        </w:tc>
        <w:tc>
          <w:tcPr>
            <w:tcW w:w="689" w:type="dxa"/>
            <w:vMerge w:val="restart"/>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总计</w:t>
            </w:r>
          </w:p>
        </w:tc>
      </w:tr>
      <w:tr>
        <w:tc>
          <w:tcPr>
            <w:tcW w:w="3558" w:type="dxa"/>
            <w:gridSpan w:val="3"/>
            <w:vMerge/>
            <w:tcBorders>
              <w:tl2br w:val="nil"/>
              <w:tr2bl w:val="nil"/>
            </w:tcBorders>
            <w:tcMar>
              <w:left w:w="108" w:type="dxa"/>
              <w:right w:w="108" w:type="dxa"/>
            </w:tcMar>
            <w:vAlign w:val="center"/>
          </w:tcPr>
          <w:p/>
        </w:tc>
        <w:tc>
          <w:tcPr>
            <w:tcW w:w="814" w:type="dxa"/>
            <w:vMerge/>
            <w:tcBorders>
              <w:tl2br w:val="nil"/>
              <w:tr2bl w:val="nil"/>
            </w:tcBorders>
            <w:tcMar>
              <w:left w:w="108" w:type="dxa"/>
              <w:right w:w="108" w:type="dxa"/>
            </w:tcMar>
            <w:vAlign w:val="center"/>
          </w:tcPr>
          <w:p/>
        </w:tc>
        <w:tc>
          <w:tcPr>
            <w:tcW w:w="755" w:type="dxa"/>
            <w:tcBorders>
              <w:tl2br w:val="nil"/>
              <w:tr2bl w:val="nil"/>
            </w:tcBorders>
            <w:tcMar>
              <w:left w:w="108" w:type="dxa"/>
              <w:right w:w="108" w:type="dxa"/>
            </w:tcMar>
            <w:vAlign w:val="center"/>
          </w:tcPr>
          <w:p>
            <w:pPr>
              <w:widowControl/>
              <w:spacing w:after="180" w:line="560" w:lineRule="exact"/>
              <w:jc w:val="center"/>
              <w:rPr>
                <w:sz w:val="24"/>
              </w:rPr>
            </w:pPr>
            <w:r>
              <w:rPr>
                <w:rFonts w:cs="宋体" w:hint="eastAsia"/>
                <w:kern w:val="0"/>
                <w:sz w:val="20"/>
                <w:szCs w:val="20"/>
              </w:rPr>
              <w:t>商业企业</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科研机构</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社会公益组织</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法律服务机构</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其他</w:t>
            </w:r>
          </w:p>
        </w:tc>
        <w:tc>
          <w:tcPr>
            <w:tcW w:w="689" w:type="dxa"/>
            <w:vMerge/>
            <w:tcBorders>
              <w:tl2br w:val="nil"/>
              <w:tr2bl w:val="nil"/>
            </w:tcBorders>
            <w:tcMar>
              <w:left w:w="108" w:type="dxa"/>
              <w:right w:w="108" w:type="dxa"/>
            </w:tcMar>
            <w:vAlign w:val="center"/>
          </w:tcPr>
          <w:p/>
        </w:tc>
      </w:tr>
      <w:tr>
        <w:tc>
          <w:tcPr>
            <w:tcW w:w="3558" w:type="dxa"/>
            <w:gridSpan w:val="3"/>
            <w:tcBorders>
              <w:tl2br w:val="nil"/>
              <w:tr2bl w:val="nil"/>
            </w:tcBorders>
            <w:tcMar>
              <w:left w:w="108" w:type="dxa"/>
              <w:right w:w="108" w:type="dxa"/>
            </w:tcMar>
            <w:vAlign w:val="center"/>
          </w:tcPr>
          <w:p>
            <w:pPr>
              <w:widowControl/>
              <w:spacing w:after="180" w:line="560" w:lineRule="exact"/>
              <w:jc w:val="left"/>
              <w:rPr>
                <w:sz w:val="24"/>
              </w:rPr>
            </w:pPr>
            <w:r>
              <w:rPr>
                <w:rFonts w:cs="宋体" w:hint="eastAsia"/>
                <w:kern w:val="0"/>
                <w:sz w:val="20"/>
                <w:szCs w:val="20"/>
              </w:rPr>
              <w:t>一、本年新收政府信息公开申请数量</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3558" w:type="dxa"/>
            <w:gridSpan w:val="3"/>
            <w:tcBorders>
              <w:tl2br w:val="nil"/>
              <w:tr2bl w:val="nil"/>
            </w:tcBorders>
            <w:tcMar>
              <w:left w:w="108" w:type="dxa"/>
              <w:right w:w="108" w:type="dxa"/>
            </w:tcMar>
            <w:vAlign w:val="center"/>
          </w:tcPr>
          <w:p>
            <w:pPr>
              <w:widowControl/>
              <w:spacing w:after="180" w:line="560" w:lineRule="exact"/>
              <w:jc w:val="left"/>
            </w:pPr>
            <w:r>
              <w:rPr>
                <w:rFonts w:cs="宋体" w:hint="eastAsia"/>
                <w:kern w:val="0"/>
                <w:sz w:val="20"/>
                <w:szCs w:val="20"/>
              </w:rPr>
              <w:t>二、上年结转政府信息公开申请数量</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val="restart"/>
            <w:tcBorders>
              <w:tl2br w:val="nil"/>
              <w:tr2bl w:val="nil"/>
            </w:tcBorders>
            <w:tcMar>
              <w:left w:w="108" w:type="dxa"/>
              <w:right w:w="108" w:type="dxa"/>
            </w:tcMar>
            <w:vAlign w:val="center"/>
          </w:tcPr>
          <w:p>
            <w:pPr>
              <w:widowControl/>
              <w:spacing w:after="180" w:line="560" w:lineRule="exact"/>
              <w:jc w:val="center"/>
            </w:pPr>
            <w:r>
              <w:rPr>
                <w:rFonts w:cs="宋体" w:hint="eastAsia"/>
                <w:kern w:val="0"/>
                <w:sz w:val="20"/>
                <w:szCs w:val="20"/>
              </w:rPr>
              <w:t>三、本年度办理结果</w:t>
            </w:r>
          </w:p>
        </w:tc>
        <w:tc>
          <w:tcPr>
            <w:tcW w:w="2940" w:type="dxa"/>
            <w:gridSpan w:val="2"/>
            <w:tcBorders>
              <w:tl2br w:val="nil"/>
              <w:tr2bl w:val="nil"/>
            </w:tcBorders>
            <w:tcMar>
              <w:left w:w="108" w:type="dxa"/>
              <w:right w:w="108" w:type="dxa"/>
            </w:tcMar>
            <w:vAlign w:val="center"/>
          </w:tcPr>
          <w:p>
            <w:pPr>
              <w:widowControl/>
              <w:spacing w:after="180" w:line="560" w:lineRule="exact"/>
              <w:jc w:val="left"/>
            </w:pPr>
            <w:r>
              <w:rPr>
                <w:rFonts w:cs="楷体" w:hint="eastAsia"/>
                <w:kern w:val="0"/>
                <w:sz w:val="20"/>
                <w:szCs w:val="20"/>
              </w:rPr>
              <w:t>（一）予以公开</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（二）部分公开（区分处理的，只计这一情形，不计其他情形）</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（三）不予公开</w:t>
            </w:r>
          </w:p>
        </w:tc>
        <w:tc>
          <w:tcPr>
            <w:tcW w:w="2086" w:type="dxa"/>
            <w:tcBorders>
              <w:tl2br w:val="nil"/>
              <w:tr2bl w:val="nil"/>
            </w:tcBorders>
            <w:tcMar>
              <w:left w:w="108" w:type="dxa"/>
              <w:right w:w="108" w:type="dxa"/>
            </w:tcMar>
            <w:vAlign w:val="center"/>
          </w:tcPr>
          <w:p>
            <w:pPr>
              <w:widowControl/>
              <w:spacing w:after="180" w:line="560" w:lineRule="exact"/>
              <w:jc w:val="left"/>
            </w:pPr>
            <w:r>
              <w:rPr>
                <w:rFonts w:cs="楷体" w:hint="eastAsia"/>
                <w:kern w:val="0"/>
                <w:sz w:val="20"/>
                <w:szCs w:val="20"/>
              </w:rPr>
              <w:t>1.属于国家秘密</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2.其他法律行政法规禁止公开</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3.危及“三安全一稳定”</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4.保护第三方合法权益</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5.属于三类内部事务信息</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6.属于四类过程性信息</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7.属于行政执法案卷</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8.属于行政查询事项</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rPr>
          <w:trHeight w:val="646"/>
        </w:trPr>
        <w:tc>
          <w:tcPr>
            <w:tcW w:w="618" w:type="dxa"/>
            <w:vMerg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（四）无法提供</w:t>
            </w:r>
          </w:p>
        </w:tc>
        <w:tc>
          <w:tcPr>
            <w:tcW w:w="2086" w:type="dxa"/>
            <w:tcBorders>
              <w:tl2br w:val="nil"/>
              <w:tr2bl w:val="nil"/>
            </w:tcBorders>
            <w:tcMar>
              <w:left w:w="108" w:type="dxa"/>
              <w:right w:w="108" w:type="dxa"/>
            </w:tcMar>
            <w:vAlign w:val="center"/>
          </w:tcPr>
          <w:p>
            <w:pPr>
              <w:widowControl/>
              <w:spacing w:after="180" w:line="560" w:lineRule="exact"/>
              <w:jc w:val="left"/>
            </w:pPr>
            <w:r>
              <w:rPr>
                <w:rFonts w:cs="楷体" w:hint="eastAsia"/>
                <w:kern w:val="0"/>
                <w:sz w:val="20"/>
                <w:szCs w:val="20"/>
              </w:rPr>
              <w:t>1.本机关不掌握相关政府信息</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rPr>
          <w:trHeight w:val="646"/>
        </w:trP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2.没有现成信息需要另行制作</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rPr>
          <w:trHeight w:val="646"/>
        </w:trP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3.补正后申请内容仍不明确</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（五）不予处理</w:t>
            </w:r>
          </w:p>
        </w:tc>
        <w:tc>
          <w:tcPr>
            <w:tcW w:w="2086" w:type="dxa"/>
            <w:tcBorders>
              <w:tl2br w:val="nil"/>
              <w:tr2bl w:val="nil"/>
            </w:tcBorders>
            <w:tcMar>
              <w:left w:w="108" w:type="dxa"/>
              <w:right w:w="108" w:type="dxa"/>
            </w:tcMar>
            <w:vAlign w:val="center"/>
          </w:tcPr>
          <w:p>
            <w:pPr>
              <w:widowControl/>
              <w:spacing w:after="180" w:line="560" w:lineRule="exact"/>
              <w:jc w:val="left"/>
            </w:pPr>
            <w:r>
              <w:rPr>
                <w:rFonts w:cs="楷体" w:hint="eastAsia"/>
                <w:kern w:val="0"/>
                <w:sz w:val="20"/>
                <w:szCs w:val="20"/>
              </w:rPr>
              <w:t>1.信访举报投诉类申请</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2.重复申请</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3.要求提供公开出版物</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rPr>
          <w:trHeight w:val="792"/>
        </w:trP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4.无正当理由大量反复申请</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854" w:type="dxa"/>
            <w:vMerg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5.要求行政机关确认或重新出具已获取信息</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（六）其他处理</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618" w:type="dxa"/>
            <w:vMerg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sz w:val="24"/>
              </w:rPr>
            </w:pPr>
            <w:r>
              <w:rPr>
                <w:rFonts w:cs="楷体" w:hint="eastAsia"/>
                <w:kern w:val="0"/>
                <w:sz w:val="20"/>
                <w:szCs w:val="20"/>
              </w:rPr>
              <w:t>（七）总计</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r>
        <w:tc>
          <w:tcPr>
            <w:tcW w:w="3558" w:type="dxa"/>
            <w:gridSpan w:val="3"/>
            <w:tcBorders>
              <w:tl2br w:val="nil"/>
              <w:tr2bl w:val="nil"/>
            </w:tcBorders>
            <w:tcMar>
              <w:left w:w="108" w:type="dxa"/>
              <w:right w:w="108" w:type="dxa"/>
            </w:tcMar>
            <w:vAlign w:val="center"/>
          </w:tcPr>
          <w:p>
            <w:pPr>
              <w:widowControl/>
              <w:spacing w:after="180" w:line="560" w:lineRule="exact"/>
              <w:jc w:val="left"/>
            </w:pPr>
            <w:r>
              <w:rPr>
                <w:rFonts w:cs="宋体" w:hint="eastAsia"/>
                <w:kern w:val="0"/>
                <w:sz w:val="20"/>
                <w:szCs w:val="20"/>
              </w:rPr>
              <w:t>四、结转下年度继续办理</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pPr>
            <w:r>
              <w:rPr>
                <w:rFonts w:cs="Calibri" w:hint="eastAsia"/>
                <w:kern w:val="0"/>
                <w:sz w:val="20"/>
                <w:szCs w:val="20"/>
              </w:rPr>
              <w:t>0</w:t>
            </w:r>
          </w:p>
        </w:tc>
      </w:tr>
    </w:tbl>
    <w:p>
      <w:pPr>
        <w:pStyle w:val="18"/>
        <w:spacing w:before="0" w:beforeAutospacing="0" w:after="0" w:afterAutospacing="0" w:line="560" w:lineRule="exact"/>
        <w:ind w:firstLineChars="200" w:firstLine="640"/>
        <w:jc w:val="both"/>
        <w:outlineLvl w:val="0"/>
        <w:rPr>
          <w:rFonts w:ascii="黑体" w:eastAsia="黑体"/>
          <w:color w:val="333333"/>
          <w:sz w:val="32"/>
          <w:szCs w:val="32"/>
        </w:rPr>
      </w:pPr>
      <w:r>
        <w:rPr>
          <w:rFonts w:ascii="黑体" w:eastAsia="黑体" w:hint="eastAsia"/>
          <w:color w:val="333333"/>
          <w:sz w:val="32"/>
          <w:szCs w:val="32"/>
          <w:shd w:val="clear" w:color="auto" w:fill="FFFFFF"/>
        </w:rPr>
        <w:t>四、政府信息公开行政复议、行政诉讼情况</w:t>
      </w:r>
    </w:p>
    <w:tbl>
      <w:tblPr>
        <w:jc w:val="center"/>
        <w:tblW w:w="9071" w:type="dxa"/>
        <w:tblBorders>
          <w:top w:val="none" w:sz="0" w:space="0" w:color="auto"/>
          <w:left w:val="none" w:sz="0" w:space="0" w:color="auto"/>
          <w:bottom w:val="none" w:sz="0" w:space="0" w:color="auto"/>
          <w:right w:val="none" w:sz="0" w:space="0" w:color="auto"/>
          <w:insideH w:val="outset" w:sz="6" w:space="0" w:color="auto"/>
          <w:insideV w:val="outset" w:sz="6" w:space="0" w:color="auto"/>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c>
          <w:tcPr>
            <w:tcW w:w="3074" w:type="dxa"/>
            <w:gridSpan w:val="5"/>
            <w:tcBorders>
              <w:top w:val="single" w:sz="8" w:space="0" w:color="auto"/>
              <w:left w:val="single" w:sz="8" w:space="0" w:color="auto"/>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行政复议</w:t>
            </w:r>
          </w:p>
        </w:tc>
        <w:tc>
          <w:tcPr>
            <w:tcW w:w="5997" w:type="dxa"/>
            <w:gridSpan w:val="10"/>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行政诉讼</w:t>
            </w:r>
          </w:p>
        </w:tc>
      </w:tr>
      <w:tr>
        <w:tc>
          <w:tcPr>
            <w:tcW w:w="604" w:type="dxa"/>
            <w:vMerge w:val="restart"/>
            <w:tcBorders>
              <w:top w:val="nil"/>
              <w:left w:val="single" w:sz="8" w:space="0" w:color="auto"/>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结果维持</w:t>
            </w:r>
          </w:p>
        </w:tc>
        <w:tc>
          <w:tcPr>
            <w:tcW w:w="604" w:type="dxa"/>
            <w:vMerge w:val="restart"/>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结果纠正</w:t>
            </w:r>
          </w:p>
        </w:tc>
        <w:tc>
          <w:tcPr>
            <w:tcW w:w="604" w:type="dxa"/>
            <w:vMerge w:val="restart"/>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其他结果</w:t>
            </w:r>
          </w:p>
        </w:tc>
        <w:tc>
          <w:tcPr>
            <w:tcW w:w="604" w:type="dxa"/>
            <w:vMerge w:val="restart"/>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尚未审结</w:t>
            </w:r>
          </w:p>
        </w:tc>
        <w:tc>
          <w:tcPr>
            <w:tcW w:w="658" w:type="dxa"/>
            <w:vMerge w:val="restart"/>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总计</w:t>
            </w:r>
          </w:p>
        </w:tc>
        <w:tc>
          <w:tcPr>
            <w:tcW w:w="2970" w:type="dxa"/>
            <w:gridSpan w:val="5"/>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未经复议直接起诉</w:t>
            </w:r>
          </w:p>
        </w:tc>
        <w:tc>
          <w:tcPr>
            <w:tcW w:w="3027" w:type="dxa"/>
            <w:gridSpan w:val="5"/>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复议后起诉</w:t>
            </w:r>
          </w:p>
        </w:tc>
      </w:tr>
      <w:tr>
        <w:tc>
          <w:tcPr>
            <w:tcW w:w="604" w:type="dxa"/>
            <w:vMerge/>
            <w:tcBorders>
              <w:top w:val="nil"/>
              <w:left w:val="single" w:sz="8" w:space="0" w:color="auto"/>
              <w:bottom w:val="single" w:sz="8" w:space="0" w:color="auto"/>
              <w:right w:val="single" w:sz="8" w:space="0" w:color="auto"/>
            </w:tcBorders>
            <w:tcMar>
              <w:left w:w="108" w:type="dxa"/>
              <w:right w:w="108" w:type="dxa"/>
            </w:tcMar>
            <w:vAlign w:val="center"/>
          </w:tcPr>
          <w:p/>
        </w:tc>
        <w:tc>
          <w:tcPr>
            <w:tcW w:w="604" w:type="dxa"/>
            <w:vMerge/>
            <w:tcBorders>
              <w:top w:val="nil"/>
              <w:left w:val="nil"/>
              <w:bottom w:val="single" w:sz="8" w:space="0" w:color="auto"/>
              <w:right w:val="single" w:sz="8" w:space="0" w:color="auto"/>
            </w:tcBorders>
            <w:tcMar>
              <w:left w:w="108" w:type="dxa"/>
              <w:right w:w="108" w:type="dxa"/>
            </w:tcMar>
            <w:vAlign w:val="center"/>
          </w:tcPr>
          <w:p/>
        </w:tc>
        <w:tc>
          <w:tcPr>
            <w:tcW w:w="604" w:type="dxa"/>
            <w:vMerge/>
            <w:tcBorders>
              <w:top w:val="single" w:sz="8" w:space="0" w:color="auto"/>
              <w:left w:val="nil"/>
              <w:bottom w:val="single" w:sz="8" w:space="0" w:color="auto"/>
              <w:right w:val="single" w:sz="8" w:space="0" w:color="auto"/>
            </w:tcBorders>
            <w:tcMar>
              <w:left w:w="108" w:type="dxa"/>
              <w:right w:w="108" w:type="dxa"/>
            </w:tcMar>
            <w:vAlign w:val="center"/>
          </w:tcPr>
          <w:p/>
        </w:tc>
        <w:tc>
          <w:tcPr>
            <w:tcW w:w="604" w:type="dxa"/>
            <w:vMerge/>
            <w:tcBorders>
              <w:top w:val="single" w:sz="8" w:space="0" w:color="auto"/>
              <w:left w:val="nil"/>
              <w:bottom w:val="single" w:sz="8" w:space="0" w:color="auto"/>
              <w:right w:val="single" w:sz="8" w:space="0" w:color="auto"/>
            </w:tcBorders>
            <w:tcMar>
              <w:left w:w="108" w:type="dxa"/>
              <w:right w:w="108" w:type="dxa"/>
            </w:tcMar>
            <w:vAlign w:val="center"/>
          </w:tcPr>
          <w:p/>
        </w:tc>
        <w:tc>
          <w:tcPr>
            <w:tcW w:w="658" w:type="dxa"/>
            <w:vMerge/>
            <w:tcBorders>
              <w:top w:val="single" w:sz="8" w:space="0" w:color="auto"/>
              <w:left w:val="nil"/>
              <w:bottom w:val="single" w:sz="8" w:space="0" w:color="auto"/>
              <w:right w:val="single" w:sz="8" w:space="0" w:color="auto"/>
            </w:tcBorders>
            <w:tcMar>
              <w:left w:w="108" w:type="dxa"/>
              <w:right w:w="108" w:type="dxa"/>
            </w:tcMar>
            <w:vAlign w:val="center"/>
          </w:tcPr>
          <w:p/>
        </w:tc>
        <w:tc>
          <w:tcPr>
            <w:tcW w:w="550"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rPr>
                <w:sz w:val="24"/>
              </w:rPr>
            </w:pPr>
            <w:r>
              <w:rPr>
                <w:rFonts w:cs="宋体" w:hint="eastAsia"/>
                <w:kern w:val="0"/>
                <w:sz w:val="20"/>
                <w:szCs w:val="20"/>
              </w:rPr>
              <w:t>结果维持</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结果纠正</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其他结果</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尚未审结</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color w:val="000000"/>
                <w:kern w:val="0"/>
                <w:sz w:val="20"/>
                <w:szCs w:val="20"/>
              </w:rPr>
              <w:t>总计</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结果维持</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结果纠正</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color w:val="000000"/>
                <w:kern w:val="0"/>
                <w:sz w:val="20"/>
                <w:szCs w:val="20"/>
              </w:rPr>
              <w:t>其他结果</w:t>
            </w:r>
          </w:p>
        </w:tc>
        <w:tc>
          <w:tcPr>
            <w:tcW w:w="606"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kern w:val="0"/>
                <w:sz w:val="20"/>
                <w:szCs w:val="20"/>
              </w:rPr>
              <w:t>尚未审结</w:t>
            </w:r>
          </w:p>
        </w:tc>
        <w:tc>
          <w:tcPr>
            <w:tcW w:w="606" w:type="dxa"/>
            <w:tcBorders>
              <w:top w:val="single" w:sz="8" w:space="0" w:color="auto"/>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宋体" w:hint="eastAsia"/>
                <w:color w:val="000000"/>
                <w:kern w:val="0"/>
                <w:sz w:val="20"/>
                <w:szCs w:val="20"/>
              </w:rPr>
              <w:t>总计</w:t>
            </w:r>
          </w:p>
        </w:tc>
      </w:tr>
      <w:tr>
        <w:tc>
          <w:tcPr>
            <w:tcW w:w="604" w:type="dxa"/>
            <w:tcBorders>
              <w:top w:val="nil"/>
              <w:left w:val="single" w:sz="8" w:space="0" w:color="auto"/>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58"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550"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6" w:type="dxa"/>
            <w:tcBorders>
              <w:top w:val="nil"/>
              <w:left w:val="nil"/>
              <w:bottom w:val="single" w:sz="8" w:space="0" w:color="auto"/>
              <w:right w:val="single" w:sz="8" w:space="0" w:color="auto"/>
            </w:tcBorders>
            <w:tcMar>
              <w:left w:w="108" w:type="dxa"/>
              <w:right w:w="108" w:type="dxa"/>
            </w:tcMar>
            <w:vAlign w:val="center"/>
          </w:tcPr>
          <w:p>
            <w:pPr>
              <w:widowControl/>
              <w:spacing w:after="180" w:line="560" w:lineRule="exact"/>
              <w:jc w:val="center"/>
            </w:pPr>
            <w:r>
              <w:rPr>
                <w:rFonts w:cs="Calibri" w:hint="eastAsia"/>
                <w:kern w:val="0"/>
                <w:sz w:val="20"/>
                <w:szCs w:val="20"/>
              </w:rPr>
              <w:t>0</w:t>
            </w:r>
          </w:p>
        </w:tc>
        <w:tc>
          <w:tcPr>
            <w:tcW w:w="606" w:type="dxa"/>
            <w:tcBorders>
              <w:top w:val="nil"/>
              <w:left w:val="nil"/>
              <w:bottom w:val="single" w:sz="8" w:space="0" w:color="auto"/>
              <w:right w:val="single" w:sz="8" w:space="0" w:color="auto"/>
            </w:tcBorders>
            <w:tcMar>
              <w:left w:w="108" w:type="dxa"/>
              <w:right w:w="108" w:type="dxa"/>
            </w:tcMar>
            <w:vAlign w:val="center"/>
          </w:tcPr>
          <w:p>
            <w:pPr>
              <w:spacing w:line="560" w:lineRule="exact"/>
              <w:rPr>
                <w:sz w:val="24"/>
              </w:rPr>
            </w:pPr>
            <w:r>
              <w:rPr>
                <w:rFonts w:cs="Calibri" w:hint="eastAsia"/>
                <w:kern w:val="0"/>
                <w:sz w:val="20"/>
                <w:szCs w:val="20"/>
              </w:rPr>
              <w:t>0</w:t>
            </w:r>
          </w:p>
        </w:tc>
      </w:tr>
    </w:tbl>
    <w:p>
      <w:pPr>
        <w:pStyle w:val="18"/>
        <w:spacing w:before="0" w:beforeAutospacing="0" w:after="0" w:afterAutospacing="0" w:line="560" w:lineRule="exact"/>
        <w:ind w:firstLineChars="200" w:firstLine="640"/>
        <w:jc w:val="both"/>
        <w:outlineLvl w:val="0"/>
        <w:rPr>
          <w:rFonts w:ascii="黑体" w:eastAsia="黑体"/>
          <w:color w:val="333333"/>
          <w:sz w:val="32"/>
          <w:szCs w:val="32"/>
        </w:rPr>
      </w:pPr>
      <w:r>
        <w:rPr>
          <w:rFonts w:ascii="黑体" w:eastAsia="黑体" w:hint="eastAsia"/>
          <w:color w:val="333333"/>
          <w:sz w:val="32"/>
          <w:szCs w:val="32"/>
          <w:shd w:val="clear" w:color="auto" w:fill="FFFFFF"/>
        </w:rPr>
        <w:t>五、存在的主要问题及改进情况</w:t>
      </w:r>
    </w:p>
    <w:p>
      <w:pPr>
        <w:pStyle w:val="18"/>
        <w:spacing w:before="0" w:beforeAutospacing="0" w:after="0" w:afterAutospacing="0" w:line="560" w:lineRule="exact"/>
        <w:ind w:firstLineChars="200" w:firstLine="640"/>
        <w:jc w:val="both"/>
        <w:outlineLvl w:val="0"/>
        <w:rPr>
          <w:rFonts w:ascii="仿宋_GB2312" w:eastAsia="仿宋_GB2312" w:cs="仿宋_GB2312"/>
          <w:color w:val="auto"/>
          <w:sz w:val="32"/>
          <w:szCs w:val="32"/>
          <w:shd w:val="clear" w:color="auto" w:fill="FFFFFF"/>
        </w:rPr>
      </w:pPr>
      <w:r>
        <w:rPr>
          <w:rFonts w:ascii="仿宋_GB2312" w:eastAsia="仿宋_GB2312" w:cs="仿宋_GB2312" w:hint="eastAsia"/>
          <w:color w:val="auto"/>
          <w:sz w:val="32"/>
          <w:szCs w:val="32"/>
          <w:shd w:val="clear" w:color="auto" w:fill="FFFFFF"/>
        </w:rPr>
        <w:t>我局将进一步采取有效措施积极改进，严格按照《条例》规定和省、市、县有关要求，不断提升公开质量，切实加大公开力度。</w:t>
      </w:r>
      <w:r>
        <w:rPr>
          <w:rFonts w:ascii="仿宋_GB2312" w:eastAsia="仿宋_GB2312" w:cs="仿宋_GB2312" w:hint="eastAsia"/>
          <w:b/>
          <w:color w:val="auto"/>
          <w:sz w:val="32"/>
          <w:szCs w:val="32"/>
          <w:shd w:val="clear" w:color="auto" w:fill="FFFFFF"/>
        </w:rPr>
        <w:t>1.明确目标任务，突出工作重点。</w:t>
      </w:r>
      <w:r>
        <w:rPr>
          <w:rFonts w:ascii="仿宋_GB2312" w:eastAsia="仿宋_GB2312" w:cs="仿宋_GB2312" w:hint="eastAsia"/>
          <w:color w:val="auto"/>
          <w:sz w:val="32"/>
          <w:szCs w:val="32"/>
          <w:shd w:val="clear" w:color="auto" w:fill="FFFFFF"/>
        </w:rPr>
        <w:t>不断推进基层政务公开标准化、规范化建设，认真制定202</w:t>
      </w:r>
      <w:r>
        <w:rPr>
          <w:rFonts w:ascii="仿宋_GB2312" w:eastAsia="仿宋_GB2312" w:cs="仿宋_GB2312"/>
          <w:color w:val="auto"/>
          <w:sz w:val="32"/>
          <w:szCs w:val="32"/>
          <w:shd w:val="clear" w:color="auto" w:fill="FFFFFF"/>
        </w:rPr>
        <w:t>6</w:t>
      </w:r>
      <w:r>
        <w:rPr>
          <w:rFonts w:ascii="仿宋_GB2312" w:eastAsia="仿宋_GB2312" w:cs="仿宋_GB2312" w:hint="eastAsia"/>
          <w:color w:val="auto"/>
          <w:sz w:val="32"/>
          <w:szCs w:val="32"/>
          <w:shd w:val="clear" w:color="auto" w:fill="FFFFFF"/>
        </w:rPr>
        <w:t>年政务公开工作计划，使我局信息公开工作更加制度化、规范化，为我县经济社会发展和生态环境保护工作发挥更大作用。</w:t>
      </w:r>
      <w:r>
        <w:rPr>
          <w:rFonts w:ascii="仿宋_GB2312" w:eastAsia="仿宋_GB2312" w:cs="仿宋_GB2312" w:hint="eastAsia"/>
          <w:b/>
          <w:color w:val="auto"/>
          <w:sz w:val="32"/>
          <w:szCs w:val="32"/>
          <w:shd w:val="clear" w:color="auto" w:fill="FFFFFF"/>
        </w:rPr>
        <w:t>2.抓好公开载体，创新公开形式。</w:t>
      </w:r>
      <w:r>
        <w:rPr>
          <w:rFonts w:ascii="仿宋_GB2312" w:eastAsia="仿宋_GB2312" w:cs="仿宋_GB2312" w:hint="eastAsia"/>
          <w:color w:val="auto"/>
          <w:sz w:val="32"/>
          <w:szCs w:val="32"/>
          <w:shd w:val="clear" w:color="auto" w:fill="FFFFFF"/>
        </w:rPr>
        <w:t>不断创新政务信息公开工作的新形式、新途径、新方法，充分发挥政府网站、微信平台等媒体作用，规范完善公开内容，增强信息公开的实效性。</w:t>
      </w:r>
      <w:r>
        <w:rPr>
          <w:rFonts w:ascii="仿宋_GB2312" w:eastAsia="仿宋_GB2312" w:cs="仿宋_GB2312" w:hint="eastAsia"/>
          <w:b/>
          <w:color w:val="auto"/>
          <w:sz w:val="32"/>
          <w:szCs w:val="32"/>
          <w:shd w:val="clear" w:color="auto" w:fill="FFFFFF"/>
        </w:rPr>
        <w:t>3.突破难点重点，深化公开内容。</w:t>
      </w:r>
      <w:r>
        <w:rPr>
          <w:rFonts w:ascii="仿宋_GB2312" w:eastAsia="仿宋_GB2312" w:cs="仿宋_GB2312" w:hint="eastAsia"/>
          <w:color w:val="auto"/>
          <w:sz w:val="32"/>
          <w:szCs w:val="32"/>
          <w:shd w:val="clear" w:color="auto" w:fill="FFFFFF"/>
        </w:rPr>
        <w:t>持续加大对热点关注、政策解读栏目的公开力度；继续抓好主动公开和依申请公开工作，规范公开的内容、时限和程序，提高公开水平。</w:t>
      </w:r>
      <w:r>
        <w:rPr>
          <w:rFonts w:ascii="仿宋_GB2312" w:eastAsia="仿宋_GB2312" w:cs="仿宋_GB2312" w:hint="eastAsia"/>
          <w:b/>
          <w:color w:val="auto"/>
          <w:sz w:val="32"/>
          <w:szCs w:val="32"/>
          <w:shd w:val="clear" w:color="auto" w:fill="FFFFFF"/>
        </w:rPr>
        <w:t>4.加强宣传培训，增强公开意识。</w:t>
      </w:r>
      <w:r>
        <w:rPr>
          <w:rFonts w:ascii="仿宋_GB2312" w:eastAsia="仿宋_GB2312" w:cs="仿宋_GB2312" w:hint="eastAsia"/>
          <w:color w:val="auto"/>
          <w:sz w:val="32"/>
          <w:szCs w:val="32"/>
          <w:shd w:val="clear" w:color="auto" w:fill="FFFFFF"/>
        </w:rPr>
        <w:t>通过举办业务培训班和召开协调会的形式，对分管领导和信息公开人员进行相关业务培训、指导，切实提高政务公开队伍的业务能力。</w:t>
      </w:r>
    </w:p>
    <w:p>
      <w:pPr>
        <w:pStyle w:val="18"/>
        <w:spacing w:before="0" w:beforeAutospacing="0" w:after="0" w:afterAutospacing="0" w:line="560" w:lineRule="exact"/>
        <w:ind w:firstLineChars="200" w:firstLine="640"/>
        <w:jc w:val="both"/>
        <w:outlineLvl w:val="0"/>
        <w:rPr>
          <w:rFonts w:ascii="黑体" w:eastAsia="黑体"/>
          <w:color w:val="333333"/>
          <w:sz w:val="32"/>
          <w:szCs w:val="32"/>
        </w:rPr>
      </w:pPr>
      <w:r>
        <w:rPr>
          <w:rFonts w:ascii="黑体" w:eastAsia="黑体" w:hint="eastAsia"/>
          <w:color w:val="333333"/>
          <w:sz w:val="32"/>
          <w:szCs w:val="32"/>
          <w:shd w:val="clear" w:color="auto" w:fill="FFFFFF"/>
        </w:rPr>
        <w:t>六、其他需要报告的事项</w:t>
      </w:r>
    </w:p>
    <w:p>
      <w:pPr>
        <w:spacing w:line="560" w:lineRule="exact"/>
        <w:ind w:firstLineChars="200" w:firstLine="640"/>
        <w:rPr>
          <w:rFonts w:cs="仿宋_GB2312"/>
          <w:szCs w:val="32"/>
          <w:shd w:val="clear" w:color="auto" w:fill="FFFFFF"/>
        </w:rPr>
      </w:pPr>
      <w:r>
        <w:rPr>
          <w:rFonts w:cs="仿宋_GB2312" w:hint="eastAsia"/>
          <w:szCs w:val="32"/>
          <w:shd w:val="clear" w:color="auto" w:fill="FFFFFF"/>
        </w:rPr>
        <w:t>认真贯彻执行国务院办公厅《政府信息公开信息处理费管理办法》和《关于政府信息公开处理费管理有关事项的通知》。202</w:t>
      </w:r>
      <w:r>
        <w:rPr>
          <w:rFonts w:cs="仿宋_GB2312"/>
          <w:szCs w:val="32"/>
          <w:shd w:val="clear" w:color="auto" w:fill="FFFFFF"/>
        </w:rPr>
        <w:t>5</w:t>
      </w:r>
      <w:r>
        <w:rPr>
          <w:rFonts w:cs="仿宋_GB2312" w:hint="eastAsia"/>
          <w:szCs w:val="32"/>
          <w:shd w:val="clear" w:color="auto" w:fill="FFFFFF"/>
        </w:rPr>
        <w:t>年我</w:t>
      </w:r>
      <w:r>
        <w:rPr>
          <w:rFonts w:cs="仿宋_GB2312"/>
          <w:szCs w:val="32"/>
          <w:shd w:val="clear" w:color="auto" w:fill="FFFFFF"/>
        </w:rPr>
        <w:t>局</w:t>
      </w:r>
      <w:r>
        <w:rPr>
          <w:rFonts w:cs="仿宋_GB2312" w:hint="eastAsia"/>
          <w:szCs w:val="32"/>
          <w:shd w:val="clear" w:color="auto" w:fill="FFFFFF"/>
        </w:rPr>
        <w:t>未收取信息处理费。</w:t>
      </w:r>
    </w:p>
    <w:p>
      <w:pPr>
        <w:spacing w:line="560" w:lineRule="exact"/>
        <w:rPr>
          <w:shd w:val="clear" w:color="auto" w:fill="FFFFFF"/>
        </w:rPr>
      </w:pPr>
    </w:p>
    <w:p>
      <w:pPr>
        <w:spacing w:line="560" w:lineRule="exact"/>
        <w:rPr>
          <w:shd w:val="clear" w:color="auto" w:fill="FFFFFF"/>
        </w:rPr>
      </w:pPr>
    </w:p>
    <w:p>
      <w:pPr>
        <w:spacing w:line="560" w:lineRule="exact"/>
        <w:ind w:firstLineChars="200" w:firstLine="640"/>
      </w:pPr>
      <w:r>
        <w:rPr>
          <w:rFonts w:hint="eastAsia"/>
          <w:shd w:val="clear" w:color="auto" w:fill="FFFFFF"/>
        </w:rPr>
        <w:t xml:space="preserve">                     </w:t>
      </w:r>
    </w:p>
    <w:sectPr>
      <w:footerReference w:type="default" r:id="rId2"/>
      <w:pgSz w:w="11906" w:h="16838"/>
      <w:pgMar w:top="2098" w:right="1588" w:bottom="1985" w:left="1588" w:header="851" w:footer="992" w:gutter="0"/>
      <w:docGrid w:type="lines" w:linePitch="435" w:charSpace="0"/>
    </w:sectPr>
  </w:body>
</w:document>
</file>

<file path=word/fontTable.xml><?xml version="1.0" encoding="utf-8"?>
<w:fonts xmlns:w="http://schemas.openxmlformats.org/wordprocessingml/2006/main" xmlns:r="http://schemas.openxmlformats.org/officeDocument/2006/relationships">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variable"/>
    <w:sig w:usb0="00000001" w:usb1="080E0000" w:usb2="00000010" w:usb3="00000000" w:csb0="00040000" w:csb1="00000000"/>
  </w:font>
  <w:font w:name="黑体">
    <w:altName w:val="SimHei"/>
    <w:panose1 w:val="02010609060101010101"/>
    <w:charset w:val="86"/>
    <w:family w:val="modern"/>
    <w:pitch w:val="variable"/>
    <w:sig w:usb0="800002BF" w:usb1="38CF7CFA" w:usb2="00000016" w:usb3="00000000" w:csb0="00040001" w:csb1="00000000"/>
  </w:font>
  <w:font w:name="楷体_GB2312">
    <w:panose1 w:val="02010609030101010101"/>
    <w:charset w:val="86"/>
    <w:family w:val="modern"/>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variable"/>
    <w:sig w:usb0="800002BF" w:usb1="38CF7CFA" w:usb2="00000016"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sdt>
    <w:sdtPr>
      <w:id w:val="-864574736"/>
      <w:docPartObj>
        <w:docPartGallery w:val="Page Numbers (Bottom of Page)"/>
        <w:docPartUnique/>
      </w:docPartObj>
    </w:sdtPr>
    <w:sdtEndPr>
      <w:rPr>
        <w:rFonts w:ascii="宋体" w:eastAsia="宋体"/>
        <w:sz w:val="28"/>
        <w:szCs w:val="28"/>
      </w:rPr>
    </w:sdtEndPr>
    <w:sdtContent>
      <w:p>
        <w:pPr>
          <w:pStyle w:val="16"/>
          <w:tabs>
            <w:tab w:val="center" w:pos="4153"/>
            <w:tab w:val="right" w:pos="8306"/>
          </w:tabs>
          <w:jc w:val="center"/>
          <w:rPr>
            <w:rFonts w:ascii="宋体" w:eastAsia="宋体"/>
            <w:sz w:val="28"/>
            <w:szCs w:val="28"/>
          </w:rPr>
        </w:pPr>
        <w:r>
          <w:rPr>
            <w:rFonts w:ascii="宋体" w:eastAsia="宋体"/>
            <w:sz w:val="28"/>
            <w:szCs w:val="28"/>
          </w:rPr>
          <w:fldChar w:fldCharType="begin"/>
        </w:r>
        <w:r>
          <w:rPr>
            <w:rFonts w:ascii="宋体" w:eastAsia="宋体"/>
            <w:sz w:val="28"/>
            <w:szCs w:val="28"/>
          </w:rPr>
          <w:instrText xml:space="preserve"> PAGE  \* ArabicDash  \* MERGEFORMAT </w:instrText>
        </w:r>
        <w:r>
          <w:rPr>
            <w:rFonts w:ascii="宋体" w:eastAsia="宋体"/>
            <w:sz w:val="28"/>
            <w:szCs w:val="28"/>
          </w:rPr>
          <w:fldChar w:fldCharType="separate"/>
        </w:r>
        <w:r>
          <w:rPr>
            <w:rFonts w:ascii="宋体" w:eastAsia="宋体"/>
            <w:sz w:val="28"/>
            <w:szCs w:val="28"/>
          </w:rPr>
          <w:t>- 1 -</w:t>
        </w:r>
        <w:r>
          <w:rPr>
            <w:rFonts w:ascii="宋体" w:eastAsia="宋体"/>
            <w:sz w:val="28"/>
            <w:szCs w:val="28"/>
          </w:rPr>
          <w:fldChar w:fldCharType="end"/>
        </w:r>
      </w:p>
    </w:sdtContent>
  </w:sdt>
  <w:p>
    <w:pPr>
      <w:pStyle w:val="16"/>
      <w:tabs>
        <w:tab w:val="center" w:pos="4153"/>
        <w:tab w:val="right" w:pos="830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ocumentProtection w:edit="readOnly" w:enforcement="0"/>
  <w:defaultTabStop w:val="420"/>
  <w:drawingGridHorizontalSpacing w:val="160"/>
  <w:drawingGridVerticalSpacing w:val="435"/>
  <w:displayHorizontalDrawingGridEvery w:val="0"/>
  <w:displayVerticalDrawingGridEvery w:val="1"/>
  <w:noPunctuationKerning/>
  <w:characterSpacingControl w:val="compressPunctuation"/>
  <w:compat>
    <w:spaceForUL/>
    <w:balanceSingleByteDoubleByteWidth/>
    <w:ulTrailSpace/>
    <w:doNotExpandShiftReturn/>
    <w:adjustLineHeightInTable/>
    <w:compatSetting w:name="compatibilityMode" w:uri="http://schemas.microsoft.com/office/word" w:val="15"/>
  </w:compat>
  <w:docVars>
    <w:docVar w:name="commondata" w:val="eyJoZGlkIjoiZmNiNDUwMjczYjRkMjE5NmQ3OGVlZjgxMmE2ZjhjZTM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仿宋_GB2312" w:eastAsia="仿宋_GB2312" w:cs="Times New Roman"/>
      <w:kern w:val="2"/>
      <w:sz w:val="32"/>
      <w:szCs w:val="24"/>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Cs w:val="32"/>
    </w:rPr>
  </w:style>
  <w:style w:type="paragraph" w:styleId="3">
    <w:name w:val="heading 3"/>
    <w:basedOn w:val="0"/>
    <w:next w:val="0"/>
    <w:pPr>
      <w:keepNext/>
      <w:keepLines/>
      <w:widowControl w:val="0"/>
      <w:spacing w:before="260" w:after="260" w:line="415" w:lineRule="auto"/>
      <w:outlineLvl w:val="2"/>
    </w:pPr>
    <w:rPr>
      <w:b/>
      <w:bCs/>
      <w:szCs w:val="32"/>
    </w:rPr>
  </w:style>
  <w:style w:type="character" w:default="1" w:styleId="10">
    <w:name w:val="Default Paragraph Font"/>
  </w:style>
  <w:style w:type="paragraph" w:styleId="15">
    <w:name w:val="Balloon Text"/>
    <w:basedOn w:val="0"/>
    <w:rPr>
      <w:sz w:val="18"/>
      <w:szCs w:val="18"/>
    </w:rPr>
  </w:style>
  <w:style w:type="paragraph" w:styleId="16">
    <w:name w:val="footer"/>
    <w:basedOn w:val="0"/>
    <w:pPr>
      <w:tabs>
        <w:tab w:val="center" w:pos="4153"/>
        <w:tab w:val="right" w:pos="8306"/>
      </w:tabs>
      <w:snapToGrid w:val="0"/>
      <w:jc w:val="left"/>
    </w:pPr>
    <w:rPr>
      <w:sz w:val="18"/>
      <w:szCs w:val="18"/>
    </w:rPr>
  </w:style>
  <w:style w:type="paragraph" w:styleId="17">
    <w:name w:val="header"/>
    <w:basedOn w:val="0"/>
    <w:pPr>
      <w:pBdr>
        <w:bottom w:val="single" w:sz="6" w:space="1" w:color="auto"/>
      </w:pBdr>
      <w:tabs>
        <w:tab w:val="center" w:pos="4153"/>
        <w:tab w:val="right" w:pos="8306"/>
      </w:tabs>
      <w:snapToGrid w:val="0"/>
      <w:jc w:val="center"/>
    </w:pPr>
    <w:rPr>
      <w:sz w:val="18"/>
      <w:szCs w:val="18"/>
    </w:rPr>
  </w:style>
  <w:style w:type="paragraph" w:styleId="18">
    <w:name w:val="Normal (Web)"/>
    <w:basedOn w:val="0"/>
    <w:pPr>
      <w:widowControl/>
      <w:spacing w:before="100" w:beforeAutospacing="1" w:after="100" w:afterAutospacing="1"/>
      <w:jc w:val="left"/>
    </w:pPr>
    <w:rPr>
      <w:rFonts w:ascii="宋体" w:eastAsia="宋体" w:cs="宋体"/>
      <w:color w:val="000000"/>
      <w:kern w:val="0"/>
      <w:sz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16</TotalTime>
  <Application>Yozo_Office27021597764231179</Application>
  <Pages>7</Pages>
  <Words>2328</Words>
  <Characters>2371</Characters>
  <Lines>406</Lines>
  <Paragraphs>287</Paragraphs>
  <CharactersWithSpaces>2393</CharactersWithSpaces>
  <Company>Organization</Company>
</Properties>
</file>

<file path=docProps/core.xml><?xml version="1.0" encoding="utf-8"?>
<cp:coreProperties xmlns:cp="http://schemas.openxmlformats.org/package/2006/metadata/core-properties" xmlns:dc="http://purl.org/dc/elements/1.1/" xmlns:dcterms="http://purl.org/dc/terms/" xmlns:xsi="http://www.w3.org/2001/XMLSchema-instance">
  <dc:creator>小公举</dc:creator>
  <cp:lastModifiedBy>dh</cp:lastModifiedBy>
  <cp:revision>4</cp:revision>
  <cp:lastPrinted>2024-01-25T02:19:00Z</cp:lastPrinted>
  <dcterms:created xsi:type="dcterms:W3CDTF">2026-01-27T01:43:00Z</dcterms:created>
  <dcterms:modified xsi:type="dcterms:W3CDTF">2026-01-27T09:00:47Z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2052-11.8.2.1127</vt:lpwstr>
  </property>
  <property fmtid="{D5CDD505-2E9C-101B-9397-08002B2CF9AE}" pid="3" name="ICV">
    <vt:lpwstr>2CFF6E0761CA4501B2272BA4CD799693</vt:lpwstr>
  </property>
</Properties>
</file>