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DBC69">
      <w:pPr>
        <w:pStyle w:val="4"/>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rPr>
          <w:rFonts w:hint="eastAsia"/>
          <w:b/>
          <w:bCs w:val="0"/>
          <w:color w:val="000000" w:themeColor="text1"/>
          <w:sz w:val="44"/>
          <w:szCs w:val="44"/>
          <w:lang w:val="en-US" w:eastAsia="zh-CN"/>
          <w14:textFill>
            <w14:solidFill>
              <w14:schemeClr w14:val="tx1"/>
            </w14:solidFill>
          </w14:textFill>
        </w:rPr>
      </w:pPr>
      <w:r>
        <w:rPr>
          <w:rFonts w:hint="eastAsia"/>
          <w:b/>
          <w:bCs w:val="0"/>
          <w:color w:val="000000" w:themeColor="text1"/>
          <w:sz w:val="44"/>
          <w:szCs w:val="44"/>
          <w14:textFill>
            <w14:solidFill>
              <w14:schemeClr w14:val="tx1"/>
            </w14:solidFill>
          </w14:textFill>
        </w:rPr>
        <w:t>涞源县</w:t>
      </w:r>
      <w:r>
        <w:rPr>
          <w:rFonts w:hint="eastAsia"/>
          <w:b/>
          <w:bCs w:val="0"/>
          <w:color w:val="000000" w:themeColor="text1"/>
          <w:sz w:val="44"/>
          <w:szCs w:val="44"/>
          <w:lang w:val="en-US" w:eastAsia="zh-CN"/>
          <w14:textFill>
            <w14:solidFill>
              <w14:schemeClr w14:val="tx1"/>
            </w14:solidFill>
          </w14:textFill>
        </w:rPr>
        <w:t>南马庄乡人民政府</w:t>
      </w:r>
    </w:p>
    <w:p w14:paraId="285F4922">
      <w:pPr>
        <w:pStyle w:val="4"/>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pPr>
      <w:r>
        <w:rPr>
          <w:rFonts w:hint="eastAsia"/>
          <w:b/>
          <w:bCs w:val="0"/>
          <w:color w:val="000000" w:themeColor="text1"/>
          <w:sz w:val="44"/>
          <w:szCs w:val="44"/>
          <w14:textFill>
            <w14:solidFill>
              <w14:schemeClr w14:val="tx1"/>
            </w14:solidFill>
          </w14:textFill>
        </w:rPr>
        <w:t>202</w:t>
      </w:r>
      <w:r>
        <w:rPr>
          <w:rFonts w:hint="eastAsia"/>
          <w:b/>
          <w:bCs w:val="0"/>
          <w:color w:val="000000" w:themeColor="text1"/>
          <w:sz w:val="44"/>
          <w:szCs w:val="44"/>
          <w:lang w:val="en-US" w:eastAsia="zh-CN"/>
          <w14:textFill>
            <w14:solidFill>
              <w14:schemeClr w14:val="tx1"/>
            </w14:solidFill>
          </w14:textFill>
        </w:rPr>
        <w:t>4</w:t>
      </w:r>
      <w:r>
        <w:rPr>
          <w:rFonts w:hint="eastAsia"/>
          <w:b/>
          <w:bCs w:val="0"/>
          <w:color w:val="000000" w:themeColor="text1"/>
          <w:sz w:val="44"/>
          <w:szCs w:val="44"/>
          <w14:textFill>
            <w14:solidFill>
              <w14:schemeClr w14:val="tx1"/>
            </w14:solidFill>
          </w14:textFill>
        </w:rPr>
        <w:t>年政府信息公开年度报告</w:t>
      </w:r>
    </w:p>
    <w:p w14:paraId="4582B565">
      <w:pPr>
        <w:pStyle w:val="4"/>
        <w:numPr>
          <w:ilvl w:val="0"/>
          <w:numId w:val="1"/>
        </w:numPr>
        <w:ind w:firstLine="643" w:firstLineChars="200"/>
        <w:rPr>
          <w:rFonts w:hint="eastAsia"/>
          <w:b/>
          <w:bCs w:val="0"/>
          <w:sz w:val="32"/>
          <w:szCs w:val="32"/>
        </w:rPr>
      </w:pPr>
      <w:r>
        <w:rPr>
          <w:rFonts w:hint="eastAsia"/>
          <w:b/>
          <w:bCs w:val="0"/>
          <w:sz w:val="32"/>
          <w:szCs w:val="32"/>
        </w:rPr>
        <w:t>总体情况</w:t>
      </w:r>
    </w:p>
    <w:p w14:paraId="5872CF6C">
      <w:pPr>
        <w:pStyle w:val="4"/>
        <w:numPr>
          <w:ilvl w:val="0"/>
          <w:numId w:val="0"/>
        </w:numPr>
        <w:ind w:firstLine="640" w:firstLineChars="200"/>
        <w:rPr>
          <w:rFonts w:hint="eastAsia"/>
          <w:b/>
          <w:bCs w:val="0"/>
          <w:sz w:val="32"/>
          <w:szCs w:val="32"/>
        </w:rPr>
      </w:pPr>
      <w:r>
        <w:rPr>
          <w:rFonts w:hint="eastAsia" w:ascii="仿宋_GB2312" w:hAnsi="宋体" w:eastAsia="仿宋_GB2312" w:cs="仿宋_GB2312"/>
          <w:i w:val="0"/>
          <w:iCs w:val="0"/>
          <w:caps w:val="0"/>
          <w:color w:val="auto"/>
          <w:spacing w:val="0"/>
          <w:sz w:val="32"/>
          <w:szCs w:val="32"/>
          <w:shd w:val="clear" w:fill="FFFFFF"/>
        </w:rPr>
        <w:t>202</w:t>
      </w:r>
      <w:r>
        <w:rPr>
          <w:rFonts w:hint="eastAsia" w:ascii="仿宋_GB2312" w:eastAsia="仿宋_GB2312" w:cs="仿宋_GB2312"/>
          <w:i w:val="0"/>
          <w:iCs w:val="0"/>
          <w:caps w:val="0"/>
          <w:color w:val="auto"/>
          <w:spacing w:val="0"/>
          <w:sz w:val="32"/>
          <w:szCs w:val="32"/>
          <w:shd w:val="clear" w:fill="FFFFFF"/>
          <w:lang w:val="en-US" w:eastAsia="zh-CN"/>
        </w:rPr>
        <w:t>4</w:t>
      </w:r>
      <w:r>
        <w:rPr>
          <w:rFonts w:hint="eastAsia" w:ascii="仿宋_GB2312" w:hAnsi="宋体" w:eastAsia="仿宋_GB2312" w:cs="仿宋_GB2312"/>
          <w:i w:val="0"/>
          <w:iCs w:val="0"/>
          <w:caps w:val="0"/>
          <w:color w:val="auto"/>
          <w:spacing w:val="0"/>
          <w:sz w:val="32"/>
          <w:szCs w:val="32"/>
          <w:shd w:val="clear" w:fill="FFFFFF"/>
        </w:rPr>
        <w:t>年，</w:t>
      </w:r>
      <w:r>
        <w:rPr>
          <w:rFonts w:hint="eastAsia" w:ascii="仿宋_GB2312" w:eastAsia="仿宋_GB2312" w:cs="仿宋_GB2312"/>
          <w:i w:val="0"/>
          <w:iCs w:val="0"/>
          <w:caps w:val="0"/>
          <w:color w:val="auto"/>
          <w:spacing w:val="0"/>
          <w:sz w:val="32"/>
          <w:szCs w:val="32"/>
          <w:shd w:val="clear" w:fill="FFFFFF"/>
          <w:lang w:eastAsia="zh-CN"/>
        </w:rPr>
        <w:t>南马庄</w:t>
      </w:r>
      <w:r>
        <w:rPr>
          <w:rFonts w:hint="eastAsia" w:ascii="仿宋_GB2312" w:hAnsi="宋体" w:eastAsia="仿宋_GB2312" w:cs="仿宋_GB2312"/>
          <w:i w:val="0"/>
          <w:iCs w:val="0"/>
          <w:caps w:val="0"/>
          <w:color w:val="auto"/>
          <w:spacing w:val="0"/>
          <w:sz w:val="32"/>
          <w:szCs w:val="32"/>
          <w:shd w:val="clear" w:fill="FFFFFF"/>
        </w:rPr>
        <w:t>乡人民政府坚持以习近平新时代中国特色社会主义思想为指引，深入学习党的二十大和和习近平总书记对河北工作的重要指示批示精神，全面贯彻落实</w:t>
      </w:r>
      <w:r>
        <w:rPr>
          <w:rFonts w:hint="eastAsia" w:ascii="仿宋_GB2312" w:hAnsi="宋体" w:eastAsia="仿宋_GB2312" w:cs="仿宋_GB2312"/>
          <w:i w:val="0"/>
          <w:iCs w:val="0"/>
          <w:caps w:val="0"/>
          <w:color w:val="auto"/>
          <w:spacing w:val="0"/>
          <w:sz w:val="32"/>
          <w:szCs w:val="32"/>
          <w:shd w:val="clear" w:fill="FFFFFF"/>
          <w:lang w:eastAsia="zh-CN"/>
        </w:rPr>
        <w:t>县</w:t>
      </w:r>
      <w:r>
        <w:rPr>
          <w:rFonts w:hint="eastAsia" w:ascii="仿宋_GB2312" w:hAnsi="宋体" w:eastAsia="仿宋_GB2312" w:cs="仿宋_GB2312"/>
          <w:i w:val="0"/>
          <w:iCs w:val="0"/>
          <w:caps w:val="0"/>
          <w:color w:val="auto"/>
          <w:spacing w:val="0"/>
          <w:sz w:val="32"/>
          <w:szCs w:val="32"/>
          <w:shd w:val="clear" w:fill="FFFFFF"/>
        </w:rPr>
        <w:t>委、</w:t>
      </w:r>
      <w:r>
        <w:rPr>
          <w:rFonts w:hint="eastAsia" w:ascii="仿宋_GB2312" w:hAnsi="宋体" w:eastAsia="仿宋_GB2312" w:cs="仿宋_GB2312"/>
          <w:i w:val="0"/>
          <w:iCs w:val="0"/>
          <w:caps w:val="0"/>
          <w:color w:val="auto"/>
          <w:spacing w:val="0"/>
          <w:sz w:val="32"/>
          <w:szCs w:val="32"/>
          <w:shd w:val="clear" w:fill="FFFFFF"/>
          <w:lang w:eastAsia="zh-CN"/>
        </w:rPr>
        <w:t>县</w:t>
      </w:r>
      <w:r>
        <w:rPr>
          <w:rFonts w:hint="eastAsia" w:ascii="仿宋_GB2312" w:hAnsi="宋体" w:eastAsia="仿宋_GB2312" w:cs="仿宋_GB2312"/>
          <w:i w:val="0"/>
          <w:iCs w:val="0"/>
          <w:caps w:val="0"/>
          <w:color w:val="auto"/>
          <w:spacing w:val="0"/>
          <w:sz w:val="32"/>
          <w:szCs w:val="32"/>
          <w:shd w:val="clear" w:fill="FFFFFF"/>
        </w:rPr>
        <w:t>政府工作部署，坚持以人民为中心的思想，深化信息公开工作，严格执行《中华人民共和国政府信息公开条例》和有关政府信息公开的要求，编写了202</w:t>
      </w:r>
      <w:r>
        <w:rPr>
          <w:rFonts w:hint="eastAsia" w:ascii="仿宋_GB2312" w:eastAsia="仿宋_GB2312" w:cs="仿宋_GB2312"/>
          <w:i w:val="0"/>
          <w:iCs w:val="0"/>
          <w:caps w:val="0"/>
          <w:color w:val="auto"/>
          <w:spacing w:val="0"/>
          <w:sz w:val="32"/>
          <w:szCs w:val="32"/>
          <w:shd w:val="clear" w:fill="FFFFFF"/>
          <w:lang w:val="en-US" w:eastAsia="zh-CN"/>
        </w:rPr>
        <w:t>4</w:t>
      </w:r>
      <w:r>
        <w:rPr>
          <w:rFonts w:hint="eastAsia" w:ascii="仿宋_GB2312" w:hAnsi="宋体" w:eastAsia="仿宋_GB2312" w:cs="仿宋_GB2312"/>
          <w:i w:val="0"/>
          <w:iCs w:val="0"/>
          <w:caps w:val="0"/>
          <w:color w:val="auto"/>
          <w:spacing w:val="0"/>
          <w:sz w:val="32"/>
          <w:szCs w:val="32"/>
          <w:shd w:val="clear" w:fill="FFFFFF"/>
        </w:rPr>
        <w:t>年政府信息公开工作年度报告。</w:t>
      </w:r>
    </w:p>
    <w:p w14:paraId="7CB18284">
      <w:pPr>
        <w:keepNext w:val="0"/>
        <w:keepLines w:val="0"/>
        <w:pageBreakBefore w:val="0"/>
        <w:widowControl w:val="0"/>
        <w:numPr>
          <w:ilvl w:val="0"/>
          <w:numId w:val="2"/>
        </w:numPr>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color w:val="000000" w:themeColor="text1"/>
          <w:shd w:val="clear" w:color="auto" w:fill="auto"/>
          <w14:textFill>
            <w14:solidFill>
              <w14:schemeClr w14:val="tx1"/>
            </w14:solidFill>
          </w14:textFill>
        </w:rPr>
        <w:t>主动公开：</w:t>
      </w:r>
    </w:p>
    <w:p w14:paraId="56980107">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ascii="仿宋_GB2312" w:hAnsi="宋体" w:eastAsia="仿宋_GB2312" w:cs="仿宋_GB2312"/>
          <w:i w:val="0"/>
          <w:iCs w:val="0"/>
          <w:caps w:val="0"/>
          <w:color w:val="auto"/>
          <w:spacing w:val="0"/>
          <w:sz w:val="32"/>
          <w:szCs w:val="32"/>
          <w:shd w:val="clear" w:fill="FFFFFF"/>
          <w:lang w:val="en-US" w:eastAsia="zh-CN"/>
        </w:rPr>
        <w:t>严格按照政府信息公开要求，扎实开展政府信息公开工作，结合工作实际进行政府信息公开，2024年在涞源政府信息公开平台主动公开政府信息4条，在</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南马庄</w:t>
      </w:r>
      <w:r>
        <w:rPr>
          <w:rFonts w:hint="eastAsia" w:ascii="仿宋_GB2312" w:eastAsia="仿宋_GB2312" w:cs="仿宋_GB2312"/>
          <w:i w:val="0"/>
          <w:iCs w:val="0"/>
          <w:caps w:val="0"/>
          <w:color w:val="auto"/>
          <w:spacing w:val="0"/>
          <w:sz w:val="32"/>
          <w:szCs w:val="32"/>
          <w:shd w:val="clear" w:fill="FFFFFF"/>
          <w:lang w:val="en-US" w:eastAsia="zh-CN"/>
        </w:rPr>
        <w:t>乡</w:t>
      </w:r>
      <w:r>
        <w:rPr>
          <w:rFonts w:hint="eastAsia" w:ascii="仿宋_GB2312" w:hAnsi="宋体" w:eastAsia="仿宋_GB2312" w:cs="仿宋_GB2312"/>
          <w:i w:val="0"/>
          <w:iCs w:val="0"/>
          <w:caps w:val="0"/>
          <w:color w:val="auto"/>
          <w:spacing w:val="0"/>
          <w:sz w:val="32"/>
          <w:szCs w:val="32"/>
          <w:shd w:val="clear" w:fill="FFFFFF"/>
          <w:lang w:val="en-US" w:eastAsia="zh-CN"/>
        </w:rPr>
        <w:t>微信公众号发布、转发内容共</w:t>
      </w:r>
      <w:r>
        <w:rPr>
          <w:rFonts w:hint="eastAsia" w:ascii="仿宋_GB2312" w:hAnsi="宋体" w:eastAsia="仿宋_GB2312" w:cs="仿宋_GB2312"/>
          <w:i w:val="0"/>
          <w:iCs w:val="0"/>
          <w:caps w:val="0"/>
          <w:color w:val="auto"/>
          <w:spacing w:val="0"/>
          <w:sz w:val="32"/>
          <w:szCs w:val="32"/>
          <w:highlight w:val="none"/>
          <w:shd w:val="clear" w:fill="FFFFFF"/>
          <w:lang w:val="en-US" w:eastAsia="zh-CN"/>
        </w:rPr>
        <w:t>102篇，同</w:t>
      </w:r>
      <w:r>
        <w:rPr>
          <w:rFonts w:hint="eastAsia" w:ascii="仿宋_GB2312" w:hAnsi="宋体" w:eastAsia="仿宋_GB2312" w:cs="仿宋_GB2312"/>
          <w:i w:val="0"/>
          <w:iCs w:val="0"/>
          <w:caps w:val="0"/>
          <w:color w:val="auto"/>
          <w:spacing w:val="0"/>
          <w:sz w:val="32"/>
          <w:szCs w:val="32"/>
          <w:shd w:val="clear" w:fill="FFFFFF"/>
          <w:lang w:val="en-US" w:eastAsia="zh-CN"/>
        </w:rPr>
        <w:t>时积极向上级宣传平台提供信息，整体工作较往年有了进一步提升。</w:t>
      </w:r>
    </w:p>
    <w:p w14:paraId="1A752BF7">
      <w:pPr>
        <w:keepNext w:val="0"/>
        <w:keepLines w:val="0"/>
        <w:pageBreakBefore w:val="0"/>
        <w:widowControl w:val="0"/>
        <w:numPr>
          <w:ilvl w:val="0"/>
          <w:numId w:val="2"/>
        </w:numPr>
        <w:kinsoku/>
        <w:wordWrap/>
        <w:overflowPunct/>
        <w:topLinePunct w:val="0"/>
        <w:autoSpaceDE/>
        <w:autoSpaceDN/>
        <w:bidi w:val="0"/>
        <w:adjustRightInd/>
        <w:snapToGrid/>
        <w:ind w:left="0" w:leftChars="0"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color w:val="000000" w:themeColor="text1"/>
          <w:shd w:val="clear" w:color="auto" w:fill="auto"/>
          <w14:textFill>
            <w14:solidFill>
              <w14:schemeClr w14:val="tx1"/>
            </w14:solidFill>
          </w14:textFill>
        </w:rPr>
        <w:t>依申请公开：</w:t>
      </w:r>
    </w:p>
    <w:p w14:paraId="37155ABD">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严格按照《中华人民共和国政府信息公开条例》，建立完善公开制度，南马庄乡于2024年未接到依申请公开事项及行政复议情况。</w:t>
      </w:r>
    </w:p>
    <w:p w14:paraId="77370A8C">
      <w:pPr>
        <w:keepNext w:val="0"/>
        <w:keepLines w:val="0"/>
        <w:pageBreakBefore w:val="0"/>
        <w:widowControl w:val="0"/>
        <w:numPr>
          <w:ilvl w:val="0"/>
          <w:numId w:val="2"/>
        </w:numPr>
        <w:kinsoku/>
        <w:wordWrap/>
        <w:overflowPunct/>
        <w:topLinePunct w:val="0"/>
        <w:autoSpaceDE/>
        <w:autoSpaceDN/>
        <w:bidi w:val="0"/>
        <w:adjustRightInd/>
        <w:snapToGrid/>
        <w:ind w:left="0" w:leftChars="0"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color w:val="000000" w:themeColor="text1"/>
          <w:shd w:val="clear" w:color="auto" w:fill="auto"/>
          <w14:textFill>
            <w14:solidFill>
              <w14:schemeClr w14:val="tx1"/>
            </w14:solidFill>
          </w14:textFill>
        </w:rPr>
        <w:t>政府信息管理：</w:t>
      </w:r>
    </w:p>
    <w:p w14:paraId="575730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eastAsia"/>
          <w:color w:val="000000" w:themeColor="text1"/>
          <w:shd w:val="clear" w:color="auto" w:fill="auto"/>
          <w14:textFill>
            <w14:solidFill>
              <w14:schemeClr w14:val="tx1"/>
            </w14:solidFill>
          </w14:textFill>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进一步完善主动公开、依申请公开、信息保密审查以及考核和责任追究等制度，建立健全信息公开保障机制。</w:t>
      </w:r>
      <w:r>
        <w:rPr>
          <w:rFonts w:hint="eastAsia" w:ascii="仿宋_GB2312" w:eastAsia="仿宋_GB2312" w:cs="仿宋_GB2312"/>
          <w:i w:val="0"/>
          <w:iCs w:val="0"/>
          <w:caps w:val="0"/>
          <w:color w:val="auto"/>
          <w:spacing w:val="0"/>
          <w:kern w:val="0"/>
          <w:sz w:val="32"/>
          <w:szCs w:val="32"/>
          <w:shd w:val="clear" w:fill="FFFFFF"/>
          <w:lang w:val="en-US" w:eastAsia="zh-CN" w:bidi="ar-SA"/>
        </w:rPr>
        <w:t>南马庄乡</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严格按照《中华人民共和国政府信息公开条例》及《中华人民共和国保守国家秘密法》有关规定，完善政府信息主动公开工作流程，使信息及时、准确、规范上传，保证了政务公开工作扎实高效开展。</w:t>
      </w:r>
    </w:p>
    <w:p w14:paraId="67CBC81A">
      <w:pPr>
        <w:keepNext w:val="0"/>
        <w:keepLines w:val="0"/>
        <w:pageBreakBefore w:val="0"/>
        <w:widowControl w:val="0"/>
        <w:numPr>
          <w:ilvl w:val="0"/>
          <w:numId w:val="2"/>
        </w:numPr>
        <w:kinsoku/>
        <w:wordWrap/>
        <w:overflowPunct/>
        <w:topLinePunct w:val="0"/>
        <w:autoSpaceDE/>
        <w:autoSpaceDN/>
        <w:bidi w:val="0"/>
        <w:adjustRightInd/>
        <w:snapToGrid/>
        <w:ind w:left="0" w:leftChars="0"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color w:val="000000" w:themeColor="text1"/>
          <w:shd w:val="clear" w:color="auto" w:fill="auto"/>
          <w14:textFill>
            <w14:solidFill>
              <w14:schemeClr w14:val="tx1"/>
            </w14:solidFill>
          </w14:textFill>
        </w:rPr>
        <w:t>政府信息公开平台建设：</w:t>
      </w:r>
    </w:p>
    <w:p w14:paraId="79A2566E">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严格按照县门户网站管理办法积极维护政府网站，按照《中华人民共和国政府信息公开条例》</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有关要求，持续推进主动公开、依申请公开、政策解读、等方面的工作。</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明确专人负责，积极推进重点领域信息公开，做到内容严格把关、更新及时准确，同时定期开展自查，做到发现问题及时整改。</w:t>
      </w:r>
    </w:p>
    <w:p w14:paraId="7D1FAA4F">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color w:val="000000" w:themeColor="text1"/>
          <w:shd w:val="clear" w:color="auto" w:fill="auto"/>
          <w14:textFill>
            <w14:solidFill>
              <w14:schemeClr w14:val="tx1"/>
            </w14:solidFill>
          </w14:textFill>
        </w:rPr>
        <w:t>（五）监督保障：</w:t>
      </w:r>
    </w:p>
    <w:p w14:paraId="17CB7E4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right="0" w:rightChars="0" w:firstLine="640" w:firstLineChars="200"/>
        <w:jc w:val="both"/>
        <w:textAlignment w:val="auto"/>
        <w:rPr>
          <w:rFonts w:hint="default"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严格按照县政府要求，尽最大限度地实行公开，</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成立信息公开领导小组</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，明确专人负责</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不定期检查政府信息公开的执行情况</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对应该公开而没有公开，以及公开内容不规范的责令整改。</w:t>
      </w:r>
    </w:p>
    <w:p w14:paraId="0ACDE57C">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right="0" w:rightChars="0" w:firstLine="640" w:firstLineChars="200"/>
        <w:jc w:val="both"/>
        <w:textAlignment w:val="auto"/>
        <w:rPr>
          <w:rFonts w:hint="eastAsia"/>
          <w:color w:val="000000" w:themeColor="text1"/>
          <w:shd w:val="clear" w:color="auto" w:fill="auto"/>
          <w14:textFill>
            <w14:solidFill>
              <w14:schemeClr w14:val="tx1"/>
            </w14:solidFill>
          </w14:textFill>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报告中所列数据的统计期限自2024年1月1日至2024年12月31日。</w:t>
      </w:r>
    </w:p>
    <w:p w14:paraId="29FB37C7">
      <w:pPr>
        <w:pStyle w:val="4"/>
        <w:rPr>
          <w:rFonts w:hint="eastAsia"/>
        </w:rPr>
      </w:pPr>
      <w:r>
        <w:rPr>
          <w:rFonts w:hint="eastAsia"/>
          <w:b/>
          <w:bCs w:val="0"/>
          <w:sz w:val="32"/>
          <w:szCs w:val="40"/>
        </w:rPr>
        <w:t>二、主动公开政府信息情况</w:t>
      </w:r>
    </w:p>
    <w:tbl>
      <w:tblPr>
        <w:tblStyle w:val="5"/>
        <w:tblW w:w="9740" w:type="dxa"/>
        <w:jc w:val="center"/>
        <w:tblLayout w:type="autofit"/>
        <w:tblCellMar>
          <w:top w:w="15" w:type="dxa"/>
          <w:left w:w="15" w:type="dxa"/>
          <w:bottom w:w="15" w:type="dxa"/>
          <w:right w:w="15" w:type="dxa"/>
        </w:tblCellMar>
      </w:tblPr>
      <w:tblGrid>
        <w:gridCol w:w="2435"/>
        <w:gridCol w:w="2435"/>
        <w:gridCol w:w="2435"/>
        <w:gridCol w:w="2435"/>
      </w:tblGrid>
      <w:tr w14:paraId="62B928F0">
        <w:tblPrEx>
          <w:tblCellMar>
            <w:top w:w="15" w:type="dxa"/>
            <w:left w:w="15" w:type="dxa"/>
            <w:bottom w:w="15" w:type="dxa"/>
            <w:right w:w="15"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41FB571B">
            <w:pPr>
              <w:rPr>
                <w:sz w:val="22"/>
                <w:szCs w:val="22"/>
              </w:rPr>
            </w:pPr>
            <w:r>
              <w:rPr>
                <w:rFonts w:hint="eastAsia"/>
                <w:sz w:val="22"/>
                <w:szCs w:val="22"/>
                <w:lang w:bidi="ar"/>
              </w:rPr>
              <w:t>第二十条第（一）项</w:t>
            </w:r>
          </w:p>
        </w:tc>
      </w:tr>
      <w:tr w14:paraId="7F9D5B09">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0445A13">
            <w:pPr>
              <w:rPr>
                <w:sz w:val="22"/>
                <w:szCs w:val="22"/>
              </w:rPr>
            </w:pPr>
            <w:r>
              <w:rPr>
                <w:rFonts w:hint="eastAsia"/>
                <w:sz w:val="22"/>
                <w:szCs w:val="22"/>
                <w:lang w:bidi="ar"/>
              </w:rPr>
              <w:t>信息内容</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FDE0BA">
            <w:pPr>
              <w:rPr>
                <w:sz w:val="22"/>
                <w:szCs w:val="22"/>
              </w:rPr>
            </w:pPr>
            <w:r>
              <w:rPr>
                <w:rFonts w:hint="eastAsia"/>
                <w:color w:val="000000"/>
                <w:sz w:val="22"/>
                <w:szCs w:val="22"/>
                <w:lang w:bidi="ar"/>
              </w:rPr>
              <w:t>本年</w:t>
            </w:r>
            <w:r>
              <w:rPr>
                <w:rFonts w:hint="eastAsia"/>
                <w:sz w:val="22"/>
                <w:szCs w:val="22"/>
                <w:lang w:bidi="ar"/>
              </w:rPr>
              <w:t>制发件数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34CC6FD">
            <w:pPr>
              <w:rPr>
                <w:sz w:val="22"/>
                <w:szCs w:val="22"/>
              </w:rPr>
            </w:pPr>
            <w:r>
              <w:rPr>
                <w:rFonts w:hint="eastAsia"/>
                <w:sz w:val="22"/>
                <w:szCs w:val="22"/>
                <w:lang w:bidi="ar"/>
              </w:rPr>
              <w:t>本年废止件数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6C9E4C">
            <w:pPr>
              <w:rPr>
                <w:sz w:val="22"/>
                <w:szCs w:val="22"/>
              </w:rPr>
            </w:pPr>
            <w:r>
              <w:rPr>
                <w:rFonts w:hint="eastAsia"/>
                <w:sz w:val="22"/>
                <w:szCs w:val="22"/>
                <w:lang w:bidi="ar"/>
              </w:rPr>
              <w:t>现行有效件数</w:t>
            </w:r>
          </w:p>
        </w:tc>
      </w:tr>
      <w:tr w14:paraId="0DD6F4B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F451C50">
            <w:pPr>
              <w:rPr>
                <w:sz w:val="22"/>
                <w:szCs w:val="22"/>
              </w:rPr>
            </w:pPr>
            <w:r>
              <w:rPr>
                <w:rFonts w:hint="eastAsia"/>
                <w:sz w:val="22"/>
                <w:szCs w:val="22"/>
                <w:lang w:bidi="ar"/>
              </w:rPr>
              <w:t>规章</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5977F3F">
            <w:pPr>
              <w:rPr>
                <w:sz w:val="22"/>
                <w:szCs w:val="22"/>
              </w:rPr>
            </w:pPr>
            <w:r>
              <w:rPr>
                <w:rFonts w:hint="eastAsia"/>
                <w:sz w:val="22"/>
                <w:szCs w:val="22"/>
                <w:lang w:bidi="ar"/>
              </w:rPr>
              <w:t>　　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D6066DE">
            <w:pPr>
              <w:rPr>
                <w:sz w:val="22"/>
                <w:szCs w:val="22"/>
              </w:rPr>
            </w:pPr>
            <w:r>
              <w:rPr>
                <w:rFonts w:hint="eastAsia"/>
                <w:sz w:val="22"/>
                <w:szCs w:val="22"/>
                <w:lang w:bidi="ar"/>
              </w:rPr>
              <w:t>　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EC2BB30">
            <w:pPr>
              <w:rPr>
                <w:sz w:val="22"/>
                <w:szCs w:val="22"/>
              </w:rPr>
            </w:pPr>
            <w:r>
              <w:rPr>
                <w:rFonts w:hint="eastAsia"/>
                <w:sz w:val="22"/>
                <w:szCs w:val="22"/>
              </w:rPr>
              <w:t>0</w:t>
            </w:r>
          </w:p>
        </w:tc>
      </w:tr>
      <w:tr w14:paraId="146A3F15">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452317A">
            <w:pPr>
              <w:rPr>
                <w:sz w:val="22"/>
                <w:szCs w:val="22"/>
              </w:rPr>
            </w:pPr>
            <w:r>
              <w:rPr>
                <w:rFonts w:hint="eastAsia"/>
                <w:sz w:val="22"/>
                <w:szCs w:val="22"/>
                <w:lang w:bidi="ar"/>
              </w:rPr>
              <w:t>行政规范性文件</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E617A8">
            <w:pPr>
              <w:rPr>
                <w:sz w:val="22"/>
                <w:szCs w:val="22"/>
              </w:rPr>
            </w:pPr>
            <w:r>
              <w:rPr>
                <w:rFonts w:hint="eastAsia"/>
                <w:sz w:val="22"/>
                <w:szCs w:val="22"/>
                <w:lang w:val="en-US" w:eastAsia="zh-CN" w:bidi="ar"/>
              </w:rPr>
              <w:t xml:space="preserve">    </w:t>
            </w:r>
            <w:r>
              <w:rPr>
                <w:sz w:val="22"/>
                <w:szCs w:val="22"/>
                <w:lang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11B519">
            <w:pPr>
              <w:rPr>
                <w:sz w:val="22"/>
                <w:szCs w:val="22"/>
              </w:rPr>
            </w:pPr>
            <w:r>
              <w:rPr>
                <w:rFonts w:hint="eastAsia"/>
                <w:sz w:val="22"/>
                <w:szCs w:val="22"/>
                <w:lang w:bidi="ar"/>
              </w:rPr>
              <w:t>　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2041303">
            <w:pPr>
              <w:rPr>
                <w:rFonts w:hint="eastAsia" w:eastAsia="仿宋"/>
                <w:sz w:val="22"/>
                <w:szCs w:val="22"/>
                <w:lang w:val="en-US" w:eastAsia="zh-CN"/>
              </w:rPr>
            </w:pPr>
            <w:r>
              <w:rPr>
                <w:rFonts w:hint="eastAsia"/>
                <w:sz w:val="22"/>
                <w:szCs w:val="22"/>
                <w:lang w:val="en-US" w:eastAsia="zh-CN"/>
              </w:rPr>
              <w:t>0</w:t>
            </w:r>
          </w:p>
        </w:tc>
      </w:tr>
      <w:tr w14:paraId="76F86CFD">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0289BA1">
            <w:pPr>
              <w:rPr>
                <w:sz w:val="22"/>
                <w:szCs w:val="22"/>
              </w:rPr>
            </w:pPr>
            <w:r>
              <w:rPr>
                <w:rFonts w:hint="eastAsia"/>
                <w:sz w:val="22"/>
                <w:szCs w:val="22"/>
                <w:lang w:bidi="ar"/>
              </w:rPr>
              <w:t>第二十条第（五）项</w:t>
            </w:r>
          </w:p>
        </w:tc>
      </w:tr>
      <w:tr w14:paraId="529B18C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C99057E">
            <w:pPr>
              <w:rPr>
                <w:sz w:val="22"/>
                <w:szCs w:val="22"/>
              </w:rPr>
            </w:pPr>
            <w:r>
              <w:rPr>
                <w:rFonts w:hint="eastAsia"/>
                <w:sz w:val="22"/>
                <w:szCs w:val="22"/>
                <w:lang w:bidi="ar"/>
              </w:rPr>
              <w:t>信息内容</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666EC69">
            <w:pPr>
              <w:rPr>
                <w:sz w:val="22"/>
                <w:szCs w:val="22"/>
              </w:rPr>
            </w:pPr>
            <w:r>
              <w:rPr>
                <w:rFonts w:hint="eastAsia"/>
                <w:sz w:val="22"/>
                <w:szCs w:val="22"/>
                <w:lang w:bidi="ar"/>
              </w:rPr>
              <w:t>本年处理决定数量</w:t>
            </w:r>
          </w:p>
        </w:tc>
      </w:tr>
      <w:tr w14:paraId="5B12D9AA">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05592C41">
            <w:pPr>
              <w:rPr>
                <w:sz w:val="22"/>
                <w:szCs w:val="22"/>
              </w:rPr>
            </w:pPr>
            <w:r>
              <w:rPr>
                <w:rFonts w:hint="eastAsia"/>
                <w:sz w:val="22"/>
                <w:szCs w:val="22"/>
                <w:lang w:bidi="ar"/>
              </w:rPr>
              <w:t>行政许可</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FDD5379">
            <w:pPr>
              <w:rPr>
                <w:rFonts w:hint="default" w:eastAsia="仿宋"/>
                <w:sz w:val="22"/>
                <w:szCs w:val="22"/>
                <w:lang w:val="en-US" w:eastAsia="zh-CN"/>
              </w:rPr>
            </w:pPr>
            <w:r>
              <w:rPr>
                <w:rFonts w:hint="eastAsia"/>
                <w:sz w:val="22"/>
                <w:szCs w:val="22"/>
                <w:lang w:val="en-US" w:eastAsia="zh-CN"/>
              </w:rPr>
              <w:t>48</w:t>
            </w:r>
          </w:p>
        </w:tc>
      </w:tr>
      <w:tr w14:paraId="652BBD58">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CF5A25D">
            <w:pPr>
              <w:rPr>
                <w:sz w:val="22"/>
                <w:szCs w:val="22"/>
              </w:rPr>
            </w:pPr>
            <w:r>
              <w:rPr>
                <w:rFonts w:hint="eastAsia"/>
                <w:sz w:val="22"/>
                <w:szCs w:val="22"/>
                <w:lang w:bidi="ar"/>
              </w:rPr>
              <w:t>第二十条第（六）项</w:t>
            </w:r>
          </w:p>
        </w:tc>
      </w:tr>
      <w:tr w14:paraId="375F4280">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D675764">
            <w:pPr>
              <w:rPr>
                <w:sz w:val="22"/>
                <w:szCs w:val="22"/>
              </w:rPr>
            </w:pPr>
            <w:r>
              <w:rPr>
                <w:rFonts w:hint="eastAsia"/>
                <w:sz w:val="22"/>
                <w:szCs w:val="22"/>
                <w:lang w:bidi="ar"/>
              </w:rPr>
              <w:t>信息内容</w:t>
            </w:r>
          </w:p>
        </w:tc>
        <w:tc>
          <w:tcPr>
            <w:tcW w:w="7305"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3C01DBF7">
            <w:pPr>
              <w:rPr>
                <w:sz w:val="22"/>
                <w:szCs w:val="22"/>
              </w:rPr>
            </w:pPr>
            <w:r>
              <w:rPr>
                <w:rFonts w:hint="eastAsia"/>
                <w:sz w:val="22"/>
                <w:szCs w:val="22"/>
                <w:lang w:bidi="ar"/>
              </w:rPr>
              <w:t>本年处理决定数量</w:t>
            </w:r>
          </w:p>
        </w:tc>
      </w:tr>
      <w:tr w14:paraId="29041414">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EFFFDCF">
            <w:pPr>
              <w:rPr>
                <w:sz w:val="22"/>
                <w:szCs w:val="22"/>
              </w:rPr>
            </w:pPr>
            <w:r>
              <w:rPr>
                <w:rFonts w:hint="eastAsia"/>
                <w:sz w:val="22"/>
                <w:szCs w:val="22"/>
                <w:lang w:bidi="ar"/>
              </w:rPr>
              <w:t>行政处罚</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8F1700A">
            <w:pPr>
              <w:rPr>
                <w:rFonts w:hint="eastAsia" w:eastAsia="仿宋"/>
                <w:sz w:val="22"/>
                <w:szCs w:val="22"/>
                <w:lang w:eastAsia="zh-CN"/>
              </w:rPr>
            </w:pPr>
            <w:r>
              <w:rPr>
                <w:rFonts w:hint="eastAsia"/>
                <w:sz w:val="22"/>
                <w:szCs w:val="22"/>
                <w:lang w:bidi="ar"/>
              </w:rPr>
              <w:t>　</w:t>
            </w:r>
            <w:r>
              <w:rPr>
                <w:rFonts w:hint="eastAsia"/>
                <w:sz w:val="22"/>
                <w:szCs w:val="22"/>
                <w:lang w:val="en-US" w:eastAsia="zh-CN" w:bidi="ar"/>
              </w:rPr>
              <w:t>0</w:t>
            </w:r>
          </w:p>
        </w:tc>
      </w:tr>
      <w:tr w14:paraId="6CD0FB6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405C3D2">
            <w:pPr>
              <w:rPr>
                <w:sz w:val="22"/>
                <w:szCs w:val="22"/>
              </w:rPr>
            </w:pPr>
            <w:r>
              <w:rPr>
                <w:rFonts w:hint="eastAsia"/>
                <w:sz w:val="22"/>
                <w:szCs w:val="22"/>
                <w:lang w:bidi="ar"/>
              </w:rPr>
              <w:t>行政强制</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35C4C1F">
            <w:pPr>
              <w:rPr>
                <w:rFonts w:hint="eastAsia" w:eastAsia="仿宋"/>
                <w:sz w:val="22"/>
                <w:szCs w:val="22"/>
                <w:lang w:val="en-US" w:eastAsia="zh-CN"/>
              </w:rPr>
            </w:pPr>
            <w:r>
              <w:rPr>
                <w:rFonts w:hint="eastAsia"/>
                <w:sz w:val="22"/>
                <w:szCs w:val="22"/>
                <w:lang w:bidi="ar"/>
              </w:rPr>
              <w:t>　</w:t>
            </w:r>
            <w:r>
              <w:rPr>
                <w:rFonts w:hint="eastAsia"/>
                <w:sz w:val="22"/>
                <w:szCs w:val="22"/>
                <w:lang w:val="en-US" w:eastAsia="zh-CN" w:bidi="ar"/>
              </w:rPr>
              <w:t>0</w:t>
            </w:r>
            <w:bookmarkStart w:id="0" w:name="_GoBack"/>
            <w:bookmarkEnd w:id="0"/>
          </w:p>
        </w:tc>
      </w:tr>
      <w:tr w14:paraId="47239D3C">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12857692">
            <w:pPr>
              <w:rPr>
                <w:sz w:val="22"/>
                <w:szCs w:val="22"/>
              </w:rPr>
            </w:pPr>
            <w:r>
              <w:rPr>
                <w:rFonts w:hint="eastAsia"/>
                <w:sz w:val="22"/>
                <w:szCs w:val="22"/>
                <w:lang w:bidi="ar"/>
              </w:rPr>
              <w:t>第二十条第（八）项</w:t>
            </w:r>
          </w:p>
        </w:tc>
      </w:tr>
      <w:tr w14:paraId="2B24ACA5">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70147C8">
            <w:pPr>
              <w:rPr>
                <w:sz w:val="22"/>
                <w:szCs w:val="22"/>
              </w:rPr>
            </w:pPr>
            <w:r>
              <w:rPr>
                <w:rFonts w:hint="eastAsia"/>
                <w:sz w:val="22"/>
                <w:szCs w:val="22"/>
                <w:lang w:bidi="ar"/>
              </w:rPr>
              <w:t>信息内容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5F1D51BE">
            <w:pPr>
              <w:rPr>
                <w:sz w:val="22"/>
                <w:szCs w:val="22"/>
              </w:rPr>
            </w:pPr>
            <w:r>
              <w:rPr>
                <w:rFonts w:hint="eastAsia"/>
                <w:sz w:val="22"/>
                <w:szCs w:val="22"/>
                <w:lang w:bidi="ar"/>
              </w:rPr>
              <w:t>本年收费金额（单位：万元）</w:t>
            </w:r>
          </w:p>
        </w:tc>
      </w:tr>
      <w:tr w14:paraId="701FD946">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B13D773">
            <w:pPr>
              <w:rPr>
                <w:sz w:val="22"/>
                <w:szCs w:val="22"/>
              </w:rPr>
            </w:pPr>
            <w:r>
              <w:rPr>
                <w:rFonts w:hint="eastAsia"/>
                <w:sz w:val="22"/>
                <w:szCs w:val="22"/>
                <w:lang w:bidi="ar"/>
              </w:rPr>
              <w:t>行政事业性收费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46C7DB1F">
            <w:pPr>
              <w:jc w:val="center"/>
              <w:rPr>
                <w:sz w:val="22"/>
                <w:szCs w:val="22"/>
              </w:rPr>
            </w:pPr>
            <w:r>
              <w:rPr>
                <w:rFonts w:hint="eastAsia"/>
                <w:sz w:val="22"/>
                <w:szCs w:val="22"/>
              </w:rPr>
              <w:t>0</w:t>
            </w:r>
          </w:p>
        </w:tc>
      </w:tr>
    </w:tbl>
    <w:p w14:paraId="24921D16">
      <w:pPr>
        <w:pStyle w:val="4"/>
      </w:pPr>
      <w:r>
        <w:rPr>
          <w:rFonts w:hint="eastAsia"/>
          <w:b/>
          <w:bCs w:val="0"/>
          <w:sz w:val="32"/>
          <w:szCs w:val="40"/>
        </w:rPr>
        <w:t>三、收到和处理政府信息公开申请情况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768"/>
        <w:gridCol w:w="945"/>
        <w:gridCol w:w="3217"/>
        <w:gridCol w:w="688"/>
        <w:gridCol w:w="688"/>
        <w:gridCol w:w="688"/>
        <w:gridCol w:w="688"/>
        <w:gridCol w:w="688"/>
        <w:gridCol w:w="689"/>
        <w:gridCol w:w="689"/>
      </w:tblGrid>
      <w:tr w14:paraId="34BCDEA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33CECE31">
            <w:pPr>
              <w:rPr>
                <w:color w:val="000000" w:themeColor="text1"/>
                <w:sz w:val="21"/>
                <w:szCs w:val="21"/>
                <w14:textFill>
                  <w14:solidFill>
                    <w14:schemeClr w14:val="tx1"/>
                  </w14:solidFill>
                </w14:textFill>
              </w:rPr>
            </w:pPr>
            <w:r>
              <w:rPr>
                <w:color w:val="000000" w:themeColor="text1"/>
                <w:sz w:val="21"/>
                <w:szCs w:val="21"/>
                <w:lang w:bidi="ar"/>
                <w14:textFill>
                  <w14:solidFill>
                    <w14:schemeClr w14:val="tx1"/>
                  </w14:solidFill>
                </w14:textFill>
              </w:rPr>
              <w:t>（本列数据的勾稽关系为：第一项加第二项之和，等于第三项加第四项之和）</w:t>
            </w:r>
          </w:p>
        </w:tc>
        <w:tc>
          <w:tcPr>
            <w:tcW w:w="4998"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780C3A8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申请人情况</w:t>
            </w:r>
          </w:p>
        </w:tc>
      </w:tr>
      <w:tr w14:paraId="16D3395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361696E7">
            <w:pPr>
              <w:rPr>
                <w:color w:val="000000" w:themeColor="text1"/>
                <w:sz w:val="21"/>
                <w:szCs w:val="21"/>
                <w14:textFill>
                  <w14:solidFill>
                    <w14:schemeClr w14:val="tx1"/>
                  </w14:solidFill>
                </w14:textFill>
              </w:rPr>
            </w:pPr>
          </w:p>
        </w:tc>
        <w:tc>
          <w:tcPr>
            <w:tcW w:w="714" w:type="dxa"/>
            <w:vMerge w:val="restart"/>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E51155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自</w:t>
            </w:r>
          </w:p>
          <w:p w14:paraId="7701571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然</w:t>
            </w:r>
          </w:p>
          <w:p w14:paraId="6D2216B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人</w:t>
            </w:r>
          </w:p>
        </w:tc>
        <w:tc>
          <w:tcPr>
            <w:tcW w:w="3570"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79267C">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法人或其他组织</w:t>
            </w:r>
          </w:p>
        </w:tc>
        <w:tc>
          <w:tcPr>
            <w:tcW w:w="714" w:type="dxa"/>
            <w:vMerge w:val="restart"/>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7E92624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总计</w:t>
            </w:r>
          </w:p>
        </w:tc>
      </w:tr>
      <w:tr w14:paraId="625DB16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45C625AC">
            <w:pPr>
              <w:rPr>
                <w:color w:val="000000" w:themeColor="text1"/>
                <w:sz w:val="21"/>
                <w:szCs w:val="21"/>
                <w14:textFill>
                  <w14:solidFill>
                    <w14:schemeClr w14:val="tx1"/>
                  </w14:solidFill>
                </w14:textFill>
              </w:rPr>
            </w:pPr>
          </w:p>
        </w:tc>
        <w:tc>
          <w:tcPr>
            <w:tcW w:w="714" w:type="dxa"/>
            <w:vMerge w:val="continue"/>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37AB91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96480B">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商业</w:t>
            </w:r>
          </w:p>
          <w:p w14:paraId="64B950D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企业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AED1B0">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科研</w:t>
            </w:r>
          </w:p>
          <w:p w14:paraId="73F65B8B">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C20FB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社会公益组织</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55446F">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法律服务机构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1AD85C6">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其他</w:t>
            </w:r>
          </w:p>
        </w:tc>
        <w:tc>
          <w:tcPr>
            <w:tcW w:w="714" w:type="dxa"/>
            <w:vMerge w:val="continue"/>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1FAB433">
            <w:pPr>
              <w:rPr>
                <w:color w:val="000000" w:themeColor="text1"/>
                <w:sz w:val="21"/>
                <w:szCs w:val="21"/>
                <w14:textFill>
                  <w14:solidFill>
                    <w14:schemeClr w14:val="tx1"/>
                  </w14:solidFill>
                </w14:textFill>
              </w:rPr>
            </w:pPr>
          </w:p>
        </w:tc>
      </w:tr>
      <w:tr w14:paraId="4F5C4A1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CF8349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一、本年新收政府信息公开申请数量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21FD6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8DB8D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0F65C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0F729D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E2DFA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5D5E10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6031AC5">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42015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79810AD">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二、上年结转政府信息公开申请数量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4BC9F8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357C7F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2583D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65B7A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1FAEC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379067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C852C27">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D5B08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120540C">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三、本年度办理结果</w:t>
            </w: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3241371">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（一）予以公开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8073D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BE14E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AA469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6D1EF3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77516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FC343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tcPr>
          <w:p w14:paraId="44606D17">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39DBA4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98"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C3D0B0C">
            <w:pPr>
              <w:rPr>
                <w:color w:val="000000" w:themeColor="text1"/>
                <w:sz w:val="21"/>
                <w:szCs w:val="21"/>
                <w14:textFill>
                  <w14:solidFill>
                    <w14:schemeClr w14:val="tx1"/>
                  </w14:solidFill>
                </w14:textFill>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CDE5527">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（二）部分公开</w:t>
            </w:r>
            <w:r>
              <w:rPr>
                <w:rFonts w:hint="eastAsia"/>
                <w:color w:val="000000" w:themeColor="text1"/>
                <w:sz w:val="21"/>
                <w:szCs w:val="21"/>
                <w:lang w:bidi="ar"/>
                <w14:textFill>
                  <w14:solidFill>
                    <w14:schemeClr w14:val="tx1"/>
                  </w14:solidFill>
                </w14:textFill>
              </w:rPr>
              <w:t>（区分处理的，只计这一情形，不计其他情形）</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F87659">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86E29F">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E58A04">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3B731C">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271A6B">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1A31F9">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AF284D7">
            <w:pPr>
              <w:jc w:val="cente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7862790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700B76A">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3D4A739">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（三）不予公开</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EF0F15E">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1.属于国家秘密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55E8E26">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A8E96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FC22C1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539B43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8BCD2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ACD924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tcPr>
          <w:p w14:paraId="646C2024">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4AB13C0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4584070">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15B62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7E5600">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2.其他法律行政法规禁止公开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993588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36D08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88C622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6B21FE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7A38DD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3D80EF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A0517E7">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B600B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355B11C">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03048F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6DDD87D">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3.危及“三安全一稳定”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7B54B60">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ED2450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F9BA34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BDEDE8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9759F6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AF2645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BC8B5E6">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0</w:t>
            </w:r>
          </w:p>
        </w:tc>
      </w:tr>
      <w:tr w14:paraId="4821FE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EEDA4E5">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F543957">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D433095">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4.保护第三方合法权益</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5A8BE8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236E65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BA7CD6">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714643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D7139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7AD57F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93FCF6">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630FCD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08714A4">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AB885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904F934">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5.属于三类内部事务信息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DCE3337">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D574054">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225BE2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73F5C47">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B6BE16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4D6F09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5E23876">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4E32B4F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1F5EAA9">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02854DA">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C4D9976">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6.属于四类过程性信息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632C93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86BAA3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15E84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44D86C4">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C608EE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137A27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60ED4E">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6CBAA8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D51692F">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7CE151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76553F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7.属于行政执法案卷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3BA419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B0CC0F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19B821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32433C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FFBC23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FA7289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944DB0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F945AC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6306AB9">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2F369C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A57A43B">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8.属于行政查询事项</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98CA4A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A5BF0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20698E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284DF9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AE358D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D6C222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98CC8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08BC7B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D12C138">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1D2BFF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（四）无法提供</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733E055">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1.本机关不掌握相关政府信息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14B376E">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B9E48C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164B48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C158D4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B96643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AA5F25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0E0AFA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885CC4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306591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98DC94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D165627">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2.没有现成信息需要另行制作</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805F37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45B4CD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EA6A8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5F6F4E9">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3665E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7D09A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27B6D2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223D330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B83000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A6C530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B77ABE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3.补正后申请内容仍不明确</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50CE8D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002CF9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E0BC4F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0387B3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C881E7E">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991524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35DAB2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386518C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3F1016E">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9A92EEE">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（五）不予处理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A71E9F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1.信访举报投诉类申请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99FBF2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44DAF9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14F1E5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51F615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2D7D41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BC8AB8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B3E9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0F8FB58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D9917BA">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D81B329">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1B774FC">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5B5676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2F43C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AA0FD4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F20202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5135E6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BD7FD0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5BD222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ACED01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30E0047">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8DAECE6">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C103AB">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3.要求提供公开出版物</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D68BC3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C1C0B4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241A1E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6E038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72CB45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4EF614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E71795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250C98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560C5C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E96F43A">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04C25E7">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4.无正当理由大量反复申请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E1BC761">
            <w:pP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1B6590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D3194D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E59CE9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BA1D8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140111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AB221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0A4714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9"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46B2876">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400027A">
            <w:pPr>
              <w:rPr>
                <w:color w:val="000000" w:themeColor="text1"/>
                <w:sz w:val="21"/>
                <w:szCs w:val="21"/>
                <w14:textFill>
                  <w14:solidFill>
                    <w14:schemeClr w14:val="tx1"/>
                  </w14:solidFill>
                </w14:textFill>
              </w:rPr>
            </w:pPr>
          </w:p>
        </w:tc>
        <w:tc>
          <w:tcPr>
            <w:tcW w:w="3406"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B2C7C48">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5.要求行政机关确认或重新出具已获取信息</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1D8DAF17">
            <w:pP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4BAE19E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55893C4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687CB57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48879C1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7F78DCA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61BA60D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36473A9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6E088A5">
            <w:pPr>
              <w:rPr>
                <w:color w:val="000000" w:themeColor="text1"/>
                <w:sz w:val="21"/>
                <w:szCs w:val="21"/>
                <w14:textFill>
                  <w14:solidFill>
                    <w14:schemeClr w14:val="tx1"/>
                  </w14:solidFill>
                </w14:textFill>
              </w:rPr>
            </w:pPr>
          </w:p>
        </w:tc>
        <w:tc>
          <w:tcPr>
            <w:tcW w:w="959"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A985FE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（六）其他处理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286193C">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1.申请人无正当理由逾期不补正、行政机关不再处理其政府信息公开申请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4383E8">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A3687E">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4CABAA9">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E658901">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779B80C">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2FF8ED">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5E3246">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5457060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C395957">
            <w:pPr>
              <w:rPr>
                <w:color w:val="000000" w:themeColor="text1"/>
                <w:sz w:val="21"/>
                <w:szCs w:val="21"/>
                <w14:textFill>
                  <w14:solidFill>
                    <w14:schemeClr w14:val="tx1"/>
                  </w14:solidFill>
                </w14:textFill>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4DE536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21D734">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2.申请人逾期未按收费通知要求缴纳费用、行政机关不再处理其政府信息公开申请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23405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8E701B">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FA6991">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78AB07">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53C2E2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5160A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EA06A3">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85CBC3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CA08B1B">
            <w:pPr>
              <w:rPr>
                <w:color w:val="000000" w:themeColor="text1"/>
                <w:sz w:val="21"/>
                <w:szCs w:val="21"/>
                <w14:textFill>
                  <w14:solidFill>
                    <w14:schemeClr w14:val="tx1"/>
                  </w14:solidFill>
                </w14:textFill>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5AB40B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85B9726">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3.其他</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6C533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15C07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12975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11263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BF38E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91F6B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8BDC6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09064B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2793C3D">
            <w:pPr>
              <w:rPr>
                <w:color w:val="000000" w:themeColor="text1"/>
                <w:sz w:val="21"/>
                <w:szCs w:val="21"/>
                <w14:textFill>
                  <w14:solidFill>
                    <w14:schemeClr w14:val="tx1"/>
                  </w14:solidFill>
                </w14:textFill>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098532">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（七）总计</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880CC7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C914A9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56394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35690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5BCBE9">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43274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C6E83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F7338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574A7DB">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四、结转下年度继续办理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06B565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14BB8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17C505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67BB6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C0993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60EBE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1F791F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bl>
    <w:p w14:paraId="26F0358D">
      <w:pPr>
        <w:pStyle w:val="4"/>
      </w:pPr>
      <w:r>
        <w:rPr>
          <w:rFonts w:hint="eastAsia"/>
          <w:b/>
          <w:bCs w:val="0"/>
          <w:sz w:val="32"/>
          <w:szCs w:val="40"/>
        </w:rPr>
        <w:t>四、政府信息公开行政复议、行政诉讼情况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649"/>
        <w:gridCol w:w="649"/>
        <w:gridCol w:w="649"/>
        <w:gridCol w:w="649"/>
        <w:gridCol w:w="649"/>
        <w:gridCol w:w="649"/>
        <w:gridCol w:w="649"/>
        <w:gridCol w:w="650"/>
        <w:gridCol w:w="650"/>
        <w:gridCol w:w="650"/>
        <w:gridCol w:w="651"/>
        <w:gridCol w:w="651"/>
        <w:gridCol w:w="651"/>
        <w:gridCol w:w="651"/>
        <w:gridCol w:w="651"/>
      </w:tblGrid>
      <w:tr w14:paraId="5932329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17" w:hRule="atLeast"/>
          <w:jc w:val="center"/>
        </w:trPr>
        <w:tc>
          <w:tcPr>
            <w:tcW w:w="3210"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C014BFA">
            <w:pP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行政复议</w:t>
            </w:r>
          </w:p>
        </w:tc>
        <w:tc>
          <w:tcPr>
            <w:tcW w:w="6428"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ACA151F">
            <w:pP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行政诉讼</w:t>
            </w:r>
          </w:p>
        </w:tc>
      </w:tr>
      <w:tr w14:paraId="1162225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542854F">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结果维持</w:t>
            </w:r>
          </w:p>
        </w:tc>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8E846A3">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BFA071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F7EA08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CE8371">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c>
          <w:tcPr>
            <w:tcW w:w="3213"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6E3471">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未经复议直接起诉</w:t>
            </w:r>
          </w:p>
        </w:tc>
        <w:tc>
          <w:tcPr>
            <w:tcW w:w="321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2BA489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复议后起诉</w:t>
            </w:r>
          </w:p>
        </w:tc>
      </w:tr>
      <w:tr w14:paraId="41C35B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EEE8A9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DCD3E43">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AE7CE7C">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6917B07">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38B8F6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ED7B48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维持</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145839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D53DEF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6AFBCE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4D83E3E">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13841D0">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维持</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30439F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DA06112">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8C5A802">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3316959">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r>
      <w:tr w14:paraId="474B24D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72"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F4C30F2">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60E3E78">
            <w:pPr>
              <w:rPr>
                <w:rFonts w:hint="default"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16B506A">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77B3D34">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1D872B9">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636A026">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E0C75E8">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CD2AF10">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77AD783">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38625EE">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6B01EE8">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0BD0B19">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85BEB4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D3559D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37186C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r>
    </w:tbl>
    <w:p w14:paraId="2C3DD091">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rPr>
          <w:rFonts w:hint="eastAsia"/>
          <w:b/>
          <w:bCs w:val="0"/>
          <w:sz w:val="32"/>
          <w:szCs w:val="40"/>
          <w:lang w:val="en-US" w:eastAsia="zh-CN"/>
        </w:rPr>
      </w:pPr>
    </w:p>
    <w:p w14:paraId="2238EC10">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rPr>
          <w:rFonts w:hint="eastAsia"/>
          <w:b/>
          <w:bCs w:val="0"/>
          <w:sz w:val="32"/>
          <w:szCs w:val="40"/>
          <w:lang w:val="en-US" w:eastAsia="zh-CN"/>
        </w:rPr>
      </w:pPr>
    </w:p>
    <w:p w14:paraId="06DF5896">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rPr>
          <w:rFonts w:hint="eastAsia"/>
          <w:b/>
          <w:bCs w:val="0"/>
          <w:sz w:val="32"/>
          <w:szCs w:val="40"/>
          <w:lang w:val="en-US" w:eastAsia="zh-CN"/>
        </w:rPr>
      </w:pPr>
    </w:p>
    <w:p w14:paraId="11223757">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pPr>
      <w:r>
        <w:rPr>
          <w:rFonts w:hint="eastAsia"/>
          <w:b/>
          <w:bCs w:val="0"/>
          <w:sz w:val="32"/>
          <w:szCs w:val="40"/>
          <w:lang w:val="en-US" w:eastAsia="zh-CN"/>
        </w:rPr>
        <w:t>五、</w:t>
      </w:r>
      <w:r>
        <w:rPr>
          <w:rFonts w:hint="eastAsia"/>
          <w:b/>
          <w:bCs w:val="0"/>
          <w:sz w:val="32"/>
          <w:szCs w:val="40"/>
        </w:rPr>
        <w:t>存在的主要问题及改进情况</w:t>
      </w:r>
    </w:p>
    <w:p w14:paraId="27C21E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202</w:t>
      </w:r>
      <w:r>
        <w:rPr>
          <w:rFonts w:hint="eastAsia" w:ascii="仿宋_GB2312" w:eastAsia="仿宋_GB2312" w:cs="仿宋_GB2312"/>
          <w:i w:val="0"/>
          <w:iCs w:val="0"/>
          <w:caps w:val="0"/>
          <w:color w:val="auto"/>
          <w:spacing w:val="0"/>
          <w:kern w:val="0"/>
          <w:sz w:val="32"/>
          <w:szCs w:val="32"/>
          <w:shd w:val="clear" w:fill="FFFFFF"/>
          <w:lang w:val="en-US" w:eastAsia="zh-CN" w:bidi="ar-SA"/>
        </w:rPr>
        <w:t>4</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年政务公开工作虽然取得了一定的成绩，但也还存在政策解读形式不够全面、精准等问题，信息公开平台相关栏目和内容分类仍需进一步优化。下一步，</w:t>
      </w:r>
      <w:r>
        <w:rPr>
          <w:rFonts w:hint="eastAsia" w:ascii="仿宋_GB2312" w:eastAsia="仿宋_GB2312" w:cs="仿宋_GB2312"/>
          <w:i w:val="0"/>
          <w:iCs w:val="0"/>
          <w:caps w:val="0"/>
          <w:color w:val="auto"/>
          <w:spacing w:val="0"/>
          <w:kern w:val="0"/>
          <w:sz w:val="32"/>
          <w:szCs w:val="32"/>
          <w:shd w:val="clear" w:fill="FFFFFF"/>
          <w:lang w:val="en-US" w:eastAsia="zh-CN" w:bidi="ar-SA"/>
        </w:rPr>
        <w:t>南马庄</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乡将按照关于全面推进政务公开工作的部署要求，做好民政重点领域信息公开，加强政策解读发布，提高依申请公开案件办理质量，强化制度保障，以高质量的信息公开工作促进民政政策落地和服务水平提升。</w:t>
      </w:r>
    </w:p>
    <w:p w14:paraId="12FD6983">
      <w:pPr>
        <w:pStyle w:val="4"/>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b/>
          <w:bCs w:val="0"/>
          <w:sz w:val="32"/>
          <w:szCs w:val="40"/>
        </w:rPr>
      </w:pPr>
      <w:r>
        <w:rPr>
          <w:rFonts w:hint="eastAsia"/>
          <w:b/>
          <w:bCs w:val="0"/>
          <w:sz w:val="32"/>
          <w:szCs w:val="40"/>
        </w:rPr>
        <w:t>六、其他需要报告的事项</w:t>
      </w:r>
    </w:p>
    <w:p w14:paraId="3AC3D923">
      <w:pPr>
        <w:pStyle w:val="4"/>
        <w:keepNext w:val="0"/>
        <w:keepLines w:val="0"/>
        <w:pageBreakBefore w:val="0"/>
        <w:widowControl/>
        <w:kinsoku/>
        <w:wordWrap/>
        <w:overflowPunct/>
        <w:topLinePunct w:val="0"/>
        <w:autoSpaceDE/>
        <w:autoSpaceDN/>
        <w:bidi w:val="0"/>
        <w:adjustRightInd/>
        <w:snapToGrid/>
        <w:spacing w:before="0" w:beforeAutospacing="0" w:after="0" w:afterAutospacing="0"/>
        <w:ind w:firstLine="640" w:firstLineChars="200"/>
        <w:textAlignment w:val="auto"/>
        <w:rPr>
          <w:rFonts w:hint="eastAsia" w:ascii="仿宋" w:hAnsi="仿宋" w:eastAsia="仿宋" w:cs="仿宋"/>
          <w:sz w:val="32"/>
          <w:szCs w:val="40"/>
        </w:rPr>
      </w:pPr>
      <w:r>
        <w:rPr>
          <w:rFonts w:hint="eastAsia" w:ascii="仿宋" w:hAnsi="仿宋" w:eastAsia="仿宋" w:cs="仿宋"/>
          <w:sz w:val="32"/>
          <w:szCs w:val="40"/>
        </w:rPr>
        <w:t>认真贯彻执行国务院办公厅《政府信息公开信息处理费管理办法》和《关于政府信息公开处理费管理有关事项的通知》。202</w:t>
      </w:r>
      <w:r>
        <w:rPr>
          <w:rFonts w:hint="eastAsia" w:ascii="仿宋" w:hAnsi="仿宋" w:eastAsia="仿宋" w:cs="仿宋"/>
          <w:sz w:val="32"/>
          <w:szCs w:val="40"/>
          <w:lang w:val="en-US" w:eastAsia="zh-CN"/>
        </w:rPr>
        <w:t>4</w:t>
      </w:r>
      <w:r>
        <w:rPr>
          <w:rFonts w:hint="eastAsia" w:ascii="仿宋" w:hAnsi="仿宋" w:eastAsia="仿宋" w:cs="仿宋"/>
          <w:sz w:val="32"/>
          <w:szCs w:val="40"/>
        </w:rPr>
        <w:t>年我</w:t>
      </w:r>
      <w:r>
        <w:rPr>
          <w:rFonts w:hint="eastAsia" w:ascii="仿宋" w:hAnsi="仿宋" w:eastAsia="仿宋" w:cs="仿宋"/>
          <w:sz w:val="32"/>
          <w:szCs w:val="40"/>
          <w:lang w:val="en-US" w:eastAsia="zh-CN"/>
        </w:rPr>
        <w:t>单位</w:t>
      </w:r>
      <w:r>
        <w:rPr>
          <w:rFonts w:hint="eastAsia" w:ascii="仿宋" w:hAnsi="仿宋" w:eastAsia="仿宋" w:cs="仿宋"/>
          <w:sz w:val="32"/>
          <w:szCs w:val="40"/>
        </w:rPr>
        <w:t>未收取信息处理费。</w:t>
      </w:r>
    </w:p>
    <w:p w14:paraId="181A5CDB">
      <w:pPr>
        <w:pStyle w:val="4"/>
      </w:pPr>
    </w:p>
    <w:p w14:paraId="4395CD01">
      <w:pPr>
        <w:pStyle w:val="4"/>
      </w:pP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3758FC"/>
    <w:multiLevelType w:val="singleLevel"/>
    <w:tmpl w:val="603758FC"/>
    <w:lvl w:ilvl="0" w:tentative="0">
      <w:start w:val="1"/>
      <w:numFmt w:val="chineseCounting"/>
      <w:suff w:val="nothing"/>
      <w:lvlText w:val="（%1）"/>
      <w:lvlJc w:val="left"/>
      <w:rPr>
        <w:rFonts w:hint="eastAsia"/>
      </w:rPr>
    </w:lvl>
  </w:abstractNum>
  <w:abstractNum w:abstractNumId="1">
    <w:nsid w:val="748588DA"/>
    <w:multiLevelType w:val="singleLevel"/>
    <w:tmpl w:val="748588DA"/>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SystemFont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s>
  <w:rsids>
    <w:rsidRoot w:val="3E5B229F"/>
    <w:rsid w:val="00013325"/>
    <w:rsid w:val="003F474B"/>
    <w:rsid w:val="006000DD"/>
    <w:rsid w:val="00601565"/>
    <w:rsid w:val="00692E1B"/>
    <w:rsid w:val="00754D50"/>
    <w:rsid w:val="00976581"/>
    <w:rsid w:val="00BC7FF5"/>
    <w:rsid w:val="00DF58E6"/>
    <w:rsid w:val="00FF7963"/>
    <w:rsid w:val="056B1570"/>
    <w:rsid w:val="087E15BA"/>
    <w:rsid w:val="093F0D49"/>
    <w:rsid w:val="0A856C30"/>
    <w:rsid w:val="0C1069CD"/>
    <w:rsid w:val="14D87B14"/>
    <w:rsid w:val="14E43B91"/>
    <w:rsid w:val="1F2760B0"/>
    <w:rsid w:val="1F2E6DF5"/>
    <w:rsid w:val="211B39F2"/>
    <w:rsid w:val="259D0E7A"/>
    <w:rsid w:val="2609650F"/>
    <w:rsid w:val="2AED63FF"/>
    <w:rsid w:val="302857C1"/>
    <w:rsid w:val="34880F47"/>
    <w:rsid w:val="390C0ED9"/>
    <w:rsid w:val="3CA32DC2"/>
    <w:rsid w:val="3D7F382F"/>
    <w:rsid w:val="3DAF755A"/>
    <w:rsid w:val="3E5B229F"/>
    <w:rsid w:val="40786313"/>
    <w:rsid w:val="440427CF"/>
    <w:rsid w:val="474F3363"/>
    <w:rsid w:val="47F6649C"/>
    <w:rsid w:val="52630BD1"/>
    <w:rsid w:val="55AF412E"/>
    <w:rsid w:val="5712706A"/>
    <w:rsid w:val="582C415B"/>
    <w:rsid w:val="62E95CCE"/>
    <w:rsid w:val="670342D9"/>
    <w:rsid w:val="6A276531"/>
    <w:rsid w:val="6ABA1153"/>
    <w:rsid w:val="6CE07597"/>
    <w:rsid w:val="6D6B5CE1"/>
    <w:rsid w:val="6F85042D"/>
    <w:rsid w:val="72826491"/>
    <w:rsid w:val="73DE5EB2"/>
    <w:rsid w:val="749C3ADE"/>
    <w:rsid w:val="7F6319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60" w:lineRule="exact"/>
      <w:jc w:val="center"/>
    </w:pPr>
    <w:rPr>
      <w:rFonts w:ascii="仿宋" w:hAnsi="仿宋" w:eastAsia="仿宋" w:cs="仿宋"/>
      <w:bCs/>
      <w:color w:val="333333"/>
      <w:kern w:val="2"/>
      <w:sz w:val="32"/>
      <w:szCs w:val="32"/>
      <w:shd w:val="clear" w:color="auto" w:fill="FFFFFF"/>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qFormat/>
    <w:uiPriority w:val="0"/>
    <w:pPr>
      <w:tabs>
        <w:tab w:val="center" w:pos="4153"/>
        <w:tab w:val="right" w:pos="8306"/>
      </w:tabs>
      <w:snapToGrid w:val="0"/>
      <w:jc w:val="left"/>
    </w:pPr>
    <w:rPr>
      <w:sz w:val="18"/>
      <w:szCs w:val="18"/>
    </w:rPr>
  </w:style>
  <w:style w:type="paragraph" w:styleId="3">
    <w:name w:val="header"/>
    <w:basedOn w:val="1"/>
    <w:link w:val="7"/>
    <w:autoRedefine/>
    <w:qFormat/>
    <w:uiPriority w:val="0"/>
    <w:pPr>
      <w:pBdr>
        <w:bottom w:val="single" w:color="auto" w:sz="6" w:space="1"/>
      </w:pBdr>
      <w:tabs>
        <w:tab w:val="center" w:pos="4153"/>
        <w:tab w:val="right" w:pos="8306"/>
      </w:tabs>
      <w:snapToGrid w:val="0"/>
    </w:pPr>
    <w:rPr>
      <w:sz w:val="18"/>
      <w:szCs w:val="18"/>
    </w:rPr>
  </w:style>
  <w:style w:type="paragraph" w:styleId="4">
    <w:name w:val="Normal (Web)"/>
    <w:basedOn w:val="1"/>
    <w:autoRedefine/>
    <w:unhideWhenUsed/>
    <w:qFormat/>
    <w:uiPriority w:val="99"/>
    <w:pPr>
      <w:widowControl/>
      <w:spacing w:before="100" w:beforeAutospacing="1" w:after="100" w:afterAutospacing="1"/>
      <w:jc w:val="left"/>
    </w:pPr>
    <w:rPr>
      <w:rFonts w:ascii="宋体" w:hAnsi="宋体" w:eastAsia="宋体" w:cs="宋体"/>
      <w:color w:val="000000"/>
      <w:kern w:val="0"/>
      <w:sz w:val="24"/>
    </w:rPr>
  </w:style>
  <w:style w:type="character" w:customStyle="1" w:styleId="7">
    <w:name w:val="页眉 Char"/>
    <w:basedOn w:val="6"/>
    <w:link w:val="3"/>
    <w:autoRedefine/>
    <w:qFormat/>
    <w:uiPriority w:val="0"/>
    <w:rPr>
      <w:rFonts w:ascii="仿宋_GB2312" w:eastAsia="仿宋_GB2312"/>
      <w:kern w:val="2"/>
      <w:sz w:val="18"/>
      <w:szCs w:val="18"/>
    </w:rPr>
  </w:style>
  <w:style w:type="character" w:customStyle="1" w:styleId="8">
    <w:name w:val="页脚 Char"/>
    <w:basedOn w:val="6"/>
    <w:link w:val="2"/>
    <w:autoRedefine/>
    <w:qFormat/>
    <w:uiPriority w:val="0"/>
    <w:rPr>
      <w:rFonts w:ascii="仿宋_GB2312" w:eastAsia="仿宋_GB2312"/>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5</Pages>
  <Words>1607</Words>
  <Characters>1655</Characters>
  <Lines>15</Lines>
  <Paragraphs>4</Paragraphs>
  <TotalTime>29</TotalTime>
  <ScaleCrop>false</ScaleCrop>
  <LinksUpToDate>false</LinksUpToDate>
  <CharactersWithSpaces>1665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WPS_1547361172</cp:lastModifiedBy>
  <cp:lastPrinted>2025-01-09T03:01:00Z</cp:lastPrinted>
  <dcterms:modified xsi:type="dcterms:W3CDTF">2025-01-09T07:29:01Z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D155403E08764F6EA9DC9D7517716D4E_13</vt:lpwstr>
  </property>
  <property fmtid="{D5CDD505-2E9C-101B-9397-08002B2CF9AE}" pid="4" name="KSOTemplateDocerSaveRecord">
    <vt:lpwstr>eyJoZGlkIjoiMWYyZjg2YzE2ZDM1NzhkZGJlNGY4MTk4YzhjODNlMGEiLCJ1c2VySWQiOiI0NTgyODkzNDgifQ==</vt:lpwstr>
  </property>
</Properties>
</file>